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012C4">
      <w:pPr>
        <w:jc w:val="center"/>
        <w:rPr>
          <w:rFonts w:ascii="宋体" w:hAnsi="宋体" w:cs="宋体"/>
          <w:b/>
          <w:bCs/>
          <w:color w:val="auto"/>
          <w:sz w:val="72"/>
          <w:szCs w:val="72"/>
          <w:highlight w:val="none"/>
          <w14:shadow w14:blurRad="50800" w14:dist="38100" w14:dir="2700000" w14:sx="100000" w14:sy="100000" w14:kx="0" w14:ky="0" w14:algn="tl">
            <w14:srgbClr w14:val="000000">
              <w14:alpha w14:val="60000"/>
            </w14:srgbClr>
          </w14:shadow>
        </w:rPr>
      </w:pPr>
      <w:r>
        <w:rPr>
          <w:rFonts w:hint="eastAsia" w:ascii="宋体" w:hAnsi="宋体" w:cs="宋体"/>
          <w:b/>
          <w:bCs/>
          <w:color w:val="auto"/>
          <w:sz w:val="72"/>
          <w:szCs w:val="72"/>
          <w:highlight w:val="none"/>
          <w:lang w:eastAsia="zh-CN"/>
          <w14:shadow w14:blurRad="50800" w14:dist="38100" w14:dir="2700000" w14:sx="100000" w14:sy="100000" w14:kx="0" w14:ky="0" w14:algn="tl">
            <w14:srgbClr w14:val="000000">
              <w14:alpha w14:val="60000"/>
            </w14:srgbClr>
          </w14:shadow>
        </w:rPr>
        <w:t>广西创佳项目管理</w:t>
      </w:r>
      <w:r>
        <w:rPr>
          <w:rFonts w:hint="eastAsia" w:ascii="宋体" w:hAnsi="宋体" w:cs="宋体"/>
          <w:b/>
          <w:bCs/>
          <w:color w:val="auto"/>
          <w:sz w:val="72"/>
          <w:szCs w:val="72"/>
          <w:highlight w:val="none"/>
          <w14:shadow w14:blurRad="50800" w14:dist="38100" w14:dir="2700000" w14:sx="100000" w14:sy="100000" w14:kx="0" w14:ky="0" w14:algn="tl">
            <w14:srgbClr w14:val="000000">
              <w14:alpha w14:val="60000"/>
            </w14:srgbClr>
          </w14:shadow>
        </w:rPr>
        <w:t>有限公司</w:t>
      </w:r>
    </w:p>
    <w:p w14:paraId="244F5C84">
      <w:pPr>
        <w:pStyle w:val="20"/>
        <w:rPr>
          <w:rFonts w:ascii="宋体" w:hAnsi="宋体" w:cs="宋体"/>
          <w:color w:val="auto"/>
          <w:sz w:val="20"/>
          <w:highlight w:val="none"/>
          <w:u w:val="single"/>
        </w:rPr>
      </w:pPr>
    </w:p>
    <w:p w14:paraId="29C5BB0A">
      <w:pPr>
        <w:pStyle w:val="20"/>
        <w:rPr>
          <w:rFonts w:ascii="宋体" w:hAnsi="宋体" w:cs="宋体"/>
          <w:color w:val="auto"/>
          <w:sz w:val="20"/>
          <w:highlight w:val="none"/>
          <w:u w:val="single"/>
        </w:rPr>
      </w:pPr>
    </w:p>
    <w:p w14:paraId="5FBD9A26">
      <w:pPr>
        <w:pStyle w:val="20"/>
        <w:rPr>
          <w:rFonts w:ascii="宋体" w:hAnsi="宋体" w:cs="宋体"/>
          <w:color w:val="auto"/>
          <w:sz w:val="20"/>
          <w:highlight w:val="none"/>
          <w:u w:val="single"/>
        </w:rPr>
      </w:pPr>
    </w:p>
    <w:p w14:paraId="2CE455A9">
      <w:pPr>
        <w:rPr>
          <w:rFonts w:ascii="宋体" w:hAnsi="宋体" w:cs="宋体"/>
          <w:color w:val="auto"/>
          <w:sz w:val="20"/>
          <w:highlight w:val="none"/>
          <w:u w:val="single"/>
        </w:rPr>
      </w:pPr>
    </w:p>
    <w:p w14:paraId="413AE78E">
      <w:pPr>
        <w:pStyle w:val="20"/>
        <w:spacing w:line="240" w:lineRule="exact"/>
        <w:jc w:val="center"/>
        <w:rPr>
          <w:rFonts w:ascii="宋体" w:hAnsi="宋体" w:cs="宋体"/>
          <w:color w:val="auto"/>
          <w:sz w:val="100"/>
          <w:szCs w:val="100"/>
          <w:highlight w:val="none"/>
        </w:rPr>
      </w:pPr>
    </w:p>
    <w:p w14:paraId="03F5B139">
      <w:pPr>
        <w:pStyle w:val="20"/>
        <w:spacing w:line="240" w:lineRule="auto"/>
        <w:jc w:val="center"/>
        <w:rPr>
          <w:rFonts w:ascii="宋体" w:hAnsi="宋体" w:cs="宋体"/>
          <w:b/>
          <w:bCs/>
          <w:color w:val="auto"/>
          <w:sz w:val="72"/>
          <w:szCs w:val="72"/>
          <w:highlight w:val="none"/>
          <w14:shadow w14:blurRad="50800" w14:dist="38100" w14:dir="2700000" w14:sx="100000" w14:sy="100000" w14:kx="0" w14:ky="0" w14:algn="tl">
            <w14:srgbClr w14:val="000000">
              <w14:alpha w14:val="60000"/>
            </w14:srgbClr>
          </w14:shadow>
        </w:rPr>
      </w:pPr>
      <w:r>
        <w:rPr>
          <w:rFonts w:hint="eastAsia" w:ascii="宋体" w:hAnsi="宋体" w:cs="宋体"/>
          <w:b/>
          <w:bCs/>
          <w:color w:val="auto"/>
          <w:sz w:val="72"/>
          <w:szCs w:val="72"/>
          <w:highlight w:val="none"/>
          <w14:shadow w14:blurRad="50800" w14:dist="38100" w14:dir="2700000" w14:sx="100000" w14:sy="100000" w14:kx="0" w14:ky="0" w14:algn="tl">
            <w14:srgbClr w14:val="000000">
              <w14:alpha w14:val="60000"/>
            </w14:srgbClr>
          </w14:shadow>
        </w:rPr>
        <w:t>竞争性磋商文件</w:t>
      </w:r>
    </w:p>
    <w:p w14:paraId="78B2639D">
      <w:pPr>
        <w:jc w:val="center"/>
        <w:rPr>
          <w:rFonts w:ascii="宋体" w:hAnsi="宋体" w:cs="宋体"/>
          <w:color w:val="auto"/>
          <w:sz w:val="24"/>
          <w:szCs w:val="32"/>
          <w:highlight w:val="none"/>
        </w:rPr>
      </w:pPr>
      <w:r>
        <w:rPr>
          <w:rFonts w:hint="eastAsia" w:ascii="宋体" w:hAnsi="宋体" w:cs="宋体"/>
          <w:color w:val="auto"/>
          <w:sz w:val="24"/>
          <w:szCs w:val="32"/>
          <w:highlight w:val="none"/>
        </w:rPr>
        <w:t>（全流程电子化评标）</w:t>
      </w:r>
    </w:p>
    <w:p w14:paraId="60C936A4">
      <w:pPr>
        <w:rPr>
          <w:rFonts w:ascii="宋体" w:hAnsi="宋体" w:cs="宋体"/>
          <w:color w:val="auto"/>
          <w:sz w:val="32"/>
          <w:highlight w:val="none"/>
        </w:rPr>
      </w:pPr>
    </w:p>
    <w:p w14:paraId="16CB92A6">
      <w:pPr>
        <w:spacing w:line="360" w:lineRule="auto"/>
        <w:ind w:left="2239" w:leftChars="760" w:hanging="643" w:hangingChars="200"/>
        <w:rPr>
          <w:rFonts w:ascii="宋体" w:hAnsi="宋体" w:cs="宋体"/>
          <w:b/>
          <w:bCs/>
          <w:color w:val="auto"/>
          <w:sz w:val="32"/>
          <w:highlight w:val="none"/>
        </w:rPr>
      </w:pPr>
    </w:p>
    <w:p w14:paraId="365E78C9">
      <w:pPr>
        <w:spacing w:line="360" w:lineRule="auto"/>
        <w:rPr>
          <w:rFonts w:hint="eastAsia" w:ascii="宋体" w:hAnsi="宋体" w:eastAsia="宋体" w:cs="宋体"/>
          <w:b/>
          <w:bCs/>
          <w:color w:val="auto"/>
          <w:sz w:val="32"/>
          <w:highlight w:val="none"/>
          <w:lang w:eastAsia="zh-CN"/>
        </w:rPr>
      </w:pPr>
      <w:r>
        <w:rPr>
          <w:rFonts w:hint="eastAsia" w:ascii="宋体" w:hAnsi="宋体" w:cs="宋体"/>
          <w:b/>
          <w:bCs/>
          <w:color w:val="auto"/>
          <w:sz w:val="32"/>
          <w:highlight w:val="none"/>
        </w:rPr>
        <w:t>项目名称：</w:t>
      </w:r>
      <w:r>
        <w:rPr>
          <w:rFonts w:hint="eastAsia" w:ascii="宋体" w:hAnsi="宋体" w:cs="宋体"/>
          <w:b/>
          <w:color w:val="auto"/>
          <w:sz w:val="32"/>
          <w:szCs w:val="32"/>
          <w:highlight w:val="none"/>
          <w:lang w:eastAsia="zh-CN"/>
        </w:rPr>
        <w:t>2025年桂平市居家和社区基本养老服务提升行动项目</w:t>
      </w:r>
    </w:p>
    <w:p w14:paraId="3BF270F3">
      <w:pPr>
        <w:spacing w:line="360" w:lineRule="auto"/>
        <w:rPr>
          <w:rFonts w:hint="eastAsia" w:ascii="宋体" w:hAnsi="宋体" w:eastAsia="宋体" w:cs="宋体"/>
          <w:b/>
          <w:bCs/>
          <w:color w:val="auto"/>
          <w:sz w:val="32"/>
          <w:highlight w:val="none"/>
          <w:lang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highlight w:val="none"/>
          <w:lang w:eastAsia="zh-CN"/>
        </w:rPr>
        <w:t>GGZC2025-C3-810172-GXCJ</w:t>
      </w:r>
    </w:p>
    <w:p w14:paraId="6010B455">
      <w:pPr>
        <w:pStyle w:val="20"/>
        <w:spacing w:line="600" w:lineRule="exact"/>
        <w:ind w:right="-260" w:rightChars="-124"/>
        <w:rPr>
          <w:rFonts w:ascii="宋体" w:hAnsi="宋体" w:cs="宋体"/>
          <w:color w:val="auto"/>
          <w:sz w:val="32"/>
          <w:szCs w:val="32"/>
          <w:highlight w:val="none"/>
        </w:rPr>
      </w:pPr>
    </w:p>
    <w:p w14:paraId="247EC58E">
      <w:pPr>
        <w:pStyle w:val="20"/>
        <w:spacing w:line="600" w:lineRule="exact"/>
        <w:ind w:right="-260" w:rightChars="-124"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u w:val="single"/>
        </w:rPr>
        <mc:AlternateContent>
          <mc:Choice Requires="wps">
            <w:drawing>
              <wp:anchor distT="0" distB="0" distL="114300" distR="114300" simplePos="0" relativeHeight="251665408" behindDoc="0" locked="0" layoutInCell="1" allowOverlap="1">
                <wp:simplePos x="0" y="0"/>
                <wp:positionH relativeFrom="column">
                  <wp:posOffset>100330</wp:posOffset>
                </wp:positionH>
                <wp:positionV relativeFrom="paragraph">
                  <wp:posOffset>32385</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9pt;margin-top:2.55pt;height:0.5pt;width:490.5pt;z-index:251665408;mso-width-relative:page;mso-height-relative:page;" filled="f" stroked="t" coordsize="21600,21600" o:gfxdata="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wnA30wAAAAYBAAAPAAAAAAAAAAEAIAAAACIAAABkcnMvZG93bnJldi54bWxQSwEC&#10;FAAUAAAACACHTuJA0dar/PkBAAD0AwAADgAAAAAAAAABACAAAAAiAQAAZHJzL2Uyb0RvYy54bWxQ&#10;SwUGAAAAAAYABgBZAQAAjQUAAAAA&#10;">
                <v:fill on="f" focussize="0,0"/>
                <v:stroke weight="2.25pt" color="#000000" joinstyle="round"/>
                <v:imagedata o:title=""/>
                <o:lock v:ext="edit" aspectratio="f"/>
              </v:line>
            </w:pict>
          </mc:Fallback>
        </mc:AlternateContent>
      </w:r>
    </w:p>
    <w:p w14:paraId="54AD4505">
      <w:pPr>
        <w:ind w:firstLine="1606" w:firstLineChars="500"/>
        <w:rPr>
          <w:rFonts w:ascii="宋体" w:hAnsi="宋体" w:cs="宋体"/>
          <w:b/>
          <w:bCs/>
          <w:color w:val="auto"/>
          <w:sz w:val="32"/>
          <w:szCs w:val="32"/>
          <w:highlight w:val="none"/>
        </w:rPr>
      </w:pPr>
      <w:r>
        <w:rPr>
          <w:rFonts w:hint="eastAsia" w:ascii="宋体" w:hAnsi="宋体" w:cs="宋体"/>
          <w:b/>
          <w:bCs/>
          <w:color w:val="auto"/>
          <w:sz w:val="32"/>
          <w:szCs w:val="32"/>
          <w:highlight w:val="none"/>
        </w:rPr>
        <w:t>采 购 单 位：</w:t>
      </w:r>
      <w:r>
        <w:rPr>
          <w:rFonts w:hint="eastAsia" w:ascii="宋体" w:hAnsi="宋体" w:cs="宋体"/>
          <w:b/>
          <w:color w:val="auto"/>
          <w:sz w:val="32"/>
          <w:szCs w:val="32"/>
          <w:highlight w:val="none"/>
        </w:rPr>
        <w:t>桂平市民政局</w:t>
      </w:r>
    </w:p>
    <w:p w14:paraId="7235BCE9">
      <w:pPr>
        <w:ind w:firstLine="1606" w:firstLineChars="500"/>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广西创佳项目管理</w:t>
      </w:r>
      <w:r>
        <w:rPr>
          <w:rFonts w:hint="eastAsia" w:ascii="宋体" w:hAnsi="宋体" w:cs="宋体"/>
          <w:b/>
          <w:bCs/>
          <w:color w:val="auto"/>
          <w:sz w:val="32"/>
          <w:szCs w:val="32"/>
          <w:highlight w:val="none"/>
        </w:rPr>
        <w:t>有限公司</w:t>
      </w:r>
    </w:p>
    <w:p w14:paraId="476B612F">
      <w:pPr>
        <w:pStyle w:val="199"/>
        <w:ind w:firstLine="918"/>
        <w:rPr>
          <w:rFonts w:ascii="宋体" w:hAnsi="宋体" w:eastAsia="宋体" w:cs="宋体"/>
          <w:b/>
          <w:color w:val="auto"/>
          <w:highlight w:val="none"/>
        </w:rPr>
      </w:pPr>
    </w:p>
    <w:p w14:paraId="518F903A">
      <w:pPr>
        <w:pStyle w:val="27"/>
        <w:snapToGrid w:val="0"/>
        <w:spacing w:line="360" w:lineRule="auto"/>
        <w:jc w:val="center"/>
        <w:rPr>
          <w:rFonts w:hAnsi="宋体" w:cs="宋体"/>
          <w:b/>
          <w:bCs/>
          <w:color w:val="auto"/>
          <w:sz w:val="32"/>
          <w:szCs w:val="32"/>
          <w:highlight w:val="none"/>
        </w:rPr>
      </w:pPr>
      <w:r>
        <w:rPr>
          <w:rFonts w:hint="eastAsia" w:hAnsi="宋体" w:cs="宋体"/>
          <w:b/>
          <w:bCs/>
          <w:color w:val="auto"/>
          <w:sz w:val="32"/>
          <w:szCs w:val="32"/>
          <w:highlight w:val="none"/>
        </w:rPr>
        <w:t>2025年</w:t>
      </w:r>
      <w:r>
        <w:rPr>
          <w:rFonts w:hint="eastAsia" w:hAnsi="宋体" w:cs="宋体"/>
          <w:b/>
          <w:bCs/>
          <w:color w:val="auto"/>
          <w:sz w:val="32"/>
          <w:szCs w:val="32"/>
          <w:highlight w:val="none"/>
          <w:lang w:val="en-US" w:eastAsia="zh-CN"/>
        </w:rPr>
        <w:t>8</w:t>
      </w:r>
      <w:r>
        <w:rPr>
          <w:rFonts w:hint="eastAsia" w:hAnsi="宋体" w:cs="宋体"/>
          <w:b/>
          <w:bCs/>
          <w:color w:val="auto"/>
          <w:sz w:val="32"/>
          <w:szCs w:val="32"/>
          <w:highlight w:val="none"/>
        </w:rPr>
        <w:t>月</w:t>
      </w:r>
    </w:p>
    <w:p w14:paraId="15C7351A">
      <w:pPr>
        <w:pStyle w:val="27"/>
        <w:snapToGrid w:val="0"/>
        <w:spacing w:line="360" w:lineRule="auto"/>
        <w:jc w:val="center"/>
        <w:rPr>
          <w:rFonts w:hAnsi="宋体" w:cs="宋体"/>
          <w:b/>
          <w:bCs/>
          <w:color w:val="auto"/>
          <w:sz w:val="32"/>
          <w:szCs w:val="32"/>
          <w:highlight w:val="none"/>
        </w:rPr>
      </w:pPr>
    </w:p>
    <w:p w14:paraId="255E5356">
      <w:pPr>
        <w:snapToGrid w:val="0"/>
        <w:spacing w:line="360" w:lineRule="auto"/>
        <w:ind w:firstLine="3855" w:firstLineChars="1200"/>
        <w:rPr>
          <w:rFonts w:ascii="宋体" w:hAnsi="宋体" w:cs="宋体"/>
          <w:b/>
          <w:bCs/>
          <w:color w:val="auto"/>
          <w:sz w:val="32"/>
          <w:szCs w:val="32"/>
          <w:highlight w:val="none"/>
        </w:rPr>
      </w:pPr>
    </w:p>
    <w:p w14:paraId="1BF67647">
      <w:pPr>
        <w:spacing w:line="360" w:lineRule="auto"/>
        <w:jc w:val="center"/>
        <w:textAlignment w:val="baseline"/>
        <w:rPr>
          <w:rFonts w:ascii="宋体" w:hAnsi="宋体" w:cs="宋体"/>
          <w:b/>
          <w:color w:val="auto"/>
          <w:sz w:val="32"/>
          <w:szCs w:val="32"/>
          <w:highlight w:val="none"/>
        </w:rPr>
      </w:pPr>
    </w:p>
    <w:p w14:paraId="4DFAE94A">
      <w:pPr>
        <w:spacing w:line="360" w:lineRule="auto"/>
        <w:textAlignment w:val="baseline"/>
        <w:rPr>
          <w:rFonts w:hint="default" w:ascii="宋体" w:hAnsi="宋体" w:eastAsia="宋体" w:cs="宋体"/>
          <w:color w:val="auto"/>
          <w:sz w:val="20"/>
          <w:highlight w:val="none"/>
          <w:lang w:val="en-US" w:eastAsia="zh-CN"/>
        </w:rPr>
        <w:sectPr>
          <w:footerReference r:id="rId5" w:type="first"/>
          <w:headerReference r:id="rId3" w:type="default"/>
          <w:footerReference r:id="rId4" w:type="even"/>
          <w:pgSz w:w="11906" w:h="16838"/>
          <w:pgMar w:top="1440" w:right="1230" w:bottom="1440" w:left="1440" w:header="851" w:footer="992" w:gutter="0"/>
          <w:cols w:space="720" w:num="1"/>
          <w:titlePg/>
          <w:docGrid w:type="lines" w:linePitch="312" w:charSpace="0"/>
        </w:sectPr>
      </w:pPr>
    </w:p>
    <w:p w14:paraId="46CFE79C">
      <w:pPr>
        <w:pStyle w:val="71"/>
        <w:rPr>
          <w:rFonts w:ascii="宋体" w:hAnsi="宋体" w:cs="宋体"/>
          <w:color w:val="auto"/>
          <w:highlight w:val="none"/>
        </w:rPr>
      </w:pPr>
    </w:p>
    <w:p w14:paraId="0998135C">
      <w:pPr>
        <w:pStyle w:val="27"/>
        <w:snapToGrid w:val="0"/>
        <w:spacing w:before="120" w:after="120" w:line="360" w:lineRule="auto"/>
        <w:jc w:val="center"/>
        <w:textAlignment w:val="baseline"/>
        <w:rPr>
          <w:rFonts w:hAnsi="宋体" w:cs="宋体"/>
          <w:b/>
          <w:color w:val="auto"/>
          <w:sz w:val="44"/>
          <w:szCs w:val="44"/>
          <w:highlight w:val="none"/>
        </w:rPr>
      </w:pPr>
      <w:r>
        <w:rPr>
          <w:rFonts w:hint="eastAsia" w:hAnsi="宋体" w:cs="宋体"/>
          <w:b/>
          <w:color w:val="auto"/>
          <w:sz w:val="44"/>
          <w:szCs w:val="44"/>
          <w:highlight w:val="none"/>
        </w:rPr>
        <w:t>目    录</w:t>
      </w:r>
    </w:p>
    <w:p w14:paraId="2597DD2E">
      <w:pPr>
        <w:pStyle w:val="34"/>
        <w:tabs>
          <w:tab w:val="right" w:leader="dot" w:pos="9236"/>
        </w:tabs>
        <w:rPr>
          <w:rFonts w:ascii="宋体" w:hAnsi="宋体" w:cs="宋体"/>
          <w:b w:val="0"/>
          <w:bCs w:val="0"/>
          <w:color w:val="auto"/>
          <w:sz w:val="28"/>
          <w:szCs w:val="28"/>
          <w:highlight w:val="none"/>
        </w:rPr>
      </w:pP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TOC \o "1-1" \h \u </w:instrText>
      </w:r>
      <w:r>
        <w:rPr>
          <w:rFonts w:hint="eastAsia" w:ascii="宋体" w:hAnsi="宋体" w:cs="宋体"/>
          <w:b w:val="0"/>
          <w:bCs w:val="0"/>
          <w:color w:val="auto"/>
          <w:sz w:val="28"/>
          <w:szCs w:val="28"/>
          <w:highlight w:val="none"/>
        </w:rPr>
        <w:fldChar w:fldCharType="separate"/>
      </w: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b w:val="0"/>
          <w:bCs w:val="0"/>
          <w:color w:val="auto"/>
          <w:sz w:val="28"/>
          <w:szCs w:val="28"/>
          <w:highlight w:val="none"/>
        </w:rPr>
        <w:t>第一章 竞争性磋商公告</w:t>
      </w:r>
      <w:r>
        <w:rPr>
          <w:rFonts w:hint="eastAsia" w:ascii="宋体" w:hAnsi="宋体" w:cs="宋体"/>
          <w:b w:val="0"/>
          <w:bCs w:val="0"/>
          <w:color w:val="auto"/>
          <w:sz w:val="28"/>
          <w:szCs w:val="28"/>
          <w:highlight w:val="none"/>
        </w:rPr>
        <w:tab/>
      </w: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PAGEREF _Toc8803 \h </w:instrText>
      </w:r>
      <w:r>
        <w:rPr>
          <w:rFonts w:hint="eastAsia" w:ascii="宋体" w:hAnsi="宋体" w:cs="宋体"/>
          <w:b w:val="0"/>
          <w:bCs w:val="0"/>
          <w:color w:val="auto"/>
          <w:sz w:val="28"/>
          <w:szCs w:val="28"/>
          <w:highlight w:val="none"/>
        </w:rPr>
        <w:fldChar w:fldCharType="separate"/>
      </w:r>
      <w:r>
        <w:rPr>
          <w:rFonts w:hint="eastAsia" w:ascii="宋体" w:hAnsi="宋体" w:cs="宋体"/>
          <w:b w:val="0"/>
          <w:bCs w:val="0"/>
          <w:color w:val="auto"/>
          <w:sz w:val="28"/>
          <w:szCs w:val="28"/>
          <w:highlight w:val="none"/>
        </w:rPr>
        <w:t>2</w:t>
      </w:r>
      <w:r>
        <w:rPr>
          <w:rFonts w:hint="eastAsia" w:ascii="宋体" w:hAnsi="宋体" w:cs="宋体"/>
          <w:b w:val="0"/>
          <w:bCs w:val="0"/>
          <w:color w:val="auto"/>
          <w:sz w:val="28"/>
          <w:szCs w:val="28"/>
          <w:highlight w:val="none"/>
        </w:rPr>
        <w:fldChar w:fldCharType="end"/>
      </w:r>
      <w:r>
        <w:rPr>
          <w:rFonts w:hint="eastAsia" w:ascii="宋体" w:hAnsi="宋体" w:cs="宋体"/>
          <w:b w:val="0"/>
          <w:bCs w:val="0"/>
          <w:color w:val="auto"/>
          <w:sz w:val="28"/>
          <w:szCs w:val="28"/>
          <w:highlight w:val="none"/>
        </w:rPr>
        <w:fldChar w:fldCharType="end"/>
      </w:r>
    </w:p>
    <w:p w14:paraId="1AC541A7">
      <w:pPr>
        <w:pStyle w:val="34"/>
        <w:tabs>
          <w:tab w:val="right" w:leader="dot" w:pos="9236"/>
        </w:tabs>
        <w:rPr>
          <w:rFonts w:ascii="宋体" w:hAnsi="宋体" w:cs="宋体"/>
          <w:b w:val="0"/>
          <w:bCs w:val="0"/>
          <w:color w:val="auto"/>
          <w:sz w:val="28"/>
          <w:szCs w:val="28"/>
          <w:highlight w:val="none"/>
        </w:rPr>
      </w:pPr>
      <w:r>
        <w:rPr>
          <w:color w:val="auto"/>
          <w:highlight w:val="none"/>
        </w:rPr>
        <w:fldChar w:fldCharType="begin"/>
      </w:r>
      <w:r>
        <w:rPr>
          <w:color w:val="auto"/>
          <w:highlight w:val="none"/>
        </w:rPr>
        <w:instrText xml:space="preserve"> HYPERLINK \l "_Toc24075" </w:instrText>
      </w:r>
      <w:r>
        <w:rPr>
          <w:color w:val="auto"/>
          <w:highlight w:val="none"/>
        </w:rPr>
        <w:fldChar w:fldCharType="separate"/>
      </w:r>
      <w:r>
        <w:rPr>
          <w:rFonts w:hint="eastAsia" w:ascii="宋体" w:hAnsi="宋体" w:cs="宋体"/>
          <w:b w:val="0"/>
          <w:bCs w:val="0"/>
          <w:color w:val="auto"/>
          <w:sz w:val="28"/>
          <w:szCs w:val="28"/>
          <w:highlight w:val="none"/>
        </w:rPr>
        <w:t>第二章  磋商须知及前附表</w:t>
      </w:r>
      <w:r>
        <w:rPr>
          <w:rFonts w:hint="eastAsia" w:ascii="宋体" w:hAnsi="宋体" w:cs="宋体"/>
          <w:b w:val="0"/>
          <w:bCs w:val="0"/>
          <w:color w:val="auto"/>
          <w:sz w:val="28"/>
          <w:szCs w:val="28"/>
          <w:highlight w:val="none"/>
        </w:rPr>
        <w:tab/>
      </w: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PAGEREF _Toc24075 \h </w:instrText>
      </w:r>
      <w:r>
        <w:rPr>
          <w:rFonts w:hint="eastAsia" w:ascii="宋体" w:hAnsi="宋体" w:cs="宋体"/>
          <w:b w:val="0"/>
          <w:bCs w:val="0"/>
          <w:color w:val="auto"/>
          <w:sz w:val="28"/>
          <w:szCs w:val="28"/>
          <w:highlight w:val="none"/>
        </w:rPr>
        <w:fldChar w:fldCharType="separate"/>
      </w:r>
      <w:r>
        <w:rPr>
          <w:rFonts w:hint="eastAsia" w:ascii="宋体" w:hAnsi="宋体" w:cs="宋体"/>
          <w:b w:val="0"/>
          <w:bCs w:val="0"/>
          <w:color w:val="auto"/>
          <w:sz w:val="28"/>
          <w:szCs w:val="28"/>
          <w:highlight w:val="none"/>
        </w:rPr>
        <w:t>8</w:t>
      </w:r>
      <w:r>
        <w:rPr>
          <w:rFonts w:hint="eastAsia" w:ascii="宋体" w:hAnsi="宋体" w:cs="宋体"/>
          <w:b w:val="0"/>
          <w:bCs w:val="0"/>
          <w:color w:val="auto"/>
          <w:sz w:val="28"/>
          <w:szCs w:val="28"/>
          <w:highlight w:val="none"/>
        </w:rPr>
        <w:fldChar w:fldCharType="end"/>
      </w:r>
      <w:r>
        <w:rPr>
          <w:rFonts w:hint="eastAsia" w:ascii="宋体" w:hAnsi="宋体" w:cs="宋体"/>
          <w:b w:val="0"/>
          <w:bCs w:val="0"/>
          <w:color w:val="auto"/>
          <w:sz w:val="28"/>
          <w:szCs w:val="28"/>
          <w:highlight w:val="none"/>
        </w:rPr>
        <w:fldChar w:fldCharType="end"/>
      </w:r>
    </w:p>
    <w:p w14:paraId="32FF0A5F">
      <w:pPr>
        <w:pStyle w:val="34"/>
        <w:tabs>
          <w:tab w:val="right" w:leader="dot" w:pos="9236"/>
        </w:tabs>
        <w:rPr>
          <w:rFonts w:ascii="宋体" w:hAnsi="宋体" w:cs="宋体"/>
          <w:b w:val="0"/>
          <w:bCs w:val="0"/>
          <w:color w:val="auto"/>
          <w:sz w:val="28"/>
          <w:szCs w:val="28"/>
          <w:highlight w:val="none"/>
        </w:rPr>
      </w:pPr>
      <w:r>
        <w:rPr>
          <w:color w:val="auto"/>
          <w:highlight w:val="none"/>
        </w:rPr>
        <w:fldChar w:fldCharType="begin"/>
      </w:r>
      <w:r>
        <w:rPr>
          <w:color w:val="auto"/>
          <w:highlight w:val="none"/>
        </w:rPr>
        <w:instrText xml:space="preserve"> HYPERLINK \l "_Toc31339" </w:instrText>
      </w:r>
      <w:r>
        <w:rPr>
          <w:color w:val="auto"/>
          <w:highlight w:val="none"/>
        </w:rPr>
        <w:fldChar w:fldCharType="separate"/>
      </w:r>
      <w:r>
        <w:rPr>
          <w:rFonts w:hint="eastAsia" w:ascii="宋体" w:hAnsi="宋体" w:cs="宋体"/>
          <w:b w:val="0"/>
          <w:bCs w:val="0"/>
          <w:color w:val="auto"/>
          <w:sz w:val="28"/>
          <w:szCs w:val="28"/>
          <w:highlight w:val="none"/>
        </w:rPr>
        <w:t>第三章 项目采购需求</w:t>
      </w:r>
      <w:r>
        <w:rPr>
          <w:rFonts w:hint="eastAsia" w:ascii="宋体" w:hAnsi="宋体" w:cs="宋体"/>
          <w:b w:val="0"/>
          <w:bCs w:val="0"/>
          <w:color w:val="auto"/>
          <w:sz w:val="28"/>
          <w:szCs w:val="28"/>
          <w:highlight w:val="none"/>
        </w:rPr>
        <w:tab/>
      </w: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PAGEREF _Toc31339 \h </w:instrText>
      </w:r>
      <w:r>
        <w:rPr>
          <w:rFonts w:hint="eastAsia" w:ascii="宋体" w:hAnsi="宋体" w:cs="宋体"/>
          <w:b w:val="0"/>
          <w:bCs w:val="0"/>
          <w:color w:val="auto"/>
          <w:sz w:val="28"/>
          <w:szCs w:val="28"/>
          <w:highlight w:val="none"/>
        </w:rPr>
        <w:fldChar w:fldCharType="separate"/>
      </w:r>
      <w:r>
        <w:rPr>
          <w:rFonts w:hint="eastAsia" w:ascii="宋体" w:hAnsi="宋体" w:cs="宋体"/>
          <w:b w:val="0"/>
          <w:bCs w:val="0"/>
          <w:color w:val="auto"/>
          <w:sz w:val="28"/>
          <w:szCs w:val="28"/>
          <w:highlight w:val="none"/>
        </w:rPr>
        <w:t>29</w:t>
      </w:r>
      <w:r>
        <w:rPr>
          <w:rFonts w:hint="eastAsia" w:ascii="宋体" w:hAnsi="宋体" w:cs="宋体"/>
          <w:b w:val="0"/>
          <w:bCs w:val="0"/>
          <w:color w:val="auto"/>
          <w:sz w:val="28"/>
          <w:szCs w:val="28"/>
          <w:highlight w:val="none"/>
        </w:rPr>
        <w:fldChar w:fldCharType="end"/>
      </w:r>
      <w:r>
        <w:rPr>
          <w:rFonts w:hint="eastAsia" w:ascii="宋体" w:hAnsi="宋体" w:cs="宋体"/>
          <w:b w:val="0"/>
          <w:bCs w:val="0"/>
          <w:color w:val="auto"/>
          <w:sz w:val="28"/>
          <w:szCs w:val="28"/>
          <w:highlight w:val="none"/>
        </w:rPr>
        <w:fldChar w:fldCharType="end"/>
      </w:r>
    </w:p>
    <w:p w14:paraId="6C85A66F">
      <w:pPr>
        <w:pStyle w:val="34"/>
        <w:tabs>
          <w:tab w:val="right" w:leader="dot" w:pos="9236"/>
        </w:tabs>
        <w:rPr>
          <w:rFonts w:ascii="宋体" w:hAnsi="宋体" w:cs="宋体"/>
          <w:b w:val="0"/>
          <w:bCs w:val="0"/>
          <w:color w:val="auto"/>
          <w:sz w:val="28"/>
          <w:szCs w:val="28"/>
          <w:highlight w:val="none"/>
        </w:rPr>
      </w:pPr>
      <w:r>
        <w:rPr>
          <w:color w:val="auto"/>
          <w:highlight w:val="none"/>
        </w:rPr>
        <w:fldChar w:fldCharType="begin"/>
      </w:r>
      <w:r>
        <w:rPr>
          <w:color w:val="auto"/>
          <w:highlight w:val="none"/>
        </w:rPr>
        <w:instrText xml:space="preserve"> HYPERLINK \l "_Toc3312" </w:instrText>
      </w:r>
      <w:r>
        <w:rPr>
          <w:color w:val="auto"/>
          <w:highlight w:val="none"/>
        </w:rPr>
        <w:fldChar w:fldCharType="separate"/>
      </w:r>
      <w:r>
        <w:rPr>
          <w:rFonts w:hint="eastAsia" w:ascii="宋体" w:hAnsi="宋体" w:cs="宋体"/>
          <w:b w:val="0"/>
          <w:bCs w:val="0"/>
          <w:color w:val="auto"/>
          <w:sz w:val="28"/>
          <w:szCs w:val="28"/>
          <w:highlight w:val="none"/>
        </w:rPr>
        <w:t>第四章 竞争性磋商响应文件格式</w:t>
      </w:r>
      <w:r>
        <w:rPr>
          <w:rFonts w:hint="eastAsia" w:ascii="宋体" w:hAnsi="宋体" w:cs="宋体"/>
          <w:b w:val="0"/>
          <w:bCs w:val="0"/>
          <w:color w:val="auto"/>
          <w:sz w:val="28"/>
          <w:szCs w:val="28"/>
          <w:highlight w:val="none"/>
        </w:rPr>
        <w:tab/>
      </w: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PAGEREF _Toc3312 \h </w:instrText>
      </w:r>
      <w:r>
        <w:rPr>
          <w:rFonts w:hint="eastAsia" w:ascii="宋体" w:hAnsi="宋体" w:cs="宋体"/>
          <w:b w:val="0"/>
          <w:bCs w:val="0"/>
          <w:color w:val="auto"/>
          <w:sz w:val="28"/>
          <w:szCs w:val="28"/>
          <w:highlight w:val="none"/>
        </w:rPr>
        <w:fldChar w:fldCharType="separate"/>
      </w:r>
      <w:r>
        <w:rPr>
          <w:rFonts w:hint="eastAsia" w:ascii="宋体" w:hAnsi="宋体" w:cs="宋体"/>
          <w:b w:val="0"/>
          <w:bCs w:val="0"/>
          <w:color w:val="auto"/>
          <w:sz w:val="28"/>
          <w:szCs w:val="28"/>
          <w:highlight w:val="none"/>
        </w:rPr>
        <w:t>46</w:t>
      </w:r>
      <w:r>
        <w:rPr>
          <w:rFonts w:hint="eastAsia" w:ascii="宋体" w:hAnsi="宋体" w:cs="宋体"/>
          <w:b w:val="0"/>
          <w:bCs w:val="0"/>
          <w:color w:val="auto"/>
          <w:sz w:val="28"/>
          <w:szCs w:val="28"/>
          <w:highlight w:val="none"/>
        </w:rPr>
        <w:fldChar w:fldCharType="end"/>
      </w:r>
      <w:r>
        <w:rPr>
          <w:rFonts w:hint="eastAsia" w:ascii="宋体" w:hAnsi="宋体" w:cs="宋体"/>
          <w:b w:val="0"/>
          <w:bCs w:val="0"/>
          <w:color w:val="auto"/>
          <w:sz w:val="28"/>
          <w:szCs w:val="28"/>
          <w:highlight w:val="none"/>
        </w:rPr>
        <w:fldChar w:fldCharType="end"/>
      </w:r>
    </w:p>
    <w:p w14:paraId="74B648D7">
      <w:pPr>
        <w:pStyle w:val="34"/>
        <w:tabs>
          <w:tab w:val="right" w:leader="dot" w:pos="9236"/>
        </w:tabs>
        <w:rPr>
          <w:rFonts w:ascii="宋体" w:hAnsi="宋体" w:cs="宋体"/>
          <w:b w:val="0"/>
          <w:bCs w:val="0"/>
          <w:color w:val="auto"/>
          <w:sz w:val="28"/>
          <w:szCs w:val="28"/>
          <w:highlight w:val="none"/>
        </w:rPr>
      </w:pPr>
      <w:r>
        <w:rPr>
          <w:color w:val="auto"/>
          <w:highlight w:val="none"/>
        </w:rPr>
        <w:fldChar w:fldCharType="begin"/>
      </w:r>
      <w:r>
        <w:rPr>
          <w:color w:val="auto"/>
          <w:highlight w:val="none"/>
        </w:rPr>
        <w:instrText xml:space="preserve"> HYPERLINK \l "_Toc23911" </w:instrText>
      </w:r>
      <w:r>
        <w:rPr>
          <w:color w:val="auto"/>
          <w:highlight w:val="none"/>
        </w:rPr>
        <w:fldChar w:fldCharType="separate"/>
      </w:r>
      <w:r>
        <w:rPr>
          <w:rFonts w:hint="eastAsia" w:ascii="宋体" w:hAnsi="宋体" w:cs="宋体"/>
          <w:b w:val="0"/>
          <w:bCs w:val="0"/>
          <w:color w:val="auto"/>
          <w:sz w:val="28"/>
          <w:szCs w:val="28"/>
          <w:highlight w:val="none"/>
        </w:rPr>
        <w:t>第五章 合同主要条款</w:t>
      </w:r>
      <w:r>
        <w:rPr>
          <w:rFonts w:hint="eastAsia" w:ascii="宋体" w:hAnsi="宋体" w:cs="宋体"/>
          <w:b w:val="0"/>
          <w:bCs w:val="0"/>
          <w:color w:val="auto"/>
          <w:sz w:val="28"/>
          <w:szCs w:val="28"/>
          <w:highlight w:val="none"/>
        </w:rPr>
        <w:tab/>
      </w: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PAGEREF _Toc23911 \h </w:instrText>
      </w:r>
      <w:r>
        <w:rPr>
          <w:rFonts w:hint="eastAsia" w:ascii="宋体" w:hAnsi="宋体" w:cs="宋体"/>
          <w:b w:val="0"/>
          <w:bCs w:val="0"/>
          <w:color w:val="auto"/>
          <w:sz w:val="28"/>
          <w:szCs w:val="28"/>
          <w:highlight w:val="none"/>
        </w:rPr>
        <w:fldChar w:fldCharType="separate"/>
      </w:r>
      <w:r>
        <w:rPr>
          <w:rFonts w:hint="eastAsia" w:ascii="宋体" w:hAnsi="宋体" w:cs="宋体"/>
          <w:b w:val="0"/>
          <w:bCs w:val="0"/>
          <w:color w:val="auto"/>
          <w:sz w:val="28"/>
          <w:szCs w:val="28"/>
          <w:highlight w:val="none"/>
        </w:rPr>
        <w:t>59</w:t>
      </w:r>
      <w:r>
        <w:rPr>
          <w:rFonts w:hint="eastAsia" w:ascii="宋体" w:hAnsi="宋体" w:cs="宋体"/>
          <w:b w:val="0"/>
          <w:bCs w:val="0"/>
          <w:color w:val="auto"/>
          <w:sz w:val="28"/>
          <w:szCs w:val="28"/>
          <w:highlight w:val="none"/>
        </w:rPr>
        <w:fldChar w:fldCharType="end"/>
      </w:r>
      <w:r>
        <w:rPr>
          <w:rFonts w:hint="eastAsia" w:ascii="宋体" w:hAnsi="宋体" w:cs="宋体"/>
          <w:b w:val="0"/>
          <w:bCs w:val="0"/>
          <w:color w:val="auto"/>
          <w:sz w:val="28"/>
          <w:szCs w:val="28"/>
          <w:highlight w:val="none"/>
        </w:rPr>
        <w:fldChar w:fldCharType="end"/>
      </w:r>
    </w:p>
    <w:p w14:paraId="74D06062">
      <w:pPr>
        <w:pStyle w:val="34"/>
        <w:tabs>
          <w:tab w:val="right" w:leader="dot" w:pos="9236"/>
        </w:tabs>
        <w:rPr>
          <w:rFonts w:ascii="宋体" w:hAnsi="宋体" w:cs="宋体"/>
          <w:b w:val="0"/>
          <w:bCs w:val="0"/>
          <w:color w:val="auto"/>
          <w:sz w:val="28"/>
          <w:szCs w:val="28"/>
          <w:highlight w:val="none"/>
        </w:rPr>
      </w:pPr>
      <w:r>
        <w:rPr>
          <w:color w:val="auto"/>
          <w:highlight w:val="none"/>
        </w:rPr>
        <w:fldChar w:fldCharType="begin"/>
      </w:r>
      <w:r>
        <w:rPr>
          <w:color w:val="auto"/>
          <w:highlight w:val="none"/>
        </w:rPr>
        <w:instrText xml:space="preserve"> HYPERLINK \l "_Toc22301" </w:instrText>
      </w:r>
      <w:r>
        <w:rPr>
          <w:color w:val="auto"/>
          <w:highlight w:val="none"/>
        </w:rPr>
        <w:fldChar w:fldCharType="separate"/>
      </w:r>
      <w:r>
        <w:rPr>
          <w:rFonts w:hint="eastAsia" w:ascii="宋体" w:hAnsi="宋体" w:cs="宋体"/>
          <w:b w:val="0"/>
          <w:bCs w:val="0"/>
          <w:color w:val="auto"/>
          <w:sz w:val="28"/>
          <w:szCs w:val="28"/>
          <w:highlight w:val="none"/>
        </w:rPr>
        <w:t>第六章 评标方法</w:t>
      </w:r>
      <w:r>
        <w:rPr>
          <w:rFonts w:hint="eastAsia" w:ascii="宋体" w:hAnsi="宋体" w:cs="宋体"/>
          <w:b w:val="0"/>
          <w:bCs w:val="0"/>
          <w:color w:val="auto"/>
          <w:sz w:val="28"/>
          <w:szCs w:val="28"/>
          <w:highlight w:val="none"/>
        </w:rPr>
        <w:tab/>
      </w: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PAGEREF _Toc22301 \h </w:instrText>
      </w:r>
      <w:r>
        <w:rPr>
          <w:rFonts w:hint="eastAsia" w:ascii="宋体" w:hAnsi="宋体" w:cs="宋体"/>
          <w:b w:val="0"/>
          <w:bCs w:val="0"/>
          <w:color w:val="auto"/>
          <w:sz w:val="28"/>
          <w:szCs w:val="28"/>
          <w:highlight w:val="none"/>
        </w:rPr>
        <w:fldChar w:fldCharType="separate"/>
      </w:r>
      <w:r>
        <w:rPr>
          <w:rFonts w:hint="eastAsia" w:ascii="宋体" w:hAnsi="宋体" w:cs="宋体"/>
          <w:b w:val="0"/>
          <w:bCs w:val="0"/>
          <w:color w:val="auto"/>
          <w:sz w:val="28"/>
          <w:szCs w:val="28"/>
          <w:highlight w:val="none"/>
        </w:rPr>
        <w:t>66</w:t>
      </w:r>
      <w:r>
        <w:rPr>
          <w:rFonts w:hint="eastAsia" w:ascii="宋体" w:hAnsi="宋体" w:cs="宋体"/>
          <w:b w:val="0"/>
          <w:bCs w:val="0"/>
          <w:color w:val="auto"/>
          <w:sz w:val="28"/>
          <w:szCs w:val="28"/>
          <w:highlight w:val="none"/>
        </w:rPr>
        <w:fldChar w:fldCharType="end"/>
      </w:r>
      <w:r>
        <w:rPr>
          <w:rFonts w:hint="eastAsia" w:ascii="宋体" w:hAnsi="宋体" w:cs="宋体"/>
          <w:b w:val="0"/>
          <w:bCs w:val="0"/>
          <w:color w:val="auto"/>
          <w:sz w:val="28"/>
          <w:szCs w:val="28"/>
          <w:highlight w:val="none"/>
        </w:rPr>
        <w:fldChar w:fldCharType="end"/>
      </w:r>
    </w:p>
    <w:p w14:paraId="1652CC64">
      <w:pPr>
        <w:pStyle w:val="34"/>
        <w:tabs>
          <w:tab w:val="right" w:leader="dot" w:pos="9236"/>
        </w:tabs>
        <w:rPr>
          <w:rFonts w:ascii="宋体" w:hAnsi="宋体" w:cs="宋体"/>
          <w:b w:val="0"/>
          <w:bCs w:val="0"/>
          <w:color w:val="auto"/>
          <w:sz w:val="28"/>
          <w:szCs w:val="28"/>
          <w:highlight w:val="none"/>
        </w:rPr>
      </w:pPr>
      <w:r>
        <w:rPr>
          <w:color w:val="auto"/>
          <w:highlight w:val="none"/>
        </w:rPr>
        <w:fldChar w:fldCharType="begin"/>
      </w:r>
      <w:r>
        <w:rPr>
          <w:color w:val="auto"/>
          <w:highlight w:val="none"/>
        </w:rPr>
        <w:instrText xml:space="preserve"> HYPERLINK \l "_Toc24346" </w:instrText>
      </w:r>
      <w:r>
        <w:rPr>
          <w:color w:val="auto"/>
          <w:highlight w:val="none"/>
        </w:rPr>
        <w:fldChar w:fldCharType="separate"/>
      </w:r>
      <w:r>
        <w:rPr>
          <w:rFonts w:hint="eastAsia" w:ascii="宋体" w:hAnsi="宋体" w:cs="宋体"/>
          <w:b w:val="0"/>
          <w:bCs w:val="0"/>
          <w:color w:val="auto"/>
          <w:sz w:val="28"/>
          <w:szCs w:val="28"/>
          <w:highlight w:val="none"/>
        </w:rPr>
        <w:t>第七章 质疑书及投诉书（格式）</w:t>
      </w:r>
      <w:r>
        <w:rPr>
          <w:rFonts w:hint="eastAsia" w:ascii="宋体" w:hAnsi="宋体" w:cs="宋体"/>
          <w:b w:val="0"/>
          <w:bCs w:val="0"/>
          <w:color w:val="auto"/>
          <w:sz w:val="28"/>
          <w:szCs w:val="28"/>
          <w:highlight w:val="none"/>
        </w:rPr>
        <w:tab/>
      </w: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PAGEREF _Toc24346 \h </w:instrText>
      </w:r>
      <w:r>
        <w:rPr>
          <w:rFonts w:hint="eastAsia" w:ascii="宋体" w:hAnsi="宋体" w:cs="宋体"/>
          <w:b w:val="0"/>
          <w:bCs w:val="0"/>
          <w:color w:val="auto"/>
          <w:sz w:val="28"/>
          <w:szCs w:val="28"/>
          <w:highlight w:val="none"/>
        </w:rPr>
        <w:fldChar w:fldCharType="separate"/>
      </w:r>
      <w:r>
        <w:rPr>
          <w:rFonts w:hint="eastAsia" w:ascii="宋体" w:hAnsi="宋体" w:cs="宋体"/>
          <w:b w:val="0"/>
          <w:bCs w:val="0"/>
          <w:color w:val="auto"/>
          <w:sz w:val="28"/>
          <w:szCs w:val="28"/>
          <w:highlight w:val="none"/>
        </w:rPr>
        <w:t>75</w:t>
      </w:r>
      <w:r>
        <w:rPr>
          <w:rFonts w:hint="eastAsia" w:ascii="宋体" w:hAnsi="宋体" w:cs="宋体"/>
          <w:b w:val="0"/>
          <w:bCs w:val="0"/>
          <w:color w:val="auto"/>
          <w:sz w:val="28"/>
          <w:szCs w:val="28"/>
          <w:highlight w:val="none"/>
        </w:rPr>
        <w:fldChar w:fldCharType="end"/>
      </w:r>
      <w:r>
        <w:rPr>
          <w:rFonts w:hint="eastAsia" w:ascii="宋体" w:hAnsi="宋体" w:cs="宋体"/>
          <w:b w:val="0"/>
          <w:bCs w:val="0"/>
          <w:color w:val="auto"/>
          <w:sz w:val="28"/>
          <w:szCs w:val="28"/>
          <w:highlight w:val="none"/>
        </w:rPr>
        <w:fldChar w:fldCharType="end"/>
      </w:r>
    </w:p>
    <w:p w14:paraId="4D615F9C">
      <w:pPr>
        <w:pStyle w:val="27"/>
        <w:snapToGrid w:val="0"/>
        <w:spacing w:before="120" w:after="120" w:line="360" w:lineRule="auto"/>
        <w:ind w:firstLine="137" w:firstLineChars="49"/>
        <w:textAlignment w:val="baseline"/>
        <w:rPr>
          <w:rFonts w:hAnsi="宋体" w:cs="宋体"/>
          <w:b/>
          <w:color w:val="auto"/>
          <w:sz w:val="30"/>
          <w:szCs w:val="24"/>
          <w:highlight w:val="none"/>
        </w:rPr>
      </w:pPr>
      <w:r>
        <w:rPr>
          <w:rFonts w:hint="eastAsia" w:hAnsi="宋体" w:cs="宋体"/>
          <w:color w:val="auto"/>
          <w:sz w:val="28"/>
          <w:szCs w:val="28"/>
          <w:highlight w:val="none"/>
        </w:rPr>
        <w:fldChar w:fldCharType="end"/>
      </w:r>
    </w:p>
    <w:p w14:paraId="1DDCEE77">
      <w:pPr>
        <w:pStyle w:val="27"/>
        <w:snapToGrid w:val="0"/>
        <w:spacing w:before="120" w:after="120"/>
        <w:jc w:val="center"/>
        <w:textAlignment w:val="baseline"/>
        <w:rPr>
          <w:rStyle w:val="202"/>
          <w:rFonts w:ascii="宋体" w:hAnsi="宋体" w:cs="宋体"/>
          <w:color w:val="auto"/>
          <w:highlight w:val="none"/>
        </w:rPr>
        <w:sectPr>
          <w:footerReference r:id="rId7" w:type="first"/>
          <w:footerReference r:id="rId6" w:type="default"/>
          <w:pgSz w:w="11906" w:h="16838"/>
          <w:pgMar w:top="1440" w:right="1230" w:bottom="1440" w:left="1440" w:header="851" w:footer="992" w:gutter="0"/>
          <w:pgNumType w:start="1"/>
          <w:cols w:space="720" w:num="1"/>
          <w:titlePg/>
          <w:docGrid w:type="lines" w:linePitch="312" w:charSpace="0"/>
        </w:sectPr>
      </w:pPr>
    </w:p>
    <w:p w14:paraId="47FEAE4B">
      <w:pPr>
        <w:pStyle w:val="2"/>
        <w:rPr>
          <w:rStyle w:val="202"/>
          <w:rFonts w:ascii="宋体" w:hAnsi="宋体" w:cs="宋体"/>
          <w:b/>
          <w:bCs/>
          <w:color w:val="auto"/>
          <w:highlight w:val="none"/>
        </w:rPr>
      </w:pPr>
    </w:p>
    <w:p w14:paraId="4D0E40C7">
      <w:pPr>
        <w:pStyle w:val="2"/>
        <w:rPr>
          <w:rStyle w:val="202"/>
          <w:rFonts w:ascii="宋体" w:hAnsi="宋体" w:cs="宋体"/>
          <w:b/>
          <w:bCs/>
          <w:color w:val="auto"/>
          <w:highlight w:val="none"/>
        </w:rPr>
      </w:pPr>
    </w:p>
    <w:p w14:paraId="512C1ED3">
      <w:pPr>
        <w:pStyle w:val="2"/>
        <w:rPr>
          <w:rStyle w:val="202"/>
          <w:rFonts w:ascii="宋体" w:hAnsi="宋体" w:cs="宋体"/>
          <w:b/>
          <w:bCs/>
          <w:color w:val="auto"/>
          <w:highlight w:val="none"/>
        </w:rPr>
      </w:pPr>
    </w:p>
    <w:p w14:paraId="61B0CAFF">
      <w:pPr>
        <w:pStyle w:val="2"/>
        <w:rPr>
          <w:rStyle w:val="202"/>
          <w:rFonts w:ascii="宋体" w:hAnsi="宋体" w:cs="宋体"/>
          <w:b/>
          <w:bCs/>
          <w:color w:val="auto"/>
          <w:highlight w:val="none"/>
        </w:rPr>
      </w:pPr>
    </w:p>
    <w:p w14:paraId="1F5308D3">
      <w:pPr>
        <w:pStyle w:val="2"/>
        <w:rPr>
          <w:rStyle w:val="202"/>
          <w:rFonts w:ascii="宋体" w:hAnsi="宋体" w:cs="宋体"/>
          <w:b/>
          <w:bCs/>
          <w:color w:val="auto"/>
          <w:highlight w:val="none"/>
        </w:rPr>
      </w:pPr>
    </w:p>
    <w:p w14:paraId="1D691DBE">
      <w:pPr>
        <w:pStyle w:val="2"/>
        <w:rPr>
          <w:rFonts w:ascii="宋体" w:hAnsi="宋体" w:cs="宋体"/>
          <w:color w:val="auto"/>
          <w:sz w:val="36"/>
          <w:szCs w:val="36"/>
          <w:highlight w:val="none"/>
        </w:rPr>
      </w:pPr>
      <w:bookmarkStart w:id="0" w:name="_Toc8803"/>
      <w:r>
        <w:rPr>
          <w:rFonts w:hint="eastAsia" w:ascii="宋体" w:hAnsi="宋体" w:cs="宋体"/>
          <w:color w:val="auto"/>
          <w:sz w:val="36"/>
          <w:szCs w:val="36"/>
          <w:highlight w:val="none"/>
        </w:rPr>
        <w:t>第一章 竞争性磋商公告</w:t>
      </w:r>
      <w:bookmarkEnd w:id="0"/>
    </w:p>
    <w:p w14:paraId="4632E9B6">
      <w:pPr>
        <w:pStyle w:val="2"/>
        <w:rPr>
          <w:rStyle w:val="202"/>
          <w:rFonts w:ascii="宋体" w:hAnsi="宋体" w:cs="宋体"/>
          <w:b/>
          <w:bCs/>
          <w:color w:val="auto"/>
          <w:highlight w:val="none"/>
        </w:rPr>
      </w:pPr>
    </w:p>
    <w:p w14:paraId="0B8CAD0C">
      <w:pPr>
        <w:pStyle w:val="2"/>
        <w:rPr>
          <w:rStyle w:val="202"/>
          <w:rFonts w:ascii="宋体" w:hAnsi="宋体" w:cs="宋体"/>
          <w:b/>
          <w:bCs/>
          <w:color w:val="auto"/>
          <w:highlight w:val="none"/>
        </w:rPr>
      </w:pPr>
    </w:p>
    <w:p w14:paraId="5C2816A9">
      <w:pPr>
        <w:pStyle w:val="2"/>
        <w:rPr>
          <w:rStyle w:val="202"/>
          <w:rFonts w:ascii="宋体" w:hAnsi="宋体" w:cs="宋体"/>
          <w:b/>
          <w:bCs/>
          <w:color w:val="auto"/>
          <w:highlight w:val="none"/>
        </w:rPr>
      </w:pPr>
    </w:p>
    <w:p w14:paraId="2CD90828">
      <w:pPr>
        <w:pStyle w:val="2"/>
        <w:rPr>
          <w:rStyle w:val="202"/>
          <w:rFonts w:ascii="宋体" w:hAnsi="宋体" w:cs="宋体"/>
          <w:b/>
          <w:bCs/>
          <w:color w:val="auto"/>
          <w:highlight w:val="none"/>
        </w:rPr>
      </w:pPr>
    </w:p>
    <w:p w14:paraId="544118D8">
      <w:pPr>
        <w:pStyle w:val="2"/>
        <w:rPr>
          <w:rStyle w:val="202"/>
          <w:rFonts w:ascii="宋体" w:hAnsi="宋体" w:cs="宋体"/>
          <w:b/>
          <w:bCs/>
          <w:color w:val="auto"/>
          <w:highlight w:val="none"/>
        </w:rPr>
      </w:pPr>
    </w:p>
    <w:p w14:paraId="04C087D1">
      <w:pPr>
        <w:pStyle w:val="2"/>
        <w:rPr>
          <w:rStyle w:val="202"/>
          <w:rFonts w:ascii="宋体" w:hAnsi="宋体" w:cs="宋体"/>
          <w:b/>
          <w:bCs/>
          <w:color w:val="auto"/>
          <w:highlight w:val="none"/>
        </w:rPr>
      </w:pPr>
    </w:p>
    <w:p w14:paraId="1C154EFC">
      <w:pPr>
        <w:pStyle w:val="2"/>
        <w:rPr>
          <w:rStyle w:val="202"/>
          <w:rFonts w:ascii="宋体" w:hAnsi="宋体" w:cs="宋体"/>
          <w:b/>
          <w:bCs/>
          <w:color w:val="auto"/>
          <w:highlight w:val="none"/>
        </w:rPr>
      </w:pPr>
    </w:p>
    <w:p w14:paraId="1E7BDE29">
      <w:pPr>
        <w:pStyle w:val="2"/>
        <w:rPr>
          <w:rStyle w:val="202"/>
          <w:rFonts w:ascii="宋体" w:hAnsi="宋体" w:cs="宋体"/>
          <w:b/>
          <w:bCs/>
          <w:color w:val="auto"/>
          <w:highlight w:val="none"/>
        </w:rPr>
      </w:pPr>
    </w:p>
    <w:p w14:paraId="3D02A8F9">
      <w:pPr>
        <w:pStyle w:val="2"/>
        <w:rPr>
          <w:rStyle w:val="202"/>
          <w:rFonts w:ascii="宋体" w:hAnsi="宋体" w:cs="宋体"/>
          <w:b/>
          <w:bCs/>
          <w:color w:val="auto"/>
          <w:highlight w:val="none"/>
        </w:rPr>
      </w:pPr>
    </w:p>
    <w:p w14:paraId="19628643">
      <w:pPr>
        <w:pStyle w:val="2"/>
        <w:rPr>
          <w:rStyle w:val="202"/>
          <w:rFonts w:ascii="宋体" w:hAnsi="宋体" w:cs="宋体"/>
          <w:b/>
          <w:bCs/>
          <w:color w:val="auto"/>
          <w:highlight w:val="none"/>
        </w:rPr>
      </w:pPr>
    </w:p>
    <w:p w14:paraId="7F6C9CC9">
      <w:pPr>
        <w:pStyle w:val="2"/>
        <w:rPr>
          <w:rStyle w:val="202"/>
          <w:rFonts w:ascii="宋体" w:hAnsi="宋体" w:cs="宋体"/>
          <w:b/>
          <w:bCs/>
          <w:color w:val="auto"/>
          <w:highlight w:val="none"/>
        </w:rPr>
      </w:pPr>
    </w:p>
    <w:p w14:paraId="373094D3">
      <w:pPr>
        <w:pStyle w:val="2"/>
        <w:rPr>
          <w:rStyle w:val="202"/>
          <w:rFonts w:ascii="宋体" w:hAnsi="宋体" w:cs="宋体"/>
          <w:b/>
          <w:bCs/>
          <w:color w:val="auto"/>
          <w:highlight w:val="none"/>
        </w:rPr>
      </w:pPr>
    </w:p>
    <w:p w14:paraId="2C8CB6D6">
      <w:pPr>
        <w:pStyle w:val="2"/>
        <w:rPr>
          <w:rStyle w:val="202"/>
          <w:rFonts w:ascii="宋体" w:hAnsi="宋体" w:cs="宋体"/>
          <w:b/>
          <w:bCs/>
          <w:color w:val="auto"/>
          <w:highlight w:val="none"/>
        </w:rPr>
      </w:pPr>
    </w:p>
    <w:p w14:paraId="255B93A6">
      <w:pPr>
        <w:pStyle w:val="2"/>
        <w:rPr>
          <w:rStyle w:val="202"/>
          <w:rFonts w:ascii="宋体" w:hAnsi="宋体" w:cs="宋体"/>
          <w:b/>
          <w:bCs/>
          <w:color w:val="auto"/>
          <w:highlight w:val="none"/>
        </w:rPr>
      </w:pPr>
    </w:p>
    <w:p w14:paraId="170E3449">
      <w:pPr>
        <w:pStyle w:val="2"/>
        <w:rPr>
          <w:rStyle w:val="202"/>
          <w:rFonts w:ascii="宋体" w:hAnsi="宋体" w:cs="宋体"/>
          <w:b/>
          <w:bCs/>
          <w:color w:val="auto"/>
          <w:highlight w:val="none"/>
        </w:rPr>
      </w:pPr>
    </w:p>
    <w:p w14:paraId="25E8CD7E">
      <w:pPr>
        <w:rPr>
          <w:rStyle w:val="202"/>
          <w:rFonts w:ascii="宋体" w:hAnsi="宋体" w:cs="宋体"/>
          <w:color w:val="auto"/>
          <w:highlight w:val="none"/>
        </w:rPr>
      </w:pPr>
      <w:r>
        <w:rPr>
          <w:rStyle w:val="202"/>
          <w:rFonts w:hint="eastAsia" w:ascii="宋体" w:hAnsi="宋体" w:cs="宋体"/>
          <w:color w:val="auto"/>
          <w:highlight w:val="none"/>
        </w:rPr>
        <w:br w:type="page"/>
      </w:r>
    </w:p>
    <w:p w14:paraId="7BBD5C5D">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广西创佳项目管理</w:t>
      </w:r>
      <w:r>
        <w:rPr>
          <w:rFonts w:hint="eastAsia" w:ascii="宋体" w:hAnsi="宋体" w:cs="宋体"/>
          <w:b/>
          <w:bCs/>
          <w:color w:val="auto"/>
          <w:sz w:val="28"/>
          <w:szCs w:val="28"/>
          <w:highlight w:val="none"/>
        </w:rPr>
        <w:t>有限公司</w:t>
      </w:r>
    </w:p>
    <w:p w14:paraId="4DF45ADD">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2025年桂平市居家和社区基本养老服务提升行动项目</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GGZC2025-C3-810172-GXCJ</w:t>
      </w:r>
      <w:r>
        <w:rPr>
          <w:rFonts w:hint="eastAsia" w:ascii="宋体" w:hAnsi="宋体" w:cs="宋体"/>
          <w:b/>
          <w:bCs/>
          <w:color w:val="auto"/>
          <w:sz w:val="28"/>
          <w:szCs w:val="28"/>
          <w:highlight w:val="none"/>
        </w:rPr>
        <w:t>）</w:t>
      </w:r>
    </w:p>
    <w:p w14:paraId="2686FF17">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竞争性磋商公告</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2"/>
      </w:tblGrid>
      <w:tr w14:paraId="5018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2" w:type="dxa"/>
          </w:tcPr>
          <w:p w14:paraId="011A5525">
            <w:pP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1D2F0F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2025年桂平市居家和社区基本养老服务提升行动项目</w:t>
            </w:r>
            <w:r>
              <w:rPr>
                <w:rFonts w:hint="eastAsia" w:ascii="宋体" w:hAnsi="宋体" w:cs="宋体"/>
                <w:color w:val="auto"/>
                <w:sz w:val="24"/>
                <w:highlight w:val="none"/>
              </w:rPr>
              <w:t>项目的潜在供应商应在</w:t>
            </w:r>
            <w:r>
              <w:rPr>
                <w:rFonts w:hint="eastAsia" w:ascii="宋体" w:hAnsi="宋体" w:cs="宋体"/>
                <w:color w:val="auto"/>
                <w:sz w:val="24"/>
                <w:highlight w:val="none"/>
                <w:u w:val="single"/>
              </w:rPr>
              <w:t>广西政府采购云平台（https://www.gcy.zfcg.gxzf.gov.cn/）</w:t>
            </w:r>
            <w:r>
              <w:rPr>
                <w:rFonts w:hint="eastAsia" w:ascii="宋体" w:hAnsi="宋体" w:cs="宋体"/>
                <w:color w:val="auto"/>
                <w:sz w:val="24"/>
                <w:highlight w:val="none"/>
              </w:rPr>
              <w:t>获取采购文件，并于2025年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15时3</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分</w:t>
            </w:r>
            <w:r>
              <w:rPr>
                <w:rFonts w:hint="eastAsia" w:ascii="宋体" w:hAnsi="宋体" w:cs="宋体"/>
                <w:color w:val="auto"/>
                <w:sz w:val="24"/>
                <w:highlight w:val="none"/>
              </w:rPr>
              <w:t>（北京时间）前提交响应文件。</w:t>
            </w:r>
          </w:p>
          <w:p w14:paraId="4F45F8AD">
            <w:pPr>
              <w:rPr>
                <w:rFonts w:ascii="宋体" w:hAnsi="宋体" w:cs="宋体"/>
                <w:color w:val="auto"/>
                <w:highlight w:val="none"/>
              </w:rPr>
            </w:pPr>
          </w:p>
        </w:tc>
      </w:tr>
    </w:tbl>
    <w:p w14:paraId="25BE32E6">
      <w:pPr>
        <w:rPr>
          <w:rFonts w:ascii="宋体" w:hAnsi="宋体" w:cs="宋体"/>
          <w:color w:val="auto"/>
          <w:highlight w:val="none"/>
        </w:rPr>
      </w:pPr>
    </w:p>
    <w:p w14:paraId="79B55DE8">
      <w:pPr>
        <w:pStyle w:val="3"/>
        <w:spacing w:line="360" w:lineRule="auto"/>
        <w:rPr>
          <w:rFonts w:ascii="宋体" w:hAnsi="宋体" w:cs="宋体"/>
          <w:color w:val="auto"/>
          <w:sz w:val="24"/>
          <w:szCs w:val="24"/>
          <w:highlight w:val="none"/>
        </w:rPr>
      </w:pPr>
      <w:bookmarkStart w:id="1" w:name="_Toc35393798"/>
      <w:bookmarkStart w:id="2" w:name="_Toc28359012"/>
      <w:bookmarkStart w:id="3" w:name="_Toc35393629"/>
      <w:bookmarkStart w:id="4" w:name="_Toc28359089"/>
      <w:r>
        <w:rPr>
          <w:rFonts w:hint="eastAsia" w:ascii="宋体" w:hAnsi="宋体" w:cs="宋体"/>
          <w:color w:val="auto"/>
          <w:sz w:val="24"/>
          <w:szCs w:val="24"/>
          <w:highlight w:val="none"/>
        </w:rPr>
        <w:t>一、项目基本情况</w:t>
      </w:r>
      <w:bookmarkEnd w:id="1"/>
      <w:bookmarkEnd w:id="2"/>
      <w:bookmarkEnd w:id="3"/>
      <w:bookmarkEnd w:id="4"/>
    </w:p>
    <w:p w14:paraId="738521D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GGZC2025-C3-810172-GXCJ</w:t>
      </w:r>
    </w:p>
    <w:p w14:paraId="75464BE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2025年桂平市居家和社区基本养老服务提升行动项目</w:t>
      </w:r>
    </w:p>
    <w:p w14:paraId="779115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采购方式：竞争性磋商</w:t>
      </w:r>
    </w:p>
    <w:p w14:paraId="1FBD0E6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预算总金额（元）：2662000</w:t>
      </w:r>
      <w:r>
        <w:rPr>
          <w:rFonts w:hint="eastAsia" w:ascii="宋体" w:hAnsi="宋体" w:cs="宋体"/>
          <w:color w:val="auto"/>
          <w:sz w:val="24"/>
          <w:highlight w:val="none"/>
          <w:lang w:val="en-US" w:eastAsia="zh-CN"/>
        </w:rPr>
        <w:t>.00</w:t>
      </w:r>
    </w:p>
    <w:p w14:paraId="07A260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p w14:paraId="49877F26">
      <w:pPr>
        <w:spacing w:line="360" w:lineRule="auto"/>
        <w:ind w:firstLine="482" w:firstLineChars="200"/>
        <w:rPr>
          <w:rFonts w:ascii="宋体" w:hAnsi="宋体" w:cs="宋体"/>
          <w:color w:val="auto"/>
          <w:highlight w:val="none"/>
        </w:rPr>
      </w:pPr>
      <w:r>
        <w:rPr>
          <w:rFonts w:hint="eastAsia" w:ascii="宋体" w:hAnsi="宋体" w:cs="宋体"/>
          <w:b/>
          <w:bCs/>
          <w:color w:val="auto"/>
          <w:sz w:val="24"/>
          <w:highlight w:val="none"/>
        </w:rPr>
        <w:t>标项一：</w:t>
      </w:r>
    </w:p>
    <w:p w14:paraId="17FA64DA">
      <w:pPr>
        <w:spacing w:line="360" w:lineRule="auto"/>
        <w:ind w:left="959" w:leftChars="228" w:hanging="480" w:hangingChars="200"/>
        <w:rPr>
          <w:rFonts w:ascii="宋体" w:hAnsi="宋体" w:cs="宋体"/>
          <w:color w:val="auto"/>
          <w:sz w:val="24"/>
          <w:highlight w:val="none"/>
        </w:rPr>
      </w:pPr>
      <w:r>
        <w:rPr>
          <w:rFonts w:hint="eastAsia" w:ascii="宋体" w:hAnsi="宋体" w:cs="宋体"/>
          <w:color w:val="auto"/>
          <w:sz w:val="24"/>
          <w:highlight w:val="none"/>
        </w:rPr>
        <w:t>标项名称：桂平市居家和社区基本养老服务提升行动居家养老上门服务项目-A分标</w:t>
      </w:r>
    </w:p>
    <w:p w14:paraId="1BF141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数量：1</w:t>
      </w:r>
    </w:p>
    <w:p w14:paraId="7DED7448">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color w:val="auto"/>
          <w:sz w:val="24"/>
          <w:highlight w:val="none"/>
        </w:rPr>
        <w:t>预算金额（元）：</w:t>
      </w:r>
      <w:r>
        <w:rPr>
          <w:rFonts w:hint="eastAsia" w:ascii="宋体" w:hAnsi="宋体" w:cs="宋体"/>
          <w:bCs/>
          <w:color w:val="auto"/>
          <w:sz w:val="24"/>
          <w:highlight w:val="none"/>
        </w:rPr>
        <w:t>975000</w:t>
      </w:r>
      <w:r>
        <w:rPr>
          <w:rFonts w:hint="eastAsia" w:ascii="宋体" w:hAnsi="宋体" w:cs="宋体"/>
          <w:bCs/>
          <w:color w:val="auto"/>
          <w:sz w:val="24"/>
          <w:highlight w:val="none"/>
          <w:lang w:val="en-US" w:eastAsia="zh-CN"/>
        </w:rPr>
        <w:t>.00</w:t>
      </w:r>
    </w:p>
    <w:p w14:paraId="1C38CB62">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最高限价（如有）：/</w:t>
      </w:r>
    </w:p>
    <w:p w14:paraId="09DA26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简要规格描述或项目基本概况介绍、用途：采购桂平市居家和社区基本养老服务提升行动居家养老上门服务项目，进一步扩大我市居家和社区基本养老服务供给，计划为桂平市户籍经济困难的失能、部分失能老年人提供居家养老上门服务，拟在金田镇、江口镇、紫荆镇、垌心乡、中沙镇、罗秀镇提供居家养老上门服务任务</w:t>
      </w:r>
      <w:r>
        <w:rPr>
          <w:rFonts w:hint="eastAsia" w:ascii="宋体" w:hAnsi="宋体" w:cs="宋体"/>
          <w:color w:val="auto"/>
          <w:sz w:val="24"/>
          <w:highlight w:val="none"/>
          <w:lang w:eastAsia="zh-CN"/>
        </w:rPr>
        <w:t>不少于</w:t>
      </w:r>
      <w:r>
        <w:rPr>
          <w:rFonts w:hint="eastAsia" w:ascii="宋体" w:hAnsi="宋体" w:cs="宋体"/>
          <w:color w:val="auto"/>
          <w:sz w:val="24"/>
          <w:highlight w:val="none"/>
        </w:rPr>
        <w:t>325人次。(1人次是指项目执行时间内须为同一位服务对象累计提供30次以上居家养老上门服务，每次不少于1小时)，给予每人不超过3000元的服务补助，如需进一步了解，详见竞争性磋商文件。</w:t>
      </w:r>
    </w:p>
    <w:p w14:paraId="595B57D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服务期限</w:t>
      </w:r>
      <w:r>
        <w:rPr>
          <w:rFonts w:hint="eastAsia" w:ascii="宋体" w:hAnsi="宋体" w:cs="宋体"/>
          <w:color w:val="auto"/>
          <w:sz w:val="24"/>
          <w:highlight w:val="none"/>
        </w:rPr>
        <w:t>：2025年1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日前完成</w:t>
      </w:r>
      <w:r>
        <w:rPr>
          <w:rFonts w:hint="eastAsia" w:ascii="宋体" w:hAnsi="宋体" w:cs="宋体"/>
          <w:color w:val="auto"/>
          <w:spacing w:val="-7"/>
          <w:sz w:val="24"/>
          <w:highlight w:val="none"/>
        </w:rPr>
        <w:t>（具体时间以签订合同为准）。</w:t>
      </w:r>
    </w:p>
    <w:p w14:paraId="783E1D29">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本标项（否）接受联合体投标</w:t>
      </w:r>
    </w:p>
    <w:p w14:paraId="36D3BB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14:paraId="742F46A2">
      <w:pPr>
        <w:spacing w:line="360" w:lineRule="auto"/>
        <w:ind w:firstLine="482" w:firstLineChars="200"/>
        <w:rPr>
          <w:rFonts w:ascii="宋体" w:hAnsi="宋体" w:cs="宋体"/>
          <w:color w:val="auto"/>
          <w:highlight w:val="none"/>
        </w:rPr>
      </w:pPr>
      <w:r>
        <w:rPr>
          <w:rFonts w:hint="eastAsia" w:ascii="宋体" w:hAnsi="宋体" w:cs="宋体"/>
          <w:b/>
          <w:bCs/>
          <w:color w:val="auto"/>
          <w:sz w:val="24"/>
          <w:highlight w:val="none"/>
        </w:rPr>
        <w:t>标项二：</w:t>
      </w:r>
    </w:p>
    <w:p w14:paraId="7322F10D">
      <w:pPr>
        <w:spacing w:line="360" w:lineRule="auto"/>
        <w:ind w:left="959" w:leftChars="228" w:hanging="480" w:hangingChars="200"/>
        <w:rPr>
          <w:rFonts w:ascii="宋体" w:hAnsi="宋体" w:cs="宋体"/>
          <w:color w:val="auto"/>
          <w:sz w:val="24"/>
          <w:highlight w:val="none"/>
        </w:rPr>
      </w:pPr>
      <w:r>
        <w:rPr>
          <w:rFonts w:hint="eastAsia" w:ascii="宋体" w:hAnsi="宋体" w:cs="宋体"/>
          <w:color w:val="auto"/>
          <w:sz w:val="24"/>
          <w:highlight w:val="none"/>
        </w:rPr>
        <w:t>标项名称：桂平市居家和社区基本养老服务提升行动居家养老上门服务项目-B分标</w:t>
      </w:r>
    </w:p>
    <w:p w14:paraId="0E89F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数量：1</w:t>
      </w:r>
    </w:p>
    <w:p w14:paraId="2D717306">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color w:val="auto"/>
          <w:sz w:val="24"/>
          <w:highlight w:val="none"/>
        </w:rPr>
        <w:t>预算金额（元）：</w:t>
      </w:r>
      <w:r>
        <w:rPr>
          <w:rFonts w:hint="eastAsia" w:ascii="宋体" w:hAnsi="宋体" w:cs="宋体"/>
          <w:bCs/>
          <w:color w:val="auto"/>
          <w:sz w:val="24"/>
          <w:highlight w:val="none"/>
        </w:rPr>
        <w:t>957000</w:t>
      </w:r>
      <w:r>
        <w:rPr>
          <w:rFonts w:hint="eastAsia" w:ascii="宋体" w:hAnsi="宋体" w:cs="宋体"/>
          <w:bCs/>
          <w:color w:val="auto"/>
          <w:sz w:val="24"/>
          <w:highlight w:val="none"/>
          <w:lang w:val="en-US" w:eastAsia="zh-CN"/>
        </w:rPr>
        <w:t>.00</w:t>
      </w:r>
    </w:p>
    <w:p w14:paraId="4F5AB2DB">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最高限价（如有）：/</w:t>
      </w:r>
    </w:p>
    <w:p w14:paraId="176A46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简要规格描述或项目基本概况介绍、用途：采购桂平市居家和社区基本养老服务提升行动居家养老上门服务项目，进一步扩大我市居家和社区基本养老服务供给，计划为桂平市户籍经济困难的失能、部分失能老年人提供居家养老上门服务，拟在西山镇、厚禄乡、木乐镇、木圭镇、石咀镇、社坡镇、罗播乡提供居家养老上门服务任务</w:t>
      </w:r>
      <w:r>
        <w:rPr>
          <w:rFonts w:hint="eastAsia" w:ascii="宋体" w:hAnsi="宋体" w:cs="宋体"/>
          <w:color w:val="auto"/>
          <w:sz w:val="24"/>
          <w:highlight w:val="none"/>
          <w:lang w:eastAsia="zh-CN"/>
        </w:rPr>
        <w:t>不少于</w:t>
      </w:r>
      <w:r>
        <w:rPr>
          <w:rFonts w:hint="eastAsia" w:ascii="宋体" w:hAnsi="宋体" w:cs="宋体"/>
          <w:color w:val="auto"/>
          <w:sz w:val="24"/>
          <w:highlight w:val="none"/>
        </w:rPr>
        <w:t>319人次。(1人次是指项目执行时间内须为同一位服务对象累计提供30次以上居家养老上门服务，每次不少于1小时)，给予每人不超过3000元的服务补助，如需进一步了解，详见竞争性磋商文件。</w:t>
      </w:r>
    </w:p>
    <w:p w14:paraId="0740EEA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服务期限</w:t>
      </w:r>
      <w:r>
        <w:rPr>
          <w:rFonts w:hint="eastAsia" w:ascii="宋体" w:hAnsi="宋体" w:cs="宋体"/>
          <w:color w:val="auto"/>
          <w:sz w:val="24"/>
          <w:highlight w:val="none"/>
        </w:rPr>
        <w:t>：2025年1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日前完成</w:t>
      </w:r>
      <w:r>
        <w:rPr>
          <w:rFonts w:hint="eastAsia" w:ascii="宋体" w:hAnsi="宋体" w:cs="宋体"/>
          <w:color w:val="auto"/>
          <w:spacing w:val="-7"/>
          <w:sz w:val="24"/>
          <w:highlight w:val="none"/>
        </w:rPr>
        <w:t>（具体时间以签订合同为准）。</w:t>
      </w:r>
    </w:p>
    <w:p w14:paraId="4F3D0419">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本标项（否）接受联合体投标</w:t>
      </w:r>
    </w:p>
    <w:p w14:paraId="0510A967">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备注：</w:t>
      </w:r>
    </w:p>
    <w:p w14:paraId="2BB2F3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14:paraId="546B4D96">
      <w:pPr>
        <w:spacing w:line="360" w:lineRule="auto"/>
        <w:rPr>
          <w:rFonts w:ascii="宋体" w:hAnsi="宋体" w:cs="宋体"/>
          <w:b/>
          <w:bCs/>
          <w:color w:val="auto"/>
          <w:sz w:val="24"/>
          <w:highlight w:val="none"/>
        </w:rPr>
      </w:pPr>
    </w:p>
    <w:p w14:paraId="10611BD5">
      <w:pPr>
        <w:spacing w:line="360" w:lineRule="auto"/>
        <w:ind w:firstLine="482" w:firstLineChars="200"/>
        <w:rPr>
          <w:rFonts w:ascii="宋体" w:hAnsi="宋体" w:cs="宋体"/>
          <w:color w:val="auto"/>
          <w:highlight w:val="none"/>
        </w:rPr>
      </w:pPr>
      <w:r>
        <w:rPr>
          <w:rFonts w:hint="eastAsia" w:ascii="宋体" w:hAnsi="宋体" w:cs="宋体"/>
          <w:b/>
          <w:bCs/>
          <w:color w:val="auto"/>
          <w:sz w:val="24"/>
          <w:highlight w:val="none"/>
        </w:rPr>
        <w:t>标项三：</w:t>
      </w:r>
    </w:p>
    <w:p w14:paraId="7A7C3714">
      <w:pPr>
        <w:spacing w:line="360" w:lineRule="auto"/>
        <w:ind w:left="959" w:leftChars="228" w:hanging="480" w:hangingChars="200"/>
        <w:rPr>
          <w:rFonts w:ascii="宋体" w:hAnsi="宋体" w:cs="宋体"/>
          <w:color w:val="auto"/>
          <w:sz w:val="24"/>
          <w:highlight w:val="none"/>
        </w:rPr>
      </w:pPr>
      <w:r>
        <w:rPr>
          <w:rFonts w:hint="eastAsia" w:ascii="宋体" w:hAnsi="宋体" w:cs="宋体"/>
          <w:color w:val="auto"/>
          <w:sz w:val="24"/>
          <w:highlight w:val="none"/>
        </w:rPr>
        <w:t>标项名称：桂平市居家和社区基本养老服务提升行动家庭养老床位建设项目-C分标</w:t>
      </w:r>
    </w:p>
    <w:p w14:paraId="49CD8F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数量：1</w:t>
      </w:r>
    </w:p>
    <w:p w14:paraId="41BC8B69">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color w:val="auto"/>
          <w:sz w:val="24"/>
          <w:highlight w:val="none"/>
        </w:rPr>
        <w:t>预算金额（元）：</w:t>
      </w:r>
      <w:r>
        <w:rPr>
          <w:rFonts w:hint="eastAsia" w:ascii="宋体" w:hAnsi="宋体" w:cs="宋体"/>
          <w:bCs/>
          <w:color w:val="auto"/>
          <w:sz w:val="24"/>
          <w:highlight w:val="none"/>
        </w:rPr>
        <w:t>730000</w:t>
      </w:r>
      <w:r>
        <w:rPr>
          <w:rFonts w:hint="eastAsia" w:ascii="宋体" w:hAnsi="宋体" w:cs="宋体"/>
          <w:bCs/>
          <w:color w:val="auto"/>
          <w:sz w:val="24"/>
          <w:highlight w:val="none"/>
          <w:lang w:val="en-US" w:eastAsia="zh-CN"/>
        </w:rPr>
        <w:t>.00</w:t>
      </w:r>
    </w:p>
    <w:p w14:paraId="2E8B8861">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最高限价（如有）：/</w:t>
      </w:r>
    </w:p>
    <w:p w14:paraId="486BC071">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简要规格描述或项目基本概况介绍、用途：采购桂平市居家和社区基本养老服务提升行动家庭养老床位建设项目，进一步扩大我市居家和社区基本养老服务供给，拟为金田镇、江口镇、紫荆镇、垌心乡、中沙镇、罗秀镇、西山镇、厚禄乡、木乐镇、木圭镇、石咀镇、社坡镇、罗播乡户籍经济困难的失能、部分失能老年人开展家庭养老床位建设（适老化改造和智能化改造）不少于146户。按平均每户不超5000元的标准进行补贴（其中适老化改造每户不超3000元，智能化改造每户不超2000元），如需进一步了解，详见竞争性磋商文件。</w:t>
      </w:r>
    </w:p>
    <w:p w14:paraId="719AD92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服务期限</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日前完成（具体时间以签订合同为准）。</w:t>
      </w:r>
    </w:p>
    <w:p w14:paraId="2E2130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本项目（否）接受联合体投标</w:t>
      </w:r>
    </w:p>
    <w:p w14:paraId="0DFAF85E">
      <w:pPr>
        <w:pStyle w:val="72"/>
        <w:spacing w:line="360" w:lineRule="auto"/>
        <w:ind w:firstLine="480" w:firstLineChars="200"/>
        <w:rPr>
          <w:rFonts w:hAnsi="宋体"/>
          <w:color w:val="auto"/>
          <w:highlight w:val="none"/>
        </w:rPr>
      </w:pPr>
      <w:r>
        <w:rPr>
          <w:rFonts w:hint="eastAsia" w:hAnsi="宋体"/>
          <w:color w:val="auto"/>
          <w:highlight w:val="none"/>
        </w:rPr>
        <w:t>备注：</w:t>
      </w:r>
    </w:p>
    <w:p w14:paraId="71973068">
      <w:pPr>
        <w:pStyle w:val="72"/>
        <w:spacing w:line="360" w:lineRule="auto"/>
        <w:ind w:firstLine="480" w:firstLineChars="200"/>
        <w:rPr>
          <w:rFonts w:hAnsi="宋体"/>
          <w:color w:val="auto"/>
          <w:highlight w:val="none"/>
        </w:rPr>
      </w:pPr>
    </w:p>
    <w:p w14:paraId="1F5BBA69">
      <w:pPr>
        <w:pStyle w:val="3"/>
        <w:spacing w:line="360" w:lineRule="auto"/>
        <w:rPr>
          <w:rFonts w:ascii="宋体" w:hAnsi="宋体" w:cs="宋体"/>
          <w:color w:val="auto"/>
          <w:sz w:val="24"/>
          <w:szCs w:val="24"/>
          <w:highlight w:val="none"/>
        </w:rPr>
      </w:pPr>
      <w:bookmarkStart w:id="5" w:name="_Toc28359090"/>
      <w:bookmarkStart w:id="6" w:name="_Toc28359013"/>
      <w:bookmarkStart w:id="7" w:name="_Toc35393799"/>
      <w:bookmarkStart w:id="8" w:name="_Toc35393630"/>
      <w:r>
        <w:rPr>
          <w:rFonts w:hint="eastAsia" w:ascii="宋体" w:hAnsi="宋体" w:cs="宋体"/>
          <w:color w:val="auto"/>
          <w:sz w:val="24"/>
          <w:szCs w:val="24"/>
          <w:highlight w:val="none"/>
        </w:rPr>
        <w:t>二、申请人的资格要求：</w:t>
      </w:r>
      <w:bookmarkEnd w:id="5"/>
      <w:bookmarkEnd w:id="6"/>
      <w:bookmarkEnd w:id="7"/>
      <w:bookmarkEnd w:id="8"/>
    </w:p>
    <w:p w14:paraId="7337B1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6D0755B9">
      <w:pPr>
        <w:spacing w:line="360" w:lineRule="auto"/>
        <w:ind w:firstLine="480" w:firstLineChars="200"/>
        <w:rPr>
          <w:rFonts w:ascii="宋体" w:hAnsi="宋体" w:cs="宋体"/>
          <w:color w:val="auto"/>
          <w:sz w:val="24"/>
          <w:highlight w:val="none"/>
        </w:rPr>
      </w:pPr>
      <w:bookmarkStart w:id="9" w:name="_Toc28359014"/>
      <w:bookmarkStart w:id="10" w:name="_Toc28359091"/>
      <w:r>
        <w:rPr>
          <w:rFonts w:hint="eastAsia" w:ascii="宋体" w:hAnsi="宋体" w:cs="宋体"/>
          <w:color w:val="auto"/>
          <w:sz w:val="24"/>
          <w:highlight w:val="none"/>
        </w:rPr>
        <w:t>2.落实政府采购政策需满足的资格要求：无</w:t>
      </w:r>
    </w:p>
    <w:p w14:paraId="0FFA4B2E">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bookmarkEnd w:id="9"/>
    <w:bookmarkEnd w:id="10"/>
    <w:p w14:paraId="1A77641F">
      <w:pPr>
        <w:spacing w:line="360" w:lineRule="auto"/>
        <w:rPr>
          <w:b/>
          <w:bCs/>
          <w:color w:val="auto"/>
          <w:sz w:val="24"/>
          <w:highlight w:val="none"/>
        </w:rPr>
      </w:pPr>
      <w:bookmarkStart w:id="11" w:name="_Toc28359095"/>
      <w:bookmarkStart w:id="12" w:name="_Toc28359018"/>
      <w:bookmarkStart w:id="13" w:name="_Toc35393636"/>
      <w:bookmarkStart w:id="14" w:name="_Toc35393805"/>
      <w:r>
        <w:rPr>
          <w:b/>
          <w:bCs/>
          <w:color w:val="auto"/>
          <w:sz w:val="24"/>
          <w:highlight w:val="none"/>
        </w:rPr>
        <w:t>三、获取采购文件</w:t>
      </w:r>
    </w:p>
    <w:p w14:paraId="25D69786">
      <w:pPr>
        <w:spacing w:line="360" w:lineRule="auto"/>
        <w:ind w:firstLine="480" w:firstLineChars="200"/>
        <w:rPr>
          <w:color w:val="auto"/>
          <w:sz w:val="24"/>
          <w:highlight w:val="none"/>
        </w:rPr>
      </w:pPr>
      <w:r>
        <w:rPr>
          <w:color w:val="auto"/>
          <w:sz w:val="24"/>
          <w:highlight w:val="none"/>
        </w:rPr>
        <w:t>时间：</w:t>
      </w:r>
      <w:r>
        <w:rPr>
          <w:rFonts w:hint="eastAsia"/>
          <w:color w:val="auto"/>
          <w:sz w:val="24"/>
          <w:highlight w:val="none"/>
        </w:rPr>
        <w:t>2025</w:t>
      </w:r>
      <w:r>
        <w:rPr>
          <w:color w:val="auto"/>
          <w:sz w:val="24"/>
          <w:highlight w:val="none"/>
        </w:rPr>
        <w:t>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14</w:t>
      </w:r>
      <w:r>
        <w:rPr>
          <w:rFonts w:hint="eastAsia"/>
          <w:color w:val="auto"/>
          <w:sz w:val="24"/>
          <w:highlight w:val="none"/>
        </w:rPr>
        <w:t>日</w:t>
      </w:r>
      <w:r>
        <w:rPr>
          <w:color w:val="auto"/>
          <w:sz w:val="24"/>
          <w:highlight w:val="none"/>
        </w:rPr>
        <w:t>至响应文件</w:t>
      </w:r>
      <w:r>
        <w:rPr>
          <w:rFonts w:hint="eastAsia"/>
          <w:color w:val="auto"/>
          <w:sz w:val="24"/>
          <w:highlight w:val="none"/>
        </w:rPr>
        <w:t>提交</w:t>
      </w:r>
      <w:r>
        <w:rPr>
          <w:color w:val="auto"/>
          <w:sz w:val="24"/>
          <w:highlight w:val="none"/>
        </w:rPr>
        <w:t>的截止时间止</w:t>
      </w:r>
      <w:r>
        <w:rPr>
          <w:rFonts w:hint="eastAsia"/>
          <w:color w:val="auto"/>
          <w:sz w:val="24"/>
          <w:highlight w:val="none"/>
        </w:rPr>
        <w:t>。</w:t>
      </w:r>
    </w:p>
    <w:p w14:paraId="3B0AEF67">
      <w:pPr>
        <w:spacing w:line="360" w:lineRule="auto"/>
        <w:ind w:firstLine="480" w:firstLineChars="200"/>
        <w:rPr>
          <w:color w:val="auto"/>
          <w:sz w:val="24"/>
          <w:highlight w:val="none"/>
        </w:rPr>
      </w:pPr>
      <w:r>
        <w:rPr>
          <w:color w:val="auto"/>
          <w:sz w:val="24"/>
          <w:highlight w:val="none"/>
        </w:rPr>
        <w:t>地点（网址）：</w:t>
      </w:r>
      <w:r>
        <w:rPr>
          <w:rFonts w:hint="eastAsia"/>
          <w:bCs/>
          <w:color w:val="auto"/>
          <w:sz w:val="24"/>
          <w:highlight w:val="none"/>
        </w:rPr>
        <w:t>广西政府采购云平台</w:t>
      </w:r>
      <w:r>
        <w:rPr>
          <w:bCs/>
          <w:color w:val="auto"/>
          <w:sz w:val="24"/>
          <w:highlight w:val="none"/>
        </w:rPr>
        <w:t>（</w:t>
      </w:r>
      <w:r>
        <w:rPr>
          <w:rFonts w:hint="eastAsia"/>
          <w:bCs/>
          <w:color w:val="auto"/>
          <w:sz w:val="24"/>
          <w:highlight w:val="none"/>
        </w:rPr>
        <w:t>https://www.gcy.zfcg.gxzf.gov.cn/</w:t>
      </w:r>
      <w:r>
        <w:rPr>
          <w:bCs/>
          <w:color w:val="auto"/>
          <w:sz w:val="24"/>
          <w:highlight w:val="none"/>
        </w:rPr>
        <w:t>）</w:t>
      </w:r>
    </w:p>
    <w:p w14:paraId="4A80BE69">
      <w:pPr>
        <w:spacing w:line="312" w:lineRule="auto"/>
        <w:ind w:firstLine="480" w:firstLineChars="200"/>
        <w:rPr>
          <w:color w:val="auto"/>
          <w:sz w:val="24"/>
          <w:highlight w:val="none"/>
        </w:rPr>
      </w:pPr>
      <w:r>
        <w:rPr>
          <w:color w:val="auto"/>
          <w:sz w:val="24"/>
          <w:highlight w:val="none"/>
        </w:rPr>
        <w:t>方式：</w:t>
      </w:r>
      <w:bookmarkStart w:id="15" w:name="_Toc28359092"/>
      <w:bookmarkStart w:id="16" w:name="_Toc28359015"/>
      <w:bookmarkStart w:id="17" w:name="_Toc35393632"/>
      <w:bookmarkStart w:id="18" w:name="_Toc35393801"/>
      <w:r>
        <w:rPr>
          <w:rFonts w:hint="eastAsia"/>
          <w:bCs/>
          <w:color w:val="auto"/>
          <w:sz w:val="24"/>
          <w:highlight w:val="none"/>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如在操作过程中遇到问题或需技术支持，请致电广西政府采购云平台客服热线：95763。</w:t>
      </w:r>
      <w:r>
        <w:rPr>
          <w:color w:val="auto"/>
          <w:sz w:val="24"/>
          <w:highlight w:val="none"/>
        </w:rPr>
        <w:t> </w:t>
      </w:r>
    </w:p>
    <w:p w14:paraId="604BC702">
      <w:pPr>
        <w:spacing w:line="360" w:lineRule="auto"/>
        <w:ind w:firstLine="480" w:firstLineChars="200"/>
        <w:rPr>
          <w:color w:val="auto"/>
          <w:sz w:val="24"/>
          <w:highlight w:val="none"/>
        </w:rPr>
      </w:pPr>
      <w:r>
        <w:rPr>
          <w:color w:val="auto"/>
          <w:sz w:val="24"/>
          <w:highlight w:val="none"/>
        </w:rPr>
        <w:t>售价（元）：0</w:t>
      </w:r>
    </w:p>
    <w:p w14:paraId="22BB0F1B">
      <w:pPr>
        <w:spacing w:line="360" w:lineRule="auto"/>
        <w:rPr>
          <w:b/>
          <w:bCs/>
          <w:color w:val="auto"/>
          <w:sz w:val="24"/>
          <w:highlight w:val="none"/>
        </w:rPr>
      </w:pPr>
      <w:r>
        <w:rPr>
          <w:b/>
          <w:bCs/>
          <w:color w:val="auto"/>
          <w:sz w:val="24"/>
          <w:highlight w:val="none"/>
        </w:rPr>
        <w:t>四、响应文件提交</w:t>
      </w:r>
      <w:bookmarkEnd w:id="15"/>
      <w:bookmarkEnd w:id="16"/>
      <w:bookmarkEnd w:id="17"/>
      <w:bookmarkEnd w:id="18"/>
    </w:p>
    <w:p w14:paraId="0A9A8E32">
      <w:pPr>
        <w:spacing w:line="360" w:lineRule="auto"/>
        <w:ind w:firstLine="240" w:firstLineChars="100"/>
        <w:rPr>
          <w:color w:val="auto"/>
          <w:sz w:val="24"/>
          <w:highlight w:val="none"/>
        </w:rPr>
      </w:pPr>
      <w:r>
        <w:rPr>
          <w:rFonts w:hint="eastAsia"/>
          <w:color w:val="auto"/>
          <w:sz w:val="24"/>
          <w:highlight w:val="none"/>
        </w:rPr>
        <w:t>截止时间：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15时3</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分</w:t>
      </w:r>
      <w:r>
        <w:rPr>
          <w:rFonts w:hint="eastAsia"/>
          <w:color w:val="auto"/>
          <w:sz w:val="24"/>
          <w:highlight w:val="none"/>
        </w:rPr>
        <w:t>（北京时间）</w:t>
      </w:r>
    </w:p>
    <w:p w14:paraId="79D58D15">
      <w:pPr>
        <w:spacing w:line="360" w:lineRule="auto"/>
        <w:ind w:firstLine="240" w:firstLineChars="100"/>
        <w:rPr>
          <w:color w:val="auto"/>
          <w:sz w:val="24"/>
          <w:highlight w:val="none"/>
        </w:rPr>
      </w:pPr>
      <w:r>
        <w:rPr>
          <w:rFonts w:hint="eastAsia"/>
          <w:color w:val="auto"/>
          <w:sz w:val="24"/>
          <w:highlight w:val="none"/>
        </w:rPr>
        <w:t>地点（网址）：广西政府采购云平台（https://www.gcy.zfcg.gxzf.gov.cn/）</w:t>
      </w:r>
    </w:p>
    <w:p w14:paraId="177D68B8">
      <w:pPr>
        <w:spacing w:line="360" w:lineRule="auto"/>
        <w:ind w:firstLine="240" w:firstLineChars="100"/>
        <w:rPr>
          <w:color w:val="auto"/>
          <w:sz w:val="24"/>
          <w:highlight w:val="none"/>
        </w:rPr>
      </w:pPr>
      <w:r>
        <w:rPr>
          <w:color w:val="auto"/>
          <w:sz w:val="24"/>
          <w:highlight w:val="none"/>
        </w:rPr>
        <w:t xml:space="preserve">（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14:paraId="25C6C42E">
      <w:pPr>
        <w:spacing w:line="360" w:lineRule="auto"/>
        <w:rPr>
          <w:b/>
          <w:bCs/>
          <w:color w:val="auto"/>
          <w:sz w:val="24"/>
          <w:highlight w:val="none"/>
        </w:rPr>
      </w:pPr>
      <w:bookmarkStart w:id="19" w:name="_Toc35393802"/>
      <w:bookmarkStart w:id="20" w:name="_Toc28359016"/>
      <w:bookmarkStart w:id="21" w:name="_Toc28359093"/>
      <w:bookmarkStart w:id="22" w:name="_Toc35393633"/>
      <w:r>
        <w:rPr>
          <w:b/>
          <w:bCs/>
          <w:color w:val="auto"/>
          <w:sz w:val="24"/>
          <w:highlight w:val="none"/>
        </w:rPr>
        <w:t>五、响应文件开启</w:t>
      </w:r>
      <w:bookmarkEnd w:id="19"/>
      <w:bookmarkEnd w:id="20"/>
      <w:bookmarkEnd w:id="21"/>
      <w:bookmarkEnd w:id="22"/>
    </w:p>
    <w:p w14:paraId="2BB83131">
      <w:pPr>
        <w:spacing w:line="360" w:lineRule="auto"/>
        <w:ind w:firstLine="240" w:firstLineChars="100"/>
        <w:rPr>
          <w:color w:val="auto"/>
          <w:sz w:val="24"/>
          <w:highlight w:val="none"/>
        </w:rPr>
      </w:pPr>
      <w:bookmarkStart w:id="23" w:name="_Toc35393634"/>
      <w:bookmarkStart w:id="24" w:name="_Toc28359094"/>
      <w:bookmarkStart w:id="25" w:name="_Toc35393803"/>
      <w:bookmarkStart w:id="26" w:name="_Toc28359017"/>
      <w:r>
        <w:rPr>
          <w:rFonts w:hint="eastAsia"/>
          <w:color w:val="auto"/>
          <w:sz w:val="24"/>
          <w:highlight w:val="none"/>
        </w:rPr>
        <w:t>1.时间：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15时3</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分</w:t>
      </w:r>
      <w:r>
        <w:rPr>
          <w:rFonts w:hint="eastAsia"/>
          <w:color w:val="auto"/>
          <w:sz w:val="24"/>
          <w:highlight w:val="none"/>
        </w:rPr>
        <w:t>（北京时间）</w:t>
      </w:r>
    </w:p>
    <w:p w14:paraId="60BCAFCC">
      <w:pPr>
        <w:spacing w:line="360" w:lineRule="auto"/>
        <w:ind w:firstLine="240" w:firstLineChars="100"/>
        <w:rPr>
          <w:color w:val="auto"/>
          <w:sz w:val="24"/>
          <w:highlight w:val="none"/>
        </w:rPr>
      </w:pPr>
      <w:r>
        <w:rPr>
          <w:rFonts w:hint="eastAsia"/>
          <w:color w:val="auto"/>
          <w:sz w:val="24"/>
          <w:highlight w:val="none"/>
        </w:rPr>
        <w:t>2.地点：广西政府采购云平台（https://www.gcy.zfcg.gxzf.gov.cn/）</w:t>
      </w:r>
    </w:p>
    <w:p w14:paraId="05354847">
      <w:pPr>
        <w:spacing w:line="360" w:lineRule="auto"/>
        <w:rPr>
          <w:b/>
          <w:bCs/>
          <w:color w:val="auto"/>
          <w:sz w:val="24"/>
          <w:highlight w:val="none"/>
        </w:rPr>
      </w:pPr>
      <w:r>
        <w:rPr>
          <w:b/>
          <w:bCs/>
          <w:color w:val="auto"/>
          <w:sz w:val="24"/>
          <w:highlight w:val="none"/>
        </w:rPr>
        <w:t>六、公告期限</w:t>
      </w:r>
      <w:bookmarkEnd w:id="23"/>
      <w:bookmarkEnd w:id="24"/>
      <w:bookmarkEnd w:id="25"/>
      <w:bookmarkEnd w:id="26"/>
    </w:p>
    <w:p w14:paraId="350955D7">
      <w:pPr>
        <w:spacing w:line="360" w:lineRule="auto"/>
        <w:ind w:firstLine="480" w:firstLineChars="200"/>
        <w:rPr>
          <w:color w:val="auto"/>
          <w:sz w:val="24"/>
          <w:highlight w:val="none"/>
        </w:rPr>
      </w:pPr>
      <w:bookmarkStart w:id="27" w:name="_Toc35393635"/>
      <w:bookmarkStart w:id="28" w:name="_Toc35393804"/>
      <w:r>
        <w:rPr>
          <w:color w:val="auto"/>
          <w:sz w:val="24"/>
          <w:highlight w:val="none"/>
        </w:rPr>
        <w:t>自本公告发布之日起</w:t>
      </w:r>
      <w:r>
        <w:rPr>
          <w:rFonts w:hint="eastAsia"/>
          <w:color w:val="auto"/>
          <w:sz w:val="24"/>
          <w:highlight w:val="none"/>
        </w:rPr>
        <w:t>5个工作日</w:t>
      </w:r>
      <w:r>
        <w:rPr>
          <w:color w:val="auto"/>
          <w:sz w:val="24"/>
          <w:highlight w:val="none"/>
        </w:rPr>
        <w:t>。</w:t>
      </w:r>
    </w:p>
    <w:p w14:paraId="689BE2B0">
      <w:pPr>
        <w:numPr>
          <w:ilvl w:val="0"/>
          <w:numId w:val="4"/>
        </w:numPr>
        <w:spacing w:line="360" w:lineRule="auto"/>
        <w:rPr>
          <w:b/>
          <w:bCs/>
          <w:color w:val="auto"/>
          <w:sz w:val="24"/>
          <w:highlight w:val="none"/>
        </w:rPr>
      </w:pPr>
      <w:r>
        <w:rPr>
          <w:b/>
          <w:bCs/>
          <w:color w:val="auto"/>
          <w:sz w:val="24"/>
          <w:highlight w:val="none"/>
        </w:rPr>
        <w:t>其他补充事宜</w:t>
      </w:r>
      <w:bookmarkEnd w:id="27"/>
      <w:bookmarkEnd w:id="28"/>
    </w:p>
    <w:p w14:paraId="15D03AE5">
      <w:pPr>
        <w:spacing w:line="360" w:lineRule="auto"/>
        <w:ind w:firstLine="480" w:firstLineChars="200"/>
        <w:textAlignment w:val="baseline"/>
        <w:rPr>
          <w:color w:val="auto"/>
          <w:highlight w:val="none"/>
        </w:rPr>
      </w:pPr>
      <w:r>
        <w:rPr>
          <w:color w:val="auto"/>
          <w:sz w:val="24"/>
          <w:highlight w:val="none"/>
        </w:rPr>
        <w:t>（一）</w:t>
      </w:r>
      <w:r>
        <w:rPr>
          <w:color w:val="auto"/>
          <w:kern w:val="0"/>
          <w:sz w:val="24"/>
          <w:highlight w:val="none"/>
        </w:rPr>
        <w:t>本项目不收取</w:t>
      </w:r>
      <w:r>
        <w:rPr>
          <w:rFonts w:hint="eastAsia"/>
          <w:color w:val="auto"/>
          <w:kern w:val="0"/>
          <w:sz w:val="24"/>
          <w:highlight w:val="none"/>
        </w:rPr>
        <w:t>磋商保证金</w:t>
      </w:r>
      <w:r>
        <w:rPr>
          <w:color w:val="auto"/>
          <w:kern w:val="0"/>
          <w:sz w:val="24"/>
          <w:highlight w:val="none"/>
        </w:rPr>
        <w:t>；</w:t>
      </w:r>
    </w:p>
    <w:p w14:paraId="11259A31">
      <w:pPr>
        <w:spacing w:line="360" w:lineRule="auto"/>
        <w:ind w:firstLine="480" w:firstLineChars="200"/>
        <w:rPr>
          <w:color w:val="auto"/>
          <w:sz w:val="24"/>
          <w:highlight w:val="none"/>
        </w:rPr>
      </w:pPr>
      <w:r>
        <w:rPr>
          <w:color w:val="auto"/>
          <w:sz w:val="24"/>
          <w:highlight w:val="none"/>
        </w:rPr>
        <w:t>（二）本项目需要落实的政府采购政策：</w:t>
      </w:r>
    </w:p>
    <w:p w14:paraId="298BED82">
      <w:pPr>
        <w:spacing w:line="360" w:lineRule="auto"/>
        <w:ind w:firstLine="720" w:firstLineChars="300"/>
        <w:rPr>
          <w:color w:val="auto"/>
          <w:sz w:val="24"/>
          <w:highlight w:val="none"/>
        </w:rPr>
      </w:pPr>
      <w:r>
        <w:rPr>
          <w:color w:val="auto"/>
          <w:sz w:val="24"/>
          <w:highlight w:val="none"/>
        </w:rPr>
        <w:t>1.政府采购促进中小企业发展：</w:t>
      </w:r>
    </w:p>
    <w:p w14:paraId="62651184">
      <w:pPr>
        <w:spacing w:line="360" w:lineRule="auto"/>
        <w:ind w:firstLine="720" w:firstLineChars="300"/>
        <w:rPr>
          <w:color w:val="auto"/>
          <w:sz w:val="24"/>
          <w:highlight w:val="none"/>
        </w:rPr>
      </w:pPr>
      <w:r>
        <w:rPr>
          <w:color w:val="auto"/>
          <w:sz w:val="24"/>
          <w:highlight w:val="none"/>
        </w:rPr>
        <w:t>2.政府采购支持采用本国产品的政策。</w:t>
      </w:r>
    </w:p>
    <w:p w14:paraId="27281E2D">
      <w:pPr>
        <w:spacing w:line="360" w:lineRule="auto"/>
        <w:ind w:firstLine="720" w:firstLineChars="300"/>
        <w:rPr>
          <w:color w:val="auto"/>
          <w:sz w:val="24"/>
          <w:highlight w:val="none"/>
        </w:rPr>
      </w:pPr>
      <w:r>
        <w:rPr>
          <w:color w:val="auto"/>
          <w:sz w:val="24"/>
          <w:highlight w:val="none"/>
        </w:rPr>
        <w:t>3.强制采购、优先采购环境标志产品、节能产品。</w:t>
      </w:r>
    </w:p>
    <w:p w14:paraId="5EDCC503">
      <w:pPr>
        <w:spacing w:line="360" w:lineRule="auto"/>
        <w:ind w:firstLine="720" w:firstLineChars="300"/>
        <w:rPr>
          <w:color w:val="auto"/>
          <w:sz w:val="24"/>
          <w:highlight w:val="none"/>
        </w:rPr>
      </w:pPr>
      <w:r>
        <w:rPr>
          <w:color w:val="auto"/>
          <w:sz w:val="24"/>
          <w:highlight w:val="none"/>
        </w:rPr>
        <w:t>4.政府采购促进残疾人就业政策。</w:t>
      </w:r>
    </w:p>
    <w:p w14:paraId="1A9CF045">
      <w:pPr>
        <w:spacing w:line="360" w:lineRule="auto"/>
        <w:ind w:firstLine="720" w:firstLineChars="300"/>
        <w:rPr>
          <w:color w:val="auto"/>
          <w:sz w:val="24"/>
          <w:highlight w:val="none"/>
        </w:rPr>
      </w:pPr>
      <w:r>
        <w:rPr>
          <w:color w:val="auto"/>
          <w:sz w:val="24"/>
          <w:highlight w:val="none"/>
        </w:rPr>
        <w:t>5.政府采购支持监狱企业发展。</w:t>
      </w:r>
    </w:p>
    <w:p w14:paraId="0101A4DD">
      <w:pPr>
        <w:spacing w:line="360" w:lineRule="auto"/>
        <w:ind w:firstLine="720" w:firstLineChars="300"/>
        <w:rPr>
          <w:color w:val="auto"/>
          <w:sz w:val="24"/>
          <w:highlight w:val="none"/>
        </w:rPr>
      </w:pPr>
      <w:r>
        <w:rPr>
          <w:color w:val="auto"/>
          <w:sz w:val="24"/>
          <w:highlight w:val="none"/>
        </w:rPr>
        <w:t>6.扶持不发达地区和少数民族地区政策等政府采购相关政策。</w:t>
      </w:r>
    </w:p>
    <w:p w14:paraId="3806B66D">
      <w:pPr>
        <w:pStyle w:val="32"/>
        <w:ind w:firstLine="480" w:firstLineChars="200"/>
        <w:rPr>
          <w:color w:val="auto"/>
          <w:sz w:val="24"/>
          <w:szCs w:val="24"/>
          <w:highlight w:val="none"/>
        </w:rPr>
      </w:pPr>
      <w:r>
        <w:rPr>
          <w:color w:val="auto"/>
          <w:sz w:val="24"/>
          <w:szCs w:val="24"/>
          <w:highlight w:val="none"/>
        </w:rPr>
        <w:t>（三）其他要求</w:t>
      </w:r>
    </w:p>
    <w:p w14:paraId="4493B00B">
      <w:pPr>
        <w:spacing w:line="360" w:lineRule="auto"/>
        <w:ind w:firstLine="480" w:firstLineChars="200"/>
        <w:textAlignment w:val="baseline"/>
        <w:rPr>
          <w:color w:val="auto"/>
          <w:sz w:val="24"/>
          <w:highlight w:val="none"/>
        </w:rPr>
      </w:pPr>
      <w:r>
        <w:rPr>
          <w:rFonts w:hint="eastAsia"/>
          <w:color w:val="auto"/>
          <w:sz w:val="24"/>
          <w:highlight w:val="none"/>
        </w:rPr>
        <w:t>1</w:t>
      </w:r>
      <w:r>
        <w:rPr>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8D886A6">
      <w:pPr>
        <w:spacing w:line="360" w:lineRule="auto"/>
        <w:ind w:firstLine="480" w:firstLineChars="200"/>
        <w:textAlignment w:val="baseline"/>
        <w:rPr>
          <w:color w:val="auto"/>
          <w:sz w:val="24"/>
          <w:highlight w:val="none"/>
        </w:rPr>
      </w:pPr>
      <w:r>
        <w:rPr>
          <w:rFonts w:hint="eastAsia"/>
          <w:color w:val="auto"/>
          <w:sz w:val="24"/>
          <w:highlight w:val="none"/>
        </w:rPr>
        <w:t>2</w:t>
      </w:r>
      <w:r>
        <w:rPr>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ED743E4">
      <w:pPr>
        <w:spacing w:line="360" w:lineRule="auto"/>
        <w:ind w:firstLine="480" w:firstLineChars="200"/>
        <w:textAlignment w:val="baseline"/>
        <w:rPr>
          <w:color w:val="auto"/>
          <w:sz w:val="24"/>
          <w:highlight w:val="none"/>
        </w:rPr>
      </w:pPr>
      <w:r>
        <w:rPr>
          <w:rFonts w:hint="eastAsia"/>
          <w:color w:val="auto"/>
          <w:sz w:val="24"/>
          <w:highlight w:val="none"/>
        </w:rPr>
        <w:t>3</w:t>
      </w:r>
      <w:r>
        <w:rPr>
          <w:rFonts w:hint="eastAsia"/>
          <w:color w:val="auto"/>
          <w:sz w:val="24"/>
          <w:highlight w:val="none"/>
          <w:lang w:val="en-US" w:eastAsia="zh-CN"/>
        </w:rPr>
        <w:t>.</w:t>
      </w:r>
      <w:r>
        <w:rPr>
          <w:color w:val="auto"/>
          <w:sz w:val="24"/>
          <w:highlight w:val="none"/>
        </w:rPr>
        <w:t>本项目不接受未完成网上下载采购文件的供应商</w:t>
      </w:r>
      <w:r>
        <w:rPr>
          <w:rFonts w:hint="eastAsia"/>
          <w:color w:val="auto"/>
          <w:sz w:val="24"/>
          <w:highlight w:val="none"/>
        </w:rPr>
        <w:t>参加</w:t>
      </w:r>
      <w:r>
        <w:rPr>
          <w:color w:val="auto"/>
          <w:sz w:val="24"/>
          <w:highlight w:val="none"/>
        </w:rPr>
        <w:t>磋商。</w:t>
      </w:r>
    </w:p>
    <w:p w14:paraId="4666BC00">
      <w:pPr>
        <w:spacing w:line="360" w:lineRule="auto"/>
        <w:ind w:firstLine="480" w:firstLineChars="200"/>
        <w:textAlignment w:val="baseline"/>
        <w:rPr>
          <w:color w:val="auto"/>
          <w:sz w:val="24"/>
          <w:highlight w:val="none"/>
        </w:rPr>
      </w:pPr>
      <w:r>
        <w:rPr>
          <w:color w:val="auto"/>
          <w:sz w:val="24"/>
          <w:highlight w:val="none"/>
        </w:rPr>
        <w:t>（四）、公告网址：http://www.ccgp.gov.cn（中国政府采购网）、http://zfcg.gxzf.gov.cn/（广西壮族自治区政府采购网）、http://ggzy.jgswj.gxzf.gov.cn/ggggzy/全国公共资源交易平台（广西·贵港）、http://zfcg.czj.gxgg.gov.cn（贵港市政府采购网）</w:t>
      </w:r>
    </w:p>
    <w:p w14:paraId="675AE932">
      <w:pPr>
        <w:spacing w:line="360" w:lineRule="auto"/>
        <w:ind w:firstLine="480" w:firstLineChars="200"/>
        <w:textAlignment w:val="baseline"/>
        <w:rPr>
          <w:color w:val="auto"/>
          <w:sz w:val="24"/>
          <w:highlight w:val="none"/>
        </w:rPr>
      </w:pPr>
      <w:r>
        <w:rPr>
          <w:color w:val="auto"/>
          <w:sz w:val="24"/>
          <w:highlight w:val="none"/>
        </w:rPr>
        <w:t>（五）、在线投标响应（电子投标）说明</w:t>
      </w:r>
    </w:p>
    <w:p w14:paraId="1059B2AD">
      <w:pPr>
        <w:spacing w:line="360" w:lineRule="auto"/>
        <w:ind w:firstLine="480" w:firstLineChars="200"/>
        <w:textAlignment w:val="baseline"/>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本项目为全流程电子化采购项目，通过广西政府采购云平台（https://www.gcy.zfcg.gxzf.gov.cn/）实行在线电子竞标，供应商应按照本项目竞争性磋商文件和广西政府采购云平台的要求编制、加密后在竞标截止时间前通过网络上传至广西政府采购云平台（加密的电子响应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191E4F2D">
      <w:pPr>
        <w:spacing w:line="360" w:lineRule="auto"/>
        <w:ind w:firstLine="480" w:firstLineChars="200"/>
        <w:textAlignment w:val="baseline"/>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50DED2B">
      <w:pPr>
        <w:spacing w:line="360" w:lineRule="auto"/>
        <w:ind w:firstLine="480" w:firstLineChars="200"/>
        <w:textAlignment w:val="baseline"/>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06DEF727">
      <w:pPr>
        <w:spacing w:line="360" w:lineRule="auto"/>
        <w:ind w:firstLine="480" w:firstLineChars="200"/>
        <w:textAlignment w:val="baseline"/>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注：1）为确保网上操作合法、有效和安全，请供应商确保在电子竞标过程中能够对相关数据电文进行加密和使用电子签章，妥善保管CA数字证书并使用有效的CA数字证书参与整个竞标活动；2）供应商应当在竞标截止时间前完成电子响应文件的上传、提交，竞标截止时间前可以补充、修改或者撤回响应文件。补充或者修改响应文件的，应当先行撤回原响应文件，补充、修改后重新上传、提交，竞标截止时间前未完成上传、提交的，视为撤回响应文件。竞标截止时间以后上传递交的响应文件，广西政府采购云平台将予以拒收；3）供应商需要在具备有摄像头及语音功能且互联网网络状况良好的电脑登录广西政府采购云平台远程开标大厅参与本次磋商，否则后果自负。</w:t>
      </w:r>
    </w:p>
    <w:p w14:paraId="3DF203C9">
      <w:pPr>
        <w:spacing w:line="360" w:lineRule="auto"/>
        <w:ind w:firstLine="480" w:firstLineChars="200"/>
        <w:rPr>
          <w:color w:val="auto"/>
          <w:sz w:val="24"/>
          <w:highlight w:val="none"/>
        </w:rPr>
      </w:pPr>
      <w:r>
        <w:rPr>
          <w:rFonts w:hint="eastAsia"/>
          <w:color w:val="auto"/>
          <w:sz w:val="24"/>
          <w:highlight w:val="none"/>
        </w:rPr>
        <w:t>（六）</w:t>
      </w:r>
      <w:r>
        <w:rPr>
          <w:color w:val="auto"/>
          <w:sz w:val="24"/>
          <w:highlight w:val="none"/>
        </w:rPr>
        <w:t>政府采购监督部门：</w:t>
      </w:r>
      <w:r>
        <w:rPr>
          <w:rFonts w:hint="eastAsia"/>
          <w:color w:val="auto"/>
          <w:sz w:val="24"/>
          <w:highlight w:val="none"/>
        </w:rPr>
        <w:t>桂平市财政局政府采购监督管理股 0775-3380263</w:t>
      </w:r>
    </w:p>
    <w:p w14:paraId="0EF3BB1F">
      <w:pPr>
        <w:numPr>
          <w:ilvl w:val="0"/>
          <w:numId w:val="5"/>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凡对本次采购提出询问，请按以下方式联系。</w:t>
      </w:r>
      <w:bookmarkEnd w:id="11"/>
      <w:bookmarkEnd w:id="12"/>
      <w:bookmarkEnd w:id="13"/>
      <w:bookmarkEnd w:id="14"/>
      <w:bookmarkStart w:id="29" w:name="_Toc35393806"/>
      <w:bookmarkStart w:id="30" w:name="_Toc28359019"/>
      <w:bookmarkStart w:id="31" w:name="_Toc35393637"/>
      <w:bookmarkStart w:id="32" w:name="_Toc28359096"/>
    </w:p>
    <w:p w14:paraId="5E43F6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bookmarkEnd w:id="29"/>
      <w:bookmarkEnd w:id="30"/>
      <w:bookmarkEnd w:id="31"/>
      <w:bookmarkEnd w:id="32"/>
    </w:p>
    <w:p w14:paraId="28D44887">
      <w:pPr>
        <w:spacing w:line="360" w:lineRule="auto"/>
        <w:ind w:left="1079" w:leftChars="371" w:hanging="300" w:hangingChars="125"/>
        <w:jc w:val="left"/>
        <w:rPr>
          <w:rFonts w:ascii="宋体" w:hAnsi="宋体" w:cs="宋体"/>
          <w:color w:val="auto"/>
          <w:sz w:val="24"/>
          <w:highlight w:val="none"/>
          <w:u w:val="single"/>
        </w:rPr>
      </w:pPr>
      <w:r>
        <w:rPr>
          <w:rFonts w:hint="eastAsia" w:ascii="宋体" w:hAnsi="宋体" w:cs="宋体"/>
          <w:color w:val="auto"/>
          <w:sz w:val="24"/>
          <w:highlight w:val="none"/>
        </w:rPr>
        <w:t>名  称：桂平市民政局</w:t>
      </w:r>
    </w:p>
    <w:p w14:paraId="0D604816">
      <w:pPr>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地  址：桂平市西山镇郁江路84号</w:t>
      </w:r>
    </w:p>
    <w:p w14:paraId="18169434">
      <w:pPr>
        <w:spacing w:line="360" w:lineRule="auto"/>
        <w:ind w:firstLine="720" w:firstLineChars="300"/>
        <w:rPr>
          <w:rFonts w:ascii="宋体" w:hAnsi="宋体" w:cs="宋体"/>
          <w:color w:val="auto"/>
          <w:sz w:val="24"/>
          <w:highlight w:val="none"/>
        </w:rPr>
      </w:pPr>
      <w:bookmarkStart w:id="33" w:name="_Toc35393807"/>
      <w:bookmarkStart w:id="34" w:name="_Toc28359020"/>
      <w:bookmarkStart w:id="35" w:name="_Toc28359097"/>
      <w:bookmarkStart w:id="36" w:name="_Toc35393638"/>
      <w:r>
        <w:rPr>
          <w:rFonts w:hint="eastAsia" w:ascii="宋体" w:hAnsi="宋体" w:cs="宋体"/>
          <w:color w:val="auto"/>
          <w:sz w:val="24"/>
          <w:highlight w:val="none"/>
        </w:rPr>
        <w:t>项目联系人：梁主任</w:t>
      </w:r>
    </w:p>
    <w:p w14:paraId="7EC2500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项目联系方式：0775-3328935</w:t>
      </w:r>
    </w:p>
    <w:bookmarkEnd w:id="33"/>
    <w:bookmarkEnd w:id="34"/>
    <w:bookmarkEnd w:id="35"/>
    <w:bookmarkEnd w:id="36"/>
    <w:p w14:paraId="0A6D5C44">
      <w:pPr>
        <w:spacing w:line="360" w:lineRule="auto"/>
        <w:ind w:firstLine="480" w:firstLineChars="200"/>
        <w:rPr>
          <w:color w:val="auto"/>
          <w:sz w:val="24"/>
          <w:highlight w:val="none"/>
        </w:rPr>
      </w:pPr>
      <w:r>
        <w:rPr>
          <w:color w:val="auto"/>
          <w:sz w:val="24"/>
          <w:highlight w:val="none"/>
        </w:rPr>
        <w:t>2.采购代理机构信息</w:t>
      </w:r>
    </w:p>
    <w:p w14:paraId="01418E9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名    称：</w:t>
      </w:r>
      <w:r>
        <w:rPr>
          <w:rFonts w:hint="eastAsia" w:cs="Times New Roman"/>
          <w:color w:val="auto"/>
          <w:sz w:val="24"/>
          <w:highlight w:val="none"/>
          <w:lang w:eastAsia="zh-CN"/>
        </w:rPr>
        <w:t>广西创佳项目管理有限公司</w:t>
      </w:r>
      <w:r>
        <w:rPr>
          <w:rFonts w:hint="default" w:ascii="Times New Roman" w:hAnsi="Times New Roman" w:eastAsia="宋体" w:cs="Times New Roman"/>
          <w:color w:val="auto"/>
          <w:sz w:val="24"/>
          <w:highlight w:val="none"/>
        </w:rPr>
        <w:t>　</w:t>
      </w:r>
    </w:p>
    <w:p w14:paraId="1DB56C4E">
      <w:pPr>
        <w:spacing w:line="360" w:lineRule="auto"/>
        <w:ind w:firstLine="480" w:firstLineChars="200"/>
        <w:rPr>
          <w:rFonts w:hint="eastAsia" w:eastAsia="宋体"/>
          <w:color w:val="auto"/>
          <w:sz w:val="24"/>
          <w:highlight w:val="none"/>
          <w:lang w:eastAsia="zh-CN"/>
        </w:rPr>
      </w:pPr>
      <w:r>
        <w:rPr>
          <w:rFonts w:hint="default" w:ascii="Times New Roman" w:hAnsi="Times New Roman" w:eastAsia="宋体" w:cs="Times New Roman"/>
          <w:color w:val="auto"/>
          <w:sz w:val="24"/>
          <w:highlight w:val="none"/>
        </w:rPr>
        <w:t>地　　址：</w:t>
      </w:r>
      <w:r>
        <w:rPr>
          <w:rFonts w:hint="eastAsia" w:ascii="Times New Roman" w:hAnsi="Times New Roman" w:eastAsia="宋体" w:cs="Times New Roman"/>
          <w:color w:val="auto"/>
          <w:sz w:val="24"/>
          <w:highlight w:val="none"/>
          <w:lang w:val="en-US" w:eastAsia="zh-CN"/>
        </w:rPr>
        <w:t>桂平市政务服务中心后面</w:t>
      </w:r>
    </w:p>
    <w:p w14:paraId="3A14C9E2">
      <w:pPr>
        <w:spacing w:line="380" w:lineRule="exact"/>
        <w:ind w:firstLine="475" w:firstLineChars="198"/>
        <w:jc w:val="both"/>
        <w:rPr>
          <w:rFonts w:ascii="宋体" w:hAnsi="宋体" w:cs="宋体"/>
          <w:b/>
          <w:color w:val="auto"/>
          <w:sz w:val="32"/>
          <w:szCs w:val="32"/>
          <w:highlight w:val="none"/>
        </w:rPr>
      </w:pPr>
      <w:r>
        <w:rPr>
          <w:color w:val="auto"/>
          <w:sz w:val="24"/>
          <w:highlight w:val="none"/>
        </w:rPr>
        <w:t>项目联系人：</w:t>
      </w:r>
      <w:r>
        <w:rPr>
          <w:rFonts w:hint="eastAsia"/>
          <w:color w:val="auto"/>
          <w:sz w:val="24"/>
          <w:highlight w:val="none"/>
          <w:lang w:val="en-US" w:eastAsia="zh-CN"/>
        </w:rPr>
        <w:t>覃骞稼</w:t>
      </w:r>
      <w:r>
        <w:rPr>
          <w:rFonts w:hint="eastAsia"/>
          <w:color w:val="auto"/>
          <w:sz w:val="24"/>
          <w:highlight w:val="none"/>
          <w:lang w:eastAsia="zh-CN"/>
        </w:rPr>
        <w:t>、</w:t>
      </w:r>
      <w:r>
        <w:rPr>
          <w:rFonts w:hint="eastAsia"/>
          <w:color w:val="auto"/>
          <w:sz w:val="24"/>
          <w:highlight w:val="none"/>
          <w:lang w:val="en-US" w:eastAsia="zh-CN"/>
        </w:rPr>
        <w:t>唐维平</w:t>
      </w:r>
      <w:r>
        <w:rPr>
          <w:color w:val="auto"/>
          <w:sz w:val="24"/>
          <w:highlight w:val="none"/>
        </w:rPr>
        <w:t>　</w:t>
      </w:r>
      <w:r>
        <w:rPr>
          <w:rFonts w:hint="eastAsia"/>
          <w:color w:val="auto"/>
          <w:sz w:val="24"/>
          <w:highlight w:val="none"/>
          <w:lang w:val="en-US" w:eastAsia="zh-CN"/>
        </w:rPr>
        <w:t xml:space="preserve"> </w:t>
      </w:r>
      <w:r>
        <w:rPr>
          <w:color w:val="auto"/>
          <w:sz w:val="24"/>
          <w:highlight w:val="none"/>
        </w:rPr>
        <w:t>项目联系方式：</w:t>
      </w:r>
      <w:r>
        <w:rPr>
          <w:rFonts w:hint="eastAsia"/>
          <w:color w:val="auto"/>
          <w:sz w:val="24"/>
          <w:highlight w:val="none"/>
          <w:lang w:val="en-US" w:eastAsia="zh-CN"/>
        </w:rPr>
        <w:t>0775-3360111</w:t>
      </w:r>
    </w:p>
    <w:p w14:paraId="3992F59C">
      <w:pPr>
        <w:spacing w:line="380" w:lineRule="exact"/>
        <w:ind w:firstLine="315" w:firstLineChars="98"/>
        <w:jc w:val="center"/>
        <w:rPr>
          <w:rFonts w:ascii="宋体" w:hAnsi="宋体" w:cs="宋体"/>
          <w:b/>
          <w:color w:val="auto"/>
          <w:sz w:val="32"/>
          <w:szCs w:val="32"/>
          <w:highlight w:val="none"/>
        </w:rPr>
        <w:sectPr>
          <w:footerReference r:id="rId8" w:type="default"/>
          <w:pgSz w:w="11906" w:h="16838"/>
          <w:pgMar w:top="1440" w:right="1230" w:bottom="1440" w:left="1440" w:header="851" w:footer="992" w:gutter="0"/>
          <w:cols w:space="720" w:num="1"/>
          <w:docGrid w:type="lines" w:linePitch="312" w:charSpace="0"/>
        </w:sectPr>
      </w:pPr>
    </w:p>
    <w:p w14:paraId="511FDDFC">
      <w:pPr>
        <w:pStyle w:val="2"/>
        <w:rPr>
          <w:rFonts w:ascii="宋体" w:hAnsi="宋体" w:cs="宋体"/>
          <w:color w:val="auto"/>
          <w:highlight w:val="none"/>
        </w:rPr>
      </w:pPr>
      <w:bookmarkStart w:id="37" w:name="_Toc24075"/>
      <w:r>
        <w:rPr>
          <w:rFonts w:hint="eastAsia" w:ascii="宋体" w:hAnsi="宋体" w:cs="宋体"/>
          <w:color w:val="auto"/>
          <w:highlight w:val="none"/>
        </w:rPr>
        <w:t>第二章 磋商须知及前附表</w:t>
      </w:r>
      <w:bookmarkEnd w:id="37"/>
    </w:p>
    <w:p w14:paraId="392584EB">
      <w:pPr>
        <w:jc w:val="center"/>
        <w:rPr>
          <w:rFonts w:ascii="宋体" w:hAnsi="宋体" w:cs="宋体"/>
          <w:color w:val="auto"/>
          <w:szCs w:val="21"/>
          <w:highlight w:val="none"/>
        </w:rPr>
      </w:pPr>
      <w:bookmarkStart w:id="38" w:name="_Toc398217949"/>
      <w:r>
        <w:rPr>
          <w:rFonts w:hint="eastAsia" w:ascii="宋体" w:hAnsi="宋体" w:cs="宋体"/>
          <w:b/>
          <w:color w:val="auto"/>
          <w:sz w:val="28"/>
          <w:szCs w:val="28"/>
          <w:highlight w:val="none"/>
        </w:rPr>
        <w:t>前附表</w:t>
      </w:r>
      <w:bookmarkEnd w:id="38"/>
    </w:p>
    <w:tbl>
      <w:tblPr>
        <w:tblStyle w:val="49"/>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862"/>
      </w:tblGrid>
      <w:tr w14:paraId="1617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6" w:type="dxa"/>
            <w:vAlign w:val="center"/>
          </w:tcPr>
          <w:p w14:paraId="095A6917">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45" w:type="dxa"/>
            <w:vAlign w:val="center"/>
          </w:tcPr>
          <w:p w14:paraId="159C7962">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862" w:type="dxa"/>
            <w:vAlign w:val="center"/>
          </w:tcPr>
          <w:p w14:paraId="270E0BAE">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内    容</w:t>
            </w:r>
          </w:p>
        </w:tc>
      </w:tr>
      <w:tr w14:paraId="1D89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1098C0E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945" w:type="dxa"/>
            <w:vAlign w:val="center"/>
          </w:tcPr>
          <w:p w14:paraId="3B596BD2">
            <w:pPr>
              <w:spacing w:line="400" w:lineRule="exact"/>
              <w:jc w:val="center"/>
              <w:rPr>
                <w:rFonts w:ascii="宋体" w:hAnsi="宋体" w:cs="宋体"/>
                <w:b/>
                <w:color w:val="auto"/>
                <w:sz w:val="24"/>
                <w:highlight w:val="none"/>
              </w:rPr>
            </w:pPr>
          </w:p>
        </w:tc>
        <w:tc>
          <w:tcPr>
            <w:tcW w:w="7862" w:type="dxa"/>
            <w:vAlign w:val="center"/>
          </w:tcPr>
          <w:p w14:paraId="7E25F010">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lang w:eastAsia="zh-CN"/>
              </w:rPr>
              <w:t>2025年桂平市居家和社区基本养老服务提升行动项目</w:t>
            </w:r>
          </w:p>
          <w:p w14:paraId="17231678">
            <w:pPr>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GGZC2025-C3-810172-GXCJ</w:t>
            </w:r>
          </w:p>
        </w:tc>
      </w:tr>
      <w:tr w14:paraId="732D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7496A32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945" w:type="dxa"/>
            <w:vAlign w:val="center"/>
          </w:tcPr>
          <w:p w14:paraId="6F69363C">
            <w:pPr>
              <w:spacing w:line="400" w:lineRule="exact"/>
              <w:jc w:val="center"/>
              <w:rPr>
                <w:rFonts w:ascii="宋体" w:hAnsi="宋体" w:cs="宋体"/>
                <w:b/>
                <w:color w:val="auto"/>
                <w:sz w:val="24"/>
                <w:highlight w:val="none"/>
              </w:rPr>
            </w:pPr>
            <w:r>
              <w:rPr>
                <w:rFonts w:hint="eastAsia" w:ascii="宋体" w:hAnsi="宋体" w:cs="宋体"/>
                <w:color w:val="auto"/>
                <w:sz w:val="24"/>
                <w:highlight w:val="none"/>
              </w:rPr>
              <w:t>2.1</w:t>
            </w:r>
          </w:p>
        </w:tc>
        <w:tc>
          <w:tcPr>
            <w:tcW w:w="7862" w:type="dxa"/>
            <w:vAlign w:val="center"/>
          </w:tcPr>
          <w:p w14:paraId="58407E19">
            <w:pPr>
              <w:spacing w:line="360" w:lineRule="auto"/>
              <w:rPr>
                <w:rFonts w:ascii="宋体" w:hAnsi="宋体" w:cs="宋体"/>
                <w:b/>
                <w:color w:val="auto"/>
                <w:sz w:val="24"/>
                <w:highlight w:val="none"/>
              </w:rPr>
            </w:pPr>
            <w:r>
              <w:rPr>
                <w:rFonts w:hint="eastAsia" w:ascii="宋体" w:hAnsi="宋体" w:cs="宋体"/>
                <w:b/>
                <w:color w:val="auto"/>
                <w:sz w:val="24"/>
                <w:highlight w:val="none"/>
              </w:rPr>
              <w:t>供应商资格：</w:t>
            </w:r>
          </w:p>
          <w:p w14:paraId="42DC61A4">
            <w:pPr>
              <w:spacing w:line="360" w:lineRule="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B5942B4">
            <w:pPr>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7C3699BA">
            <w:pPr>
              <w:pStyle w:val="32"/>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341795AB">
            <w:pPr>
              <w:pStyle w:val="32"/>
              <w:spacing w:line="360" w:lineRule="auto"/>
              <w:rPr>
                <w:rFonts w:ascii="宋体" w:hAnsi="宋体" w:cs="宋体"/>
                <w:color w:val="auto"/>
                <w:highlight w:val="none"/>
              </w:rPr>
            </w:pPr>
            <w:r>
              <w:rPr>
                <w:rFonts w:hint="eastAsia" w:ascii="宋体" w:hAnsi="宋体" w:cs="宋体"/>
                <w:color w:val="auto"/>
                <w:sz w:val="24"/>
                <w:highlight w:val="none"/>
              </w:rPr>
              <w:t>4.</w:t>
            </w:r>
            <w:r>
              <w:rPr>
                <w:rFonts w:hint="eastAsia" w:ascii="宋体" w:hAnsi="宋体" w:cs="宋体"/>
                <w:color w:val="auto"/>
                <w:sz w:val="24"/>
                <w:szCs w:val="24"/>
                <w:highlight w:val="none"/>
              </w:rPr>
              <w:t>其他要求：</w:t>
            </w:r>
          </w:p>
        </w:tc>
      </w:tr>
      <w:tr w14:paraId="7D2E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2D08017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45" w:type="dxa"/>
            <w:vAlign w:val="center"/>
          </w:tcPr>
          <w:p w14:paraId="07809FD6">
            <w:pPr>
              <w:spacing w:line="400" w:lineRule="exact"/>
              <w:jc w:val="center"/>
              <w:rPr>
                <w:rFonts w:ascii="宋体" w:hAnsi="宋体" w:cs="宋体"/>
                <w:color w:val="auto"/>
                <w:sz w:val="24"/>
                <w:highlight w:val="none"/>
              </w:rPr>
            </w:pPr>
          </w:p>
        </w:tc>
        <w:tc>
          <w:tcPr>
            <w:tcW w:w="7862" w:type="dxa"/>
            <w:vAlign w:val="center"/>
          </w:tcPr>
          <w:p w14:paraId="0562679F">
            <w:pPr>
              <w:pStyle w:val="27"/>
              <w:spacing w:line="400" w:lineRule="exact"/>
              <w:rPr>
                <w:rFonts w:hAnsi="宋体" w:cs="宋体"/>
                <w:color w:val="auto"/>
                <w:sz w:val="24"/>
                <w:highlight w:val="none"/>
              </w:rPr>
            </w:pPr>
            <w:r>
              <w:rPr>
                <w:rFonts w:hint="eastAsia" w:hAnsi="宋体" w:cs="宋体"/>
                <w:b/>
                <w:color w:val="auto"/>
                <w:sz w:val="24"/>
                <w:szCs w:val="24"/>
                <w:highlight w:val="none"/>
              </w:rPr>
              <w:t>磋商报价：</w:t>
            </w:r>
            <w:r>
              <w:rPr>
                <w:rFonts w:hint="eastAsia" w:hAnsi="宋体" w:cs="宋体"/>
                <w:color w:val="auto"/>
                <w:sz w:val="24"/>
                <w:szCs w:val="24"/>
                <w:highlight w:val="none"/>
              </w:rPr>
              <w:t>供应商须就</w:t>
            </w:r>
            <w:r>
              <w:rPr>
                <w:rFonts w:hint="eastAsia" w:hAnsi="宋体" w:cs="宋体"/>
                <w:bCs/>
                <w:color w:val="auto"/>
                <w:sz w:val="24"/>
                <w:szCs w:val="24"/>
                <w:highlight w:val="none"/>
              </w:rPr>
              <w:t>《项目需求》</w:t>
            </w:r>
            <w:r>
              <w:rPr>
                <w:rFonts w:hint="eastAsia" w:hAnsi="宋体" w:cs="宋体"/>
                <w:color w:val="auto"/>
                <w:sz w:val="24"/>
                <w:szCs w:val="24"/>
                <w:highlight w:val="none"/>
              </w:rPr>
              <w:t>中的全部</w:t>
            </w:r>
            <w:r>
              <w:rPr>
                <w:rFonts w:hint="eastAsia" w:hAnsi="宋体" w:cs="宋体"/>
                <w:bCs/>
                <w:color w:val="auto"/>
                <w:sz w:val="24"/>
                <w:szCs w:val="24"/>
                <w:highlight w:val="none"/>
              </w:rPr>
              <w:t>服务内容作完整唯一报价。</w:t>
            </w:r>
          </w:p>
        </w:tc>
      </w:tr>
      <w:tr w14:paraId="5DDC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26" w:type="dxa"/>
            <w:vAlign w:val="center"/>
          </w:tcPr>
          <w:p w14:paraId="4EBB9E9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45" w:type="dxa"/>
            <w:vAlign w:val="center"/>
          </w:tcPr>
          <w:p w14:paraId="3AACB6C4">
            <w:pPr>
              <w:spacing w:line="400" w:lineRule="exact"/>
              <w:jc w:val="center"/>
              <w:rPr>
                <w:rFonts w:ascii="宋体" w:hAnsi="宋体" w:cs="宋体"/>
                <w:color w:val="auto"/>
                <w:sz w:val="24"/>
                <w:highlight w:val="none"/>
              </w:rPr>
            </w:pPr>
          </w:p>
        </w:tc>
        <w:tc>
          <w:tcPr>
            <w:tcW w:w="7862" w:type="dxa"/>
            <w:vAlign w:val="center"/>
          </w:tcPr>
          <w:p w14:paraId="60F9E503">
            <w:pPr>
              <w:spacing w:line="320" w:lineRule="exact"/>
              <w:textAlignment w:val="baseline"/>
              <w:rPr>
                <w:rFonts w:ascii="宋体" w:hAnsi="宋体" w:cs="宋体"/>
                <w:color w:val="auto"/>
                <w:sz w:val="24"/>
                <w:highlight w:val="none"/>
              </w:rPr>
            </w:pPr>
            <w:r>
              <w:rPr>
                <w:rFonts w:hint="eastAsia" w:ascii="宋体" w:hAnsi="宋体" w:cs="宋体"/>
                <w:b/>
                <w:bCs/>
                <w:color w:val="auto"/>
                <w:sz w:val="24"/>
                <w:highlight w:val="none"/>
              </w:rPr>
              <w:t>总预算金额</w:t>
            </w:r>
            <w:r>
              <w:rPr>
                <w:rFonts w:hint="eastAsia" w:ascii="宋体" w:hAnsi="宋体" w:cs="宋体"/>
                <w:color w:val="auto"/>
                <w:sz w:val="24"/>
                <w:highlight w:val="none"/>
              </w:rPr>
              <w:t>（人民币）：贰佰陆拾陆万贰仟元整（2662000.00元）</w:t>
            </w:r>
          </w:p>
          <w:p w14:paraId="682F0316">
            <w:pPr>
              <w:spacing w:line="320" w:lineRule="exact"/>
              <w:textAlignment w:val="baseline"/>
              <w:rPr>
                <w:rFonts w:ascii="宋体" w:hAnsi="宋体" w:cs="宋体"/>
                <w:color w:val="auto"/>
                <w:sz w:val="24"/>
                <w:highlight w:val="none"/>
              </w:rPr>
            </w:pPr>
            <w:r>
              <w:rPr>
                <w:rFonts w:hint="eastAsia" w:ascii="宋体" w:hAnsi="宋体" w:cs="宋体"/>
                <w:color w:val="auto"/>
                <w:sz w:val="24"/>
                <w:highlight w:val="none"/>
              </w:rPr>
              <w:t>其中：A分标：</w:t>
            </w:r>
            <w:r>
              <w:rPr>
                <w:rFonts w:hint="eastAsia" w:ascii="宋体" w:hAnsi="宋体" w:cs="宋体"/>
                <w:bCs/>
                <w:color w:val="auto"/>
                <w:sz w:val="24"/>
                <w:highlight w:val="none"/>
              </w:rPr>
              <w:t>975000</w:t>
            </w:r>
            <w:r>
              <w:rPr>
                <w:rFonts w:hint="eastAsia" w:ascii="宋体" w:hAnsi="宋体" w:cs="宋体"/>
                <w:color w:val="auto"/>
                <w:sz w:val="24"/>
                <w:highlight w:val="none"/>
              </w:rPr>
              <w:t>.00元；B分标：</w:t>
            </w:r>
            <w:r>
              <w:rPr>
                <w:rFonts w:hint="eastAsia" w:ascii="宋体" w:hAnsi="宋体" w:cs="宋体"/>
                <w:bCs/>
                <w:color w:val="auto"/>
                <w:sz w:val="24"/>
                <w:highlight w:val="none"/>
              </w:rPr>
              <w:t>957000.00元；</w:t>
            </w:r>
            <w:r>
              <w:rPr>
                <w:rFonts w:hint="eastAsia" w:ascii="宋体" w:hAnsi="宋体" w:cs="宋体"/>
                <w:color w:val="auto"/>
                <w:sz w:val="24"/>
                <w:highlight w:val="none"/>
              </w:rPr>
              <w:t>C分标：730000.00元；</w:t>
            </w:r>
          </w:p>
          <w:p w14:paraId="1BFF1379">
            <w:pPr>
              <w:pStyle w:val="27"/>
              <w:spacing w:line="400" w:lineRule="exact"/>
              <w:rPr>
                <w:rFonts w:hAnsi="宋体" w:cs="宋体"/>
                <w:color w:val="auto"/>
                <w:sz w:val="24"/>
                <w:szCs w:val="24"/>
                <w:highlight w:val="none"/>
              </w:rPr>
            </w:pPr>
            <w:r>
              <w:rPr>
                <w:rFonts w:hint="eastAsia" w:hAnsi="宋体" w:cs="宋体"/>
                <w:color w:val="auto"/>
                <w:sz w:val="24"/>
                <w:szCs w:val="24"/>
                <w:highlight w:val="none"/>
              </w:rPr>
              <w:t>最终报价超过总采购预算金额（或分标采购预算）的，响应文件作无效处理。</w:t>
            </w:r>
          </w:p>
        </w:tc>
      </w:tr>
      <w:tr w14:paraId="7C66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vAlign w:val="center"/>
          </w:tcPr>
          <w:p w14:paraId="0C7994A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945" w:type="dxa"/>
            <w:vAlign w:val="center"/>
          </w:tcPr>
          <w:p w14:paraId="3254D28D">
            <w:pPr>
              <w:spacing w:line="400" w:lineRule="exact"/>
              <w:jc w:val="center"/>
              <w:rPr>
                <w:rFonts w:ascii="宋体" w:hAnsi="宋体" w:cs="宋体"/>
                <w:color w:val="auto"/>
                <w:sz w:val="24"/>
                <w:highlight w:val="none"/>
              </w:rPr>
            </w:pPr>
          </w:p>
        </w:tc>
        <w:tc>
          <w:tcPr>
            <w:tcW w:w="7862" w:type="dxa"/>
            <w:vAlign w:val="center"/>
          </w:tcPr>
          <w:p w14:paraId="548C7078">
            <w:pPr>
              <w:pStyle w:val="27"/>
              <w:spacing w:line="400" w:lineRule="exact"/>
              <w:rPr>
                <w:rFonts w:hAnsi="宋体" w:cs="宋体"/>
                <w:b/>
                <w:color w:val="auto"/>
                <w:sz w:val="24"/>
                <w:szCs w:val="24"/>
                <w:highlight w:val="none"/>
              </w:rPr>
            </w:pPr>
            <w:r>
              <w:rPr>
                <w:rFonts w:hint="eastAsia" w:hAnsi="宋体" w:cs="宋体"/>
                <w:b/>
                <w:color w:val="auto"/>
                <w:sz w:val="24"/>
                <w:szCs w:val="24"/>
                <w:highlight w:val="none"/>
              </w:rPr>
              <w:t>资金来源：</w:t>
            </w:r>
            <w:r>
              <w:rPr>
                <w:rFonts w:hint="eastAsia" w:hAnsi="宋体" w:cs="宋体"/>
                <w:bCs/>
                <w:color w:val="auto"/>
                <w:sz w:val="24"/>
                <w:szCs w:val="24"/>
                <w:highlight w:val="none"/>
              </w:rPr>
              <w:t>政府性基金预算资金</w:t>
            </w:r>
            <w:r>
              <w:rPr>
                <w:rFonts w:hint="eastAsia" w:hAnsi="宋体" w:cs="宋体"/>
                <w:b/>
                <w:color w:val="auto"/>
                <w:sz w:val="24"/>
                <w:szCs w:val="24"/>
                <w:highlight w:val="none"/>
              </w:rPr>
              <w:t>。</w:t>
            </w:r>
          </w:p>
        </w:tc>
      </w:tr>
      <w:tr w14:paraId="5A23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6" w:type="dxa"/>
            <w:vAlign w:val="center"/>
          </w:tcPr>
          <w:p w14:paraId="57CF51B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945" w:type="dxa"/>
            <w:vAlign w:val="center"/>
          </w:tcPr>
          <w:p w14:paraId="3B4BAC63">
            <w:pPr>
              <w:spacing w:line="400" w:lineRule="exact"/>
              <w:jc w:val="center"/>
              <w:rPr>
                <w:rFonts w:ascii="宋体" w:hAnsi="宋体" w:cs="宋体"/>
                <w:color w:val="auto"/>
                <w:sz w:val="24"/>
                <w:highlight w:val="none"/>
              </w:rPr>
            </w:pPr>
          </w:p>
        </w:tc>
        <w:tc>
          <w:tcPr>
            <w:tcW w:w="7862" w:type="dxa"/>
            <w:vAlign w:val="center"/>
          </w:tcPr>
          <w:p w14:paraId="3CBCDD8B">
            <w:pPr>
              <w:spacing w:line="400" w:lineRule="exact"/>
              <w:rPr>
                <w:rFonts w:ascii="宋体" w:hAnsi="宋体" w:cs="宋体"/>
                <w:b/>
                <w:color w:val="auto"/>
                <w:sz w:val="24"/>
                <w:highlight w:val="none"/>
              </w:rPr>
            </w:pPr>
            <w:r>
              <w:rPr>
                <w:rFonts w:hint="eastAsia" w:ascii="宋体" w:hAnsi="宋体" w:cs="宋体"/>
                <w:b/>
                <w:color w:val="auto"/>
                <w:sz w:val="24"/>
                <w:highlight w:val="none"/>
              </w:rPr>
              <w:t>磋商有效期：</w:t>
            </w:r>
            <w:r>
              <w:rPr>
                <w:rFonts w:hint="eastAsia" w:ascii="宋体" w:hAnsi="宋体" w:cs="宋体"/>
                <w:color w:val="auto"/>
                <w:sz w:val="24"/>
                <w:highlight w:val="none"/>
              </w:rPr>
              <w:t>磋商截止之日起</w:t>
            </w:r>
            <w:r>
              <w:rPr>
                <w:rFonts w:hint="eastAsia" w:ascii="宋体" w:hAnsi="宋体" w:cs="宋体"/>
                <w:color w:val="auto"/>
                <w:sz w:val="24"/>
                <w:highlight w:val="none"/>
                <w:u w:val="single"/>
              </w:rPr>
              <w:t>60</w:t>
            </w:r>
            <w:r>
              <w:rPr>
                <w:rFonts w:hint="eastAsia" w:ascii="宋体" w:hAnsi="宋体" w:cs="宋体"/>
                <w:color w:val="auto"/>
                <w:sz w:val="24"/>
                <w:highlight w:val="none"/>
              </w:rPr>
              <w:t>天内。</w:t>
            </w:r>
          </w:p>
        </w:tc>
      </w:tr>
      <w:tr w14:paraId="3381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26" w:type="dxa"/>
            <w:vAlign w:val="center"/>
          </w:tcPr>
          <w:p w14:paraId="5D84865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945" w:type="dxa"/>
            <w:vAlign w:val="center"/>
          </w:tcPr>
          <w:p w14:paraId="45CEE74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12.2.2</w:t>
            </w:r>
          </w:p>
        </w:tc>
        <w:tc>
          <w:tcPr>
            <w:tcW w:w="7862" w:type="dxa"/>
            <w:vAlign w:val="center"/>
          </w:tcPr>
          <w:p w14:paraId="34522E0E">
            <w:pPr>
              <w:pStyle w:val="27"/>
              <w:spacing w:line="400" w:lineRule="exact"/>
              <w:rPr>
                <w:rFonts w:hAnsi="宋体" w:cs="宋体"/>
                <w:b/>
                <w:bCs/>
                <w:color w:val="auto"/>
                <w:sz w:val="24"/>
                <w:szCs w:val="24"/>
                <w:highlight w:val="none"/>
              </w:rPr>
            </w:pPr>
            <w:r>
              <w:rPr>
                <w:rFonts w:hint="eastAsia" w:hAnsi="宋体" w:cs="宋体"/>
                <w:b/>
                <w:bCs/>
                <w:color w:val="auto"/>
                <w:sz w:val="24"/>
                <w:szCs w:val="24"/>
                <w:highlight w:val="none"/>
              </w:rPr>
              <w:t>信用查询：</w:t>
            </w:r>
          </w:p>
          <w:p w14:paraId="637BD5F1">
            <w:pPr>
              <w:pStyle w:val="27"/>
              <w:spacing w:line="42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采购人或代理机构对供应商资格审查时进行信用查询）；</w:t>
            </w:r>
          </w:p>
          <w:p w14:paraId="6ACB0D4B">
            <w:pPr>
              <w:pStyle w:val="27"/>
              <w:spacing w:line="42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(1)查询渠道：“信用中国”网站(www.creditchina.gov.cn)、中国政府采购网(www.ccgp.gov.cn)等；</w:t>
            </w:r>
          </w:p>
          <w:p w14:paraId="2EB36BF2">
            <w:pPr>
              <w:pStyle w:val="27"/>
              <w:spacing w:line="42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(2)查询起止时间：投标截止时间前三年内。</w:t>
            </w:r>
          </w:p>
          <w:p w14:paraId="5D12D91B">
            <w:pPr>
              <w:pStyle w:val="27"/>
              <w:spacing w:line="42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(3)查询记录和证据留存方式：由代理公司开标后在查询网站中直接打印查询记录，打印材料作为评审资料保存。</w:t>
            </w:r>
          </w:p>
          <w:p w14:paraId="1BCA8369">
            <w:pPr>
              <w:pStyle w:val="27"/>
              <w:spacing w:line="420" w:lineRule="exact"/>
              <w:ind w:firstLine="480" w:firstLineChars="200"/>
              <w:rPr>
                <w:rFonts w:hAnsi="宋体" w:cs="宋体"/>
                <w:color w:val="auto"/>
                <w:sz w:val="24"/>
                <w:highlight w:val="none"/>
              </w:rPr>
            </w:pPr>
            <w:r>
              <w:rPr>
                <w:rFonts w:hint="eastAsia" w:hAnsi="宋体" w:cs="宋体"/>
                <w:bCs/>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14:paraId="2C03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26" w:type="dxa"/>
            <w:vAlign w:val="center"/>
          </w:tcPr>
          <w:p w14:paraId="6502888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945" w:type="dxa"/>
            <w:vAlign w:val="center"/>
          </w:tcPr>
          <w:p w14:paraId="5D2FCC6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14.1</w:t>
            </w:r>
          </w:p>
        </w:tc>
        <w:tc>
          <w:tcPr>
            <w:tcW w:w="7862" w:type="dxa"/>
            <w:vAlign w:val="center"/>
          </w:tcPr>
          <w:p w14:paraId="438956A4">
            <w:pPr>
              <w:spacing w:line="400" w:lineRule="exact"/>
              <w:rPr>
                <w:rFonts w:ascii="宋体" w:hAnsi="宋体" w:cs="宋体"/>
                <w:bCs/>
                <w:color w:val="auto"/>
                <w:sz w:val="24"/>
                <w:highlight w:val="none"/>
              </w:rPr>
            </w:pPr>
            <w:r>
              <w:rPr>
                <w:rFonts w:hint="eastAsia" w:ascii="宋体" w:hAnsi="宋体" w:cs="宋体"/>
                <w:color w:val="auto"/>
                <w:sz w:val="24"/>
                <w:highlight w:val="none"/>
              </w:rPr>
              <w:t>磋商文件份数为：电子版一份。</w:t>
            </w:r>
          </w:p>
        </w:tc>
      </w:tr>
      <w:tr w14:paraId="4E4A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6" w:type="dxa"/>
            <w:vAlign w:val="center"/>
          </w:tcPr>
          <w:p w14:paraId="6C8E409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945" w:type="dxa"/>
            <w:vAlign w:val="center"/>
          </w:tcPr>
          <w:p w14:paraId="3324AFE5">
            <w:pPr>
              <w:spacing w:line="400" w:lineRule="exact"/>
              <w:jc w:val="center"/>
              <w:rPr>
                <w:rFonts w:ascii="宋体" w:hAnsi="宋体" w:cs="宋体"/>
                <w:color w:val="auto"/>
                <w:sz w:val="24"/>
                <w:highlight w:val="none"/>
              </w:rPr>
            </w:pPr>
          </w:p>
        </w:tc>
        <w:tc>
          <w:tcPr>
            <w:tcW w:w="7862" w:type="dxa"/>
            <w:vAlign w:val="center"/>
          </w:tcPr>
          <w:p w14:paraId="33B15269">
            <w:pPr>
              <w:adjustRightInd w:val="0"/>
              <w:spacing w:line="380" w:lineRule="exact"/>
              <w:textAlignment w:val="baseline"/>
              <w:rPr>
                <w:rFonts w:ascii="宋体" w:hAnsi="宋体" w:cs="宋体"/>
                <w:color w:val="auto"/>
                <w:sz w:val="24"/>
                <w:highlight w:val="none"/>
              </w:rPr>
            </w:pPr>
            <w:r>
              <w:rPr>
                <w:rFonts w:hint="eastAsia" w:ascii="宋体" w:hAnsi="宋体" w:cs="宋体"/>
                <w:color w:val="auto"/>
                <w:kern w:val="0"/>
                <w:sz w:val="24"/>
                <w:highlight w:val="none"/>
              </w:rPr>
              <w:t>磋商响应文件递交截止时间：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15时3</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分</w:t>
            </w:r>
            <w:r>
              <w:rPr>
                <w:rFonts w:hint="eastAsia" w:ascii="宋体" w:hAnsi="宋体" w:cs="宋体"/>
                <w:color w:val="auto"/>
                <w:kern w:val="0"/>
                <w:sz w:val="24"/>
                <w:highlight w:val="none"/>
              </w:rPr>
              <w:t>前将电子磋商响应文件上传到广西政府采购云平台。应按照本项目竞争性磋商采购文件和广西政府采购云平台的要求编制、加密传输磋商响应文件。供应商在使用系统进行投标的过程中遇到涉及平台使用的任何问题，可致电广西政府采购云平台技术支持热线咨询，联系方式：95763。</w:t>
            </w:r>
          </w:p>
          <w:p w14:paraId="596E0D32">
            <w:pPr>
              <w:adjustRightInd w:val="0"/>
              <w:spacing w:line="380" w:lineRule="exact"/>
              <w:textAlignment w:val="baseline"/>
              <w:rPr>
                <w:rFonts w:ascii="宋体" w:hAnsi="宋体" w:cs="宋体"/>
                <w:color w:val="auto"/>
                <w:sz w:val="24"/>
                <w:highlight w:val="none"/>
              </w:rPr>
            </w:pPr>
            <w:r>
              <w:rPr>
                <w:rFonts w:hint="eastAsia" w:ascii="宋体" w:hAnsi="宋体" w:cs="宋体"/>
                <w:color w:val="auto"/>
                <w:kern w:val="0"/>
                <w:sz w:val="24"/>
                <w:highlight w:val="none"/>
              </w:rPr>
              <w:t>磋商响应文件递交地点：</w:t>
            </w:r>
            <w:r>
              <w:rPr>
                <w:rFonts w:hint="eastAsia" w:ascii="宋体" w:hAnsi="宋体" w:cs="宋体"/>
                <w:color w:val="auto"/>
                <w:sz w:val="24"/>
                <w:highlight w:val="none"/>
              </w:rPr>
              <w:t>通过广西政府采购云平台实行在线投标响应。</w:t>
            </w:r>
          </w:p>
        </w:tc>
      </w:tr>
      <w:tr w14:paraId="11D2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638FA82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945" w:type="dxa"/>
            <w:vAlign w:val="center"/>
          </w:tcPr>
          <w:p w14:paraId="168A6174">
            <w:pPr>
              <w:spacing w:line="400" w:lineRule="exact"/>
              <w:jc w:val="center"/>
              <w:rPr>
                <w:rFonts w:ascii="宋体" w:hAnsi="宋体" w:cs="宋体"/>
                <w:color w:val="auto"/>
                <w:sz w:val="24"/>
                <w:highlight w:val="none"/>
              </w:rPr>
            </w:pPr>
          </w:p>
        </w:tc>
        <w:tc>
          <w:tcPr>
            <w:tcW w:w="7862" w:type="dxa"/>
            <w:vAlign w:val="center"/>
          </w:tcPr>
          <w:p w14:paraId="00A54A44">
            <w:pPr>
              <w:pStyle w:val="27"/>
              <w:spacing w:line="400" w:lineRule="exact"/>
              <w:rPr>
                <w:rFonts w:hAnsi="宋体" w:cs="宋体"/>
                <w:bCs/>
                <w:color w:val="auto"/>
                <w:sz w:val="24"/>
                <w:szCs w:val="24"/>
                <w:highlight w:val="none"/>
              </w:rPr>
            </w:pPr>
            <w:r>
              <w:rPr>
                <w:rFonts w:hint="eastAsia" w:hAnsi="宋体" w:cs="宋体"/>
                <w:bCs/>
                <w:color w:val="auto"/>
                <w:sz w:val="24"/>
                <w:szCs w:val="24"/>
                <w:highlight w:val="none"/>
              </w:rPr>
              <w:t>磋商时</w:t>
            </w:r>
            <w:r>
              <w:rPr>
                <w:rFonts w:hint="eastAsia" w:hAnsi="宋体" w:cs="宋体"/>
                <w:color w:val="auto"/>
                <w:kern w:val="0"/>
                <w:sz w:val="24"/>
                <w:szCs w:val="24"/>
                <w:highlight w:val="none"/>
              </w:rPr>
              <w:t>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15时3</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分</w:t>
            </w:r>
            <w:r>
              <w:rPr>
                <w:rFonts w:hint="eastAsia" w:hAnsi="宋体" w:cs="宋体"/>
                <w:color w:val="auto"/>
                <w:kern w:val="0"/>
                <w:sz w:val="24"/>
                <w:szCs w:val="24"/>
                <w:highlight w:val="none"/>
              </w:rPr>
              <w:t>；</w:t>
            </w:r>
          </w:p>
          <w:p w14:paraId="6C91C5E2">
            <w:pPr>
              <w:pStyle w:val="27"/>
              <w:spacing w:line="400" w:lineRule="exact"/>
              <w:rPr>
                <w:rFonts w:hAnsi="宋体" w:cs="宋体"/>
                <w:color w:val="auto"/>
                <w:kern w:val="0"/>
                <w:sz w:val="24"/>
                <w:szCs w:val="24"/>
                <w:highlight w:val="none"/>
              </w:rPr>
            </w:pPr>
            <w:r>
              <w:rPr>
                <w:rFonts w:hint="eastAsia" w:hAnsi="宋体" w:cs="宋体"/>
                <w:bCs/>
                <w:color w:val="auto"/>
                <w:sz w:val="24"/>
                <w:szCs w:val="24"/>
                <w:highlight w:val="none"/>
              </w:rPr>
              <w:t>磋商地点：通过广西政府采购云平台实行在线解密开启。</w:t>
            </w:r>
          </w:p>
        </w:tc>
      </w:tr>
      <w:tr w14:paraId="215B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14:paraId="52CF86A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945" w:type="dxa"/>
            <w:vAlign w:val="center"/>
          </w:tcPr>
          <w:p w14:paraId="14F0B2E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33.1</w:t>
            </w:r>
          </w:p>
        </w:tc>
        <w:tc>
          <w:tcPr>
            <w:tcW w:w="7862" w:type="dxa"/>
            <w:vAlign w:val="center"/>
          </w:tcPr>
          <w:p w14:paraId="2712CBD7">
            <w:pPr>
              <w:spacing w:line="360" w:lineRule="auto"/>
              <w:rPr>
                <w:rFonts w:ascii="宋体" w:hAnsi="宋体" w:cs="宋体"/>
                <w:color w:val="auto"/>
                <w:sz w:val="24"/>
                <w:highlight w:val="none"/>
              </w:rPr>
            </w:pPr>
            <w:r>
              <w:rPr>
                <w:rFonts w:hint="eastAsia" w:ascii="宋体" w:hAnsi="宋体" w:cs="宋体"/>
                <w:b/>
                <w:color w:val="auto"/>
                <w:sz w:val="24"/>
                <w:szCs w:val="32"/>
                <w:highlight w:val="none"/>
              </w:rPr>
              <w:t>采购代理服务费</w:t>
            </w:r>
            <w:r>
              <w:rPr>
                <w:rFonts w:hint="eastAsia" w:ascii="宋体" w:hAnsi="宋体" w:cs="宋体"/>
                <w:color w:val="auto"/>
                <w:sz w:val="24"/>
                <w:szCs w:val="32"/>
                <w:highlight w:val="none"/>
              </w:rPr>
              <w:t>：采购</w:t>
            </w:r>
            <w:r>
              <w:rPr>
                <w:rFonts w:hint="eastAsia" w:ascii="宋体" w:hAnsi="宋体" w:cs="宋体"/>
                <w:color w:val="auto"/>
                <w:sz w:val="24"/>
                <w:highlight w:val="none"/>
              </w:rPr>
              <w:t>代理服务费将由招标代理机构按国家发展改革委《关于进一步放开建设项目专业服务价格的通知》发改价格〔2015〕299号文（服务类）执行。领取成交通知书前，成交人应向采购代理机构一次性付清采购代理服务费：</w:t>
            </w:r>
          </w:p>
          <w:p w14:paraId="7B4962FF">
            <w:pPr>
              <w:spacing w:line="360" w:lineRule="auto"/>
              <w:rPr>
                <w:rFonts w:ascii="宋体" w:hAnsi="宋体" w:cs="宋体"/>
                <w:color w:val="auto"/>
                <w:sz w:val="24"/>
                <w:highlight w:val="none"/>
              </w:rPr>
            </w:pPr>
            <w:r>
              <w:rPr>
                <w:rFonts w:hint="eastAsia" w:ascii="宋体" w:hAnsi="宋体" w:cs="宋体"/>
                <w:color w:val="auto"/>
                <w:sz w:val="24"/>
                <w:highlight w:val="none"/>
              </w:rPr>
              <w:t>A分标代理服务费为：人民币壹万肆仟陆佰贰拾伍元整（¥14625.00元）；</w:t>
            </w:r>
          </w:p>
          <w:p w14:paraId="747B43CA">
            <w:pPr>
              <w:spacing w:line="360" w:lineRule="auto"/>
              <w:rPr>
                <w:rFonts w:ascii="宋体" w:hAnsi="宋体" w:cs="宋体"/>
                <w:color w:val="auto"/>
                <w:sz w:val="24"/>
                <w:highlight w:val="none"/>
              </w:rPr>
            </w:pPr>
            <w:r>
              <w:rPr>
                <w:rFonts w:hint="eastAsia" w:ascii="宋体" w:hAnsi="宋体" w:cs="宋体"/>
                <w:color w:val="auto"/>
                <w:sz w:val="24"/>
                <w:highlight w:val="none"/>
              </w:rPr>
              <w:t>B分标代理服务费为：人民币壹万肆仟叁佰伍拾伍元整（¥14355元.00元）;</w:t>
            </w:r>
          </w:p>
          <w:p w14:paraId="7400241A">
            <w:pPr>
              <w:spacing w:line="360" w:lineRule="auto"/>
              <w:rPr>
                <w:rFonts w:ascii="宋体" w:hAnsi="宋体" w:cs="宋体"/>
                <w:color w:val="auto"/>
                <w:highlight w:val="none"/>
              </w:rPr>
            </w:pPr>
            <w:r>
              <w:rPr>
                <w:rFonts w:hint="eastAsia" w:ascii="宋体" w:hAnsi="宋体" w:cs="宋体"/>
                <w:color w:val="auto"/>
                <w:sz w:val="24"/>
                <w:highlight w:val="none"/>
              </w:rPr>
              <w:t>C分标代理服务费为：人民币壹万零玖佰伍拾元整（¥10950.00元）。</w:t>
            </w:r>
          </w:p>
          <w:p w14:paraId="40E70431">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招标代理服务费专用帐户：</w:t>
            </w:r>
          </w:p>
          <w:p w14:paraId="2582FF92">
            <w:pPr>
              <w:adjustRightInd w:val="0"/>
              <w:spacing w:line="440" w:lineRule="exac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开户名称：</w:t>
            </w:r>
            <w:r>
              <w:rPr>
                <w:rFonts w:hint="eastAsia" w:ascii="宋体" w:hAnsi="宋体" w:cs="宋体"/>
                <w:color w:val="auto"/>
                <w:kern w:val="0"/>
                <w:sz w:val="24"/>
                <w:highlight w:val="none"/>
                <w:lang w:eastAsia="zh-CN"/>
              </w:rPr>
              <w:t>广西创佳项目管理</w:t>
            </w:r>
            <w:r>
              <w:rPr>
                <w:rFonts w:hint="eastAsia" w:ascii="宋体" w:hAnsi="宋体" w:cs="宋体"/>
                <w:color w:val="auto"/>
                <w:kern w:val="0"/>
                <w:sz w:val="24"/>
                <w:highlight w:val="none"/>
              </w:rPr>
              <w:t>有限公司</w:t>
            </w:r>
          </w:p>
          <w:p w14:paraId="4583CCAC">
            <w:pPr>
              <w:adjustRightInd w:val="0"/>
              <w:spacing w:line="440" w:lineRule="exac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开户银行：</w:t>
            </w:r>
            <w:r>
              <w:rPr>
                <w:rFonts w:hint="eastAsia"/>
                <w:color w:val="auto"/>
                <w:sz w:val="24"/>
                <w:highlight w:val="none"/>
              </w:rPr>
              <w:t>中国工商银行股份有限公司桂平市新区支行</w:t>
            </w:r>
          </w:p>
          <w:p w14:paraId="1E8CDD20">
            <w:pPr>
              <w:spacing w:line="360" w:lineRule="auto"/>
              <w:rPr>
                <w:rFonts w:ascii="宋体" w:hAnsi="宋体" w:cs="宋体"/>
                <w:bCs/>
                <w:color w:val="auto"/>
                <w:sz w:val="24"/>
                <w:highlight w:val="none"/>
              </w:rPr>
            </w:pPr>
            <w:r>
              <w:rPr>
                <w:rFonts w:hint="eastAsia" w:ascii="宋体" w:hAnsi="宋体" w:cs="宋体"/>
                <w:color w:val="auto"/>
                <w:kern w:val="0"/>
                <w:sz w:val="24"/>
                <w:highlight w:val="none"/>
              </w:rPr>
              <w:t>银行账号：</w:t>
            </w:r>
            <w:r>
              <w:rPr>
                <w:rFonts w:hint="eastAsia"/>
                <w:color w:val="auto"/>
                <w:sz w:val="24"/>
                <w:highlight w:val="none"/>
              </w:rPr>
              <w:t>2116006809100057549</w:t>
            </w:r>
          </w:p>
        </w:tc>
      </w:tr>
      <w:tr w14:paraId="47E5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6" w:type="dxa"/>
            <w:vAlign w:val="center"/>
          </w:tcPr>
          <w:p w14:paraId="1CAABDB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945" w:type="dxa"/>
            <w:vAlign w:val="center"/>
          </w:tcPr>
          <w:p w14:paraId="07D7BDB2">
            <w:pPr>
              <w:spacing w:line="400" w:lineRule="exact"/>
              <w:jc w:val="center"/>
              <w:rPr>
                <w:rFonts w:ascii="宋体" w:hAnsi="宋体" w:cs="宋体"/>
                <w:color w:val="auto"/>
                <w:sz w:val="24"/>
                <w:highlight w:val="none"/>
              </w:rPr>
            </w:pPr>
          </w:p>
        </w:tc>
        <w:tc>
          <w:tcPr>
            <w:tcW w:w="7862" w:type="dxa"/>
            <w:vAlign w:val="center"/>
          </w:tcPr>
          <w:p w14:paraId="13E98F27">
            <w:pPr>
              <w:spacing w:line="400" w:lineRule="exact"/>
              <w:rPr>
                <w:rFonts w:ascii="宋体" w:hAnsi="宋体" w:cs="宋体"/>
                <w:color w:val="auto"/>
                <w:highlight w:val="none"/>
              </w:rPr>
            </w:pPr>
            <w:r>
              <w:rPr>
                <w:rFonts w:hint="eastAsia" w:ascii="宋体" w:hAnsi="宋体" w:cs="宋体"/>
                <w:color w:val="auto"/>
                <w:sz w:val="24"/>
                <w:highlight w:val="none"/>
              </w:rPr>
              <w:t>履约保证金的收取：无</w:t>
            </w:r>
          </w:p>
        </w:tc>
      </w:tr>
      <w:tr w14:paraId="2C1A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6" w:type="dxa"/>
            <w:vAlign w:val="center"/>
          </w:tcPr>
          <w:p w14:paraId="067F326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945" w:type="dxa"/>
            <w:vAlign w:val="center"/>
          </w:tcPr>
          <w:p w14:paraId="4DD9719D">
            <w:pPr>
              <w:spacing w:line="400" w:lineRule="exact"/>
              <w:jc w:val="center"/>
              <w:rPr>
                <w:rFonts w:ascii="宋体" w:hAnsi="宋体" w:cs="宋体"/>
                <w:color w:val="auto"/>
                <w:sz w:val="24"/>
                <w:highlight w:val="none"/>
              </w:rPr>
            </w:pPr>
          </w:p>
        </w:tc>
        <w:tc>
          <w:tcPr>
            <w:tcW w:w="7862" w:type="dxa"/>
            <w:vAlign w:val="center"/>
          </w:tcPr>
          <w:p w14:paraId="265B8DD3">
            <w:pPr>
              <w:spacing w:line="400" w:lineRule="exact"/>
              <w:rPr>
                <w:rFonts w:ascii="宋体" w:hAnsi="宋体" w:cs="宋体"/>
                <w:color w:val="auto"/>
                <w:sz w:val="24"/>
                <w:highlight w:val="none"/>
              </w:rPr>
            </w:pPr>
            <w:r>
              <w:rPr>
                <w:rFonts w:hint="eastAsia" w:ascii="宋体" w:hAnsi="宋体" w:cs="宋体"/>
                <w:color w:val="auto"/>
                <w:sz w:val="24"/>
                <w:highlight w:val="none"/>
              </w:rPr>
              <w:t>评标结果公示：http://www.ccgp.gov.cn（中国政府采购网）、http://zfcg.gxzf.gov.cn/（广西壮族自治区政府采购网）、http://ggzy.jgswj.gxzf.gov.cn/ggggzy/全国公共资源交易平台（广西·贵港）、http://zfcg.czj.gxgg.gov.cn（贵港市政府采购网）、http://ggggjy.gxgg.gov.cn:9005/（贵港市公共资源交易中心网）</w:t>
            </w:r>
          </w:p>
        </w:tc>
      </w:tr>
      <w:tr w14:paraId="5232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5B4AB0D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945" w:type="dxa"/>
            <w:vAlign w:val="center"/>
          </w:tcPr>
          <w:p w14:paraId="52C70FE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27</w:t>
            </w:r>
          </w:p>
        </w:tc>
        <w:tc>
          <w:tcPr>
            <w:tcW w:w="7862" w:type="dxa"/>
            <w:vAlign w:val="center"/>
          </w:tcPr>
          <w:p w14:paraId="736BFBE7">
            <w:pPr>
              <w:spacing w:line="400" w:lineRule="exact"/>
              <w:rPr>
                <w:rFonts w:ascii="宋体" w:hAnsi="宋体" w:cs="宋体"/>
                <w:color w:val="auto"/>
                <w:sz w:val="24"/>
                <w:highlight w:val="none"/>
              </w:rPr>
            </w:pPr>
            <w:r>
              <w:rPr>
                <w:rFonts w:hint="eastAsia" w:ascii="宋体" w:hAnsi="宋体" w:cs="宋体"/>
                <w:b/>
                <w:color w:val="auto"/>
                <w:sz w:val="24"/>
                <w:highlight w:val="none"/>
              </w:rPr>
              <w:t>评标结果：</w:t>
            </w:r>
            <w:r>
              <w:rPr>
                <w:rFonts w:hint="eastAsia" w:ascii="宋体" w:hAnsi="宋体" w:cs="宋体"/>
                <w:color w:val="auto"/>
                <w:sz w:val="24"/>
                <w:highlight w:val="none"/>
              </w:rPr>
              <w:t>采购代理机构将在评标结束2个工作日内将评标结果送采购人，采购人将在收到评审报告后2个工作日内，按照成交供应商确定原则从评审报告提出的成交候选供应商中确定成交供应商。</w:t>
            </w:r>
          </w:p>
        </w:tc>
      </w:tr>
      <w:tr w14:paraId="2954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075B098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945" w:type="dxa"/>
            <w:vAlign w:val="center"/>
          </w:tcPr>
          <w:p w14:paraId="7173A9B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29</w:t>
            </w:r>
          </w:p>
        </w:tc>
        <w:tc>
          <w:tcPr>
            <w:tcW w:w="7862" w:type="dxa"/>
            <w:vAlign w:val="center"/>
          </w:tcPr>
          <w:p w14:paraId="26654379">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签订合同时间：</w:t>
            </w:r>
            <w:r>
              <w:rPr>
                <w:rFonts w:hint="eastAsia" w:ascii="宋体" w:hAnsi="宋体" w:cs="宋体"/>
                <w:color w:val="auto"/>
                <w:sz w:val="24"/>
                <w:highlight w:val="none"/>
              </w:rPr>
              <w:t>自发出成交通知书之日起20日内与采购人签订合同。</w:t>
            </w:r>
          </w:p>
        </w:tc>
      </w:tr>
      <w:tr w14:paraId="7F30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4FA5C9F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945" w:type="dxa"/>
            <w:vAlign w:val="center"/>
          </w:tcPr>
          <w:p w14:paraId="3F31CAF0">
            <w:pPr>
              <w:spacing w:line="400" w:lineRule="exact"/>
              <w:jc w:val="center"/>
              <w:rPr>
                <w:rFonts w:ascii="宋体" w:hAnsi="宋体" w:cs="宋体"/>
                <w:color w:val="auto"/>
                <w:sz w:val="24"/>
                <w:highlight w:val="none"/>
              </w:rPr>
            </w:pPr>
          </w:p>
        </w:tc>
        <w:tc>
          <w:tcPr>
            <w:tcW w:w="7862" w:type="dxa"/>
            <w:vAlign w:val="center"/>
          </w:tcPr>
          <w:p w14:paraId="4F9F3E9F">
            <w:pPr>
              <w:pStyle w:val="203"/>
              <w:spacing w:before="78"/>
              <w:rPr>
                <w:b/>
                <w:bCs/>
                <w:color w:val="auto"/>
                <w:sz w:val="24"/>
                <w:highlight w:val="none"/>
                <w:lang w:val="en-US"/>
              </w:rPr>
            </w:pPr>
            <w:r>
              <w:rPr>
                <w:rFonts w:hint="eastAsia"/>
                <w:b/>
                <w:bCs/>
                <w:color w:val="auto"/>
                <w:sz w:val="24"/>
                <w:highlight w:val="none"/>
                <w:lang w:val="en-US"/>
              </w:rPr>
              <w:t>其他说明：</w:t>
            </w:r>
          </w:p>
          <w:p w14:paraId="339B4F6C">
            <w:pPr>
              <w:pStyle w:val="203"/>
              <w:spacing w:before="78" w:line="440" w:lineRule="exact"/>
              <w:rPr>
                <w:bCs/>
                <w:color w:val="auto"/>
                <w:sz w:val="24"/>
                <w:highlight w:val="none"/>
                <w:lang w:val="en-US" w:bidi="ar-SA"/>
              </w:rPr>
            </w:pPr>
            <w:r>
              <w:rPr>
                <w:rFonts w:hint="eastAsia"/>
                <w:bCs/>
                <w:color w:val="auto"/>
                <w:sz w:val="24"/>
                <w:highlight w:val="none"/>
                <w:lang w:val="en-US" w:bidi="ar-SA"/>
              </w:rPr>
              <w:t>1、本文件中描述磋商供应商的“公章”是指根据我国对公章的管理规定，用磋商供应商法定主体行为名称制作的印章，除本文件有特殊规定外，磋商供应商的财务章、部门章、分公司章、工会章、合同章、投标专用章、业务专用章及银行的转账章、现金收讫章、现金付讫章等其它形式印章均不能代替公章。</w:t>
            </w:r>
          </w:p>
          <w:p w14:paraId="48E0B502">
            <w:pPr>
              <w:spacing w:line="400" w:lineRule="exact"/>
              <w:rPr>
                <w:rFonts w:ascii="宋体" w:hAnsi="宋体" w:cs="宋体"/>
                <w:color w:val="auto"/>
                <w:sz w:val="24"/>
                <w:highlight w:val="none"/>
              </w:rPr>
            </w:pPr>
            <w:r>
              <w:rPr>
                <w:rFonts w:hint="eastAsia" w:ascii="宋体" w:hAnsi="宋体" w:cs="宋体"/>
                <w:bCs/>
                <w:color w:val="auto"/>
                <w:sz w:val="24"/>
                <w:highlight w:val="none"/>
              </w:rPr>
              <w:t>2、本磋商文件所称的“电子签章”、“电子签名”，是指经“广西政府采购云平台”平台认可的CA认证的电子签名数据为表现形式的印章，可用于签署电子响应文件，电子印章与实物印章具有同等法律效力，不因其采用电子化表现形式而否定其法律效力。</w:t>
            </w:r>
          </w:p>
        </w:tc>
      </w:tr>
      <w:tr w14:paraId="7356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182113F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945" w:type="dxa"/>
            <w:vAlign w:val="center"/>
          </w:tcPr>
          <w:p w14:paraId="79AC30CC">
            <w:pPr>
              <w:spacing w:line="400" w:lineRule="exact"/>
              <w:jc w:val="center"/>
              <w:rPr>
                <w:rFonts w:ascii="宋体" w:hAnsi="宋体" w:cs="宋体"/>
                <w:color w:val="auto"/>
                <w:sz w:val="24"/>
                <w:highlight w:val="none"/>
              </w:rPr>
            </w:pPr>
          </w:p>
        </w:tc>
        <w:tc>
          <w:tcPr>
            <w:tcW w:w="7862" w:type="dxa"/>
            <w:vAlign w:val="center"/>
          </w:tcPr>
          <w:p w14:paraId="66AA8C21">
            <w:pPr>
              <w:spacing w:line="380" w:lineRule="exact"/>
              <w:textAlignment w:val="baseline"/>
              <w:rPr>
                <w:rFonts w:ascii="宋体" w:hAnsi="宋体" w:cs="宋体"/>
                <w:color w:val="auto"/>
                <w:sz w:val="24"/>
                <w:highlight w:val="none"/>
              </w:rPr>
            </w:pPr>
            <w:r>
              <w:rPr>
                <w:rFonts w:hint="eastAsia" w:ascii="宋体" w:hAnsi="宋体" w:cs="宋体"/>
                <w:b/>
                <w:bCs/>
                <w:color w:val="auto"/>
                <w:sz w:val="24"/>
                <w:highlight w:val="none"/>
              </w:rPr>
              <w:t>磋商时间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15时3</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分</w:t>
            </w:r>
            <w:r>
              <w:rPr>
                <w:rFonts w:hint="eastAsia" w:ascii="宋体" w:hAnsi="宋体" w:cs="宋体"/>
                <w:color w:val="auto"/>
                <w:sz w:val="24"/>
                <w:highlight w:val="none"/>
              </w:rPr>
              <w:t>截标后。具体时间请磋商人及时关注广西政府采购云平台。</w:t>
            </w:r>
          </w:p>
          <w:p w14:paraId="6B7708C1">
            <w:pPr>
              <w:spacing w:line="380" w:lineRule="exact"/>
              <w:textAlignment w:val="baseline"/>
              <w:rPr>
                <w:rFonts w:ascii="宋体" w:hAnsi="宋体" w:cs="宋体"/>
                <w:color w:val="auto"/>
                <w:sz w:val="24"/>
                <w:highlight w:val="none"/>
              </w:rPr>
            </w:pPr>
            <w:r>
              <w:rPr>
                <w:rFonts w:hint="eastAsia" w:ascii="宋体" w:hAnsi="宋体" w:cs="宋体"/>
                <w:b/>
                <w:bCs/>
                <w:color w:val="auto"/>
                <w:sz w:val="24"/>
                <w:highlight w:val="none"/>
              </w:rPr>
              <w:t>磋商地点：</w:t>
            </w:r>
            <w:r>
              <w:rPr>
                <w:rFonts w:hint="eastAsia" w:ascii="宋体" w:hAnsi="宋体" w:cs="宋体"/>
                <w:color w:val="auto"/>
                <w:sz w:val="24"/>
                <w:highlight w:val="none"/>
              </w:rPr>
              <w:t>通过广西政府采购云平台实行在线解密开启。</w:t>
            </w:r>
          </w:p>
          <w:p w14:paraId="53C55477">
            <w:pPr>
              <w:spacing w:line="360" w:lineRule="exact"/>
              <w:textAlignment w:val="baseline"/>
              <w:rPr>
                <w:rFonts w:ascii="宋体" w:hAnsi="宋体" w:cs="宋体"/>
                <w:b/>
                <w:color w:val="auto"/>
                <w:sz w:val="24"/>
                <w:highlight w:val="none"/>
              </w:rPr>
            </w:pPr>
            <w:r>
              <w:rPr>
                <w:rFonts w:hint="eastAsia" w:ascii="宋体" w:hAnsi="宋体" w:cs="宋体"/>
                <w:b/>
                <w:bCs/>
                <w:color w:val="auto"/>
                <w:sz w:val="24"/>
                <w:highlight w:val="none"/>
              </w:rPr>
              <w:t>磋商主要内容：</w:t>
            </w:r>
            <w:r>
              <w:rPr>
                <w:rFonts w:hint="eastAsia" w:ascii="宋体" w:hAnsi="宋体" w:cs="宋体"/>
                <w:color w:val="auto"/>
                <w:sz w:val="24"/>
                <w:highlight w:val="none"/>
              </w:rPr>
              <w:t>就本项目的报价进行磋商。本项目有二次报价，请供应商通过广西政府采购云平台实行在线提交二次报价，二次报价作为应答文件的组成部分（如磋商人在二次报价时，总报价不做改变，也需通过广西政府采购云平台实行在线提交二次报价）</w:t>
            </w:r>
          </w:p>
          <w:p w14:paraId="51695865">
            <w:pPr>
              <w:pStyle w:val="190"/>
              <w:spacing w:line="288" w:lineRule="auto"/>
              <w:rPr>
                <w:rFonts w:hAnsi="宋体" w:cs="宋体"/>
                <w:b/>
                <w:bCs/>
                <w:color w:val="auto"/>
                <w:sz w:val="24"/>
                <w:szCs w:val="24"/>
                <w:highlight w:val="none"/>
              </w:rPr>
            </w:pPr>
            <w:r>
              <w:rPr>
                <w:rFonts w:hint="eastAsia" w:hAnsi="宋体" w:cs="宋体"/>
                <w:b/>
                <w:color w:val="auto"/>
                <w:sz w:val="24"/>
                <w:szCs w:val="24"/>
                <w:highlight w:val="none"/>
              </w:rPr>
              <w:t>磋商</w:t>
            </w:r>
            <w:r>
              <w:rPr>
                <w:rFonts w:hint="eastAsia" w:hAnsi="宋体" w:cs="宋体"/>
                <w:b/>
                <w:bCs/>
                <w:color w:val="auto"/>
                <w:sz w:val="24"/>
                <w:szCs w:val="24"/>
                <w:highlight w:val="none"/>
              </w:rPr>
              <w:t>前准备：</w:t>
            </w:r>
          </w:p>
          <w:p w14:paraId="1C01925B">
            <w:pPr>
              <w:spacing w:line="360" w:lineRule="auto"/>
              <w:rPr>
                <w:rFonts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、本项目实行网上磋商，采用电子磋商响应文件。若供应商参与磋商，自行承担磋商一切费用。</w:t>
            </w:r>
          </w:p>
          <w:p w14:paraId="681A9C03">
            <w:pPr>
              <w:spacing w:line="360" w:lineRule="auto"/>
              <w:rPr>
                <w:rFonts w:ascii="宋体" w:hAnsi="宋体" w:cs="宋体"/>
                <w:bCs/>
                <w:color w:val="auto"/>
                <w:sz w:val="24"/>
                <w:highlight w:val="none"/>
              </w:rPr>
            </w:pPr>
            <w:r>
              <w:rPr>
                <w:rFonts w:hint="eastAsia" w:ascii="宋体" w:hAnsi="宋体" w:cs="宋体"/>
                <w:bCs/>
                <w:color w:val="auto"/>
                <w:sz w:val="24"/>
                <w:highlight w:val="none"/>
              </w:rPr>
              <w:t>2、各供应商应在截标前应确保成为广西政府采购云平台正式注册入库供应商，并完成CA数字证书申领。因未注册入库、未办理CA数字证书等原因造成无法磋商或磋商失败等后果由供应商自行承担。</w:t>
            </w:r>
          </w:p>
          <w:p w14:paraId="76B33C5F">
            <w:pPr>
              <w:spacing w:line="360" w:lineRule="auto"/>
              <w:rPr>
                <w:rFonts w:ascii="宋体" w:hAnsi="宋体" w:cs="宋体"/>
                <w:bCs/>
                <w:color w:val="auto"/>
                <w:sz w:val="24"/>
                <w:highlight w:val="none"/>
              </w:rPr>
            </w:pPr>
            <w:r>
              <w:rPr>
                <w:rFonts w:hint="eastAsia" w:ascii="宋体" w:hAnsi="宋体" w:cs="宋体"/>
                <w:bCs/>
                <w:color w:val="auto"/>
                <w:sz w:val="24"/>
                <w:highlight w:val="none"/>
              </w:rPr>
              <w:t>3、供应商将广西政府采购云平台电子交易客户端下载、安装完成后，可通过账号密码或CA登录客户端进行响应文件制作。客户端请至网站下载专区查看，如有问题可拨打广西政府采购云平台客户服务热线95763进行咨询。</w:t>
            </w:r>
          </w:p>
          <w:p w14:paraId="403F678E">
            <w:pPr>
              <w:spacing w:line="360" w:lineRule="auto"/>
              <w:rPr>
                <w:rFonts w:ascii="宋体" w:hAnsi="宋体" w:cs="宋体"/>
                <w:b/>
                <w:color w:val="auto"/>
                <w:sz w:val="24"/>
                <w:highlight w:val="none"/>
              </w:rPr>
            </w:pPr>
            <w:r>
              <w:rPr>
                <w:rFonts w:hint="eastAsia" w:ascii="宋体" w:hAnsi="宋体" w:cs="宋体"/>
                <w:b/>
                <w:color w:val="auto"/>
                <w:sz w:val="24"/>
                <w:highlight w:val="none"/>
              </w:rPr>
              <w:t>磋商响应文件解密时间：</w:t>
            </w:r>
          </w:p>
          <w:p w14:paraId="194EDC78">
            <w:pPr>
              <w:spacing w:line="400" w:lineRule="exact"/>
              <w:rPr>
                <w:rFonts w:ascii="宋体" w:hAnsi="宋体" w:cs="宋体"/>
                <w:color w:val="auto"/>
                <w:sz w:val="24"/>
                <w:highlight w:val="none"/>
              </w:rPr>
            </w:pPr>
            <w:r>
              <w:rPr>
                <w:rFonts w:hint="eastAsia" w:ascii="宋体" w:hAnsi="宋体" w:cs="宋体"/>
                <w:bCs/>
                <w:color w:val="auto"/>
                <w:sz w:val="24"/>
                <w:highlight w:val="none"/>
              </w:rPr>
              <w:t>截标时间后30分钟内磋商供应商可以登录广西政府采购云平台，用“项目采购-开标评标”功能进行解密磋商响应文件。</w:t>
            </w:r>
          </w:p>
        </w:tc>
      </w:tr>
      <w:tr w14:paraId="082B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74E6A570">
            <w:pPr>
              <w:shd w:val="clear" w:color="auto" w:fill="FFFFFF"/>
              <w:spacing w:line="28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945" w:type="dxa"/>
            <w:vAlign w:val="center"/>
          </w:tcPr>
          <w:p w14:paraId="3DCAECF1">
            <w:pPr>
              <w:shd w:val="clear" w:color="auto" w:fill="FFFFFF"/>
              <w:spacing w:line="288" w:lineRule="auto"/>
              <w:jc w:val="center"/>
              <w:rPr>
                <w:rFonts w:ascii="宋体" w:hAnsi="宋体" w:cs="宋体"/>
                <w:color w:val="auto"/>
                <w:sz w:val="24"/>
                <w:highlight w:val="none"/>
              </w:rPr>
            </w:pPr>
          </w:p>
        </w:tc>
        <w:tc>
          <w:tcPr>
            <w:tcW w:w="7862" w:type="dxa"/>
            <w:vAlign w:val="center"/>
          </w:tcPr>
          <w:p w14:paraId="71A8050A">
            <w:pPr>
              <w:shd w:val="clear" w:color="auto" w:fill="FFFFFF"/>
              <w:autoSpaceDE w:val="0"/>
              <w:autoSpaceDN w:val="0"/>
              <w:snapToGrid w:val="0"/>
              <w:spacing w:line="288" w:lineRule="auto"/>
              <w:jc w:val="left"/>
              <w:textAlignment w:val="bottom"/>
              <w:rPr>
                <w:rFonts w:ascii="宋体" w:hAnsi="宋体" w:cs="宋体"/>
                <w:bCs/>
                <w:color w:val="auto"/>
                <w:sz w:val="24"/>
                <w:highlight w:val="none"/>
              </w:rPr>
            </w:pPr>
            <w:r>
              <w:rPr>
                <w:rFonts w:hint="eastAsia" w:ascii="宋体" w:hAnsi="宋体" w:cs="宋体"/>
                <w:color w:val="auto"/>
                <w:sz w:val="24"/>
                <w:highlight w:val="none"/>
              </w:rPr>
              <w:t>监督部门:</w:t>
            </w:r>
            <w:r>
              <w:rPr>
                <w:rFonts w:hint="eastAsia" w:ascii="宋体" w:hAnsi="宋体" w:cs="宋体"/>
                <w:bCs/>
                <w:color w:val="auto"/>
                <w:sz w:val="24"/>
                <w:highlight w:val="none"/>
              </w:rPr>
              <w:t>桂平市财政局政府采购监督管理股电话：0775-3380263</w:t>
            </w:r>
          </w:p>
        </w:tc>
      </w:tr>
    </w:tbl>
    <w:p w14:paraId="4D14BA7B">
      <w:pPr>
        <w:spacing w:line="360" w:lineRule="auto"/>
        <w:jc w:val="center"/>
        <w:rPr>
          <w:rFonts w:ascii="宋体" w:hAnsi="宋体" w:cs="宋体"/>
          <w:b/>
          <w:color w:val="auto"/>
          <w:sz w:val="32"/>
          <w:highlight w:val="none"/>
        </w:rPr>
      </w:pPr>
    </w:p>
    <w:p w14:paraId="5329BCA8">
      <w:pPr>
        <w:pStyle w:val="27"/>
        <w:jc w:val="center"/>
        <w:textAlignment w:val="baseline"/>
        <w:rPr>
          <w:rFonts w:hAnsi="宋体" w:cs="宋体"/>
          <w:b/>
          <w:color w:val="auto"/>
          <w:sz w:val="36"/>
          <w:szCs w:val="36"/>
          <w:highlight w:val="none"/>
        </w:rPr>
      </w:pPr>
      <w:r>
        <w:rPr>
          <w:rFonts w:hint="eastAsia" w:hAnsi="宋体" w:cs="宋体"/>
          <w:b/>
          <w:color w:val="auto"/>
          <w:sz w:val="36"/>
          <w:szCs w:val="36"/>
          <w:highlight w:val="none"/>
        </w:rPr>
        <w:br w:type="page"/>
      </w:r>
    </w:p>
    <w:p w14:paraId="53E24346">
      <w:pPr>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磋商须知</w:t>
      </w:r>
    </w:p>
    <w:p w14:paraId="7B48087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一、总　则</w:t>
      </w:r>
    </w:p>
    <w:p w14:paraId="5F70E43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 适用范围</w:t>
      </w:r>
    </w:p>
    <w:p w14:paraId="5243F7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本文件仅适用于本文件中所叙述的工程、货物和服务类采购项目。</w:t>
      </w:r>
    </w:p>
    <w:p w14:paraId="2F78358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 定义</w:t>
      </w:r>
    </w:p>
    <w:p w14:paraId="158DB7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2.1“采购人”是指：桂平市民政局。</w:t>
      </w:r>
    </w:p>
    <w:p w14:paraId="36BB7EB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2.2“采购代理机构”是指：</w:t>
      </w:r>
      <w:r>
        <w:rPr>
          <w:rFonts w:hint="eastAsia" w:ascii="宋体" w:hAnsi="宋体" w:cs="宋体"/>
          <w:color w:val="auto"/>
          <w:sz w:val="24"/>
          <w:highlight w:val="none"/>
          <w:lang w:eastAsia="zh-CN"/>
        </w:rPr>
        <w:t>广西创佳项目管理</w:t>
      </w:r>
      <w:r>
        <w:rPr>
          <w:rFonts w:hint="eastAsia" w:ascii="宋体" w:hAnsi="宋体" w:cs="宋体"/>
          <w:color w:val="auto"/>
          <w:sz w:val="24"/>
          <w:highlight w:val="none"/>
        </w:rPr>
        <w:t>有限公司。</w:t>
      </w:r>
    </w:p>
    <w:p w14:paraId="4E6C24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2.3“供应商”是指响应本文件要求，参加磋商的法人或者其他组织。如果该供应商在本次磋商中成交，即成为“成交供应商”。</w:t>
      </w:r>
    </w:p>
    <w:p w14:paraId="1B5ADE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2.4“货物”是指各种形态和种类的物品，包括原材料、燃料、设备、产品等。</w:t>
      </w:r>
    </w:p>
    <w:p w14:paraId="339355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2.5“服务”是指除货物和工程以外的其他采购对象。</w:t>
      </w:r>
    </w:p>
    <w:p w14:paraId="6C4EB6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2.6“响应文件”是指：供应商根据本文件要求，编制包含报价、技术和服务等所有内容的响应文件。</w:t>
      </w:r>
    </w:p>
    <w:p w14:paraId="77C0E33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 供应商的基本条件</w:t>
      </w:r>
    </w:p>
    <w:p w14:paraId="0D1A0B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供应商资格：详见磋商公告。</w:t>
      </w:r>
    </w:p>
    <w:p w14:paraId="40ABF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联合体竞标：本项目不接受联合体参加。</w:t>
      </w:r>
    </w:p>
    <w:p w14:paraId="441BD49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 磋商费用</w:t>
      </w:r>
    </w:p>
    <w:p w14:paraId="186698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4.1不论磋商结果如何，供应商应自行承担所有与编写和提交响应文件有关的费用，采购人和采购代理机构在任何情况下无义务和责任承担此类费用。</w:t>
      </w:r>
    </w:p>
    <w:p w14:paraId="31146C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4.2本项目代理服务费：见本须知前附表。</w:t>
      </w:r>
    </w:p>
    <w:p w14:paraId="1553A78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二、磋商文件</w:t>
      </w:r>
    </w:p>
    <w:p w14:paraId="69E79A6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5.磋商文件的组成</w:t>
      </w:r>
    </w:p>
    <w:p w14:paraId="78F285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（1）竞争性磋商公告；</w:t>
      </w:r>
    </w:p>
    <w:p w14:paraId="7F7EFA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（2）磋商须知及前附表；</w:t>
      </w:r>
    </w:p>
    <w:p w14:paraId="6EF89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（3）项目需求；</w:t>
      </w:r>
    </w:p>
    <w:p w14:paraId="4F34F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（4）竞争性磋商响应文件格式；</w:t>
      </w:r>
    </w:p>
    <w:p w14:paraId="0C7901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（5）合同主要条款；</w:t>
      </w:r>
    </w:p>
    <w:p w14:paraId="27A5C7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（6）评标方法；</w:t>
      </w:r>
    </w:p>
    <w:p w14:paraId="00B6BCA6">
      <w:pPr>
        <w:pStyle w:val="48"/>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（7）质疑书及投诉书格式；</w:t>
      </w:r>
    </w:p>
    <w:p w14:paraId="35F749D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6.磋商文件的澄清或修改</w:t>
      </w:r>
    </w:p>
    <w:p w14:paraId="264E15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w:t>
      </w:r>
      <w:r>
        <w:rPr>
          <w:rFonts w:hint="eastAsia" w:ascii="宋体" w:hAnsi="宋体" w:cs="宋体"/>
          <w:bCs/>
          <w:color w:val="auto"/>
          <w:sz w:val="24"/>
          <w:highlight w:val="none"/>
        </w:rPr>
        <w:t>采购代理机构应当在提交首次响应文件递交截止时间5日前在本项目竞争性磋商公告发布的同一媒体上发布更正公告，供应商自行登录竞争性磋商公告发布的相关网站查询，不足5日的，应当顺延首次响应文件递交截止时间。</w:t>
      </w:r>
    </w:p>
    <w:p w14:paraId="66BD031F">
      <w:pPr>
        <w:numPr>
          <w:ilvl w:val="0"/>
          <w:numId w:val="6"/>
        </w:num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现场考察或答疑会</w:t>
      </w:r>
    </w:p>
    <w:p w14:paraId="5F11CE6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不组织。</w:t>
      </w:r>
    </w:p>
    <w:p w14:paraId="5BD5371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三、响应文件</w:t>
      </w:r>
    </w:p>
    <w:p w14:paraId="6AB8DAD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8.响应文件的组成</w:t>
      </w:r>
    </w:p>
    <w:p w14:paraId="74DE99E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响应文件应分为资格审查文件、报价文件和商务技术文件三个部分组成。</w:t>
      </w:r>
      <w:r>
        <w:rPr>
          <w:rFonts w:hint="eastAsia" w:ascii="宋体" w:hAnsi="宋体" w:cs="宋体"/>
          <w:b/>
          <w:color w:val="auto"/>
          <w:sz w:val="24"/>
          <w:highlight w:val="none"/>
        </w:rPr>
        <w:t>（下列文件均须加盖竞标单位公章；应该有的必须提供，如未提供，磋商小组有权拒绝其响应文件）</w:t>
      </w:r>
    </w:p>
    <w:p w14:paraId="76288A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8.1 资格审查文件：（A、B、C分标适用）</w:t>
      </w:r>
    </w:p>
    <w:p w14:paraId="005248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1、供应商有效主体资格证明（如营业执照副本、事业单位法人证书副本、民办非企业单位登记证、个体工商户营业执照、个体工商户税务登记证、自然人身份证等）复印件（</w:t>
      </w:r>
      <w:r>
        <w:rPr>
          <w:rFonts w:hint="eastAsia" w:ascii="宋体" w:hAnsi="宋体" w:cs="宋体"/>
          <w:b/>
          <w:bCs/>
          <w:color w:val="auto"/>
          <w:sz w:val="24"/>
          <w:highlight w:val="none"/>
        </w:rPr>
        <w:t>必须提供，否则磋商响应无效</w:t>
      </w:r>
      <w:r>
        <w:rPr>
          <w:rFonts w:hint="eastAsia" w:ascii="宋体" w:hAnsi="宋体" w:cs="宋体"/>
          <w:color w:val="auto"/>
          <w:sz w:val="24"/>
          <w:highlight w:val="none"/>
        </w:rPr>
        <w:t>）；</w:t>
      </w:r>
    </w:p>
    <w:p w14:paraId="7B9BF4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2、供应商相应的法定代表人身份证明书及身份证正反面复印件（</w:t>
      </w:r>
      <w:r>
        <w:rPr>
          <w:rFonts w:hint="eastAsia" w:ascii="宋体" w:hAnsi="宋体" w:cs="宋体"/>
          <w:b/>
          <w:bCs/>
          <w:color w:val="auto"/>
          <w:sz w:val="24"/>
          <w:highlight w:val="none"/>
        </w:rPr>
        <w:t>必须提供，否则磋商响应无效</w:t>
      </w:r>
      <w:r>
        <w:rPr>
          <w:rFonts w:hint="eastAsia" w:ascii="宋体" w:hAnsi="宋体" w:cs="宋体"/>
          <w:color w:val="auto"/>
          <w:sz w:val="24"/>
          <w:highlight w:val="none"/>
        </w:rPr>
        <w:t>）；</w:t>
      </w:r>
    </w:p>
    <w:p w14:paraId="2BD9C1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3、委托代理时须提供法定代表人授权委托书原件及被授权人身份证复印件（</w:t>
      </w:r>
      <w:r>
        <w:rPr>
          <w:rFonts w:hint="eastAsia" w:ascii="宋体" w:hAnsi="宋体" w:cs="宋体"/>
          <w:b/>
          <w:bCs/>
          <w:color w:val="auto"/>
          <w:sz w:val="24"/>
          <w:highlight w:val="none"/>
        </w:rPr>
        <w:t>委托代理时必须提供，否则磋商响应无效</w:t>
      </w:r>
      <w:r>
        <w:rPr>
          <w:rFonts w:hint="eastAsia" w:ascii="宋体" w:hAnsi="宋体" w:cs="宋体"/>
          <w:color w:val="auto"/>
          <w:sz w:val="24"/>
          <w:highlight w:val="none"/>
        </w:rPr>
        <w:t>）；</w:t>
      </w:r>
    </w:p>
    <w:p w14:paraId="0748FB1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4、供应商提供《桂平市政府采购项目投标资格承诺函》</w:t>
      </w:r>
      <w:r>
        <w:rPr>
          <w:rFonts w:hint="eastAsia" w:ascii="宋体" w:hAnsi="宋体" w:cs="宋体"/>
          <w:bCs/>
          <w:color w:val="auto"/>
          <w:sz w:val="24"/>
          <w:highlight w:val="none"/>
        </w:rPr>
        <w:t>（</w:t>
      </w:r>
      <w:r>
        <w:rPr>
          <w:rFonts w:hint="eastAsia" w:ascii="宋体" w:hAnsi="宋体" w:cs="宋体"/>
          <w:b/>
          <w:color w:val="auto"/>
          <w:sz w:val="24"/>
          <w:highlight w:val="none"/>
        </w:rPr>
        <w:t>必须提供，加盖供应商单位公章，</w:t>
      </w:r>
      <w:r>
        <w:rPr>
          <w:rFonts w:hint="eastAsia" w:ascii="宋体" w:hAnsi="宋体" w:cs="宋体"/>
          <w:b/>
          <w:bCs/>
          <w:color w:val="auto"/>
          <w:sz w:val="24"/>
          <w:highlight w:val="none"/>
        </w:rPr>
        <w:t>否</w:t>
      </w:r>
      <w:r>
        <w:rPr>
          <w:rFonts w:hint="eastAsia" w:ascii="宋体" w:hAnsi="宋体" w:cs="宋体"/>
          <w:b/>
          <w:color w:val="auto"/>
          <w:sz w:val="24"/>
          <w:highlight w:val="none"/>
        </w:rPr>
        <w:t>则磋商响应无效）；</w:t>
      </w:r>
    </w:p>
    <w:p w14:paraId="749AA4DA">
      <w:pPr>
        <w:pStyle w:val="32"/>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5、供应商</w:t>
      </w:r>
      <w:r>
        <w:rPr>
          <w:rFonts w:hint="eastAsia" w:ascii="宋体" w:hAnsi="宋体" w:cs="宋体"/>
          <w:bCs/>
          <w:color w:val="auto"/>
          <w:sz w:val="24"/>
          <w:szCs w:val="24"/>
          <w:highlight w:val="none"/>
        </w:rPr>
        <w:t>参加政府采购活动前3年内在经营活动中没有重大违法记录及有关信用信息的书面声明（</w:t>
      </w:r>
      <w:r>
        <w:rPr>
          <w:rFonts w:hint="eastAsia" w:ascii="宋体" w:hAnsi="宋体" w:cs="宋体"/>
          <w:b/>
          <w:color w:val="auto"/>
          <w:sz w:val="24"/>
          <w:szCs w:val="24"/>
          <w:highlight w:val="none"/>
        </w:rPr>
        <w:t>必须提供，</w:t>
      </w:r>
      <w:r>
        <w:rPr>
          <w:rFonts w:hint="eastAsia" w:ascii="宋体" w:hAnsi="宋体" w:cs="宋体"/>
          <w:b/>
          <w:bCs/>
          <w:color w:val="auto"/>
          <w:sz w:val="24"/>
          <w:szCs w:val="24"/>
          <w:highlight w:val="none"/>
        </w:rPr>
        <w:t>否则磋商响应无效</w:t>
      </w:r>
      <w:r>
        <w:rPr>
          <w:rFonts w:hint="eastAsia" w:ascii="宋体" w:hAnsi="宋体" w:cs="宋体"/>
          <w:bCs/>
          <w:color w:val="auto"/>
          <w:sz w:val="24"/>
          <w:szCs w:val="24"/>
          <w:highlight w:val="none"/>
        </w:rPr>
        <w:t>）；</w:t>
      </w:r>
    </w:p>
    <w:p w14:paraId="0875B719">
      <w:pPr>
        <w:tabs>
          <w:tab w:val="left" w:pos="13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6、供应商认为需要提供的有关资料</w:t>
      </w:r>
      <w:r>
        <w:rPr>
          <w:rFonts w:hint="eastAsia" w:ascii="宋体" w:hAnsi="宋体" w:cs="宋体"/>
          <w:b/>
          <w:bCs/>
          <w:color w:val="auto"/>
          <w:sz w:val="24"/>
          <w:highlight w:val="none"/>
        </w:rPr>
        <w:t>（如有请提供）</w:t>
      </w:r>
      <w:r>
        <w:rPr>
          <w:rFonts w:hint="eastAsia" w:ascii="宋体" w:hAnsi="宋体" w:cs="宋体"/>
          <w:color w:val="auto"/>
          <w:sz w:val="24"/>
          <w:highlight w:val="none"/>
        </w:rPr>
        <w:t>。</w:t>
      </w:r>
    </w:p>
    <w:p w14:paraId="48ABB1D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8.2报价文件</w:t>
      </w:r>
      <w:r>
        <w:rPr>
          <w:rFonts w:hint="eastAsia" w:ascii="宋体" w:hAnsi="宋体" w:cs="宋体"/>
          <w:color w:val="auto"/>
          <w:sz w:val="24"/>
          <w:highlight w:val="none"/>
        </w:rPr>
        <w:t>：</w:t>
      </w:r>
      <w:r>
        <w:rPr>
          <w:rFonts w:hint="eastAsia" w:ascii="宋体" w:hAnsi="宋体" w:cs="宋体"/>
          <w:b/>
          <w:bCs/>
          <w:color w:val="auto"/>
          <w:sz w:val="24"/>
          <w:highlight w:val="none"/>
        </w:rPr>
        <w:t>（A、B、C分标适用）</w:t>
      </w:r>
    </w:p>
    <w:p w14:paraId="1830BF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1、磋商书（</w:t>
      </w:r>
      <w:r>
        <w:rPr>
          <w:rFonts w:hint="eastAsia" w:ascii="宋体" w:hAnsi="宋体" w:cs="宋体"/>
          <w:b/>
          <w:bCs/>
          <w:color w:val="auto"/>
          <w:sz w:val="24"/>
          <w:highlight w:val="none"/>
        </w:rPr>
        <w:t>必须提供，否则磋商响应无效</w:t>
      </w:r>
      <w:r>
        <w:rPr>
          <w:rFonts w:hint="eastAsia" w:ascii="宋体" w:hAnsi="宋体" w:cs="宋体"/>
          <w:color w:val="auto"/>
          <w:sz w:val="24"/>
          <w:highlight w:val="none"/>
        </w:rPr>
        <w:t>）；</w:t>
      </w:r>
    </w:p>
    <w:p w14:paraId="50FDA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2、磋商报价表（</w:t>
      </w:r>
      <w:r>
        <w:rPr>
          <w:rFonts w:hint="eastAsia" w:ascii="宋体" w:hAnsi="宋体" w:cs="宋体"/>
          <w:b/>
          <w:bCs/>
          <w:color w:val="auto"/>
          <w:sz w:val="24"/>
          <w:highlight w:val="none"/>
        </w:rPr>
        <w:t>必须提供，同时由法定代表人或委托代理人签名并加盖单位公章，否则磋商响应无效</w:t>
      </w:r>
      <w:r>
        <w:rPr>
          <w:rFonts w:hint="eastAsia" w:ascii="宋体" w:hAnsi="宋体" w:cs="宋体"/>
          <w:color w:val="auto"/>
          <w:sz w:val="24"/>
          <w:highlight w:val="none"/>
        </w:rPr>
        <w:t>）；</w:t>
      </w:r>
    </w:p>
    <w:p w14:paraId="76734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3、磋商声明书（</w:t>
      </w:r>
      <w:r>
        <w:rPr>
          <w:rFonts w:hint="eastAsia" w:ascii="宋体" w:hAnsi="宋体" w:cs="宋体"/>
          <w:b/>
          <w:bCs/>
          <w:color w:val="auto"/>
          <w:sz w:val="24"/>
          <w:highlight w:val="none"/>
        </w:rPr>
        <w:t>必须提供，否则磋商响应无效</w:t>
      </w:r>
      <w:r>
        <w:rPr>
          <w:rFonts w:hint="eastAsia" w:ascii="宋体" w:hAnsi="宋体" w:cs="宋体"/>
          <w:color w:val="auto"/>
          <w:sz w:val="24"/>
          <w:highlight w:val="none"/>
        </w:rPr>
        <w:t>）；</w:t>
      </w:r>
    </w:p>
    <w:p w14:paraId="71F2A0C9">
      <w:pPr>
        <w:tabs>
          <w:tab w:val="left" w:pos="13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cs="宋体"/>
          <w:b/>
          <w:bCs/>
          <w:color w:val="auto"/>
          <w:sz w:val="24"/>
          <w:highlight w:val="none"/>
        </w:rPr>
        <w:t>（如有请提供）</w:t>
      </w:r>
      <w:r>
        <w:rPr>
          <w:rFonts w:hint="eastAsia" w:ascii="宋体" w:hAnsi="宋体" w:cs="宋体"/>
          <w:color w:val="auto"/>
          <w:sz w:val="24"/>
          <w:highlight w:val="none"/>
        </w:rPr>
        <w:t>；</w:t>
      </w:r>
    </w:p>
    <w:p w14:paraId="44576749">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kern w:val="0"/>
          <w:sz w:val="24"/>
          <w:highlight w:val="none"/>
        </w:rPr>
        <w:t>5、</w:t>
      </w:r>
      <w:r>
        <w:rPr>
          <w:rFonts w:hint="eastAsia" w:ascii="宋体" w:hAnsi="宋体" w:cs="宋体"/>
          <w:bCs/>
          <w:color w:val="auto"/>
          <w:sz w:val="24"/>
          <w:highlight w:val="none"/>
        </w:rPr>
        <w:t>供应商认为需要提供的其他证明材料</w:t>
      </w:r>
      <w:r>
        <w:rPr>
          <w:rFonts w:hint="eastAsia" w:ascii="宋体" w:hAnsi="宋体" w:cs="宋体"/>
          <w:color w:val="auto"/>
          <w:kern w:val="0"/>
          <w:sz w:val="24"/>
          <w:highlight w:val="none"/>
        </w:rPr>
        <w:t>（</w:t>
      </w:r>
      <w:r>
        <w:rPr>
          <w:rFonts w:hint="eastAsia" w:ascii="宋体" w:hAnsi="宋体" w:cs="宋体"/>
          <w:b/>
          <w:bCs/>
          <w:color w:val="auto"/>
          <w:sz w:val="24"/>
          <w:highlight w:val="none"/>
        </w:rPr>
        <w:t>如有请提供</w:t>
      </w:r>
      <w:r>
        <w:rPr>
          <w:rFonts w:hint="eastAsia" w:ascii="宋体" w:hAnsi="宋体" w:cs="宋体"/>
          <w:color w:val="auto"/>
          <w:sz w:val="24"/>
          <w:highlight w:val="none"/>
        </w:rPr>
        <w:t>）。</w:t>
      </w:r>
    </w:p>
    <w:p w14:paraId="12BE5655">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8.3 商务技术文件：</w:t>
      </w:r>
      <w:r>
        <w:rPr>
          <w:rFonts w:hint="eastAsia" w:ascii="宋体" w:hAnsi="宋体" w:cs="宋体"/>
          <w:b/>
          <w:color w:val="auto"/>
          <w:sz w:val="24"/>
          <w:highlight w:val="none"/>
        </w:rPr>
        <w:t>（</w:t>
      </w:r>
      <w:r>
        <w:rPr>
          <w:rFonts w:hint="eastAsia" w:ascii="宋体" w:hAnsi="宋体" w:cs="宋体"/>
          <w:b/>
          <w:bCs/>
          <w:color w:val="auto"/>
          <w:sz w:val="24"/>
          <w:highlight w:val="none"/>
        </w:rPr>
        <w:t>A、B、C分标适用</w:t>
      </w:r>
      <w:r>
        <w:rPr>
          <w:rFonts w:hint="eastAsia" w:ascii="宋体" w:hAnsi="宋体" w:cs="宋体"/>
          <w:b/>
          <w:color w:val="auto"/>
          <w:sz w:val="24"/>
          <w:highlight w:val="none"/>
        </w:rPr>
        <w:t>）</w:t>
      </w:r>
    </w:p>
    <w:p w14:paraId="3A444DEE">
      <w:pPr>
        <w:tabs>
          <w:tab w:val="left" w:pos="130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1、服务条款偏离表</w:t>
      </w:r>
      <w:r>
        <w:rPr>
          <w:rFonts w:hint="eastAsia" w:ascii="宋体" w:hAnsi="宋体" w:cs="宋体"/>
          <w:b/>
          <w:bCs/>
          <w:color w:val="auto"/>
          <w:sz w:val="24"/>
          <w:highlight w:val="none"/>
        </w:rPr>
        <w:t>（必须提供，否则磋商响应无效）</w:t>
      </w:r>
      <w:r>
        <w:rPr>
          <w:rFonts w:hint="eastAsia" w:ascii="宋体" w:hAnsi="宋体" w:cs="宋体"/>
          <w:color w:val="auto"/>
          <w:sz w:val="24"/>
          <w:highlight w:val="none"/>
        </w:rPr>
        <w:t>；</w:t>
      </w:r>
    </w:p>
    <w:p w14:paraId="2DB2F65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2、项目整体实施方案（</w:t>
      </w:r>
      <w:r>
        <w:rPr>
          <w:rFonts w:hint="eastAsia" w:ascii="宋体" w:hAnsi="宋体" w:cs="宋体"/>
          <w:b/>
          <w:color w:val="auto"/>
          <w:sz w:val="24"/>
          <w:highlight w:val="none"/>
        </w:rPr>
        <w:t>必须提供，否则磋商响应无效</w:t>
      </w:r>
      <w:r>
        <w:rPr>
          <w:rFonts w:hint="eastAsia" w:ascii="宋体" w:hAnsi="宋体" w:cs="宋体"/>
          <w:bCs/>
          <w:color w:val="auto"/>
          <w:sz w:val="24"/>
          <w:highlight w:val="none"/>
        </w:rPr>
        <w:t>）；</w:t>
      </w:r>
    </w:p>
    <w:p w14:paraId="3148CF5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3、服务承诺方案（</w:t>
      </w:r>
      <w:r>
        <w:rPr>
          <w:rFonts w:hint="eastAsia" w:ascii="宋体" w:hAnsi="宋体" w:cs="宋体"/>
          <w:b/>
          <w:color w:val="auto"/>
          <w:sz w:val="24"/>
          <w:highlight w:val="none"/>
        </w:rPr>
        <w:t>必须提供，否则磋商响应无效</w:t>
      </w:r>
      <w:r>
        <w:rPr>
          <w:rFonts w:hint="eastAsia" w:ascii="宋体" w:hAnsi="宋体" w:cs="宋体"/>
          <w:bCs/>
          <w:color w:val="auto"/>
          <w:sz w:val="24"/>
          <w:highlight w:val="none"/>
        </w:rPr>
        <w:t>）；</w:t>
      </w:r>
    </w:p>
    <w:p w14:paraId="7C4113E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4、人员配备方案（</w:t>
      </w:r>
      <w:r>
        <w:rPr>
          <w:rFonts w:hint="eastAsia" w:ascii="宋体" w:hAnsi="宋体" w:cs="宋体"/>
          <w:b/>
          <w:color w:val="auto"/>
          <w:sz w:val="24"/>
          <w:highlight w:val="none"/>
        </w:rPr>
        <w:t>必须提供，否则磋商响应无效</w:t>
      </w:r>
      <w:r>
        <w:rPr>
          <w:rFonts w:hint="eastAsia" w:ascii="宋体" w:hAnsi="宋体" w:cs="宋体"/>
          <w:bCs/>
          <w:color w:val="auto"/>
          <w:sz w:val="24"/>
          <w:highlight w:val="none"/>
        </w:rPr>
        <w:t>）；</w:t>
      </w:r>
    </w:p>
    <w:p w14:paraId="4D7B965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5、供应商2022年1月1日至今具有养老服务项目业绩的（</w:t>
      </w:r>
      <w:r>
        <w:rPr>
          <w:rFonts w:hint="eastAsia" w:ascii="宋体" w:hAnsi="宋体" w:cs="宋体"/>
          <w:b/>
          <w:color w:val="auto"/>
          <w:sz w:val="24"/>
          <w:highlight w:val="none"/>
        </w:rPr>
        <w:t>如有请提供，须提供中标通知书或合同等相关内容</w:t>
      </w:r>
      <w:r>
        <w:rPr>
          <w:rFonts w:hint="eastAsia" w:ascii="宋体" w:hAnsi="宋体" w:cs="宋体"/>
          <w:bCs/>
          <w:color w:val="auto"/>
          <w:sz w:val="24"/>
          <w:highlight w:val="none"/>
        </w:rPr>
        <w:t>）；</w:t>
      </w:r>
    </w:p>
    <w:p w14:paraId="60782CB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6、供应商认为需要提供的有关资料（</w:t>
      </w:r>
      <w:r>
        <w:rPr>
          <w:rFonts w:hint="eastAsia" w:ascii="宋体" w:hAnsi="宋体" w:cs="宋体"/>
          <w:b/>
          <w:color w:val="auto"/>
          <w:sz w:val="24"/>
          <w:highlight w:val="none"/>
        </w:rPr>
        <w:t>如有请提供</w:t>
      </w:r>
      <w:r>
        <w:rPr>
          <w:rFonts w:hint="eastAsia" w:ascii="宋体" w:hAnsi="宋体" w:cs="宋体"/>
          <w:bCs/>
          <w:color w:val="auto"/>
          <w:sz w:val="24"/>
          <w:highlight w:val="none"/>
        </w:rPr>
        <w:t>）。</w:t>
      </w:r>
    </w:p>
    <w:p w14:paraId="37C17E9D">
      <w:pPr>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备注：</w:t>
      </w:r>
      <w:r>
        <w:rPr>
          <w:rFonts w:hint="eastAsia" w:ascii="宋体" w:hAnsi="宋体" w:cs="宋体"/>
          <w:color w:val="auto"/>
          <w:sz w:val="24"/>
          <w:highlight w:val="none"/>
        </w:rPr>
        <w:t>▲特别说明：</w:t>
      </w:r>
      <w:r>
        <w:rPr>
          <w:rFonts w:hint="eastAsia" w:ascii="宋体" w:hAnsi="宋体" w:cs="宋体"/>
          <w:b/>
          <w:color w:val="auto"/>
          <w:sz w:val="24"/>
          <w:highlight w:val="none"/>
        </w:rPr>
        <w:t>（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14:paraId="16F167C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（2）竞争性磋商采购文件要求提供的的各种复印件，须加盖磋商供应商CA签章，否则其磋商无效。</w:t>
      </w:r>
    </w:p>
    <w:p w14:paraId="4B0FE96E">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（3）竞争性磋商采购文件要求“必须提供”的证明等材料，磋商供应商必须全部提供，缺一不可，否则磋商无效。</w:t>
      </w:r>
    </w:p>
    <w:p w14:paraId="1FF66B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（4）竞争性磋商采购文件要求法定代表人（负责人）或委托代理人签字的部分必须签字然后扫描或者拍照做成pdf格式上传，无签字的视为磋商无效</w:t>
      </w:r>
      <w:r>
        <w:rPr>
          <w:rFonts w:hint="eastAsia" w:ascii="宋体" w:hAnsi="宋体" w:cs="宋体"/>
          <w:b/>
          <w:bCs/>
          <w:color w:val="auto"/>
          <w:sz w:val="24"/>
          <w:highlight w:val="none"/>
        </w:rPr>
        <w:t>。</w:t>
      </w:r>
    </w:p>
    <w:p w14:paraId="269B29D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9. 响应文件编制要求</w:t>
      </w:r>
    </w:p>
    <w:p w14:paraId="1350668A">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9.1本项目实行电子投标，供应商应准备电子磋商响应文件；</w:t>
      </w:r>
    </w:p>
    <w:p w14:paraId="3E142C2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9.1.1电子响应文件按广西政府采购云平台要求及本竞争性磋商文件要求制作、加密并递交。具体操作流程可参考《政府采购项目电子交易管理操作指南-供应商》，指南可在“http://www.ccgp-guangxi.gov.cn/PurchaseAdvisory/ImportantNotice/2866753.html”下载。</w:t>
      </w:r>
    </w:p>
    <w:p w14:paraId="6AC05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29AD73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9.3供应商应认真阅读、并充分理解本文件的全部内容（包括所有的补充、修改内容），承诺并履行本文件中各项条款规定及要求。</w:t>
      </w:r>
    </w:p>
    <w:p w14:paraId="2E87C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9.4响应文件必须按本文件的全部内容，包括所有的补充通知及附件进行编制。</w:t>
      </w:r>
    </w:p>
    <w:p w14:paraId="23E62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9.5如因供应商只填写和提供了本文件要求的部分内容和附件，而给评审造成困难，其可能导致的结果和责任由供应商自行承担。</w:t>
      </w:r>
    </w:p>
    <w:p w14:paraId="04270B7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 计量单位</w:t>
      </w:r>
    </w:p>
    <w:p w14:paraId="56B0E0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10.1除技术要求中另有规定外，本文件所要求使用的计量单位均应采用国家法定计量单位。</w:t>
      </w:r>
    </w:p>
    <w:p w14:paraId="55C0879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11.响应文件有效期</w:t>
      </w:r>
    </w:p>
    <w:p w14:paraId="430A82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11.1响应文件有效期按须知前附表规定的期限，有效期不足的响应文件按无效处理。</w:t>
      </w:r>
    </w:p>
    <w:p w14:paraId="3387C577">
      <w:pPr>
        <w:spacing w:line="360" w:lineRule="auto"/>
        <w:ind w:firstLine="480" w:firstLineChars="200"/>
        <w:rPr>
          <w:rFonts w:ascii="宋体" w:hAnsi="宋体" w:cs="宋体"/>
          <w:color w:val="auto"/>
          <w:sz w:val="24"/>
          <w:highlight w:val="none"/>
        </w:rPr>
      </w:pPr>
      <w:bookmarkStart w:id="39" w:name="_Toc254970681"/>
      <w:bookmarkStart w:id="40" w:name="_Toc254970540"/>
      <w:r>
        <w:rPr>
          <w:rFonts w:hint="eastAsia" w:ascii="宋体" w:hAnsi="宋体" w:cs="宋体"/>
          <w:color w:val="auto"/>
          <w:sz w:val="24"/>
          <w:highlight w:val="none"/>
        </w:rPr>
        <w:t>11.2未成交的响应文件有效期内均应保持有效。</w:t>
      </w:r>
      <w:bookmarkEnd w:id="39"/>
      <w:bookmarkEnd w:id="40"/>
    </w:p>
    <w:p w14:paraId="3B1574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11.3成交供应商的响应文件自响应文件递交截止之日起至合同履行完毕止均应保持有效。</w:t>
      </w:r>
    </w:p>
    <w:p w14:paraId="04049A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12.供应商信用查询</w:t>
      </w:r>
    </w:p>
    <w:p w14:paraId="481220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8B7C7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12.2.1查询渠道：《国家企业信用信息公示系统》（网址：http://www.gsxt.gov.cn/index.html）、《中国政府采购网》(网址：www.ccgp.gov.cn)。</w:t>
      </w:r>
    </w:p>
    <w:p w14:paraId="368D1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12.2.2审查流程：</w:t>
      </w:r>
    </w:p>
    <w:p w14:paraId="0C2D8F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(1)查询渠道：“信用中国”网站(www.creditchina.gov.cn)、中国政府采购网(www.ccgp.gov.cn)等；</w:t>
      </w:r>
    </w:p>
    <w:p w14:paraId="1E04A4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(2)查询起止时间：投标截止时间前三年内。</w:t>
      </w:r>
    </w:p>
    <w:p w14:paraId="1B7DAF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(3)查询记录和证据留存方式：由代理公司开标后在查询网站中直接打印查询记录，打印材料作为评审资料保存。</w:t>
      </w:r>
    </w:p>
    <w:p w14:paraId="0B2A1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14:paraId="2DB9E9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12.2.3磋商小组也可在开评标环节资格审查的同时查看供应商的信用情况。</w:t>
      </w:r>
    </w:p>
    <w:p w14:paraId="60C3402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13.磋商报价要求</w:t>
      </w:r>
    </w:p>
    <w:p w14:paraId="2353F5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13.1报价是履行合同的最终价格，应包括</w:t>
      </w:r>
      <w:r>
        <w:rPr>
          <w:rFonts w:hint="eastAsia" w:ascii="宋体" w:hAnsi="宋体" w:cs="宋体"/>
          <w:b/>
          <w:color w:val="auto"/>
          <w:sz w:val="24"/>
          <w:highlight w:val="none"/>
        </w:rPr>
        <w:t>设备、劳务、管理、材料、维护、保险、差旅、利润、税金、政策性文件规定及合同包含的应有风险、责任等各项应有费用</w:t>
      </w:r>
      <w:r>
        <w:rPr>
          <w:rFonts w:hint="eastAsia" w:ascii="宋体" w:hAnsi="宋体" w:cs="宋体"/>
          <w:color w:val="auto"/>
          <w:sz w:val="24"/>
          <w:highlight w:val="none"/>
        </w:rPr>
        <w:t>。对于本文件中未列明，而供应商认为必需的费用也需列入总报价。在合同实施时，采购人将不予支付成交供应商没有列入的项目费用，并认为此项目的费用已包括在总报价中。</w:t>
      </w:r>
    </w:p>
    <w:p w14:paraId="061C9FB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14.磋商响应文件的份数和签署</w:t>
      </w:r>
    </w:p>
    <w:p w14:paraId="67297E81">
      <w:pPr>
        <w:tabs>
          <w:tab w:val="left" w:pos="312"/>
        </w:tabs>
        <w:snapToGrid w:val="0"/>
        <w:spacing w:line="360" w:lineRule="auto"/>
        <w:ind w:left="480"/>
        <w:rPr>
          <w:rFonts w:ascii="宋体" w:hAnsi="宋体" w:cs="宋体"/>
          <w:color w:val="auto"/>
          <w:sz w:val="24"/>
          <w:highlight w:val="none"/>
        </w:rPr>
      </w:pPr>
      <w:r>
        <w:rPr>
          <w:rFonts w:hint="eastAsia" w:ascii="宋体" w:hAnsi="宋体" w:cs="宋体"/>
          <w:color w:val="auto"/>
          <w:sz w:val="24"/>
          <w:highlight w:val="none"/>
        </w:rPr>
        <w:t>14.1竞争性磋商响应文件份数：</w:t>
      </w:r>
      <w:r>
        <w:rPr>
          <w:rFonts w:hint="eastAsia" w:ascii="宋体" w:hAnsi="宋体" w:cs="宋体"/>
          <w:color w:val="auto"/>
          <w:kern w:val="0"/>
          <w:sz w:val="24"/>
          <w:highlight w:val="none"/>
        </w:rPr>
        <w:t>电子版一份。</w:t>
      </w:r>
    </w:p>
    <w:p w14:paraId="2A1B359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供应商进行电子投标应安装客户端软件，并按照竞争性磋商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61A8CD3E">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电子磋商响应文件中须加盖供应商公章部分均采用CA签章，并根据“政府采购项目电子交易管理操作指南-供应商”及本竞争性磋商采购文件规定的格式和顺序编制电子磋商响应文件并进行关联定位，以便磋商小组在评标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w:t>
      </w:r>
      <w:r>
        <w:rPr>
          <w:rFonts w:hint="eastAsia" w:ascii="宋体" w:hAnsi="宋体" w:cs="宋体"/>
          <w:color w:val="auto"/>
          <w:sz w:val="24"/>
          <w:highlight w:val="none"/>
          <w:lang w:bidi="ar"/>
        </w:rPr>
        <w:t>竞争性磋商</w:t>
      </w:r>
      <w:r>
        <w:rPr>
          <w:rFonts w:hint="eastAsia" w:ascii="宋体" w:hAnsi="宋体" w:cs="宋体"/>
          <w:color w:val="auto"/>
          <w:sz w:val="24"/>
          <w:highlight w:val="none"/>
        </w:rPr>
        <w:t>文件规定的部位查找不到相关内容的，由供应商自行承担。</w:t>
      </w:r>
    </w:p>
    <w:p w14:paraId="61EB1967">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 CA签章上目前没有法人（负责人）或授权代表签字信息，供应商在磋商响应文件中涉及到签字的位置线下签好字然后扫描或者拍照做成PDF的格式即可。</w:t>
      </w:r>
    </w:p>
    <w:p w14:paraId="05E68CF3">
      <w:pPr>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14.5 磋商响应文件不得涂改，若有修改错漏处，须法定代表人（负责人）或授权委托人签字。磋商响应文件因字迹潦草或表达不清所引起的后果由供应商负责。</w:t>
      </w:r>
    </w:p>
    <w:p w14:paraId="1073A06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 响应文件的递交</w:t>
      </w:r>
    </w:p>
    <w:p w14:paraId="3D62C4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所有竞争性磋商响应文件应于竞争性磋商采购文件中规定的时间前上传递交至广西政府采购云平台。凡逾期上传的磋商响应文件将被作为无效的磋商响应文件处理。在递交响应文件截止期以后上传的磋商响应文件将予以拒绝。</w:t>
      </w:r>
    </w:p>
    <w:p w14:paraId="2784D0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15.2竞争性磋商响应文件从响应文件递交截止日期后60日内有效。</w:t>
      </w:r>
    </w:p>
    <w:p w14:paraId="607847E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16.响应文件的补充、修改</w:t>
      </w:r>
    </w:p>
    <w:p w14:paraId="09671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283D37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17.迟交的响应文件</w:t>
      </w:r>
    </w:p>
    <w:p w14:paraId="63F0766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按《中华人民共和国政府采购法》的规定，采购代理机构将拒绝或原封退回在规定的递交竞争性磋商响应文件截止时间之后收到的任何竞争性磋商响应文件。</w:t>
      </w:r>
    </w:p>
    <w:p w14:paraId="015D564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18.电子响应文件的相关说明</w:t>
      </w:r>
    </w:p>
    <w:p w14:paraId="1A7824F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18.1如有特殊情况，采购代理机构延长截止时间和开标时间，采购代理机构和供应商的权利和义务将受到新的截止时间和开标时间的约束。</w:t>
      </w:r>
    </w:p>
    <w:p w14:paraId="62620F6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18.2供应商在首次电子响应文件提交截止时间后向采购人、采购代理机构书面申请撤回电子响应文件的，除此之外采购人和采购代理机构对已开启的电子响应文件概不退回。</w:t>
      </w:r>
    </w:p>
    <w:p w14:paraId="723F2CD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18.3网上开标、电子评标：</w:t>
      </w:r>
    </w:p>
    <w:p w14:paraId="29E372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根据竞争性磋商文件要求，登录“广西政府采购云平台”平台，在指定时间内将电子响应文件通过CA加密后上传完成投标。开标实行网上不见面开标。到达开标时间后，采购代理机构工作人员在“广西政府采购云平台”平台开始网上开标，供应商在竞争性磋商文件指定解密时间内各自远程登录“广西政府采购云平台”平台进行响应文件解密，供应商全部解密完成或解密时间结束后由采购代理机构工作人员开启唱标及评标程序，供应商可在个人电脑上查看到唱标信息，并等待专家评委评审，评审结束后系统中将显示评标结果。</w:t>
      </w:r>
    </w:p>
    <w:p w14:paraId="4720B40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四、响应文件评审程序</w:t>
      </w:r>
    </w:p>
    <w:p w14:paraId="3679331F">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19.磋商小组组建</w:t>
      </w:r>
    </w:p>
    <w:p w14:paraId="20FB33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19.1磋商小组由采购人代表和评审专家共3人以上单数组成，其中评审专家人数不得少于磋商小组成员总数的2/3。</w:t>
      </w:r>
    </w:p>
    <w:p w14:paraId="6E6A86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评审专家应当从广西壮族自治区政府采购云平台中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57C7E5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19.3网上开标、电子评标：</w:t>
      </w:r>
    </w:p>
    <w:p w14:paraId="398EACC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根据竞争性磋商文件要求，登录“广西政府采购云平台”平台，在指定时间内将电子响应文件通过CA加密后上传完成投标。开标实行网上不见面开标。到达开标时间后，采购代理机构工作人员在“广西政府采购云平台”平台开始网上开标，供应商在竞争性磋商文件指定解密时间内各自远程登录“广西政府采购云平台”平台进行响应文件解密，解密顺序：1-2-3，供应商全部解密完成或解密时间结束后由采购代理机构工作人员开启唱标及评标程序，供应商可在个人电脑上查看到唱标信息，并等待专家评委评审，评审结束后系统中将显示评标结果。</w:t>
      </w:r>
    </w:p>
    <w:p w14:paraId="26BB9B59">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20.评审程序</w:t>
      </w:r>
    </w:p>
    <w:p w14:paraId="3C871D6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20.1</w:t>
      </w:r>
      <w:r>
        <w:rPr>
          <w:rFonts w:hint="eastAsia" w:ascii="宋体" w:hAnsi="宋体" w:cs="宋体"/>
          <w:color w:val="auto"/>
          <w:sz w:val="24"/>
          <w:highlight w:val="none"/>
        </w:rPr>
        <w:t>磋商会议程序</w:t>
      </w:r>
    </w:p>
    <w:p w14:paraId="34B417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（1）采购代理机构主持人宣布会议开始；</w:t>
      </w:r>
    </w:p>
    <w:p w14:paraId="4B34F0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（2）介绍参加会议人员名单；</w:t>
      </w:r>
    </w:p>
    <w:p w14:paraId="120896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（3）投标（响应）文件签收、解密；</w:t>
      </w:r>
    </w:p>
    <w:p w14:paraId="2DA4C5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（4）采购代理机构宣读资格参加磋商的磋商供应商及采购人认为需要宣布的其他内容；</w:t>
      </w:r>
    </w:p>
    <w:p w14:paraId="300AD3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（5）宣布磋商与评审期间的有关事项；</w:t>
      </w:r>
    </w:p>
    <w:p w14:paraId="46BA6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（6）会议结束；</w:t>
      </w:r>
    </w:p>
    <w:p w14:paraId="137F1F9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（7）会议结束后即开始评审与磋商工作。</w:t>
      </w:r>
    </w:p>
    <w:p w14:paraId="4E33069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20.2磋商小组评审响应文件</w:t>
      </w:r>
    </w:p>
    <w:p w14:paraId="1FF1FBC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响应文件解密后，磋商小组依法对供应商的资格文件进行审查，其中信用查询详见“供应商须知前附表”。参加本次磋商的供应商均要通过资格审查后才能获得竞争性磋商资格。</w:t>
      </w:r>
    </w:p>
    <w:p w14:paraId="602DCD6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20.3澄清</w:t>
      </w:r>
    </w:p>
    <w:p w14:paraId="4D3022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D889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为了有助于磋商响应文件的审查、评价和比较，磋商小组可以个别地要求磋商供应商澄清其磋商响应文件。澄清文件必须以PDF格式上传，供应商在澄清截止时间前，进行澄清。</w:t>
      </w:r>
    </w:p>
    <w:p w14:paraId="7BA3A7BD">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14:paraId="13D02859">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供应商通过广西政府采购云平台交换的数据电文必须进行电子签章。</w:t>
      </w:r>
    </w:p>
    <w:p w14:paraId="3F647C79">
      <w:pPr>
        <w:widowControl/>
        <w:tabs>
          <w:tab w:val="left" w:pos="540"/>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20.4磋商</w:t>
      </w:r>
    </w:p>
    <w:p w14:paraId="58D22117">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20.4.1磋商时间及地点：按须知前附表规定。</w:t>
      </w:r>
    </w:p>
    <w:p w14:paraId="69C32D5C">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20.4.2供应商参加需要携带的材料：按须知前附表规定。</w:t>
      </w:r>
    </w:p>
    <w:p w14:paraId="0AF1341F">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20.4.3磋商小组按须知前附表规定的磋商顺序，集中与单一供应商分别进行磋商，并给予所有参加磋商的供应商平等的磋商机会。</w:t>
      </w:r>
    </w:p>
    <w:p w14:paraId="06E28A15">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AF13FC3">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对磋商文件作出的实质性变动是磋商文件的有效组成部分，磋商小组应当及时以书面形式同时通知所有参加磋商的供应商。</w:t>
      </w:r>
    </w:p>
    <w:p w14:paraId="2A78AF25">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供应商应当按照磋商文件的变动情况和磋商小组的要求重新提交响应文件，并由其法定代表人或授权代表签字或者加盖公章。由授权代表签字的，应当附法定代表人授权书。</w:t>
      </w:r>
    </w:p>
    <w:p w14:paraId="72217818">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磋商中，磋商的任何一方不得透露与磋商有关的其他供应商的技术资料、价格和其他信息。</w:t>
      </w:r>
    </w:p>
    <w:p w14:paraId="25995CBC">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采购代理机构对磋商过程和重要磋商内容进行记录，磋商双方在记录上签字确认。</w:t>
      </w:r>
    </w:p>
    <w:p w14:paraId="47A69461">
      <w:pPr>
        <w:widowControl/>
        <w:tabs>
          <w:tab w:val="left" w:pos="540"/>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20.5最后报价</w:t>
      </w:r>
    </w:p>
    <w:p w14:paraId="6B568C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20.5.1磋商文件能够详细列明采购标的的技术、服务要求的，磋商结束后，磋商供应商作最后报价，在报价页面填写最终报价、项目负责人等信息，生成报价文件。生成报价文件后，供应商需报价文件进行CA签章。供应商确认报价文件无误后，在电脑上插入CA锁，对报价文件进行签章。确认报价文件后，提交报价文件。经磋商确定最终采购需求和提交最后报价的供应商后，由磋商小组采用综合评分法对提交最后报价的供应商的响应文件和最后报价进行综合评分。磋商小组按综合评分从高到低排序，推荐成交候选人顺序，形成评标报告。</w:t>
      </w:r>
    </w:p>
    <w:p w14:paraId="11A56CB8">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14:paraId="663F6E7F">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20.5.3属于市场竞争不充分的科研项目，以及需要扶持的科技成果转化项目，提交最后报价的供应商可以为2家。</w:t>
      </w:r>
    </w:p>
    <w:p w14:paraId="666C8C90">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A09AC3B">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20.5.5最后报价是供应商响应文件的有效组成部分。</w:t>
      </w:r>
    </w:p>
    <w:p w14:paraId="6B787003">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20.5.6已经提交响应文件的供应商，在提交最后报价之前，可以根据磋商情况退出磋商。</w:t>
      </w:r>
    </w:p>
    <w:p w14:paraId="309565F8">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20.5.7响应供应商的报价均超过了采购预算，采购人不能支付的，磋商活动终止。</w:t>
      </w:r>
    </w:p>
    <w:p w14:paraId="10B14E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20.5.8</w:t>
      </w:r>
      <w:r>
        <w:rPr>
          <w:rFonts w:hint="eastAsia" w:ascii="宋体" w:hAnsi="宋体" w:cs="宋体"/>
          <w:color w:val="auto"/>
          <w:sz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03CF8A">
      <w:pPr>
        <w:widowControl/>
        <w:tabs>
          <w:tab w:val="left" w:pos="540"/>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21.最终磋商结束后，磋商小组不得再与供应商进行任何形式的商谈。</w:t>
      </w:r>
    </w:p>
    <w:p w14:paraId="54682C31">
      <w:pPr>
        <w:widowControl/>
        <w:tabs>
          <w:tab w:val="left" w:pos="540"/>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22.评审与比较</w:t>
      </w:r>
    </w:p>
    <w:p w14:paraId="7502A71F">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22.10经磋商确定最终采购需求和提交最后报价的供应商后，由磋商小组采用综合评分法对提交最后报价的供应商的响应文件和最后报价进行综合评分。</w:t>
      </w:r>
    </w:p>
    <w:p w14:paraId="2DFB3B5E">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22.2评审原则。磋商小组必须公平、公正、客观，不带任何倾向性和启发性；不得向外界透露任何与评审有关的内容；任何单位和个人不得干扰、影响评审的正常进行。</w:t>
      </w:r>
    </w:p>
    <w:p w14:paraId="40E5DDB9">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22.3评标方法及标准详见第六章。</w:t>
      </w:r>
    </w:p>
    <w:p w14:paraId="68885B54">
      <w:pPr>
        <w:widowControl/>
        <w:tabs>
          <w:tab w:val="left" w:pos="540"/>
        </w:tabs>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23.</w:t>
      </w:r>
      <w:r>
        <w:rPr>
          <w:rFonts w:hint="eastAsia" w:ascii="宋体" w:hAnsi="宋体" w:cs="宋体"/>
          <w:b/>
          <w:bCs/>
          <w:color w:val="auto"/>
          <w:sz w:val="24"/>
          <w:highlight w:val="none"/>
        </w:rPr>
        <w:t>在评标过程中出现法律法规和磋商文件均没有明确规定的情形时，由磋商小组现场协商解决。</w:t>
      </w:r>
    </w:p>
    <w:p w14:paraId="32B509FD">
      <w:pPr>
        <w:widowControl/>
        <w:tabs>
          <w:tab w:val="left" w:pos="540"/>
        </w:tabs>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24.</w:t>
      </w:r>
      <w:r>
        <w:rPr>
          <w:rFonts w:hint="eastAsia" w:ascii="宋体" w:hAnsi="宋体" w:cs="宋体"/>
          <w:b/>
          <w:color w:val="auto"/>
          <w:sz w:val="24"/>
          <w:highlight w:val="none"/>
        </w:rPr>
        <w:t>特别说明：</w:t>
      </w:r>
    </w:p>
    <w:p w14:paraId="1D8C59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24.1出现下列情形之一的，在评审过程中，取其中通过资格审查、符合性审查且报价最低的参加评审；当报价相同时，则由采购人自主选择确定一个参加评审的供应商，其他响应无效：</w:t>
      </w:r>
    </w:p>
    <w:p w14:paraId="34000F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24.2供应商竞标所使用的资格、信誉、荣誉、业绩与企业认证必须为本法人所拥有。供应商竞标所使用的采购项目实施人员必须为本法人员工（或必须为本法人或控股公司正式员工）。</w:t>
      </w:r>
    </w:p>
    <w:p w14:paraId="02CC9C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24.3供应商应仔细阅读竞争性磋商文件的所有内容，按照竞争性磋商文件的要求提交响应文件，并对所提供的全部资料的真实性承担法律责任。</w:t>
      </w:r>
    </w:p>
    <w:p w14:paraId="757098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24.4供应商在竞标活动中提供任何虚假材料，其竞标无效，并报监管部门查处；中标后发现的，成交供应商须依照《中华人民共和国消费者权益保护法》第49条之规定双倍赔偿采购人，且民事赔偿并不免除违法供应商的行政与刑事责任。</w:t>
      </w:r>
    </w:p>
    <w:p w14:paraId="43D33C09">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24.5</w:t>
      </w:r>
      <w:r>
        <w:rPr>
          <w:rFonts w:hint="eastAsia" w:hAnsi="宋体" w:cs="宋体"/>
          <w:b/>
          <w:bCs/>
          <w:color w:val="auto"/>
          <w:sz w:val="24"/>
          <w:szCs w:val="24"/>
          <w:highlight w:val="none"/>
        </w:rPr>
        <w:t>有下列情形之一的视为供应商相互串通投标，响应文件将被视为无效：</w:t>
      </w:r>
    </w:p>
    <w:p w14:paraId="24B70D7B">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（1）不同供应商的响应文件由同一单位或者个人编制；或不同供应商报名的IP地址一致的；</w:t>
      </w:r>
    </w:p>
    <w:p w14:paraId="672E8392">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（2）不同供应商委托同一单位或者个人办理竞标事宜；</w:t>
      </w:r>
    </w:p>
    <w:p w14:paraId="0931FD6A">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（3）不同的供应商的响应文件载明的项目管理员为同一个人；</w:t>
      </w:r>
    </w:p>
    <w:p w14:paraId="2C07169D">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（4）不同供应商的响应文件异常一致或报价呈规律性差异；</w:t>
      </w:r>
    </w:p>
    <w:p w14:paraId="200046A1">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（5）不同供应商的响应文件相互混装；</w:t>
      </w:r>
    </w:p>
    <w:p w14:paraId="31BA458E">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24.6</w:t>
      </w:r>
      <w:r>
        <w:rPr>
          <w:rFonts w:hint="eastAsia" w:hAnsi="宋体" w:cs="宋体"/>
          <w:b/>
          <w:bCs/>
          <w:color w:val="auto"/>
          <w:sz w:val="24"/>
          <w:szCs w:val="24"/>
          <w:highlight w:val="none"/>
        </w:rPr>
        <w:t>供应商有下列情形之一的，属于恶意串通行为：</w:t>
      </w:r>
    </w:p>
    <w:p w14:paraId="75700FA0">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（1）供应商直接或者间接从采购人或者采购代理机构处获得其他供应商的相关信息并修改其响应文件：</w:t>
      </w:r>
    </w:p>
    <w:p w14:paraId="6D803610">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（2）供应商按照采购人或者采购代理机构的授意撤换、修改响应文件；</w:t>
      </w:r>
    </w:p>
    <w:p w14:paraId="7C038B3B">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（3）供应商之间协商报价、技术方案等响应文件的实质性内容；</w:t>
      </w:r>
    </w:p>
    <w:p w14:paraId="31F07CBA">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（4）属于同一集团、协会、商会等组织成员的供应商按照该组织要求协同参加政府采购活动；</w:t>
      </w:r>
    </w:p>
    <w:p w14:paraId="5CF26C54">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（5）供应商之间事先约定一致抬高或者压低报价,或者在采购项目中事先约定轮流以高价位或者低价位成交,或者事先约定由某一特定供应商成交,然后再参加竞标；</w:t>
      </w:r>
    </w:p>
    <w:p w14:paraId="33197EE7">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（6）供应商之间商定部分供应商放弃参加政府采购活动或者放弃成交；</w:t>
      </w:r>
    </w:p>
    <w:p w14:paraId="25A636AA">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（7）供应商与采购人或者采购代理机构之间、供应商相互之间，为谋求特定供应商成交或者排斥其他供应商的其他串通行为。</w:t>
      </w:r>
    </w:p>
    <w:p w14:paraId="330B8A36">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24.7</w:t>
      </w:r>
      <w:r>
        <w:rPr>
          <w:rFonts w:hint="eastAsia" w:hAnsi="宋体" w:cs="宋体"/>
          <w:b/>
          <w:bCs/>
          <w:color w:val="auto"/>
          <w:sz w:val="24"/>
          <w:szCs w:val="24"/>
          <w:highlight w:val="none"/>
        </w:rPr>
        <w:t>关联供应商不得参加同一合同项下政府采购活动，否则响应文件将被视为无效：</w:t>
      </w:r>
    </w:p>
    <w:p w14:paraId="5C6F62B8">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（1）单位负责人为同一人或者存在直接控股、管理关系的不同的供应商，不得参加同一合同项下的政府采购活动；</w:t>
      </w:r>
    </w:p>
    <w:p w14:paraId="39CF13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（2）生产厂商授权给供应商后自己不得参加同一合同项下的政府采购活动；生产厂商对同一品牌同一型号的货物，仅能委托一个代理商参加竞标。</w:t>
      </w:r>
    </w:p>
    <w:p w14:paraId="3F63F2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 出现下列情形之一的，采购人或者采购代理机构应当终止竞争性磋商采购活动，发布项目终止公告并说明原因，重新开展采购活动：</w:t>
      </w:r>
    </w:p>
    <w:p w14:paraId="0ADD62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25.1因情况变化，不再符合规定的竞争性磋商采购方式适用情形的；</w:t>
      </w:r>
    </w:p>
    <w:p w14:paraId="4751CD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25.2出现影响采购公正的违法、违规行为的；</w:t>
      </w:r>
    </w:p>
    <w:p w14:paraId="143BCC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25.3除本须知20.5.3、20.5.4及法律法规规定的情形外，在采购过程中符合要求的供应商或者报价未超过采购预算的供应商不足3家的。</w:t>
      </w:r>
    </w:p>
    <w:p w14:paraId="734F3D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26.在采购活动中因重大变故，采购任务取消的，采购人或者采购代理机构应当终止采购活动，通知所有参加采购活动的供应商，并将项目实施情况和采购任务取消原因报送本级财政部门。</w:t>
      </w:r>
    </w:p>
    <w:p w14:paraId="2EF4BB7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五、确定成交供应商办法及结果公告</w:t>
      </w:r>
    </w:p>
    <w:p w14:paraId="751613E6">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27.</w:t>
      </w:r>
      <w:r>
        <w:rPr>
          <w:rFonts w:hint="eastAsia" w:ascii="宋体" w:hAnsi="宋体" w:cs="宋体"/>
          <w:color w:val="auto"/>
          <w:kern w:val="0"/>
          <w:sz w:val="24"/>
          <w:highlight w:val="none"/>
        </w:rPr>
        <w:t>采购</w:t>
      </w:r>
      <w:r>
        <w:rPr>
          <w:rFonts w:hint="eastAsia" w:ascii="宋体" w:hAnsi="宋体" w:cs="宋体"/>
          <w:color w:val="auto"/>
          <w:sz w:val="24"/>
          <w:highlight w:val="none"/>
        </w:rPr>
        <w:t>代理</w:t>
      </w:r>
      <w:r>
        <w:rPr>
          <w:rFonts w:hint="eastAsia" w:ascii="宋体" w:hAnsi="宋体" w:cs="宋体"/>
          <w:color w:val="auto"/>
          <w:kern w:val="0"/>
          <w:sz w:val="24"/>
          <w:highlight w:val="none"/>
        </w:rPr>
        <w:t>机构应当在评审结束后2个工作日内将评审报告送采购人确认。采购人应当在收到评审报告后2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A7855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14:paraId="358E56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排名第二的成交候选人因前款规定的同样原因被取消成交资格的，采购人可以确定排名第三的成交候选人为成交供应商。</w:t>
      </w:r>
    </w:p>
    <w:p w14:paraId="32E4E4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以上信息查询记录及相关证据与采购文件一并保存。</w:t>
      </w:r>
    </w:p>
    <w:p w14:paraId="24F598C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六、履约保证金</w:t>
      </w:r>
    </w:p>
    <w:p w14:paraId="2E4D189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无。</w:t>
      </w:r>
    </w:p>
    <w:p w14:paraId="477EC1D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七、签订合同</w:t>
      </w:r>
    </w:p>
    <w:p w14:paraId="4CD238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29.签订合同时间：自发出成交通知书之日起20日内。成交供应商在收到成交通知书后，按规定与采购人签订采购合同。</w:t>
      </w:r>
    </w:p>
    <w:p w14:paraId="675682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22209EFC">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政府采购合同公告</w:t>
      </w:r>
    </w:p>
    <w:p w14:paraId="5DD5D177">
      <w:pPr>
        <w:pStyle w:val="27"/>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BAA5C7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八、适用法律</w:t>
      </w:r>
    </w:p>
    <w:p w14:paraId="10DA092A">
      <w:pPr>
        <w:tabs>
          <w:tab w:val="left" w:pos="2835"/>
        </w:tabs>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32.采购当事人的一切活动均适用于《中华人民共和国政府采购法》、《政府采购竞争性磋商采购方式管理暂行办法》及相关规定。</w:t>
      </w:r>
    </w:p>
    <w:p w14:paraId="6D82E36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九、其它内容</w:t>
      </w:r>
    </w:p>
    <w:p w14:paraId="6C665201">
      <w:pPr>
        <w:tabs>
          <w:tab w:val="left" w:pos="283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33.采购代理服务费</w:t>
      </w:r>
    </w:p>
    <w:p w14:paraId="64B828EE">
      <w:pPr>
        <w:tabs>
          <w:tab w:val="left" w:pos="283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33.1本项目代理服务费详见本须知前附表，由成交供应商在领取成交通知书前，一次性向采购代理机构支付。</w:t>
      </w:r>
    </w:p>
    <w:p w14:paraId="02A23F06">
      <w:pPr>
        <w:tabs>
          <w:tab w:val="left" w:pos="2835"/>
        </w:tabs>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34. 询问、质疑和投诉</w:t>
      </w:r>
    </w:p>
    <w:p w14:paraId="60944878">
      <w:pPr>
        <w:tabs>
          <w:tab w:val="left" w:pos="283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34.1供应商对政府采购活动事项有疑问的，可以向采购人、采购代理机构提出询问。</w:t>
      </w:r>
    </w:p>
    <w:p w14:paraId="0D6D3265">
      <w:pPr>
        <w:pStyle w:val="27"/>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34.2</w:t>
      </w:r>
      <w:r>
        <w:rPr>
          <w:rFonts w:hint="eastAsia" w:hAnsi="宋体" w:cs="宋体"/>
          <w:color w:val="auto"/>
          <w:sz w:val="24"/>
          <w:szCs w:val="24"/>
          <w:highlight w:val="none"/>
        </w:rPr>
        <w:t>供应商</w:t>
      </w:r>
      <w:r>
        <w:rPr>
          <w:rFonts w:hint="eastAsia" w:hAnsi="宋体" w:cs="宋体"/>
          <w:bCs/>
          <w:color w:val="auto"/>
          <w:sz w:val="24"/>
          <w:szCs w:val="24"/>
          <w:highlight w:val="none"/>
        </w:rPr>
        <w:t>如认为竞争性磋商文件使自己的权益受到损</w:t>
      </w:r>
      <w:r>
        <w:rPr>
          <w:rFonts w:hint="eastAsia" w:hAnsi="宋体" w:cs="宋体"/>
          <w:color w:val="auto"/>
          <w:sz w:val="24"/>
          <w:szCs w:val="24"/>
          <w:highlight w:val="none"/>
        </w:rPr>
        <w:t>害的，可以在自磋商文件发布之日起七日内</w:t>
      </w:r>
      <w:r>
        <w:rPr>
          <w:rFonts w:hint="eastAsia" w:hAnsi="宋体" w:cs="宋体"/>
          <w:bCs/>
          <w:color w:val="auto"/>
          <w:sz w:val="24"/>
          <w:szCs w:val="24"/>
          <w:highlight w:val="none"/>
        </w:rPr>
        <w:t>以书面形式向采购代理机构提出质疑；投标截止时间后，采购代理机构不再受理对竞争性磋商文件的询问或质疑。投标人认为</w:t>
      </w:r>
      <w:r>
        <w:rPr>
          <w:rFonts w:hint="eastAsia" w:hAnsi="宋体" w:cs="宋体"/>
          <w:color w:val="auto"/>
          <w:sz w:val="24"/>
          <w:szCs w:val="24"/>
          <w:highlight w:val="none"/>
        </w:rPr>
        <w:t>采购过程和中标结果使自己的权益受到损害的，可</w:t>
      </w:r>
      <w:r>
        <w:rPr>
          <w:rFonts w:hint="eastAsia" w:hAnsi="宋体" w:cs="宋体"/>
          <w:bCs/>
          <w:color w:val="auto"/>
          <w:sz w:val="24"/>
          <w:szCs w:val="24"/>
          <w:highlight w:val="none"/>
        </w:rPr>
        <w:t>以</w:t>
      </w:r>
      <w:r>
        <w:rPr>
          <w:rFonts w:hint="eastAsia" w:hAnsi="宋体" w:cs="宋体"/>
          <w:color w:val="auto"/>
          <w:sz w:val="24"/>
          <w:szCs w:val="24"/>
          <w:highlight w:val="none"/>
        </w:rPr>
        <w:t>在中标结果公示之日起七个工作日内，以书面形式向采购人委托的采购代理机构质疑。质疑书的提交地点和质疑受理电话见投标人须知前附表。</w:t>
      </w:r>
    </w:p>
    <w:p w14:paraId="053347F3">
      <w:pPr>
        <w:pStyle w:val="27"/>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34.2.1 供应商质疑实行实名制，其质疑应当有具体的质疑事项及事实根据，不得进行虚假、恶意质疑。</w:t>
      </w:r>
    </w:p>
    <w:p w14:paraId="5CA29101">
      <w:pPr>
        <w:pStyle w:val="27"/>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34.2.2 供应商质疑时，应当提交一性次质疑书原件，一性次质疑书应当包括下列主要内容：</w:t>
      </w:r>
    </w:p>
    <w:p w14:paraId="4773ABD4">
      <w:pPr>
        <w:pStyle w:val="27"/>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14:paraId="2A496E79">
      <w:pPr>
        <w:pStyle w:val="27"/>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（2）质疑项目的名称、编号；</w:t>
      </w:r>
    </w:p>
    <w:p w14:paraId="146BC8BD">
      <w:pPr>
        <w:pStyle w:val="27"/>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14:paraId="11B7AD68">
      <w:pPr>
        <w:pStyle w:val="27"/>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（4）事实依据；</w:t>
      </w:r>
    </w:p>
    <w:p w14:paraId="7E7015A5">
      <w:pPr>
        <w:pStyle w:val="27"/>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（5）必要的法律依据；</w:t>
      </w:r>
    </w:p>
    <w:p w14:paraId="3D3F6BAB">
      <w:pPr>
        <w:pStyle w:val="27"/>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（6）提出质疑的日期。</w:t>
      </w:r>
    </w:p>
    <w:p w14:paraId="4CDE32A4">
      <w:pPr>
        <w:pStyle w:val="27"/>
        <w:tabs>
          <w:tab w:val="left" w:pos="455"/>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（7）附件材料：（附营业执照复印件、法定代表人身份证复印件、代理人委托书原件及代理人身份证复印件及原件）。</w:t>
      </w:r>
    </w:p>
    <w:p w14:paraId="1C33AF72">
      <w:pPr>
        <w:pStyle w:val="27"/>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质疑书应当署名。质疑供应商为法人或者其他组织的，应当由法定代表人或者主要负责人签字并加盖公章。</w:t>
      </w:r>
    </w:p>
    <w:p w14:paraId="7BFE5D70">
      <w:pPr>
        <w:pStyle w:val="27"/>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34.2.3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cs="宋体"/>
          <w:color w:val="auto"/>
          <w:sz w:val="24"/>
          <w:szCs w:val="24"/>
          <w:highlight w:val="none"/>
        </w:rPr>
        <w:t>委托代理人身份证明复印件和近期三个月社保缴费证明复印件。</w:t>
      </w:r>
    </w:p>
    <w:p w14:paraId="0856B50A">
      <w:pPr>
        <w:pStyle w:val="27"/>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34.2.4 质疑供应商提起质疑应当符合下列条件：</w:t>
      </w:r>
    </w:p>
    <w:p w14:paraId="252072C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（1）质疑供应商是参与所质疑政府采购活动的供应商；</w:t>
      </w:r>
    </w:p>
    <w:p w14:paraId="05A63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（2）质疑书内容符合本章第</w:t>
      </w:r>
      <w:r>
        <w:rPr>
          <w:rFonts w:hint="eastAsia" w:ascii="宋体" w:hAnsi="宋体" w:cs="宋体"/>
          <w:bCs/>
          <w:color w:val="auto"/>
          <w:sz w:val="24"/>
          <w:highlight w:val="none"/>
        </w:rPr>
        <w:t>34.2.2</w:t>
      </w:r>
      <w:r>
        <w:rPr>
          <w:rFonts w:hint="eastAsia" w:ascii="宋体" w:hAnsi="宋体" w:cs="宋体"/>
          <w:color w:val="auto"/>
          <w:sz w:val="24"/>
          <w:highlight w:val="none"/>
        </w:rPr>
        <w:t>项的规定；</w:t>
      </w:r>
    </w:p>
    <w:p w14:paraId="5B98A2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（3）在质疑有效期限内提起质疑；</w:t>
      </w:r>
    </w:p>
    <w:p w14:paraId="2F4C1C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（4）属于所质疑的采购人或采购人委托的采购代理机构组织的采购活动；</w:t>
      </w:r>
    </w:p>
    <w:p w14:paraId="3781EE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（5）同一质疑事项未经采购人或采购人委托的采购代理机构质疑处理；</w:t>
      </w:r>
    </w:p>
    <w:p w14:paraId="469779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（6）财政部门规定的其他条件。</w:t>
      </w:r>
    </w:p>
    <w:p w14:paraId="0DA89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34.2.5 采购人或采购人委托的采购代理机构自受理质疑之日起七个工作日内，对质疑事项作出答复，并以书面形式通知质疑供应商及其他有关供应商。</w:t>
      </w:r>
    </w:p>
    <w:p w14:paraId="463540BE">
      <w:pPr>
        <w:pStyle w:val="27"/>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34.3 投诉</w:t>
      </w:r>
    </w:p>
    <w:p w14:paraId="1AC5B9B3">
      <w:pPr>
        <w:pStyle w:val="27"/>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34.3.1 供应商认为采购文件、采购过程、中标和成交结果使自己的合法权益受到损害的，应当首先依法向采购人或采购人委托的采购代理机构</w:t>
      </w:r>
      <w:r>
        <w:rPr>
          <w:rFonts w:hint="eastAsia" w:hAnsi="宋体" w:cs="宋体"/>
          <w:bCs/>
          <w:color w:val="auto"/>
          <w:sz w:val="24"/>
          <w:szCs w:val="24"/>
          <w:highlight w:val="none"/>
        </w:rPr>
        <w:t>提出质疑。对采购人、</w:t>
      </w:r>
      <w:r>
        <w:rPr>
          <w:rFonts w:hint="eastAsia" w:hAnsi="宋体" w:cs="宋体"/>
          <w:color w:val="auto"/>
          <w:sz w:val="24"/>
          <w:szCs w:val="24"/>
          <w:highlight w:val="none"/>
        </w:rPr>
        <w:t>采购代理机构</w:t>
      </w:r>
      <w:r>
        <w:rPr>
          <w:rFonts w:hint="eastAsia" w:hAnsi="宋体" w:cs="宋体"/>
          <w:bCs/>
          <w:color w:val="auto"/>
          <w:sz w:val="24"/>
          <w:szCs w:val="24"/>
          <w:highlight w:val="none"/>
        </w:rPr>
        <w:t>的答复不满意，或者采购人、</w:t>
      </w:r>
      <w:r>
        <w:rPr>
          <w:rFonts w:hint="eastAsia" w:hAnsi="宋体" w:cs="宋体"/>
          <w:color w:val="auto"/>
          <w:sz w:val="24"/>
          <w:szCs w:val="24"/>
          <w:highlight w:val="none"/>
        </w:rPr>
        <w:t>采购代理机构</w:t>
      </w:r>
      <w:r>
        <w:rPr>
          <w:rFonts w:hint="eastAsia" w:hAnsi="宋体" w:cs="宋体"/>
          <w:bCs/>
          <w:color w:val="auto"/>
          <w:sz w:val="24"/>
          <w:szCs w:val="24"/>
          <w:highlight w:val="none"/>
        </w:rPr>
        <w:t>未在规定期限内做出答复的，供应商可以在答复期满后十五个工作日内向</w:t>
      </w:r>
      <w:r>
        <w:rPr>
          <w:rFonts w:hint="eastAsia" w:hAnsi="宋体" w:cs="宋体"/>
          <w:color w:val="auto"/>
          <w:sz w:val="24"/>
          <w:szCs w:val="24"/>
          <w:highlight w:val="none"/>
        </w:rPr>
        <w:t>政府采购监督部门提起投诉。</w:t>
      </w:r>
    </w:p>
    <w:p w14:paraId="47C16B5E">
      <w:pPr>
        <w:pStyle w:val="27"/>
        <w:spacing w:line="360" w:lineRule="auto"/>
        <w:ind w:firstLine="480" w:firstLineChars="200"/>
        <w:jc w:val="left"/>
        <w:rPr>
          <w:rFonts w:hAnsi="宋体" w:cs="宋体"/>
          <w:color w:val="auto"/>
          <w:sz w:val="24"/>
          <w:szCs w:val="24"/>
          <w:highlight w:val="none"/>
        </w:rPr>
      </w:pPr>
      <w:r>
        <w:rPr>
          <w:rFonts w:hint="eastAsia" w:hAnsi="宋体" w:cs="宋体"/>
          <w:bCs/>
          <w:color w:val="auto"/>
          <w:sz w:val="24"/>
          <w:szCs w:val="24"/>
          <w:highlight w:val="none"/>
        </w:rPr>
        <w:t>34.3.</w:t>
      </w:r>
      <w:r>
        <w:rPr>
          <w:rFonts w:hint="eastAsia" w:hAnsi="宋体" w:cs="宋体"/>
          <w:color w:val="auto"/>
          <w:sz w:val="24"/>
          <w:szCs w:val="24"/>
          <w:highlight w:val="none"/>
        </w:rPr>
        <w:t>2在提出投诉时，应附送相关证明材料。如投诉书及证明材料为外文的，应同时提供其中文译本；中文与外文意思不一致，以中文为准。</w:t>
      </w:r>
    </w:p>
    <w:p w14:paraId="64A0B83D">
      <w:pPr>
        <w:pStyle w:val="27"/>
        <w:snapToGrid w:val="0"/>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35、</w:t>
      </w:r>
      <w:r>
        <w:rPr>
          <w:rFonts w:hint="eastAsia" w:hAnsi="宋体" w:cs="宋体"/>
          <w:color w:val="auto"/>
          <w:sz w:val="24"/>
          <w:szCs w:val="24"/>
          <w:highlight w:val="none"/>
        </w:rPr>
        <w:t>解释权：本招标文件是根据《中华人民共和国政府采购法》和政府采购管理有关规定编制，本招标文件的解释权属于采购代理机构。</w:t>
      </w:r>
    </w:p>
    <w:p w14:paraId="5FA85036">
      <w:pPr>
        <w:spacing w:line="360" w:lineRule="auto"/>
        <w:ind w:firstLine="482" w:firstLineChars="200"/>
        <w:outlineLvl w:val="1"/>
        <w:rPr>
          <w:rFonts w:ascii="宋体" w:hAnsi="宋体" w:cs="宋体"/>
          <w:b/>
          <w:bCs/>
          <w:color w:val="auto"/>
          <w:kern w:val="0"/>
          <w:sz w:val="24"/>
          <w:highlight w:val="none"/>
        </w:rPr>
      </w:pPr>
      <w:r>
        <w:rPr>
          <w:rFonts w:hint="eastAsia" w:ascii="宋体" w:hAnsi="宋体" w:cs="宋体"/>
          <w:b/>
          <w:color w:val="auto"/>
          <w:sz w:val="24"/>
          <w:highlight w:val="none"/>
        </w:rPr>
        <w:t>36、</w:t>
      </w:r>
      <w:r>
        <w:rPr>
          <w:rFonts w:hint="eastAsia" w:ascii="宋体" w:hAnsi="宋体" w:cs="宋体"/>
          <w:b/>
          <w:bCs/>
          <w:color w:val="auto"/>
          <w:kern w:val="0"/>
          <w:sz w:val="24"/>
          <w:highlight w:val="none"/>
        </w:rPr>
        <w:t>促进中小企业发展政策</w:t>
      </w:r>
    </w:p>
    <w:p w14:paraId="353428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36.1本项目落实促进中小企业发展政策措施在前附表规定。依据促进中小企业发展政策获得政府采购合同的，小微企业不得将合同分包给大中型企业，中型企业不得将合同分包给大型企业。</w:t>
      </w:r>
    </w:p>
    <w:p w14:paraId="2DB4A5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36.2本项目如为专门面向中小企业预留采购份额采购项目，供应商必须满足采购文件资格要求中的落实政府采购政策需满足的资格要求。</w:t>
      </w:r>
    </w:p>
    <w:p w14:paraId="47676A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采购文件中如接受联合体，供应商以联合体形式参加采购活动，联合体中中小企业承担的部分达到30%以上，其中预留给小微企业的比例不低于60%。</w:t>
      </w:r>
    </w:p>
    <w:p w14:paraId="68844B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采购文件中如接受分包，供应商将采购项目分包给一家或者多家中小企业的比例达到30%以上，其中预留给小微企业的比例不低于60%。</w:t>
      </w:r>
    </w:p>
    <w:p w14:paraId="20D3DF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注：专门面向中小企业预留采购份额采购项目不享受价格扣除政策。</w:t>
      </w:r>
    </w:p>
    <w:p w14:paraId="4E64E2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36.3本项目如为非专门面向中小企业预留采购份额采购项目，磋商小组应当对小微企业报价给予价格扣除，用扣除后的价格参加评审。</w:t>
      </w:r>
    </w:p>
    <w:p w14:paraId="6A5941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文件接受大中型企业与小微企业组成联合体或者允许大中型企业向一家或者多家小微企业分包时，对于联合协议或者分包意向协议约定小微企业的合同份额占合同总金额比例达到30%以上的，磋商小组应当对联合体或者大中型企业的报价给予价格扣除，用扣除后的价格参加评审。</w:t>
      </w:r>
    </w:p>
    <w:p w14:paraId="46108D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643E6E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价格扣除比例在第六章评审方法及标准中规定，对小型企业和微型企业同等对待，不作区分。</w:t>
      </w:r>
    </w:p>
    <w:p w14:paraId="33DE6F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36.4中小企业定义</w:t>
      </w:r>
    </w:p>
    <w:p w14:paraId="6F521A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36.4.1中小企业是指在中华人民共和国境内依法设立，依据国务院批准的中小企业划分标准确定的中型企业、小型企业和微型企业，但与大企业的负责人为同一人，或者与大企业存在直接控股、管理关系的除外。</w:t>
      </w:r>
    </w:p>
    <w:p w14:paraId="1A8F6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36.4.2供应商提供的货物、工程或者服务符合下列情形的，享受本款规定的促进中小企业发展政策：</w:t>
      </w:r>
    </w:p>
    <w:p w14:paraId="6D5269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在货物采购项目中，货物由中小企业制造，即货物由中小企业生产且使用该中小企业商号或者注册商标；</w:t>
      </w:r>
    </w:p>
    <w:p w14:paraId="7D443F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在工程采购项目中，工程由中小企业承建，即工程施工单位为中小企业；</w:t>
      </w:r>
    </w:p>
    <w:p w14:paraId="553433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在服务采购项目中，服务由中小企业承接，即提供服务的人员为中小企业依照《中华人民共和国劳动民法典》订立劳动合同的从业人员。</w:t>
      </w:r>
    </w:p>
    <w:p w14:paraId="7AABBD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在货物采购项目中，供应商提供的货物既有中小企业制造货物，也有大型企业制造货物的，不享受本款规定的促进中小企业发展政策。</w:t>
      </w:r>
    </w:p>
    <w:p w14:paraId="470E7F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5F3C1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36.4.3本项目标的所属行业在第三章项目采购需求中规定。供应商根据中小企业划分标准（《关于印发中小企业划型标准规定的通知》（工信部联企业〔2011〕300号）判断是否为中小企业。</w:t>
      </w:r>
    </w:p>
    <w:p w14:paraId="5D6A31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符合条件的货物制造商、工程施工单位、服务承接单位为中小企业的，应按采购文件规定在响应文件中提供声明函。</w:t>
      </w:r>
    </w:p>
    <w:p w14:paraId="0967A1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36.4.4视同中小企业情形</w:t>
      </w:r>
    </w:p>
    <w:p w14:paraId="3A3985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（1）符合中小企业划分标准的个体工商户，视同中小企业。</w:t>
      </w:r>
    </w:p>
    <w:p w14:paraId="21B714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（2）以联合体形式参加政府采购活动，联合体各方均为中小企业的，联合体视同中小企业。其中，联合体各方均为小微企业的，联合体视同小微企业。</w:t>
      </w:r>
    </w:p>
    <w:p w14:paraId="02BEFA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514EE08D">
      <w:pPr>
        <w:pStyle w:val="27"/>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符合条件的货物制造商、工程施工单位、服务承接单位为监狱企业或残疾人福利性单位的，应按采购文件规定在响应文件中提供相关证明文件。</w:t>
      </w:r>
    </w:p>
    <w:p w14:paraId="399ED766">
      <w:pPr>
        <w:pStyle w:val="27"/>
        <w:snapToGrid w:val="0"/>
        <w:spacing w:line="360" w:lineRule="auto"/>
        <w:ind w:firstLine="482" w:firstLineChars="200"/>
        <w:rPr>
          <w:rFonts w:hAnsi="宋体" w:cs="宋体"/>
          <w:b/>
          <w:bCs/>
          <w:color w:val="auto"/>
          <w:sz w:val="24"/>
          <w:szCs w:val="24"/>
          <w:highlight w:val="none"/>
        </w:rPr>
      </w:pPr>
      <w:r>
        <w:rPr>
          <w:rFonts w:hint="eastAsia" w:hAnsi="宋体" w:cs="宋体"/>
          <w:b/>
          <w:color w:val="auto"/>
          <w:sz w:val="24"/>
          <w:szCs w:val="24"/>
          <w:highlight w:val="none"/>
        </w:rPr>
        <w:t>37、</w:t>
      </w:r>
      <w:r>
        <w:rPr>
          <w:rFonts w:hint="eastAsia" w:hAnsi="宋体" w:cs="宋体"/>
          <w:color w:val="auto"/>
          <w:sz w:val="24"/>
          <w:szCs w:val="24"/>
          <w:highlight w:val="none"/>
        </w:rPr>
        <w:t>监督部门：</w:t>
      </w:r>
      <w:r>
        <w:rPr>
          <w:rFonts w:hint="eastAsia" w:hAnsi="宋体" w:cs="宋体"/>
          <w:bCs/>
          <w:color w:val="auto"/>
          <w:sz w:val="24"/>
          <w:szCs w:val="24"/>
          <w:highlight w:val="none"/>
        </w:rPr>
        <w:t>桂平市财政局政府采购监督管理股电话：0775-3380263</w:t>
      </w:r>
    </w:p>
    <w:p w14:paraId="56D5B03F">
      <w:pPr>
        <w:pStyle w:val="27"/>
        <w:spacing w:line="360" w:lineRule="auto"/>
        <w:ind w:firstLine="482" w:firstLineChars="200"/>
        <w:jc w:val="left"/>
        <w:rPr>
          <w:rFonts w:hAnsi="宋体" w:cs="宋体"/>
          <w:color w:val="auto"/>
          <w:sz w:val="24"/>
          <w:szCs w:val="24"/>
          <w:highlight w:val="none"/>
        </w:rPr>
      </w:pPr>
      <w:r>
        <w:rPr>
          <w:rFonts w:hint="eastAsia" w:hAnsi="宋体" w:cs="宋体"/>
          <w:b/>
          <w:bCs/>
          <w:color w:val="auto"/>
          <w:sz w:val="24"/>
          <w:szCs w:val="24"/>
          <w:highlight w:val="none"/>
        </w:rPr>
        <w:t>38、所有与本条件书有关的函电请按下列通讯地址联系：</w:t>
      </w:r>
    </w:p>
    <w:p w14:paraId="4044524F">
      <w:pPr>
        <w:pStyle w:val="2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采购代理机构：</w:t>
      </w:r>
      <w:r>
        <w:rPr>
          <w:rFonts w:hint="eastAsia" w:hAnsi="宋体" w:cs="宋体"/>
          <w:color w:val="auto"/>
          <w:sz w:val="24"/>
          <w:szCs w:val="24"/>
          <w:highlight w:val="none"/>
          <w:lang w:eastAsia="zh-CN"/>
        </w:rPr>
        <w:t>广西创佳项目管理</w:t>
      </w:r>
      <w:r>
        <w:rPr>
          <w:rFonts w:hint="eastAsia" w:hAnsi="宋体" w:cs="宋体"/>
          <w:color w:val="auto"/>
          <w:sz w:val="24"/>
          <w:szCs w:val="24"/>
          <w:highlight w:val="none"/>
        </w:rPr>
        <w:t>有限公司</w:t>
      </w:r>
    </w:p>
    <w:p w14:paraId="2F130465">
      <w:pPr>
        <w:spacing w:line="360" w:lineRule="auto"/>
        <w:ind w:firstLine="480" w:firstLineChars="200"/>
        <w:rPr>
          <w:rFonts w:hint="eastAsia" w:eastAsia="宋体"/>
          <w:color w:val="auto"/>
          <w:sz w:val="24"/>
          <w:highlight w:val="none"/>
          <w:lang w:eastAsia="zh-CN"/>
        </w:rPr>
      </w:pPr>
      <w:r>
        <w:rPr>
          <w:rFonts w:hint="default" w:ascii="Times New Roman" w:hAnsi="Times New Roman" w:eastAsia="宋体" w:cs="Times New Roman"/>
          <w:color w:val="auto"/>
          <w:sz w:val="24"/>
          <w:highlight w:val="none"/>
        </w:rPr>
        <w:t>地　　址：</w:t>
      </w:r>
      <w:r>
        <w:rPr>
          <w:rFonts w:hint="eastAsia" w:ascii="Times New Roman" w:hAnsi="Times New Roman" w:eastAsia="宋体" w:cs="Times New Roman"/>
          <w:color w:val="auto"/>
          <w:sz w:val="24"/>
          <w:highlight w:val="none"/>
          <w:lang w:val="en-US" w:eastAsia="zh-CN"/>
        </w:rPr>
        <w:t>桂平市政务服务中心后面</w:t>
      </w:r>
    </w:p>
    <w:p w14:paraId="02562A56">
      <w:pPr>
        <w:pStyle w:val="27"/>
        <w:spacing w:line="420" w:lineRule="exact"/>
        <w:ind w:firstLine="480" w:firstLineChars="200"/>
        <w:rPr>
          <w:rFonts w:hAnsi="宋体" w:cs="宋体"/>
          <w:color w:val="auto"/>
          <w:sz w:val="24"/>
          <w:szCs w:val="24"/>
          <w:highlight w:val="none"/>
        </w:rPr>
      </w:pPr>
      <w:r>
        <w:rPr>
          <w:rFonts w:hint="eastAsia"/>
          <w:color w:val="auto"/>
          <w:sz w:val="24"/>
          <w:highlight w:val="none"/>
          <w:lang w:val="en-US" w:eastAsia="zh-CN"/>
        </w:rPr>
        <w:t xml:space="preserve"> </w:t>
      </w:r>
      <w:r>
        <w:rPr>
          <w:color w:val="auto"/>
          <w:sz w:val="24"/>
          <w:highlight w:val="none"/>
        </w:rPr>
        <w:t>项目联系方式：</w:t>
      </w:r>
      <w:r>
        <w:rPr>
          <w:rFonts w:hint="eastAsia"/>
          <w:color w:val="auto"/>
          <w:sz w:val="24"/>
          <w:highlight w:val="none"/>
          <w:lang w:val="en-US" w:eastAsia="zh-CN"/>
        </w:rPr>
        <w:t>0775-3360111</w:t>
      </w:r>
    </w:p>
    <w:p w14:paraId="5FEB3151">
      <w:pPr>
        <w:rPr>
          <w:rFonts w:ascii="宋体" w:hAnsi="宋体" w:cs="宋体"/>
          <w:color w:val="auto"/>
          <w:highlight w:val="none"/>
        </w:rPr>
      </w:pPr>
    </w:p>
    <w:p w14:paraId="202CDF86">
      <w:pPr>
        <w:spacing w:line="380" w:lineRule="exact"/>
        <w:ind w:firstLine="315" w:firstLineChars="98"/>
        <w:jc w:val="center"/>
        <w:rPr>
          <w:rFonts w:ascii="宋体" w:hAnsi="宋体" w:cs="宋体"/>
          <w:b/>
          <w:color w:val="auto"/>
          <w:sz w:val="32"/>
          <w:szCs w:val="32"/>
          <w:highlight w:val="none"/>
        </w:rPr>
      </w:pPr>
    </w:p>
    <w:p w14:paraId="36CB2ACC">
      <w:pPr>
        <w:spacing w:line="380" w:lineRule="exact"/>
        <w:ind w:firstLine="315" w:firstLineChars="98"/>
        <w:jc w:val="center"/>
        <w:rPr>
          <w:rFonts w:ascii="宋体" w:hAnsi="宋体" w:cs="宋体"/>
          <w:b/>
          <w:color w:val="auto"/>
          <w:sz w:val="32"/>
          <w:szCs w:val="32"/>
          <w:highlight w:val="none"/>
        </w:rPr>
      </w:pPr>
    </w:p>
    <w:p w14:paraId="1C964FE2">
      <w:pPr>
        <w:spacing w:line="380" w:lineRule="exact"/>
        <w:ind w:firstLine="315" w:firstLineChars="98"/>
        <w:jc w:val="center"/>
        <w:rPr>
          <w:rFonts w:ascii="宋体" w:hAnsi="宋体" w:cs="宋体"/>
          <w:b/>
          <w:color w:val="auto"/>
          <w:sz w:val="32"/>
          <w:szCs w:val="32"/>
          <w:highlight w:val="none"/>
        </w:rPr>
      </w:pPr>
    </w:p>
    <w:p w14:paraId="17E08363">
      <w:pPr>
        <w:spacing w:line="380" w:lineRule="exact"/>
        <w:ind w:firstLine="315" w:firstLineChars="98"/>
        <w:jc w:val="center"/>
        <w:rPr>
          <w:rFonts w:ascii="宋体" w:hAnsi="宋体" w:cs="宋体"/>
          <w:b/>
          <w:color w:val="auto"/>
          <w:sz w:val="32"/>
          <w:szCs w:val="32"/>
          <w:highlight w:val="none"/>
        </w:rPr>
      </w:pPr>
    </w:p>
    <w:p w14:paraId="228ED0DF">
      <w:pPr>
        <w:spacing w:line="380" w:lineRule="exact"/>
        <w:ind w:firstLine="315" w:firstLineChars="98"/>
        <w:jc w:val="center"/>
        <w:rPr>
          <w:rFonts w:ascii="宋体" w:hAnsi="宋体" w:cs="宋体"/>
          <w:b/>
          <w:color w:val="auto"/>
          <w:sz w:val="32"/>
          <w:szCs w:val="32"/>
          <w:highlight w:val="none"/>
        </w:rPr>
      </w:pPr>
    </w:p>
    <w:p w14:paraId="44D3046C">
      <w:pPr>
        <w:spacing w:line="380" w:lineRule="exact"/>
        <w:ind w:firstLine="315" w:firstLineChars="98"/>
        <w:jc w:val="center"/>
        <w:rPr>
          <w:rFonts w:ascii="宋体" w:hAnsi="宋体" w:cs="宋体"/>
          <w:b/>
          <w:color w:val="auto"/>
          <w:sz w:val="32"/>
          <w:szCs w:val="32"/>
          <w:highlight w:val="none"/>
        </w:rPr>
      </w:pPr>
    </w:p>
    <w:p w14:paraId="0F4424E3">
      <w:pPr>
        <w:spacing w:line="380" w:lineRule="exact"/>
        <w:ind w:firstLine="315" w:firstLineChars="98"/>
        <w:jc w:val="center"/>
        <w:rPr>
          <w:rFonts w:ascii="宋体" w:hAnsi="宋体" w:cs="宋体"/>
          <w:b/>
          <w:color w:val="auto"/>
          <w:sz w:val="32"/>
          <w:szCs w:val="32"/>
          <w:highlight w:val="none"/>
        </w:rPr>
      </w:pPr>
    </w:p>
    <w:p w14:paraId="01B88AC1">
      <w:pPr>
        <w:rPr>
          <w:rFonts w:ascii="宋体" w:hAnsi="宋体" w:cs="宋体"/>
          <w:color w:val="auto"/>
          <w:highlight w:val="none"/>
        </w:rPr>
      </w:pPr>
      <w:r>
        <w:rPr>
          <w:rFonts w:hint="eastAsia" w:ascii="宋体" w:hAnsi="宋体" w:cs="宋体"/>
          <w:color w:val="auto"/>
          <w:highlight w:val="none"/>
        </w:rPr>
        <w:br w:type="page"/>
      </w:r>
    </w:p>
    <w:p w14:paraId="7AAB93A4">
      <w:pPr>
        <w:pStyle w:val="2"/>
        <w:rPr>
          <w:rFonts w:ascii="宋体" w:hAnsi="宋体" w:cs="宋体"/>
          <w:color w:val="auto"/>
          <w:sz w:val="36"/>
          <w:szCs w:val="52"/>
          <w:highlight w:val="none"/>
        </w:rPr>
      </w:pPr>
      <w:bookmarkStart w:id="41" w:name="_Toc31339"/>
      <w:r>
        <w:rPr>
          <w:rFonts w:hint="eastAsia" w:ascii="宋体" w:hAnsi="宋体" w:cs="宋体"/>
          <w:color w:val="auto"/>
          <w:sz w:val="36"/>
          <w:szCs w:val="52"/>
          <w:highlight w:val="none"/>
        </w:rPr>
        <w:t>第三章 项目采购需求</w:t>
      </w:r>
      <w:bookmarkEnd w:id="41"/>
    </w:p>
    <w:p w14:paraId="6DC2DC9C">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（一）、总体要求</w:t>
      </w:r>
    </w:p>
    <w:p w14:paraId="41E7F5D5">
      <w:pPr>
        <w:spacing w:line="360" w:lineRule="auto"/>
        <w:rPr>
          <w:rFonts w:ascii="宋体" w:hAnsi="宋体" w:cs="宋体"/>
          <w:color w:val="auto"/>
          <w:sz w:val="24"/>
          <w:highlight w:val="none"/>
        </w:rPr>
      </w:pPr>
      <w:r>
        <w:rPr>
          <w:rFonts w:hint="eastAsia" w:ascii="宋体" w:hAnsi="宋体" w:cs="宋体"/>
          <w:color w:val="auto"/>
          <w:sz w:val="24"/>
          <w:highlight w:val="none"/>
        </w:rPr>
        <w:t>1.政府采购政策的应用</w:t>
      </w:r>
    </w:p>
    <w:p w14:paraId="2BF9659D">
      <w:pPr>
        <w:spacing w:line="360" w:lineRule="auto"/>
        <w:rPr>
          <w:rFonts w:ascii="宋体" w:hAnsi="宋体" w:cs="宋体"/>
          <w:color w:val="auto"/>
          <w:sz w:val="24"/>
          <w:highlight w:val="none"/>
        </w:rPr>
      </w:pPr>
      <w:r>
        <w:rPr>
          <w:rFonts w:hint="eastAsia" w:ascii="宋体" w:hAnsi="宋体" w:cs="宋体"/>
          <w:color w:val="auto"/>
          <w:sz w:val="24"/>
          <w:highlight w:val="none"/>
        </w:rPr>
        <w:t>详见采购文件“评审方法及标准/政府采购政策应用说明”。</w:t>
      </w:r>
    </w:p>
    <w:p w14:paraId="49DD6EAD">
      <w:pPr>
        <w:spacing w:line="360" w:lineRule="auto"/>
        <w:rPr>
          <w:rFonts w:ascii="宋体" w:hAnsi="宋体" w:cs="宋体"/>
          <w:color w:val="auto"/>
          <w:sz w:val="24"/>
          <w:highlight w:val="none"/>
        </w:rPr>
      </w:pPr>
      <w:r>
        <w:rPr>
          <w:rFonts w:hint="eastAsia" w:ascii="宋体" w:hAnsi="宋体" w:cs="宋体"/>
          <w:color w:val="auto"/>
          <w:sz w:val="24"/>
          <w:highlight w:val="none"/>
        </w:rPr>
        <w:t>2.采购需求要求未尽事宜由采购人与成交供应商在采购合同中约定。</w:t>
      </w:r>
    </w:p>
    <w:p w14:paraId="621720A8">
      <w:pPr>
        <w:spacing w:line="360" w:lineRule="auto"/>
        <w:rPr>
          <w:rFonts w:ascii="宋体" w:hAnsi="宋体" w:cs="宋体"/>
          <w:color w:val="auto"/>
          <w:sz w:val="24"/>
          <w:highlight w:val="none"/>
        </w:rPr>
      </w:pPr>
      <w:r>
        <w:rPr>
          <w:rFonts w:hint="eastAsia" w:ascii="宋体" w:hAnsi="宋体" w:cs="宋体"/>
          <w:color w:val="auto"/>
          <w:sz w:val="24"/>
          <w:highlight w:val="none"/>
        </w:rPr>
        <w:t>3.标注“▲”的条款或要求系指实质性条款或实质性要求，必须满足，如存在负偏离将导致响应被否决。</w:t>
      </w:r>
    </w:p>
    <w:p w14:paraId="646152B9">
      <w:pPr>
        <w:pStyle w:val="42"/>
        <w:widowControl/>
        <w:spacing w:line="360" w:lineRule="auto"/>
        <w:rPr>
          <w:rFonts w:hint="default" w:cs="宋体"/>
          <w:color w:val="auto"/>
          <w:highlight w:val="none"/>
        </w:rPr>
      </w:pPr>
      <w:r>
        <w:rPr>
          <w:rFonts w:cs="宋体"/>
          <w:b/>
          <w:bCs/>
          <w:color w:val="auto"/>
          <w:sz w:val="36"/>
          <w:szCs w:val="36"/>
          <w:highlight w:val="none"/>
        </w:rPr>
        <w:t>（二）、项目基本情况（A、B分标适用）</w:t>
      </w:r>
    </w:p>
    <w:tbl>
      <w:tblPr>
        <w:tblStyle w:val="50"/>
        <w:tblpPr w:leftFromText="180" w:rightFromText="180" w:vertAnchor="text" w:horzAnchor="page" w:tblpX="1475" w:tblpY="6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05FA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7CCBA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为贯彻实施积极应对人口老龄化国家战略，全面贯彻落实党的二十大精神和习近平总书记对养老服务重要论述、对广西重大方略要求，根据自治区民政厅、贵港市民政局部署要求，在2024年居家和社区基本养老服务提升行动项目实施的基础上，进一步规范桂平市深化居家和社区基本养老服务提升行动项目（以下简称“提升行动项目”）管理，细化工作措施，完成目标任务，结合实际，制定本实施方案。</w:t>
            </w:r>
          </w:p>
          <w:p w14:paraId="5402E695">
            <w:pPr>
              <w:pStyle w:val="42"/>
              <w:widowControl/>
              <w:spacing w:line="360" w:lineRule="auto"/>
              <w:ind w:firstLine="640"/>
              <w:rPr>
                <w:rFonts w:hint="default" w:cs="宋体"/>
                <w:color w:val="auto"/>
                <w:highlight w:val="none"/>
              </w:rPr>
            </w:pPr>
            <w:r>
              <w:rPr>
                <w:rFonts w:cs="宋体"/>
                <w:color w:val="auto"/>
                <w:highlight w:val="none"/>
              </w:rPr>
              <w:t>一、工作目标</w:t>
            </w:r>
          </w:p>
          <w:p w14:paraId="1E0D8319">
            <w:pPr>
              <w:pStyle w:val="42"/>
              <w:widowControl/>
              <w:spacing w:line="360" w:lineRule="auto"/>
              <w:ind w:firstLine="640"/>
              <w:rPr>
                <w:rFonts w:hint="default" w:cs="宋体"/>
                <w:color w:val="auto"/>
                <w:highlight w:val="none"/>
              </w:rPr>
            </w:pPr>
            <w:r>
              <w:rPr>
                <w:rFonts w:cs="宋体"/>
                <w:color w:val="auto"/>
                <w:highlight w:val="none"/>
              </w:rPr>
              <w:t>通过项目的实施，进一步优化我市居家和社区养老服务网络布局，提升居家和社区基本养老服务供给水平，健全居家和社区基本养老服务高质量发展机制，助力全体老年人享有基本养老服务目标的实现。</w:t>
            </w:r>
          </w:p>
          <w:p w14:paraId="445C31C0">
            <w:pPr>
              <w:pStyle w:val="42"/>
              <w:widowControl/>
              <w:spacing w:line="360" w:lineRule="auto"/>
              <w:ind w:firstLine="640"/>
              <w:rPr>
                <w:rFonts w:hint="default" w:cs="宋体"/>
                <w:color w:val="auto"/>
                <w:highlight w:val="none"/>
              </w:rPr>
            </w:pPr>
            <w:r>
              <w:rPr>
                <w:rFonts w:cs="宋体"/>
                <w:color w:val="auto"/>
                <w:highlight w:val="none"/>
              </w:rPr>
              <w:t>根据贵港市民政局下达的任务，居家养老上门服务任务不少于644人次（项目提供居家养老上门服务的1人次是指项目执行时间内须为同一位服务对象累计提供30次以上居家养老上门服务，每次不少于1小时），鉴于2024年已在部分乡镇实施同类项目，2025年决定在木乐等乡镇实施，项目分两个标段进行招标，A分标：拟在金田镇、江口镇、紫荆镇、垌心乡、中沙镇、罗秀镇提供居家养老上门服务任务</w:t>
            </w:r>
            <w:r>
              <w:rPr>
                <w:rFonts w:hint="eastAsia" w:cs="宋体"/>
                <w:color w:val="auto"/>
                <w:highlight w:val="none"/>
                <w:lang w:val="en-US" w:eastAsia="zh-CN"/>
              </w:rPr>
              <w:t>不少于</w:t>
            </w:r>
            <w:r>
              <w:rPr>
                <w:rFonts w:cs="宋体"/>
                <w:color w:val="auto"/>
                <w:highlight w:val="none"/>
              </w:rPr>
              <w:t>325人次；B分标：拟在西山镇、厚禄乡、木乐镇、木圭镇、石咀镇、社坡镇、罗播乡提供居家养老上门服务任务</w:t>
            </w:r>
            <w:r>
              <w:rPr>
                <w:rFonts w:hint="eastAsia" w:cs="宋体"/>
                <w:color w:val="auto"/>
                <w:highlight w:val="none"/>
                <w:lang w:val="en-US" w:eastAsia="zh-CN"/>
              </w:rPr>
              <w:t>不少于</w:t>
            </w:r>
            <w:r>
              <w:rPr>
                <w:rFonts w:cs="宋体"/>
                <w:color w:val="auto"/>
                <w:highlight w:val="none"/>
              </w:rPr>
              <w:t>319人次。有关乡镇任务数详见《2025年桂平市家庭养老床位建设和居家上门服务参考数》（附件1），2025年12月底前完成全部目标任务。</w:t>
            </w:r>
          </w:p>
          <w:p w14:paraId="740F4A09">
            <w:pPr>
              <w:pStyle w:val="42"/>
              <w:widowControl/>
              <w:spacing w:line="360" w:lineRule="auto"/>
              <w:rPr>
                <w:rFonts w:hint="default" w:cs="宋体"/>
                <w:color w:val="auto"/>
                <w:highlight w:val="none"/>
              </w:rPr>
            </w:pPr>
          </w:p>
          <w:p w14:paraId="364A0B5D">
            <w:pPr>
              <w:pStyle w:val="42"/>
              <w:widowControl/>
              <w:spacing w:line="360" w:lineRule="auto"/>
              <w:ind w:firstLine="640"/>
              <w:rPr>
                <w:rFonts w:hint="default" w:cs="宋体"/>
                <w:color w:val="auto"/>
                <w:highlight w:val="none"/>
              </w:rPr>
            </w:pPr>
            <w:r>
              <w:rPr>
                <w:rFonts w:cs="宋体"/>
                <w:color w:val="auto"/>
                <w:highlight w:val="none"/>
              </w:rPr>
              <w:t>二、实施范围</w:t>
            </w:r>
          </w:p>
          <w:p w14:paraId="15A65295">
            <w:pPr>
              <w:pStyle w:val="42"/>
              <w:widowControl/>
              <w:spacing w:line="360" w:lineRule="auto"/>
              <w:ind w:firstLine="640"/>
              <w:rPr>
                <w:rFonts w:hint="default" w:cs="宋体"/>
                <w:color w:val="auto"/>
                <w:highlight w:val="none"/>
              </w:rPr>
            </w:pPr>
            <w:r>
              <w:rPr>
                <w:rFonts w:cs="宋体"/>
                <w:color w:val="auto"/>
                <w:highlight w:val="none"/>
              </w:rPr>
              <w:t>具有桂平市户籍，长期居住在本市且年满 60周岁及以上经济困难的失能、部分失能老年人可列为服务对象，并须同时满足以下两个条件：</w:t>
            </w:r>
          </w:p>
          <w:p w14:paraId="3D6DF1C8">
            <w:pPr>
              <w:pStyle w:val="42"/>
              <w:widowControl/>
              <w:spacing w:line="360" w:lineRule="auto"/>
              <w:ind w:firstLine="640"/>
              <w:rPr>
                <w:rFonts w:hint="default" w:cs="宋体"/>
                <w:color w:val="auto"/>
                <w:highlight w:val="none"/>
              </w:rPr>
            </w:pPr>
            <w:r>
              <w:rPr>
                <w:rFonts w:cs="宋体"/>
                <w:color w:val="auto"/>
                <w:highlight w:val="none"/>
              </w:rPr>
              <w:t>（一）经济困难老年人。具体包含以下五类人群：</w:t>
            </w:r>
          </w:p>
          <w:p w14:paraId="22C0C737">
            <w:pPr>
              <w:pStyle w:val="42"/>
              <w:widowControl/>
              <w:spacing w:line="360" w:lineRule="auto"/>
              <w:ind w:firstLine="640"/>
              <w:rPr>
                <w:rFonts w:hint="default" w:cs="宋体"/>
                <w:color w:val="auto"/>
                <w:highlight w:val="none"/>
              </w:rPr>
            </w:pPr>
            <w:r>
              <w:rPr>
                <w:rFonts w:cs="宋体"/>
                <w:color w:val="auto"/>
                <w:highlight w:val="none"/>
              </w:rPr>
              <w:t>1.民政部门认定的分散供养特困老年人；</w:t>
            </w:r>
          </w:p>
          <w:p w14:paraId="7F6989C0">
            <w:pPr>
              <w:pStyle w:val="42"/>
              <w:widowControl/>
              <w:spacing w:line="360" w:lineRule="auto"/>
              <w:ind w:firstLine="640"/>
              <w:rPr>
                <w:rFonts w:hint="default" w:cs="宋体"/>
                <w:color w:val="auto"/>
                <w:highlight w:val="none"/>
              </w:rPr>
            </w:pPr>
            <w:r>
              <w:rPr>
                <w:rFonts w:cs="宋体"/>
                <w:color w:val="auto"/>
                <w:highlight w:val="none"/>
              </w:rPr>
              <w:t>2.民政部门认定的城乡居民最低生活保障家庭老年人；</w:t>
            </w:r>
          </w:p>
          <w:p w14:paraId="15442872">
            <w:pPr>
              <w:pStyle w:val="42"/>
              <w:widowControl/>
              <w:spacing w:line="360" w:lineRule="auto"/>
              <w:ind w:firstLine="640"/>
              <w:rPr>
                <w:rFonts w:hint="default" w:cs="宋体"/>
                <w:color w:val="auto"/>
                <w:highlight w:val="none"/>
              </w:rPr>
            </w:pPr>
            <w:r>
              <w:rPr>
                <w:rFonts w:cs="宋体"/>
                <w:color w:val="auto"/>
                <w:highlight w:val="none"/>
              </w:rPr>
              <w:t>3.收入低于每人每月 1410元的城市低收入家庭老年人、收入低于每人每年 9450元的农村低收入家庭老年人；</w:t>
            </w:r>
          </w:p>
          <w:p w14:paraId="751B3C2B">
            <w:pPr>
              <w:pStyle w:val="42"/>
              <w:widowControl/>
              <w:spacing w:line="360" w:lineRule="auto"/>
              <w:ind w:firstLine="640"/>
              <w:rPr>
                <w:rFonts w:hint="default" w:cs="宋体"/>
                <w:color w:val="auto"/>
                <w:highlight w:val="none"/>
              </w:rPr>
            </w:pPr>
            <w:r>
              <w:rPr>
                <w:rFonts w:cs="宋体"/>
                <w:color w:val="auto"/>
                <w:highlight w:val="none"/>
              </w:rPr>
              <w:t>4.其他根据自治区统计部门公布的年度经济和社会发展统计公报确定的人均可支配收入低收入组、中间偏下组的老年人（城镇居民人均可支配收入低于 2073元/月、农村居民人均可支配收入低于 963元/月可纳入服务对象）；</w:t>
            </w:r>
          </w:p>
          <w:p w14:paraId="01EF4806">
            <w:pPr>
              <w:pStyle w:val="42"/>
              <w:widowControl/>
              <w:spacing w:line="360" w:lineRule="auto"/>
              <w:ind w:firstLine="640"/>
              <w:rPr>
                <w:rFonts w:hint="default" w:cs="宋体"/>
                <w:color w:val="auto"/>
                <w:highlight w:val="none"/>
              </w:rPr>
            </w:pPr>
            <w:r>
              <w:rPr>
                <w:rFonts w:cs="宋体"/>
                <w:color w:val="auto"/>
                <w:highlight w:val="none"/>
              </w:rPr>
              <w:t>5.经民政部门评估认定的存在其他特殊困难的老年人。</w:t>
            </w:r>
          </w:p>
          <w:p w14:paraId="0A90E667">
            <w:pPr>
              <w:pStyle w:val="42"/>
              <w:widowControl/>
              <w:spacing w:line="360" w:lineRule="auto"/>
              <w:ind w:firstLine="640"/>
              <w:rPr>
                <w:rFonts w:hint="default" w:cs="宋体"/>
                <w:color w:val="auto"/>
                <w:highlight w:val="none"/>
              </w:rPr>
            </w:pPr>
            <w:r>
              <w:rPr>
                <w:rFonts w:cs="宋体"/>
                <w:color w:val="auto"/>
                <w:highlight w:val="none"/>
              </w:rPr>
              <w:t>（二）失能、部分失能老年人。根据《老年人能力评估规范》（GB/T42195—2022）标准评估认定为轻度及以上失能的老年人。</w:t>
            </w:r>
          </w:p>
          <w:p w14:paraId="3FF4F4B2">
            <w:pPr>
              <w:pStyle w:val="42"/>
              <w:widowControl/>
              <w:spacing w:line="360" w:lineRule="auto"/>
              <w:ind w:firstLine="640"/>
              <w:rPr>
                <w:rFonts w:hint="default" w:cs="宋体"/>
                <w:color w:val="auto"/>
                <w:highlight w:val="none"/>
              </w:rPr>
            </w:pPr>
            <w:r>
              <w:rPr>
                <w:rFonts w:cs="宋体"/>
                <w:color w:val="auto"/>
                <w:highlight w:val="none"/>
              </w:rPr>
              <w:t>三、实施内容</w:t>
            </w:r>
          </w:p>
          <w:p w14:paraId="69C91756">
            <w:pPr>
              <w:pStyle w:val="42"/>
              <w:widowControl/>
              <w:spacing w:line="360" w:lineRule="auto"/>
              <w:ind w:firstLine="640"/>
              <w:rPr>
                <w:rFonts w:hint="default" w:cs="宋体"/>
                <w:color w:val="auto"/>
                <w:highlight w:val="none"/>
              </w:rPr>
            </w:pPr>
            <w:r>
              <w:rPr>
                <w:rFonts w:cs="宋体"/>
                <w:color w:val="auto"/>
                <w:highlight w:val="none"/>
              </w:rPr>
              <w:t>项目主要实施内容。</w:t>
            </w:r>
          </w:p>
          <w:p w14:paraId="53B59C82">
            <w:pPr>
              <w:pStyle w:val="42"/>
              <w:widowControl/>
              <w:spacing w:line="360" w:lineRule="auto"/>
              <w:ind w:firstLine="640"/>
              <w:rPr>
                <w:rFonts w:hint="default" w:cs="宋体"/>
                <w:color w:val="auto"/>
                <w:highlight w:val="none"/>
              </w:rPr>
            </w:pPr>
            <w:r>
              <w:rPr>
                <w:rFonts w:cs="宋体"/>
                <w:color w:val="auto"/>
                <w:highlight w:val="none"/>
              </w:rPr>
              <w:t>（一）提供居家养老上门服务。根据《桂平市居家养老上门服务基本项目参考清单》（附件 3），结合老年人综合能力评估情况，为有相关需求的居家经济困难老年人提供居家养老上门服务。对经评估适宜建设家庭养老床位的老年人，可根据其需求同时提供居家养老上门服务。服务内容包括但不限于生活照护、基础照护、探访关爱、健康管理、委托代办、精神慰藉等。</w:t>
            </w:r>
          </w:p>
          <w:p w14:paraId="093C9CFD">
            <w:pPr>
              <w:pStyle w:val="42"/>
              <w:widowControl/>
              <w:spacing w:line="360" w:lineRule="auto"/>
              <w:ind w:firstLine="640"/>
              <w:rPr>
                <w:rFonts w:hint="default" w:cs="宋体"/>
                <w:color w:val="auto"/>
                <w:highlight w:val="none"/>
              </w:rPr>
            </w:pPr>
            <w:r>
              <w:rPr>
                <w:rFonts w:cs="宋体"/>
                <w:color w:val="auto"/>
                <w:highlight w:val="none"/>
              </w:rPr>
              <w:t>四、补助标准</w:t>
            </w:r>
          </w:p>
          <w:p w14:paraId="02210564">
            <w:pPr>
              <w:pStyle w:val="42"/>
              <w:widowControl/>
              <w:spacing w:line="360" w:lineRule="auto"/>
              <w:ind w:firstLine="640"/>
              <w:rPr>
                <w:rFonts w:hint="default" w:cs="宋体"/>
                <w:color w:val="auto"/>
                <w:highlight w:val="none"/>
              </w:rPr>
            </w:pPr>
            <w:r>
              <w:rPr>
                <w:rFonts w:cs="宋体"/>
                <w:color w:val="auto"/>
                <w:highlight w:val="none"/>
              </w:rPr>
              <w:t>（一）居家养老上门服务补助。根据居家养老上门服务实际产生金额，给予每人不超过3000元的服务补助。属于基本养老服务项目以外、服务对象自愿付费的部分，由服务对象或其代理人与服务机构签订服务合同予以明确。</w:t>
            </w:r>
          </w:p>
          <w:p w14:paraId="5B939BB1">
            <w:pPr>
              <w:pStyle w:val="42"/>
              <w:widowControl/>
              <w:spacing w:line="360" w:lineRule="auto"/>
              <w:ind w:firstLine="640"/>
              <w:rPr>
                <w:rFonts w:hint="default" w:cs="宋体"/>
                <w:color w:val="auto"/>
                <w:highlight w:val="none"/>
              </w:rPr>
            </w:pPr>
            <w:r>
              <w:rPr>
                <w:rFonts w:cs="宋体"/>
                <w:color w:val="auto"/>
                <w:highlight w:val="none"/>
              </w:rPr>
              <w:t>（三）资金来源。居家养老上门服务补助资金从2025年自治区福彩公益金居家和社区基本养老服务提升行动项目配套资金中安排。</w:t>
            </w:r>
          </w:p>
          <w:p w14:paraId="76ED6EE4">
            <w:pPr>
              <w:pStyle w:val="42"/>
              <w:widowControl/>
              <w:spacing w:line="360" w:lineRule="auto"/>
              <w:ind w:firstLine="640"/>
              <w:rPr>
                <w:rFonts w:hint="default" w:cs="宋体"/>
                <w:color w:val="auto"/>
                <w:highlight w:val="none"/>
              </w:rPr>
            </w:pPr>
            <w:r>
              <w:rPr>
                <w:rFonts w:cs="宋体"/>
                <w:color w:val="auto"/>
                <w:highlight w:val="none"/>
              </w:rPr>
              <w:t>五、实施主体</w:t>
            </w:r>
          </w:p>
          <w:p w14:paraId="2C111CD0">
            <w:pPr>
              <w:pStyle w:val="42"/>
              <w:widowControl/>
              <w:spacing w:line="360" w:lineRule="auto"/>
              <w:ind w:firstLine="640"/>
              <w:rPr>
                <w:rFonts w:hint="default" w:cs="宋体"/>
                <w:color w:val="auto"/>
                <w:highlight w:val="none"/>
              </w:rPr>
            </w:pPr>
            <w:r>
              <w:rPr>
                <w:rFonts w:cs="宋体"/>
                <w:color w:val="auto"/>
                <w:highlight w:val="none"/>
              </w:rPr>
              <w:t>（一）服务实施主体。居家养老上门服务可由依法注册登记的居家社区养老服务机构或经营范围和组织章程中含有养老服务的其他企事业单位和社会组织承接（不含由财政拨款保障的群团组织），支持优先选择连锁化品牌化运营的居家社区养老服务机构。</w:t>
            </w:r>
          </w:p>
          <w:p w14:paraId="6F286526">
            <w:pPr>
              <w:pStyle w:val="42"/>
              <w:widowControl/>
              <w:spacing w:line="360" w:lineRule="auto"/>
              <w:ind w:firstLine="640"/>
              <w:rPr>
                <w:rFonts w:hint="default" w:cs="宋体"/>
                <w:color w:val="auto"/>
                <w:highlight w:val="none"/>
              </w:rPr>
            </w:pPr>
            <w:r>
              <w:rPr>
                <w:rFonts w:cs="宋体"/>
                <w:color w:val="auto"/>
                <w:highlight w:val="none"/>
              </w:rPr>
              <w:t>（二）评估实施主体。根据项目实施情况，以及服务流程、服务质量等要求，通过政府购买服务等方式，确定具备养老服务、评估等相应资质的企业、社会组织作为老年人综合能力评估、经济状况评估、项目验收评估、服务评价等第三方评估机构。</w:t>
            </w:r>
          </w:p>
          <w:p w14:paraId="365FE08F">
            <w:pPr>
              <w:pStyle w:val="42"/>
              <w:widowControl/>
              <w:spacing w:line="360" w:lineRule="auto"/>
              <w:ind w:firstLine="640"/>
              <w:rPr>
                <w:rFonts w:hint="default" w:cs="宋体"/>
                <w:color w:val="auto"/>
                <w:highlight w:val="none"/>
              </w:rPr>
            </w:pPr>
            <w:r>
              <w:rPr>
                <w:rFonts w:cs="宋体"/>
                <w:color w:val="auto"/>
                <w:highlight w:val="none"/>
              </w:rPr>
              <w:t>六、实施步骤</w:t>
            </w:r>
          </w:p>
          <w:p w14:paraId="480B421A">
            <w:pPr>
              <w:pStyle w:val="42"/>
              <w:widowControl/>
              <w:spacing w:line="360" w:lineRule="auto"/>
              <w:ind w:firstLine="640"/>
              <w:rPr>
                <w:rFonts w:hint="default" w:cs="宋体"/>
                <w:color w:val="auto"/>
                <w:highlight w:val="none"/>
              </w:rPr>
            </w:pPr>
            <w:r>
              <w:rPr>
                <w:rFonts w:cs="宋体"/>
                <w:color w:val="auto"/>
                <w:highlight w:val="none"/>
              </w:rPr>
              <w:t>（一）动员部署阶段（2025年7月）</w:t>
            </w:r>
          </w:p>
          <w:p w14:paraId="0D744E13">
            <w:pPr>
              <w:pStyle w:val="42"/>
              <w:widowControl/>
              <w:spacing w:line="360" w:lineRule="auto"/>
              <w:ind w:firstLine="640"/>
              <w:rPr>
                <w:rFonts w:hint="default" w:cs="宋体"/>
                <w:color w:val="auto"/>
                <w:highlight w:val="none"/>
              </w:rPr>
            </w:pPr>
            <w:r>
              <w:rPr>
                <w:rFonts w:cs="宋体"/>
                <w:b/>
                <w:bCs/>
                <w:color w:val="auto"/>
                <w:highlight w:val="none"/>
              </w:rPr>
              <w:t>1.排查摸底，确定服务对象。</w:t>
            </w:r>
            <w:r>
              <w:rPr>
                <w:rFonts w:cs="宋体"/>
                <w:color w:val="auto"/>
                <w:highlight w:val="none"/>
              </w:rPr>
              <w:t>各乡镇要加大项目宣传力度，增强项目的社会知晓率和影响力，积极组织村（社区）对辖区内符合条件的经济困难的失能、部分失能老年人等群体开展排查摸底，填写《</w:t>
            </w:r>
            <w:r>
              <w:rPr>
                <w:rFonts w:hint="eastAsia" w:cs="宋体"/>
                <w:color w:val="auto"/>
                <w:highlight w:val="none"/>
                <w:lang w:eastAsia="zh-CN"/>
              </w:rPr>
              <w:t>2025年桂平市居家和社区基本养老服务提升行动项目</w:t>
            </w:r>
            <w:r>
              <w:rPr>
                <w:rFonts w:cs="宋体"/>
                <w:color w:val="auto"/>
                <w:highlight w:val="none"/>
              </w:rPr>
              <w:t>项目摸底排查信息表》（附件4），7月 25日前汇总报送至桂平市民政局老龄工作和养老服务股邮箱：mzjylg8935＠163.com。市民政</w:t>
            </w:r>
            <w:r>
              <w:rPr>
                <w:rFonts w:cs="宋体"/>
                <w:color w:val="auto"/>
                <w:highlight w:val="none"/>
                <w:lang w:bidi="ar"/>
              </w:rPr>
              <w:t>局聘请专业机构按照相关标准对老年人进行综合能力评估和经济</w:t>
            </w:r>
            <w:r>
              <w:rPr>
                <w:rFonts w:cs="宋体"/>
                <w:color w:val="auto"/>
                <w:highlight w:val="none"/>
              </w:rPr>
              <w:t>状况评估后，符合条件的，确定为服务对象，由老年人或其代理人向所属乡镇提出申请填写《桂平市居家和社区基本养老服务提升行动项目居家养老上门服务申请表》(附件 6)，乡镇审核后报市民政局审批后由乡镇及时向社会公示。</w:t>
            </w:r>
          </w:p>
          <w:p w14:paraId="49387BA3">
            <w:pPr>
              <w:pStyle w:val="42"/>
              <w:widowControl/>
              <w:spacing w:line="360" w:lineRule="auto"/>
              <w:ind w:firstLine="640"/>
              <w:rPr>
                <w:rFonts w:hint="default" w:cs="宋体"/>
                <w:color w:val="auto"/>
                <w:highlight w:val="none"/>
              </w:rPr>
            </w:pPr>
            <w:r>
              <w:rPr>
                <w:rFonts w:cs="宋体"/>
                <w:color w:val="auto"/>
                <w:highlight w:val="none"/>
              </w:rPr>
              <w:t>（二）启动实施阶段（2025年 8月至2025年 11月）</w:t>
            </w:r>
          </w:p>
          <w:p w14:paraId="3EDE4E89">
            <w:pPr>
              <w:pStyle w:val="42"/>
              <w:widowControl/>
              <w:spacing w:line="360" w:lineRule="auto"/>
              <w:ind w:firstLine="640"/>
              <w:rPr>
                <w:rFonts w:hint="default" w:cs="宋体"/>
                <w:color w:val="auto"/>
                <w:highlight w:val="none"/>
              </w:rPr>
            </w:pPr>
            <w:r>
              <w:rPr>
                <w:rFonts w:cs="宋体"/>
                <w:b/>
                <w:bCs/>
                <w:color w:val="auto"/>
                <w:highlight w:val="none"/>
              </w:rPr>
              <w:t>1.制定服务方案。</w:t>
            </w:r>
            <w:r>
              <w:rPr>
                <w:rFonts w:cs="宋体"/>
                <w:color w:val="auto"/>
                <w:highlight w:val="none"/>
              </w:rPr>
              <w:t>服务提供主体与服务对象充分沟通，根据服务对象的实际需求制定家庭养老床位建设或居家养老上门服务的具体方案，明确实施内容、服务标准、进度安排等。</w:t>
            </w:r>
          </w:p>
          <w:p w14:paraId="00DF453C">
            <w:pPr>
              <w:pStyle w:val="42"/>
              <w:widowControl/>
              <w:spacing w:line="360" w:lineRule="auto"/>
              <w:ind w:firstLine="640"/>
              <w:rPr>
                <w:rFonts w:hint="default" w:cs="宋体"/>
                <w:color w:val="auto"/>
                <w:highlight w:val="none"/>
              </w:rPr>
            </w:pPr>
            <w:r>
              <w:rPr>
                <w:rFonts w:cs="宋体"/>
                <w:b/>
                <w:bCs/>
                <w:color w:val="auto"/>
                <w:highlight w:val="none"/>
              </w:rPr>
              <w:t>2.组织实施。</w:t>
            </w:r>
            <w:r>
              <w:rPr>
                <w:rFonts w:cs="宋体"/>
                <w:color w:val="auto"/>
                <w:highlight w:val="none"/>
              </w:rPr>
              <w:t>服务方案经服务对象签字确认后，服务机构按服务方案开展服务，并按“一人一案”的原则建立纸质档案，同时将项目信息录入“金民工程”全国养老服务信息系统。服务机构应在服务对象家庭以显著方式标明“彩票公益金资助—中国福利彩票和中国体育彩票”标识。</w:t>
            </w:r>
          </w:p>
          <w:p w14:paraId="2D3F4C36">
            <w:pPr>
              <w:pStyle w:val="42"/>
              <w:widowControl/>
              <w:spacing w:line="360" w:lineRule="auto"/>
              <w:ind w:firstLine="640"/>
              <w:rPr>
                <w:rFonts w:hint="default" w:cs="宋体"/>
                <w:color w:val="auto"/>
                <w:highlight w:val="none"/>
              </w:rPr>
            </w:pPr>
            <w:r>
              <w:rPr>
                <w:rFonts w:cs="宋体"/>
                <w:b/>
                <w:bCs/>
                <w:color w:val="auto"/>
                <w:highlight w:val="none"/>
              </w:rPr>
              <w:t>3.开展过程评估。</w:t>
            </w:r>
            <w:r>
              <w:rPr>
                <w:rFonts w:cs="宋体"/>
                <w:color w:val="auto"/>
                <w:highlight w:val="none"/>
              </w:rPr>
              <w:t>市民政局、财政局不定期对项目推进情况开展督查。2025年 9月 30日前，要进行项目实施情况中期评估，评估结果报贵港市民政局、贵港市财政局。发现弄虚作假、对家庭养老床位建设不符合规定、居家养老上门服务满意率低于 90%、没有按“一人一案”建立纸质档案的，要求服务机构限期整改或收回已发放的项目资金。</w:t>
            </w:r>
          </w:p>
          <w:p w14:paraId="0324BD0D">
            <w:pPr>
              <w:pStyle w:val="42"/>
              <w:widowControl/>
              <w:spacing w:line="360" w:lineRule="auto"/>
              <w:ind w:firstLine="640"/>
              <w:rPr>
                <w:rFonts w:hint="default" w:cs="宋体"/>
                <w:color w:val="auto"/>
                <w:highlight w:val="none"/>
              </w:rPr>
            </w:pPr>
            <w:r>
              <w:rPr>
                <w:rFonts w:cs="宋体"/>
                <w:b/>
                <w:bCs/>
                <w:color w:val="auto"/>
                <w:highlight w:val="none"/>
              </w:rPr>
              <w:t>4.服务终止。</w:t>
            </w:r>
            <w:r>
              <w:rPr>
                <w:rFonts w:cs="宋体"/>
                <w:color w:val="auto"/>
                <w:highlight w:val="none"/>
              </w:rPr>
              <w:t>老年人去世、住院、搬家或出现妨碍服务持续的情形时，服务终止。服务机构要及时在信息管理系统中注销，及时上报市民政部门备案。</w:t>
            </w:r>
          </w:p>
          <w:p w14:paraId="6F788B35">
            <w:pPr>
              <w:pStyle w:val="42"/>
              <w:widowControl/>
              <w:spacing w:line="360" w:lineRule="auto"/>
              <w:ind w:firstLine="640"/>
              <w:rPr>
                <w:rFonts w:hint="default" w:cs="宋体"/>
                <w:color w:val="auto"/>
                <w:highlight w:val="none"/>
              </w:rPr>
            </w:pPr>
            <w:r>
              <w:rPr>
                <w:rFonts w:cs="宋体"/>
                <w:color w:val="auto"/>
                <w:highlight w:val="none"/>
              </w:rPr>
              <w:t>（三）评估验收阶段（2025年 12月）</w:t>
            </w:r>
          </w:p>
          <w:p w14:paraId="66A3929A">
            <w:pPr>
              <w:pStyle w:val="42"/>
              <w:widowControl/>
              <w:spacing w:line="360" w:lineRule="auto"/>
              <w:ind w:firstLine="640"/>
              <w:rPr>
                <w:rFonts w:hint="default" w:cs="宋体"/>
                <w:color w:val="auto"/>
                <w:highlight w:val="none"/>
              </w:rPr>
            </w:pPr>
            <w:r>
              <w:rPr>
                <w:rFonts w:cs="宋体"/>
                <w:b/>
                <w:bCs/>
                <w:color w:val="auto"/>
                <w:highlight w:val="none"/>
              </w:rPr>
              <w:t>5.开展终期评估验收</w:t>
            </w:r>
            <w:r>
              <w:rPr>
                <w:rFonts w:cs="宋体"/>
                <w:color w:val="auto"/>
                <w:highlight w:val="none"/>
              </w:rPr>
              <w:t>。2025年 12月 15 日前由市民政局、财政局组织第三方对项目完成情况进行核实验收，验收结果报贵港市民政局、贵港市财政局，并做好迎接上级民政、财政部门对项目实施情况进行评估验收的准备工作。</w:t>
            </w:r>
          </w:p>
          <w:p w14:paraId="1D2ACDA4">
            <w:pPr>
              <w:spacing w:line="360" w:lineRule="auto"/>
              <w:rPr>
                <w:rFonts w:ascii="宋体" w:hAnsi="宋体" w:cs="宋体"/>
                <w:color w:val="auto"/>
                <w:kern w:val="0"/>
                <w:sz w:val="24"/>
                <w:highlight w:val="none"/>
                <w:lang w:bidi="ar"/>
              </w:rPr>
            </w:pPr>
          </w:p>
        </w:tc>
      </w:tr>
    </w:tbl>
    <w:p w14:paraId="7115DE51">
      <w:pPr>
        <w:spacing w:line="360" w:lineRule="auto"/>
        <w:rPr>
          <w:rFonts w:ascii="宋体" w:hAnsi="宋体" w:cs="宋体"/>
          <w:b/>
          <w:bCs/>
          <w:color w:val="auto"/>
          <w:sz w:val="24"/>
          <w:highlight w:val="none"/>
        </w:rPr>
      </w:pPr>
    </w:p>
    <w:p w14:paraId="4DDE9BFF">
      <w:pPr>
        <w:pStyle w:val="42"/>
        <w:widowControl/>
        <w:spacing w:line="360" w:lineRule="auto"/>
        <w:rPr>
          <w:rFonts w:hint="default" w:cs="宋体"/>
          <w:b/>
          <w:bCs/>
          <w:color w:val="auto"/>
          <w:sz w:val="32"/>
          <w:szCs w:val="32"/>
          <w:highlight w:val="none"/>
        </w:rPr>
      </w:pPr>
      <w:r>
        <w:rPr>
          <w:rFonts w:cs="宋体"/>
          <w:b/>
          <w:bCs/>
          <w:color w:val="auto"/>
          <w:sz w:val="36"/>
          <w:szCs w:val="36"/>
          <w:highlight w:val="none"/>
        </w:rPr>
        <w:t>（三）、项目基本情况（C分标适用）</w:t>
      </w:r>
    </w:p>
    <w:tbl>
      <w:tblPr>
        <w:tblStyle w:val="50"/>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7"/>
      </w:tblGrid>
      <w:tr w14:paraId="1C4B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0" w:type="auto"/>
          </w:tcPr>
          <w:p w14:paraId="733777C4">
            <w:pPr>
              <w:pStyle w:val="42"/>
              <w:widowControl/>
              <w:spacing w:line="360" w:lineRule="auto"/>
              <w:ind w:firstLine="640"/>
              <w:rPr>
                <w:rFonts w:hint="default" w:cs="宋体"/>
                <w:color w:val="auto"/>
                <w:highlight w:val="none"/>
              </w:rPr>
            </w:pPr>
            <w:r>
              <w:rPr>
                <w:rFonts w:cs="宋体"/>
                <w:color w:val="auto"/>
                <w:highlight w:val="none"/>
              </w:rPr>
              <w:t>一、工作目标</w:t>
            </w:r>
          </w:p>
          <w:p w14:paraId="7784EC2F">
            <w:pPr>
              <w:pStyle w:val="42"/>
              <w:widowControl/>
              <w:spacing w:line="360" w:lineRule="auto"/>
              <w:ind w:firstLine="640"/>
              <w:rPr>
                <w:rFonts w:hint="default" w:cs="宋体"/>
                <w:color w:val="auto"/>
                <w:highlight w:val="none"/>
              </w:rPr>
            </w:pPr>
            <w:r>
              <w:rPr>
                <w:rFonts w:cs="宋体"/>
                <w:color w:val="auto"/>
                <w:highlight w:val="none"/>
              </w:rPr>
              <w:t>通过项目的实施，进一步优化我市居家和社区养老服务网络布局，提升居家和社区基本养老服务供给水平，健全居家和社区基本养老服务高质量发展机制，助力全体老年人享有基本养老服务目标的实现。</w:t>
            </w:r>
          </w:p>
          <w:p w14:paraId="28850414">
            <w:pPr>
              <w:pStyle w:val="42"/>
              <w:widowControl/>
              <w:spacing w:line="360" w:lineRule="auto"/>
              <w:ind w:firstLine="640"/>
              <w:rPr>
                <w:rFonts w:hint="default" w:cs="宋体"/>
                <w:color w:val="auto"/>
                <w:highlight w:val="none"/>
              </w:rPr>
            </w:pPr>
            <w:r>
              <w:rPr>
                <w:rFonts w:cs="宋体"/>
                <w:color w:val="auto"/>
                <w:highlight w:val="none"/>
              </w:rPr>
              <w:t>根据贵港市民政局下达的任务，2025年桂平市家庭养老床位建设任务不少于146张，鉴于2024年已在部分乡镇实施同类项目，2025年决定在木乐等乡镇实施，拟为金田镇、江口镇、紫荆镇、垌心乡、中沙镇、罗秀镇、西山镇、厚禄乡、木乐镇、木圭镇、石咀镇、社坡镇、罗播乡户籍经济困难的失能、部分失能老年人开展家庭养老床位建设（适老化改造和智能化改造）</w:t>
            </w:r>
            <w:r>
              <w:rPr>
                <w:rFonts w:hint="eastAsia" w:cs="宋体"/>
                <w:color w:val="auto"/>
                <w:highlight w:val="none"/>
                <w:lang w:val="en-US" w:eastAsia="zh-CN"/>
              </w:rPr>
              <w:t>不少于</w:t>
            </w:r>
            <w:r>
              <w:rPr>
                <w:rFonts w:cs="宋体"/>
                <w:color w:val="auto"/>
                <w:highlight w:val="none"/>
              </w:rPr>
              <w:t>146户。有关乡镇任务数详见《2025年桂平市家庭养老床位建设和居家上门服务参考数》（附件1），2025年12月底前完成全部目标任务。</w:t>
            </w:r>
          </w:p>
          <w:p w14:paraId="2DABF440">
            <w:pPr>
              <w:pStyle w:val="42"/>
              <w:widowControl/>
              <w:spacing w:line="360" w:lineRule="auto"/>
              <w:ind w:firstLine="640"/>
              <w:rPr>
                <w:rFonts w:hint="default" w:cs="宋体"/>
                <w:color w:val="auto"/>
                <w:highlight w:val="none"/>
              </w:rPr>
            </w:pPr>
            <w:r>
              <w:rPr>
                <w:rFonts w:cs="宋体"/>
                <w:color w:val="auto"/>
                <w:highlight w:val="none"/>
              </w:rPr>
              <w:t>二、实施范围</w:t>
            </w:r>
          </w:p>
          <w:p w14:paraId="6AA46E31">
            <w:pPr>
              <w:pStyle w:val="42"/>
              <w:widowControl/>
              <w:spacing w:line="360" w:lineRule="auto"/>
              <w:ind w:firstLine="640"/>
              <w:rPr>
                <w:rFonts w:hint="default" w:cs="宋体"/>
                <w:color w:val="auto"/>
                <w:highlight w:val="none"/>
              </w:rPr>
            </w:pPr>
            <w:r>
              <w:rPr>
                <w:rFonts w:cs="宋体"/>
                <w:color w:val="auto"/>
                <w:highlight w:val="none"/>
              </w:rPr>
              <w:t>具有桂平市户籍，长期居住在本市且年满 60周岁及以上经济困难的失能、部分失能老年人可列为服务对象，并须同时满足以下两个条件：</w:t>
            </w:r>
          </w:p>
          <w:p w14:paraId="75A6D320">
            <w:pPr>
              <w:pStyle w:val="42"/>
              <w:widowControl/>
              <w:spacing w:line="360" w:lineRule="auto"/>
              <w:ind w:firstLine="640"/>
              <w:rPr>
                <w:rFonts w:hint="default" w:cs="宋体"/>
                <w:color w:val="auto"/>
                <w:highlight w:val="none"/>
              </w:rPr>
            </w:pPr>
            <w:r>
              <w:rPr>
                <w:rFonts w:cs="宋体"/>
                <w:color w:val="auto"/>
                <w:highlight w:val="none"/>
              </w:rPr>
              <w:t>（一）经济困难老年人。具体包含以下五类人群：</w:t>
            </w:r>
          </w:p>
          <w:p w14:paraId="2367F971">
            <w:pPr>
              <w:pStyle w:val="42"/>
              <w:widowControl/>
              <w:spacing w:line="360" w:lineRule="auto"/>
              <w:ind w:firstLine="640"/>
              <w:rPr>
                <w:rFonts w:hint="default" w:cs="宋体"/>
                <w:color w:val="auto"/>
                <w:highlight w:val="none"/>
              </w:rPr>
            </w:pPr>
            <w:r>
              <w:rPr>
                <w:rFonts w:cs="宋体"/>
                <w:color w:val="auto"/>
                <w:highlight w:val="none"/>
              </w:rPr>
              <w:t>1.民政部门认定的分散供养特困老年人；</w:t>
            </w:r>
          </w:p>
          <w:p w14:paraId="61FBD903">
            <w:pPr>
              <w:pStyle w:val="42"/>
              <w:widowControl/>
              <w:spacing w:line="360" w:lineRule="auto"/>
              <w:ind w:firstLine="640"/>
              <w:rPr>
                <w:rFonts w:hint="default" w:cs="宋体"/>
                <w:color w:val="auto"/>
                <w:highlight w:val="none"/>
              </w:rPr>
            </w:pPr>
            <w:r>
              <w:rPr>
                <w:rFonts w:cs="宋体"/>
                <w:color w:val="auto"/>
                <w:highlight w:val="none"/>
              </w:rPr>
              <w:t>2.民政部门认定的城乡居民最低生活保障家庭老年人；</w:t>
            </w:r>
          </w:p>
          <w:p w14:paraId="2868EE75">
            <w:pPr>
              <w:pStyle w:val="42"/>
              <w:widowControl/>
              <w:spacing w:line="360" w:lineRule="auto"/>
              <w:ind w:firstLine="640"/>
              <w:rPr>
                <w:rFonts w:hint="default" w:cs="宋体"/>
                <w:color w:val="auto"/>
                <w:highlight w:val="none"/>
              </w:rPr>
            </w:pPr>
            <w:r>
              <w:rPr>
                <w:rFonts w:cs="宋体"/>
                <w:color w:val="auto"/>
                <w:highlight w:val="none"/>
              </w:rPr>
              <w:t>3.收入低于每人每月 1410元的城市低收入家庭老年人、收入低于每人每年 9450元的农村低收入家庭老年人；</w:t>
            </w:r>
          </w:p>
          <w:p w14:paraId="557D53E5">
            <w:pPr>
              <w:pStyle w:val="42"/>
              <w:widowControl/>
              <w:spacing w:line="360" w:lineRule="auto"/>
              <w:ind w:firstLine="640"/>
              <w:rPr>
                <w:rFonts w:hint="default" w:cs="宋体"/>
                <w:color w:val="auto"/>
                <w:highlight w:val="none"/>
              </w:rPr>
            </w:pPr>
            <w:r>
              <w:rPr>
                <w:rFonts w:cs="宋体"/>
                <w:color w:val="auto"/>
                <w:highlight w:val="none"/>
              </w:rPr>
              <w:t>4.其他根据自治区统计部门公布的年度经济和社会发展统计公报确定的人均可支配收入低收入组、中间偏下组的老年人（城镇居民人均可支配收入低于 2073元/月、农村居民人均可支配收入低于 963元/月可纳入服务对象）；</w:t>
            </w:r>
          </w:p>
          <w:p w14:paraId="2F86778D">
            <w:pPr>
              <w:pStyle w:val="42"/>
              <w:widowControl/>
              <w:spacing w:line="360" w:lineRule="auto"/>
              <w:ind w:firstLine="640"/>
              <w:rPr>
                <w:rFonts w:hint="default" w:cs="宋体"/>
                <w:color w:val="auto"/>
                <w:highlight w:val="none"/>
              </w:rPr>
            </w:pPr>
            <w:r>
              <w:rPr>
                <w:rFonts w:cs="宋体"/>
                <w:color w:val="auto"/>
                <w:highlight w:val="none"/>
              </w:rPr>
              <w:t>5.经民政部门评估认定的存在其他特殊困难的老年人。</w:t>
            </w:r>
          </w:p>
          <w:p w14:paraId="705ABEDB">
            <w:pPr>
              <w:pStyle w:val="42"/>
              <w:widowControl/>
              <w:spacing w:line="360" w:lineRule="auto"/>
              <w:ind w:firstLine="640"/>
              <w:rPr>
                <w:rFonts w:hint="default" w:cs="宋体"/>
                <w:color w:val="auto"/>
                <w:highlight w:val="none"/>
              </w:rPr>
            </w:pPr>
            <w:r>
              <w:rPr>
                <w:rFonts w:cs="宋体"/>
                <w:color w:val="auto"/>
                <w:highlight w:val="none"/>
              </w:rPr>
              <w:t>（二）失能、部分失能老年人。根据《老年人能力评估规范》（GB/T42195—2022）标准评估认定为轻度及以上失能的老年人。</w:t>
            </w:r>
          </w:p>
          <w:p w14:paraId="1420EF04">
            <w:pPr>
              <w:pStyle w:val="42"/>
              <w:widowControl/>
              <w:spacing w:line="360" w:lineRule="auto"/>
              <w:ind w:firstLine="640"/>
              <w:rPr>
                <w:rFonts w:hint="default" w:cs="宋体"/>
                <w:color w:val="auto"/>
                <w:highlight w:val="none"/>
              </w:rPr>
            </w:pPr>
            <w:r>
              <w:rPr>
                <w:rFonts w:cs="宋体"/>
                <w:color w:val="auto"/>
                <w:highlight w:val="none"/>
              </w:rPr>
              <w:t>三、实施内容</w:t>
            </w:r>
          </w:p>
          <w:p w14:paraId="324DC190">
            <w:pPr>
              <w:pStyle w:val="42"/>
              <w:widowControl/>
              <w:spacing w:line="360" w:lineRule="auto"/>
              <w:ind w:firstLine="640"/>
              <w:rPr>
                <w:rFonts w:hint="default" w:cs="宋体"/>
                <w:color w:val="auto"/>
                <w:highlight w:val="none"/>
              </w:rPr>
            </w:pPr>
            <w:r>
              <w:rPr>
                <w:rFonts w:cs="宋体"/>
                <w:color w:val="auto"/>
                <w:highlight w:val="none"/>
              </w:rPr>
              <w:t>项目主要实施两项重点内容。</w:t>
            </w:r>
          </w:p>
          <w:p w14:paraId="3951D890">
            <w:pPr>
              <w:pStyle w:val="42"/>
              <w:widowControl/>
              <w:spacing w:line="360" w:lineRule="auto"/>
              <w:ind w:firstLine="640"/>
              <w:rPr>
                <w:rFonts w:hint="default" w:cs="宋体"/>
                <w:color w:val="auto"/>
                <w:highlight w:val="none"/>
              </w:rPr>
            </w:pPr>
            <w:r>
              <w:rPr>
                <w:rFonts w:cs="宋体"/>
                <w:color w:val="auto"/>
                <w:highlight w:val="none"/>
              </w:rPr>
              <w:t>（一）建设家庭养老床位。根据《桂平市家庭养老床位基本项目参考清单》（附件2），结合老年人综合能力评估、居家环境条件等情况，为有需要的居家老年人建设家庭养老床位。包括但不限于对老年人住所的卧室、卫生间、浴室、厨房、客厅等居家环境关键区域或部位进行适老化改造和智能化改造，安装网络连接、紧急呼叫、活动监测等智能化设备，并视情况配备助行、助餐、助穿、如厕、助浴、感知类老年用品。此前已进行相关改造并具备相应功能的不重复改造。建设的家庭养老床位应有效增强服务对象居家生活的安全性、便利性和舒适性，并能够通过智能化手段进行远程监测和动态管理，对服务对象的服务需求和异常情况及时响应和进行应急处置。</w:t>
            </w:r>
          </w:p>
          <w:p w14:paraId="6544A62E">
            <w:pPr>
              <w:pStyle w:val="42"/>
              <w:widowControl/>
              <w:spacing w:line="360" w:lineRule="auto"/>
              <w:ind w:firstLine="640"/>
              <w:rPr>
                <w:rFonts w:hint="default" w:cs="宋体"/>
                <w:color w:val="auto"/>
                <w:highlight w:val="none"/>
              </w:rPr>
            </w:pPr>
            <w:r>
              <w:rPr>
                <w:rFonts w:cs="宋体"/>
                <w:color w:val="auto"/>
                <w:highlight w:val="none"/>
              </w:rPr>
              <w:t>四、补助标准</w:t>
            </w:r>
          </w:p>
          <w:p w14:paraId="55B8DA21">
            <w:pPr>
              <w:pStyle w:val="42"/>
              <w:widowControl/>
              <w:spacing w:line="360" w:lineRule="auto"/>
              <w:ind w:firstLine="640"/>
              <w:rPr>
                <w:rFonts w:hint="default" w:cs="宋体"/>
                <w:color w:val="auto"/>
                <w:highlight w:val="none"/>
              </w:rPr>
            </w:pPr>
            <w:r>
              <w:rPr>
                <w:rFonts w:cs="宋体"/>
                <w:color w:val="auto"/>
                <w:highlight w:val="none"/>
              </w:rPr>
              <w:t>（一）家庭养老床位建设补助。根据家庭养老床位建设实际产生金额，给予每人不超过5000元的一次性建设补助。属于基本养老服务项目以外、服务对象自愿付费的部分，由服务对象或其代理人与服务机构签订服务合同予以明确。</w:t>
            </w:r>
          </w:p>
          <w:p w14:paraId="4A09B5C2">
            <w:pPr>
              <w:pStyle w:val="42"/>
              <w:widowControl/>
              <w:spacing w:line="360" w:lineRule="auto"/>
              <w:ind w:firstLine="640"/>
              <w:rPr>
                <w:rFonts w:hint="default" w:cs="宋体"/>
                <w:color w:val="auto"/>
                <w:highlight w:val="none"/>
              </w:rPr>
            </w:pPr>
            <w:r>
              <w:rPr>
                <w:rFonts w:cs="宋体"/>
                <w:color w:val="auto"/>
                <w:highlight w:val="none"/>
              </w:rPr>
              <w:t>（三）资金来源。家庭养老床位建设从2025年自治区福彩公益金居家和社区基本养老服务提升行动项目配套资金中安排。</w:t>
            </w:r>
          </w:p>
          <w:p w14:paraId="71796930">
            <w:pPr>
              <w:pStyle w:val="42"/>
              <w:widowControl/>
              <w:spacing w:line="360" w:lineRule="auto"/>
              <w:ind w:firstLine="640"/>
              <w:rPr>
                <w:rFonts w:hint="default" w:cs="宋体"/>
                <w:color w:val="auto"/>
                <w:highlight w:val="none"/>
              </w:rPr>
            </w:pPr>
            <w:r>
              <w:rPr>
                <w:rFonts w:cs="宋体"/>
                <w:color w:val="auto"/>
                <w:highlight w:val="none"/>
              </w:rPr>
              <w:t>五、实施主体</w:t>
            </w:r>
          </w:p>
          <w:p w14:paraId="0B46CF41">
            <w:pPr>
              <w:pStyle w:val="42"/>
              <w:widowControl/>
              <w:spacing w:line="360" w:lineRule="auto"/>
              <w:ind w:firstLine="640"/>
              <w:rPr>
                <w:rFonts w:hint="default" w:cs="宋体"/>
                <w:color w:val="auto"/>
                <w:highlight w:val="none"/>
              </w:rPr>
            </w:pPr>
            <w:r>
              <w:rPr>
                <w:rFonts w:cs="宋体"/>
                <w:color w:val="auto"/>
                <w:highlight w:val="none"/>
              </w:rPr>
              <w:t>（一）服务实施主体。建设家庭养老床位涉及的适老化改造和智能化改造，可由依法设立、具备相应资质、信誉良好、实体运营的养老机构、居家社区养老服务机构或家装、通讯、科技类等企业承接</w:t>
            </w:r>
          </w:p>
          <w:p w14:paraId="6098F70D">
            <w:pPr>
              <w:pStyle w:val="42"/>
              <w:widowControl/>
              <w:spacing w:line="360" w:lineRule="auto"/>
              <w:ind w:firstLine="640"/>
              <w:rPr>
                <w:rFonts w:hint="default" w:cs="宋体"/>
                <w:color w:val="auto"/>
                <w:highlight w:val="none"/>
              </w:rPr>
            </w:pPr>
            <w:r>
              <w:rPr>
                <w:rFonts w:cs="宋体"/>
                <w:color w:val="auto"/>
                <w:highlight w:val="none"/>
              </w:rPr>
              <w:t>（二）评估实施主体。根据项目实施情况，以及服务流程、服务质量等要求，通过政府购买服务等方式，确定具备养老服务、评估等相应资质的企业、社会组织作为老年人综合能力评估、经济状况评估、项目验收评估、服务评价等第三方评估机构。</w:t>
            </w:r>
          </w:p>
          <w:p w14:paraId="3C83B9B4">
            <w:pPr>
              <w:pStyle w:val="42"/>
              <w:widowControl/>
              <w:spacing w:line="360" w:lineRule="auto"/>
              <w:ind w:firstLine="640"/>
              <w:rPr>
                <w:rFonts w:hint="default" w:cs="宋体"/>
                <w:color w:val="auto"/>
                <w:highlight w:val="none"/>
              </w:rPr>
            </w:pPr>
            <w:r>
              <w:rPr>
                <w:rFonts w:cs="宋体"/>
                <w:color w:val="auto"/>
                <w:highlight w:val="none"/>
              </w:rPr>
              <w:t>六、实施步骤</w:t>
            </w:r>
          </w:p>
          <w:p w14:paraId="059B8A19">
            <w:pPr>
              <w:pStyle w:val="42"/>
              <w:widowControl/>
              <w:spacing w:line="360" w:lineRule="auto"/>
              <w:ind w:firstLine="640"/>
              <w:rPr>
                <w:rFonts w:hint="default" w:cs="宋体"/>
                <w:color w:val="auto"/>
                <w:highlight w:val="none"/>
              </w:rPr>
            </w:pPr>
            <w:r>
              <w:rPr>
                <w:rFonts w:cs="宋体"/>
                <w:color w:val="auto"/>
                <w:highlight w:val="none"/>
              </w:rPr>
              <w:t>（一）动员部署阶段（2025年7月）</w:t>
            </w:r>
          </w:p>
          <w:p w14:paraId="6D60090C">
            <w:pPr>
              <w:pStyle w:val="42"/>
              <w:widowControl/>
              <w:spacing w:line="360" w:lineRule="auto"/>
              <w:ind w:firstLine="640"/>
              <w:rPr>
                <w:rFonts w:hint="default" w:cs="宋体"/>
                <w:color w:val="auto"/>
                <w:highlight w:val="none"/>
              </w:rPr>
            </w:pPr>
            <w:r>
              <w:rPr>
                <w:rFonts w:cs="宋体"/>
                <w:b/>
                <w:bCs/>
                <w:color w:val="auto"/>
                <w:highlight w:val="none"/>
              </w:rPr>
              <w:t>1.排查摸底，确定服务对象。</w:t>
            </w:r>
            <w:r>
              <w:rPr>
                <w:rFonts w:cs="宋体"/>
                <w:color w:val="auto"/>
                <w:highlight w:val="none"/>
              </w:rPr>
              <w:t>各乡镇要加大项目宣传力度，增强项目的社会知晓率和影响力，积极组织村（社区）对辖区内符合条件的经济困难的失能、部分失能老年人等群体开展排查摸底，填写《</w:t>
            </w:r>
            <w:r>
              <w:rPr>
                <w:rFonts w:hint="eastAsia" w:cs="宋体"/>
                <w:color w:val="auto"/>
                <w:highlight w:val="none"/>
                <w:lang w:eastAsia="zh-CN"/>
              </w:rPr>
              <w:t>2025年桂平市居家和社区基本养老服务提升行动项目</w:t>
            </w:r>
            <w:r>
              <w:rPr>
                <w:rFonts w:cs="宋体"/>
                <w:color w:val="auto"/>
                <w:highlight w:val="none"/>
              </w:rPr>
              <w:t>项目摸底排查信息表》（附件4），7月 25日前汇总报送至桂平市民政局老龄工作和养老服务股邮箱：mzjylg8935＠163.com。市民政</w:t>
            </w:r>
            <w:r>
              <w:rPr>
                <w:rFonts w:cs="宋体"/>
                <w:color w:val="auto"/>
                <w:highlight w:val="none"/>
                <w:lang w:bidi="ar"/>
              </w:rPr>
              <w:t>局聘请专业机构按照相关标准对老年人进行综合能力评估和经济</w:t>
            </w:r>
            <w:r>
              <w:rPr>
                <w:rFonts w:cs="宋体"/>
                <w:color w:val="auto"/>
                <w:highlight w:val="none"/>
              </w:rPr>
              <w:t>状况评估后，符合条件的，确定为服务对象，由老年人或其代理人向所属乡镇提出申请，填写《桂平市居家和社区基本养老服务提升行动项目家庭养老床位寻申请表》（附件 5）乡镇审核后报市民政局审批后由乡镇及时向社会公示。</w:t>
            </w:r>
          </w:p>
          <w:p w14:paraId="4A4B8F02">
            <w:pPr>
              <w:pStyle w:val="42"/>
              <w:widowControl/>
              <w:spacing w:line="360" w:lineRule="auto"/>
              <w:ind w:firstLine="640"/>
              <w:rPr>
                <w:rFonts w:hint="default" w:cs="宋体"/>
                <w:color w:val="auto"/>
                <w:highlight w:val="none"/>
              </w:rPr>
            </w:pPr>
            <w:r>
              <w:rPr>
                <w:rFonts w:cs="宋体"/>
                <w:color w:val="auto"/>
                <w:highlight w:val="none"/>
              </w:rPr>
              <w:t>（二）启动实施阶段（2025年 8月至2025年 11月）</w:t>
            </w:r>
          </w:p>
          <w:p w14:paraId="2506390D">
            <w:pPr>
              <w:pStyle w:val="42"/>
              <w:widowControl/>
              <w:spacing w:line="360" w:lineRule="auto"/>
              <w:ind w:firstLine="640"/>
              <w:rPr>
                <w:rFonts w:hint="default" w:cs="宋体"/>
                <w:color w:val="auto"/>
                <w:highlight w:val="none"/>
              </w:rPr>
            </w:pPr>
            <w:r>
              <w:rPr>
                <w:rFonts w:cs="宋体"/>
                <w:b/>
                <w:bCs/>
                <w:color w:val="auto"/>
                <w:highlight w:val="none"/>
              </w:rPr>
              <w:t>1.制定服务方案。</w:t>
            </w:r>
            <w:r>
              <w:rPr>
                <w:rFonts w:cs="宋体"/>
                <w:color w:val="auto"/>
                <w:highlight w:val="none"/>
              </w:rPr>
              <w:t>服务提供主体与服务对象充分沟通，根据服务对象的实际需求制定家庭养老床位建设或居家养老上门服务的具体方案，明确实施内容、服务标准、进度安排等。</w:t>
            </w:r>
          </w:p>
          <w:p w14:paraId="0C9B1F03">
            <w:pPr>
              <w:pStyle w:val="42"/>
              <w:widowControl/>
              <w:spacing w:line="360" w:lineRule="auto"/>
              <w:ind w:firstLine="640"/>
              <w:rPr>
                <w:rFonts w:hint="default" w:cs="宋体"/>
                <w:color w:val="auto"/>
                <w:highlight w:val="none"/>
              </w:rPr>
            </w:pPr>
            <w:r>
              <w:rPr>
                <w:rFonts w:cs="宋体"/>
                <w:b/>
                <w:bCs/>
                <w:color w:val="auto"/>
                <w:highlight w:val="none"/>
              </w:rPr>
              <w:t>2.组织实施。</w:t>
            </w:r>
            <w:r>
              <w:rPr>
                <w:rFonts w:cs="宋体"/>
                <w:color w:val="auto"/>
                <w:highlight w:val="none"/>
              </w:rPr>
              <w:t>服务方案经服务对象签字确认后，服务机构按服务方案开展服务，并按“一人一案”的原则建立纸质档案，同时将项目信息录入“金民工程”全国养老服务信息系统。服务机构应在服务对象家庭以显著方式标明“彩票公益金资助—中国福利彩票和中国体育彩票”标识。</w:t>
            </w:r>
          </w:p>
          <w:p w14:paraId="0EDEDC9E">
            <w:pPr>
              <w:pStyle w:val="42"/>
              <w:widowControl/>
              <w:spacing w:line="360" w:lineRule="auto"/>
              <w:ind w:firstLine="640"/>
              <w:rPr>
                <w:rFonts w:hint="default" w:cs="宋体"/>
                <w:color w:val="auto"/>
                <w:highlight w:val="none"/>
              </w:rPr>
            </w:pPr>
            <w:r>
              <w:rPr>
                <w:rFonts w:cs="宋体"/>
                <w:b/>
                <w:bCs/>
                <w:color w:val="auto"/>
                <w:highlight w:val="none"/>
              </w:rPr>
              <w:t>3.开展过程评估。</w:t>
            </w:r>
            <w:r>
              <w:rPr>
                <w:rFonts w:cs="宋体"/>
                <w:color w:val="auto"/>
                <w:highlight w:val="none"/>
              </w:rPr>
              <w:t>市民政局、财政局不定期对项目推进情况开展督查。2025年 9月 30日前，要进行项目实施情况中期评估，评估结果报贵港市民政局、贵港市财政局。发现弄虚作假、对家庭养老床位建设不符合规定、居家养老上门服务满意率低于 90%、没有按“一人一案”建立纸质档案的，要求服务机构限期整改或收回已发放的项目资金。</w:t>
            </w:r>
          </w:p>
          <w:p w14:paraId="4455E6DE">
            <w:pPr>
              <w:pStyle w:val="42"/>
              <w:widowControl/>
              <w:spacing w:line="360" w:lineRule="auto"/>
              <w:ind w:firstLine="640"/>
              <w:rPr>
                <w:rFonts w:hint="default" w:cs="宋体"/>
                <w:color w:val="auto"/>
                <w:highlight w:val="none"/>
              </w:rPr>
            </w:pPr>
            <w:r>
              <w:rPr>
                <w:rFonts w:cs="宋体"/>
                <w:b/>
                <w:bCs/>
                <w:color w:val="auto"/>
                <w:highlight w:val="none"/>
              </w:rPr>
              <w:t>4.服务终止。</w:t>
            </w:r>
            <w:r>
              <w:rPr>
                <w:rFonts w:cs="宋体"/>
                <w:color w:val="auto"/>
                <w:highlight w:val="none"/>
              </w:rPr>
              <w:t>老年人去世、住院、搬家或出现妨碍服务持续的情形时，服务终止。服务机构要及时在信息管理系统中注销，及时上报市民政部门备案。</w:t>
            </w:r>
          </w:p>
          <w:p w14:paraId="1AE8B6B2">
            <w:pPr>
              <w:pStyle w:val="42"/>
              <w:widowControl/>
              <w:spacing w:line="360" w:lineRule="auto"/>
              <w:ind w:firstLine="640"/>
              <w:rPr>
                <w:rFonts w:hint="default" w:cs="宋体"/>
                <w:color w:val="auto"/>
                <w:highlight w:val="none"/>
              </w:rPr>
            </w:pPr>
            <w:r>
              <w:rPr>
                <w:rFonts w:cs="宋体"/>
                <w:color w:val="auto"/>
                <w:highlight w:val="none"/>
              </w:rPr>
              <w:t>（三）评估验收阶段（2025年 12月）</w:t>
            </w:r>
          </w:p>
          <w:p w14:paraId="5F843796">
            <w:pPr>
              <w:pStyle w:val="42"/>
              <w:widowControl/>
              <w:spacing w:line="360" w:lineRule="auto"/>
              <w:ind w:firstLine="640"/>
              <w:rPr>
                <w:rFonts w:hint="default" w:cs="宋体"/>
                <w:b/>
                <w:bCs/>
                <w:color w:val="auto"/>
                <w:highlight w:val="none"/>
              </w:rPr>
            </w:pPr>
            <w:r>
              <w:rPr>
                <w:rFonts w:cs="宋体"/>
                <w:b/>
                <w:bCs/>
                <w:color w:val="auto"/>
                <w:highlight w:val="none"/>
              </w:rPr>
              <w:t>5.开展终期评估验收</w:t>
            </w:r>
            <w:r>
              <w:rPr>
                <w:rFonts w:cs="宋体"/>
                <w:color w:val="auto"/>
                <w:highlight w:val="none"/>
              </w:rPr>
              <w:t>。2025年 12月 15 日前由市民政局、财政局组织第三方对项目完成情况进行核实验收，验收结果报贵港市民政局、贵港市财政局，并做好迎接上级民政、财政部门对项目实施情况进行评估验收的准备工作。</w:t>
            </w:r>
          </w:p>
          <w:p w14:paraId="6F1B5886">
            <w:pPr>
              <w:pStyle w:val="42"/>
              <w:widowControl/>
              <w:rPr>
                <w:rFonts w:hint="default" w:ascii="黑体" w:eastAsia="黑体" w:cs="黑体"/>
                <w:color w:val="auto"/>
                <w:sz w:val="31"/>
                <w:szCs w:val="31"/>
                <w:highlight w:val="none"/>
              </w:rPr>
            </w:pPr>
          </w:p>
        </w:tc>
      </w:tr>
    </w:tbl>
    <w:p w14:paraId="1F9D1844">
      <w:pPr>
        <w:pStyle w:val="42"/>
        <w:widowControl/>
        <w:ind w:firstLine="640"/>
        <w:rPr>
          <w:rFonts w:hint="default" w:ascii="黑体" w:eastAsia="黑体" w:cs="黑体"/>
          <w:color w:val="auto"/>
          <w:sz w:val="31"/>
          <w:szCs w:val="31"/>
          <w:highlight w:val="none"/>
        </w:rPr>
      </w:pPr>
    </w:p>
    <w:p w14:paraId="3E045DE9">
      <w:pPr>
        <w:rPr>
          <w:rFonts w:ascii="宋体" w:hAnsi="宋体" w:cs="宋体"/>
          <w:b/>
          <w:bCs/>
          <w:color w:val="auto"/>
          <w:sz w:val="32"/>
          <w:szCs w:val="32"/>
          <w:highlight w:val="none"/>
        </w:rPr>
      </w:pPr>
      <w:r>
        <w:rPr>
          <w:rFonts w:hint="eastAsia" w:ascii="宋体" w:hAnsi="宋体" w:cs="宋体"/>
          <w:b/>
          <w:bCs/>
          <w:color w:val="auto"/>
          <w:sz w:val="32"/>
          <w:szCs w:val="32"/>
          <w:highlight w:val="none"/>
        </w:rPr>
        <w:t>（</w:t>
      </w:r>
      <w:r>
        <w:rPr>
          <w:rFonts w:hint="eastAsia" w:ascii="宋体" w:hAnsi="宋体" w:cs="宋体"/>
          <w:b/>
          <w:bCs/>
          <w:color w:val="auto"/>
          <w:sz w:val="36"/>
          <w:szCs w:val="36"/>
          <w:highlight w:val="none"/>
        </w:rPr>
        <w:t>三）、商务要求（适用于所有标段）</w:t>
      </w:r>
    </w:p>
    <w:tbl>
      <w:tblPr>
        <w:tblStyle w:val="49"/>
        <w:tblpPr w:leftFromText="180" w:rightFromText="180" w:vertAnchor="text" w:horzAnchor="page" w:tblpX="1353" w:tblpY="1008"/>
        <w:tblOverlap w:val="never"/>
        <w:tblW w:w="92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9"/>
        <w:gridCol w:w="7701"/>
      </w:tblGrid>
      <w:tr w14:paraId="1435E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270" w:type="dxa"/>
            <w:gridSpan w:val="2"/>
            <w:tcBorders>
              <w:top w:val="single" w:color="000000" w:sz="4" w:space="0"/>
              <w:left w:val="single" w:color="000000" w:sz="4" w:space="0"/>
              <w:bottom w:val="single" w:color="000000" w:sz="4" w:space="0"/>
              <w:right w:val="single" w:color="000000" w:sz="4" w:space="0"/>
            </w:tcBorders>
            <w:vAlign w:val="center"/>
          </w:tcPr>
          <w:p w14:paraId="70D2AF22">
            <w:pPr>
              <w:ind w:firstLine="241" w:firstLineChars="100"/>
              <w:textAlignment w:val="baseline"/>
              <w:rPr>
                <w:rStyle w:val="204"/>
                <w:rFonts w:ascii="宋体" w:hAnsi="宋体" w:cs="宋体"/>
                <w:b/>
                <w:bCs/>
                <w:color w:val="auto"/>
                <w:sz w:val="24"/>
                <w:szCs w:val="24"/>
                <w:highlight w:val="none"/>
              </w:rPr>
            </w:pPr>
            <w:r>
              <w:rPr>
                <w:rStyle w:val="204"/>
                <w:rFonts w:hint="eastAsia" w:ascii="宋体" w:hAnsi="宋体" w:cs="宋体"/>
                <w:b/>
                <w:bCs/>
                <w:color w:val="auto"/>
                <w:sz w:val="24"/>
                <w:szCs w:val="24"/>
                <w:highlight w:val="none"/>
              </w:rPr>
              <w:t>▲商务条款</w:t>
            </w:r>
          </w:p>
        </w:tc>
      </w:tr>
      <w:tr w14:paraId="59E3D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70D360D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一、合同签订期</w:t>
            </w:r>
          </w:p>
        </w:tc>
        <w:tc>
          <w:tcPr>
            <w:tcW w:w="7701" w:type="dxa"/>
            <w:tcBorders>
              <w:top w:val="single" w:color="000000" w:sz="4" w:space="0"/>
              <w:left w:val="single" w:color="000000" w:sz="4" w:space="0"/>
              <w:bottom w:val="single" w:color="000000" w:sz="4" w:space="0"/>
              <w:right w:val="single" w:color="000000" w:sz="4" w:space="0"/>
            </w:tcBorders>
            <w:vAlign w:val="center"/>
          </w:tcPr>
          <w:p w14:paraId="51C7B85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自成交通知书发出之日起20个日历日内。</w:t>
            </w:r>
          </w:p>
        </w:tc>
      </w:tr>
      <w:tr w14:paraId="7EEA0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47E4F39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二、报价要求</w:t>
            </w:r>
          </w:p>
        </w:tc>
        <w:tc>
          <w:tcPr>
            <w:tcW w:w="7701" w:type="dxa"/>
            <w:tcBorders>
              <w:top w:val="single" w:color="000000" w:sz="4" w:space="0"/>
              <w:left w:val="single" w:color="000000" w:sz="4" w:space="0"/>
              <w:bottom w:val="single" w:color="000000" w:sz="4" w:space="0"/>
              <w:right w:val="single" w:color="000000" w:sz="4" w:space="0"/>
            </w:tcBorders>
            <w:vAlign w:val="center"/>
          </w:tcPr>
          <w:p w14:paraId="3954D13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（1）服务费用（报价需包含但不限于“项目采购需求”涉及的所有费用）；</w:t>
            </w:r>
          </w:p>
          <w:p w14:paraId="20D65DA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（2）技术支持、售后服务费等。</w:t>
            </w:r>
          </w:p>
          <w:p w14:paraId="2098F07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（3）招标代理服务费、保险费和各项税金。</w:t>
            </w:r>
          </w:p>
          <w:p w14:paraId="5472DF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投标价格为全包价，以人民币为结算单位，包括但不限于上门评估、方案设计、材料设备、标准附件、备品备件、专用工具、包装、拆除、材料损耗、材料保管、运输、安装、调试、施工、保险、人工费用、机械费用、食宿与交通、施工环境保护、施工后垃圾清理、管理、质保、税费、利润、第三方验收费用、完成合同所需的一切本身和不可或缺的所有工作开支、政策性文件规定及合同包含的所有风险、责任等各项全部费用。在合同实施时，采购人将不予支付成交供应商没有列入的项目费用，并认为此项目的费用已包括在总报价中。</w:t>
            </w:r>
          </w:p>
        </w:tc>
      </w:tr>
      <w:tr w14:paraId="13342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540FD39D">
            <w:pPr>
              <w:spacing w:line="360" w:lineRule="auto"/>
              <w:jc w:val="center"/>
              <w:textAlignment w:val="baseline"/>
              <w:rPr>
                <w:rFonts w:ascii="宋体" w:hAnsi="宋体" w:cs="宋体"/>
                <w:color w:val="auto"/>
                <w:spacing w:val="7"/>
                <w:sz w:val="24"/>
                <w:highlight w:val="none"/>
              </w:rPr>
            </w:pPr>
            <w:r>
              <w:rPr>
                <w:rFonts w:hint="eastAsia" w:ascii="宋体" w:hAnsi="宋体" w:cs="宋体"/>
                <w:color w:val="auto"/>
                <w:spacing w:val="7"/>
                <w:sz w:val="24"/>
                <w:highlight w:val="none"/>
              </w:rPr>
              <w:t>三、服务期限</w:t>
            </w:r>
          </w:p>
        </w:tc>
        <w:tc>
          <w:tcPr>
            <w:tcW w:w="7701" w:type="dxa"/>
            <w:tcBorders>
              <w:top w:val="single" w:color="000000" w:sz="4" w:space="0"/>
              <w:left w:val="single" w:color="000000" w:sz="4" w:space="0"/>
              <w:bottom w:val="single" w:color="000000" w:sz="4" w:space="0"/>
              <w:right w:val="single" w:color="000000" w:sz="4" w:space="0"/>
            </w:tcBorders>
            <w:vAlign w:val="center"/>
          </w:tcPr>
          <w:p w14:paraId="190C8232">
            <w:pPr>
              <w:spacing w:line="360" w:lineRule="auto"/>
              <w:rPr>
                <w:rFonts w:ascii="宋体" w:hAnsi="宋体" w:cs="宋体"/>
                <w:color w:val="auto"/>
                <w:spacing w:val="-7"/>
                <w:sz w:val="24"/>
                <w:highlight w:val="none"/>
              </w:rPr>
            </w:pP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日前完成（具体时间以签订合同为准）</w:t>
            </w:r>
            <w:r>
              <w:rPr>
                <w:rFonts w:hint="eastAsia" w:ascii="宋体" w:hAnsi="宋体" w:cs="宋体"/>
                <w:color w:val="auto"/>
                <w:spacing w:val="-7"/>
                <w:sz w:val="24"/>
                <w:highlight w:val="none"/>
              </w:rPr>
              <w:t>。</w:t>
            </w:r>
          </w:p>
        </w:tc>
      </w:tr>
      <w:tr w14:paraId="060B4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3AF7A7FA">
            <w:pPr>
              <w:spacing w:line="360" w:lineRule="auto"/>
              <w:jc w:val="center"/>
              <w:textAlignment w:val="baseline"/>
              <w:rPr>
                <w:rFonts w:hint="eastAsia" w:ascii="宋体" w:hAnsi="宋体" w:eastAsia="宋体" w:cs="宋体"/>
                <w:color w:val="auto"/>
                <w:spacing w:val="7"/>
                <w:sz w:val="24"/>
                <w:highlight w:val="none"/>
                <w:lang w:eastAsia="zh-CN"/>
              </w:rPr>
            </w:pPr>
            <w:r>
              <w:rPr>
                <w:rFonts w:hint="eastAsia" w:ascii="宋体" w:hAnsi="宋体" w:cs="宋体"/>
                <w:color w:val="auto"/>
                <w:spacing w:val="7"/>
                <w:sz w:val="24"/>
                <w:highlight w:val="none"/>
              </w:rPr>
              <w:t>四、付款</w:t>
            </w:r>
            <w:r>
              <w:rPr>
                <w:rFonts w:hint="eastAsia" w:ascii="宋体" w:hAnsi="宋体" w:cs="宋体"/>
                <w:color w:val="auto"/>
                <w:spacing w:val="7"/>
                <w:sz w:val="24"/>
                <w:highlight w:val="none"/>
                <w:lang w:val="en-US" w:eastAsia="zh-CN"/>
              </w:rPr>
              <w:t>方式</w:t>
            </w:r>
          </w:p>
        </w:tc>
        <w:tc>
          <w:tcPr>
            <w:tcW w:w="7701" w:type="dxa"/>
            <w:tcBorders>
              <w:top w:val="single" w:color="000000" w:sz="4" w:space="0"/>
              <w:left w:val="single" w:color="000000" w:sz="4" w:space="0"/>
              <w:bottom w:val="single" w:color="000000" w:sz="4" w:space="0"/>
              <w:right w:val="single" w:color="000000" w:sz="4" w:space="0"/>
            </w:tcBorders>
            <w:vAlign w:val="center"/>
          </w:tcPr>
          <w:p w14:paraId="3B65F88C">
            <w:pPr>
              <w:spacing w:line="360" w:lineRule="auto"/>
              <w:jc w:val="left"/>
              <w:rPr>
                <w:rStyle w:val="204"/>
                <w:rFonts w:hint="eastAsia" w:ascii="宋体" w:hAnsi="宋体" w:cs="宋体"/>
                <w:color w:val="auto"/>
                <w:kern w:val="0"/>
                <w:sz w:val="24"/>
                <w:szCs w:val="24"/>
                <w:highlight w:val="none"/>
              </w:rPr>
            </w:pPr>
            <w:r>
              <w:rPr>
                <w:rStyle w:val="204"/>
                <w:rFonts w:hint="eastAsia" w:ascii="宋体" w:hAnsi="宋体" w:cs="宋体"/>
                <w:color w:val="auto"/>
                <w:kern w:val="0"/>
                <w:sz w:val="24"/>
                <w:szCs w:val="24"/>
                <w:highlight w:val="none"/>
              </w:rPr>
              <w:t>1.合同签订后30日内</w:t>
            </w:r>
            <w:r>
              <w:rPr>
                <w:rStyle w:val="204"/>
                <w:rFonts w:hint="eastAsia" w:ascii="宋体" w:hAnsi="宋体" w:cs="宋体"/>
                <w:color w:val="auto"/>
                <w:kern w:val="0"/>
                <w:sz w:val="24"/>
                <w:szCs w:val="24"/>
                <w:highlight w:val="none"/>
                <w:lang w:val="en-US" w:eastAsia="zh-CN"/>
              </w:rPr>
              <w:t>甲方</w:t>
            </w:r>
            <w:r>
              <w:rPr>
                <w:rStyle w:val="204"/>
                <w:rFonts w:hint="eastAsia" w:ascii="宋体" w:hAnsi="宋体" w:cs="宋体"/>
                <w:color w:val="auto"/>
                <w:kern w:val="0"/>
                <w:sz w:val="24"/>
                <w:szCs w:val="24"/>
                <w:highlight w:val="none"/>
              </w:rPr>
              <w:t>向</w:t>
            </w:r>
            <w:r>
              <w:rPr>
                <w:rStyle w:val="204"/>
                <w:rFonts w:hint="eastAsia" w:ascii="宋体" w:hAnsi="宋体" w:cs="宋体"/>
                <w:color w:val="auto"/>
                <w:kern w:val="0"/>
                <w:sz w:val="24"/>
                <w:szCs w:val="24"/>
                <w:highlight w:val="none"/>
                <w:lang w:val="en-US" w:eastAsia="zh-CN"/>
              </w:rPr>
              <w:t>乙方</w:t>
            </w:r>
            <w:r>
              <w:rPr>
                <w:rStyle w:val="204"/>
                <w:rFonts w:hint="eastAsia" w:ascii="宋体" w:hAnsi="宋体" w:cs="宋体"/>
                <w:color w:val="auto"/>
                <w:kern w:val="0"/>
                <w:sz w:val="24"/>
                <w:szCs w:val="24"/>
                <w:highlight w:val="none"/>
              </w:rPr>
              <w:t>支付30%合同价款作为预付款。</w:t>
            </w:r>
          </w:p>
          <w:p w14:paraId="012330CB">
            <w:pPr>
              <w:spacing w:line="360" w:lineRule="auto"/>
              <w:jc w:val="left"/>
              <w:rPr>
                <w:rStyle w:val="204"/>
                <w:rFonts w:hint="default" w:ascii="宋体" w:hAnsi="宋体" w:eastAsia="宋体" w:cs="宋体"/>
                <w:color w:val="auto"/>
                <w:kern w:val="0"/>
                <w:sz w:val="24"/>
                <w:szCs w:val="24"/>
                <w:highlight w:val="none"/>
                <w:lang w:val="en-US" w:eastAsia="zh-CN"/>
              </w:rPr>
            </w:pPr>
            <w:r>
              <w:rPr>
                <w:rStyle w:val="204"/>
                <w:rFonts w:hint="eastAsia" w:ascii="宋体" w:hAnsi="宋体" w:cs="宋体"/>
                <w:color w:val="auto"/>
                <w:kern w:val="0"/>
                <w:sz w:val="24"/>
                <w:szCs w:val="24"/>
                <w:highlight w:val="none"/>
              </w:rPr>
              <w:t>2.</w:t>
            </w:r>
            <w:r>
              <w:rPr>
                <w:rStyle w:val="204"/>
                <w:rFonts w:hint="eastAsia" w:ascii="宋体" w:hAnsi="宋体" w:cs="宋体"/>
                <w:color w:val="auto"/>
                <w:kern w:val="0"/>
                <w:sz w:val="24"/>
                <w:szCs w:val="24"/>
                <w:highlight w:val="none"/>
                <w:lang w:val="en-US" w:eastAsia="zh-CN"/>
              </w:rPr>
              <w:t>工作量完成至80%后，甲方向乙方支付至合同价款的60%。</w:t>
            </w:r>
          </w:p>
          <w:p w14:paraId="6A9AC3B0">
            <w:pPr>
              <w:spacing w:line="360" w:lineRule="auto"/>
              <w:jc w:val="left"/>
              <w:rPr>
                <w:rStyle w:val="204"/>
                <w:rFonts w:ascii="宋体" w:hAnsi="宋体" w:cs="宋体"/>
                <w:color w:val="auto"/>
                <w:kern w:val="0"/>
                <w:sz w:val="24"/>
                <w:szCs w:val="24"/>
                <w:highlight w:val="none"/>
              </w:rPr>
            </w:pPr>
            <w:r>
              <w:rPr>
                <w:rStyle w:val="204"/>
                <w:rFonts w:hint="eastAsia" w:ascii="宋体" w:hAnsi="宋体" w:cs="宋体"/>
                <w:color w:val="auto"/>
                <w:kern w:val="0"/>
                <w:sz w:val="24"/>
                <w:szCs w:val="24"/>
                <w:highlight w:val="none"/>
                <w:lang w:val="en-US" w:eastAsia="zh-CN"/>
              </w:rPr>
              <w:t>3.乙方</w:t>
            </w:r>
            <w:r>
              <w:rPr>
                <w:rStyle w:val="204"/>
                <w:rFonts w:hint="eastAsia" w:ascii="宋体" w:hAnsi="宋体" w:cs="宋体"/>
                <w:color w:val="auto"/>
                <w:kern w:val="0"/>
                <w:sz w:val="24"/>
                <w:szCs w:val="24"/>
                <w:highlight w:val="none"/>
              </w:rPr>
              <w:t>完成全部工作量，经</w:t>
            </w:r>
            <w:r>
              <w:rPr>
                <w:rStyle w:val="204"/>
                <w:rFonts w:hint="eastAsia" w:ascii="宋体" w:hAnsi="宋体" w:cs="宋体"/>
                <w:color w:val="auto"/>
                <w:kern w:val="0"/>
                <w:sz w:val="24"/>
                <w:szCs w:val="24"/>
                <w:highlight w:val="none"/>
                <w:lang w:val="en-US"/>
              </w:rPr>
              <w:t>采</w:t>
            </w:r>
            <w:r>
              <w:rPr>
                <w:rStyle w:val="204"/>
                <w:rFonts w:hint="eastAsia" w:ascii="宋体" w:hAnsi="宋体" w:cs="宋体"/>
                <w:color w:val="auto"/>
                <w:kern w:val="0"/>
                <w:sz w:val="24"/>
                <w:szCs w:val="24"/>
                <w:highlight w:val="none"/>
                <w:lang w:val="en-US" w:eastAsia="zh-CN"/>
              </w:rPr>
              <w:t>甲方</w:t>
            </w:r>
            <w:r>
              <w:rPr>
                <w:rStyle w:val="204"/>
                <w:rFonts w:hint="eastAsia" w:ascii="宋体" w:hAnsi="宋体" w:cs="宋体"/>
                <w:color w:val="auto"/>
                <w:kern w:val="0"/>
                <w:sz w:val="24"/>
                <w:szCs w:val="24"/>
                <w:highlight w:val="none"/>
              </w:rPr>
              <w:t>织评估验收合格后一个月内</w:t>
            </w:r>
            <w:r>
              <w:rPr>
                <w:rStyle w:val="204"/>
                <w:rFonts w:hint="eastAsia" w:ascii="宋体" w:hAnsi="宋体" w:cs="宋体"/>
                <w:color w:val="auto"/>
                <w:kern w:val="0"/>
                <w:sz w:val="24"/>
                <w:szCs w:val="24"/>
                <w:highlight w:val="none"/>
                <w:lang w:val="en-US"/>
              </w:rPr>
              <w:t>采购人</w:t>
            </w:r>
            <w:r>
              <w:rPr>
                <w:rStyle w:val="204"/>
                <w:rFonts w:hint="eastAsia" w:ascii="宋体" w:hAnsi="宋体" w:cs="宋体"/>
                <w:color w:val="auto"/>
                <w:kern w:val="0"/>
                <w:sz w:val="24"/>
                <w:szCs w:val="24"/>
                <w:highlight w:val="none"/>
              </w:rPr>
              <w:t>根据实际结算金额向</w:t>
            </w:r>
            <w:r>
              <w:rPr>
                <w:rStyle w:val="204"/>
                <w:rFonts w:hint="eastAsia" w:ascii="宋体" w:hAnsi="宋体" w:cs="宋体"/>
                <w:color w:val="auto"/>
                <w:kern w:val="0"/>
                <w:sz w:val="24"/>
                <w:szCs w:val="24"/>
                <w:highlight w:val="none"/>
                <w:lang w:val="en-US" w:eastAsia="zh-CN"/>
              </w:rPr>
              <w:t>乙方</w:t>
            </w:r>
            <w:r>
              <w:rPr>
                <w:rStyle w:val="204"/>
                <w:rFonts w:hint="eastAsia" w:ascii="宋体" w:hAnsi="宋体" w:cs="宋体"/>
                <w:color w:val="auto"/>
                <w:kern w:val="0"/>
                <w:sz w:val="24"/>
                <w:szCs w:val="24"/>
                <w:highlight w:val="none"/>
              </w:rPr>
              <w:t>支付剩余款项（注：实际结算金额超过投标报价部分甲方不予支付）。</w:t>
            </w:r>
          </w:p>
        </w:tc>
      </w:tr>
      <w:tr w14:paraId="413DF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092CFF79">
            <w:pPr>
              <w:spacing w:line="360" w:lineRule="auto"/>
              <w:jc w:val="center"/>
              <w:textAlignment w:val="baseline"/>
              <w:rPr>
                <w:rFonts w:ascii="宋体" w:hAnsi="宋体" w:cs="宋体"/>
                <w:color w:val="auto"/>
                <w:spacing w:val="7"/>
                <w:sz w:val="24"/>
                <w:highlight w:val="none"/>
              </w:rPr>
            </w:pPr>
            <w:r>
              <w:rPr>
                <w:rFonts w:hint="eastAsia" w:ascii="宋体" w:hAnsi="宋体" w:cs="宋体"/>
                <w:color w:val="auto"/>
                <w:spacing w:val="7"/>
                <w:sz w:val="24"/>
                <w:highlight w:val="none"/>
              </w:rPr>
              <w:t>六、验收要求</w:t>
            </w:r>
          </w:p>
        </w:tc>
        <w:tc>
          <w:tcPr>
            <w:tcW w:w="7701" w:type="dxa"/>
            <w:tcBorders>
              <w:top w:val="single" w:color="000000" w:sz="4" w:space="0"/>
              <w:left w:val="single" w:color="000000" w:sz="4" w:space="0"/>
              <w:bottom w:val="single" w:color="000000" w:sz="4" w:space="0"/>
              <w:right w:val="single" w:color="000000" w:sz="4" w:space="0"/>
            </w:tcBorders>
            <w:vAlign w:val="center"/>
          </w:tcPr>
          <w:p w14:paraId="46B62CD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成交供应商在服务验收时由采购单位对照采购文件的服务要求全面核对检验，对所有要求出具的证明文件的原件进行核查，如不符合采购文件的技术需求及要求以及提供虚假结论或承诺的，按相关规定做违约处理，成交供应商承担所有责任和费用，采购人保留进一步追究责任的权利。</w:t>
            </w:r>
          </w:p>
          <w:p w14:paraId="6B1DA34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采购人对服务开展情况进行监督和管理考核，将委托第三方组织每季度对成交供应商开展的居家养老上门服务情况进行满意度评估，评估和监督管理结果可作为成交供应商奖惩、经费结算和退出的依据，从而进一步提高居家养老服务的质量，切实维护老年人合法权益。</w:t>
            </w:r>
          </w:p>
          <w:p w14:paraId="6AE04E4E">
            <w:pPr>
              <w:spacing w:line="360" w:lineRule="auto"/>
              <w:rPr>
                <w:rStyle w:val="204"/>
                <w:rFonts w:ascii="宋体" w:hAnsi="宋体" w:cs="宋体"/>
                <w:color w:val="auto"/>
                <w:kern w:val="0"/>
                <w:sz w:val="24"/>
                <w:szCs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.“采购需求”另有要求的按其要求。</w:t>
            </w:r>
          </w:p>
        </w:tc>
      </w:tr>
      <w:tr w14:paraId="741F3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569" w:type="dxa"/>
            <w:tcBorders>
              <w:top w:val="single" w:color="000000" w:sz="4" w:space="0"/>
              <w:left w:val="single" w:color="000000" w:sz="4" w:space="0"/>
              <w:bottom w:val="single" w:color="000000" w:sz="4" w:space="0"/>
              <w:right w:val="single" w:color="000000" w:sz="4" w:space="0"/>
            </w:tcBorders>
            <w:vAlign w:val="center"/>
          </w:tcPr>
          <w:p w14:paraId="45EA2971">
            <w:pPr>
              <w:spacing w:line="360" w:lineRule="auto"/>
              <w:jc w:val="center"/>
              <w:textAlignment w:val="baseline"/>
              <w:rPr>
                <w:rFonts w:ascii="宋体" w:hAnsi="宋体" w:cs="宋体"/>
                <w:color w:val="auto"/>
                <w:spacing w:val="7"/>
                <w:sz w:val="24"/>
                <w:highlight w:val="none"/>
              </w:rPr>
            </w:pPr>
            <w:r>
              <w:rPr>
                <w:rFonts w:hint="eastAsia" w:ascii="宋体" w:hAnsi="宋体" w:cs="宋体"/>
                <w:color w:val="auto"/>
                <w:spacing w:val="7"/>
                <w:sz w:val="24"/>
                <w:highlight w:val="none"/>
              </w:rPr>
              <w:t>七、其他要求</w:t>
            </w:r>
          </w:p>
        </w:tc>
        <w:tc>
          <w:tcPr>
            <w:tcW w:w="7701" w:type="dxa"/>
            <w:tcBorders>
              <w:top w:val="single" w:color="000000" w:sz="4" w:space="0"/>
              <w:left w:val="single" w:color="000000" w:sz="4" w:space="0"/>
              <w:bottom w:val="single" w:color="000000" w:sz="4" w:space="0"/>
              <w:right w:val="single" w:color="000000" w:sz="4" w:space="0"/>
            </w:tcBorders>
            <w:vAlign w:val="center"/>
          </w:tcPr>
          <w:p w14:paraId="33183E7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1.执行过程中由于特殊原因需要终止、撤销、变更的，须报采购单位批准。</w:t>
            </w:r>
          </w:p>
          <w:p w14:paraId="774FEA53">
            <w:pPr>
              <w:spacing w:line="360" w:lineRule="auto"/>
              <w:rPr>
                <w:rStyle w:val="204"/>
                <w:rFonts w:ascii="宋体" w:hAnsi="宋体" w:cs="宋体"/>
                <w:color w:val="auto"/>
                <w:kern w:val="0"/>
                <w:sz w:val="24"/>
                <w:szCs w:val="24"/>
                <w:highlight w:val="none"/>
              </w:rPr>
            </w:pPr>
            <w:r>
              <w:rPr>
                <w:rFonts w:hint="eastAsia" w:ascii="宋体" w:hAnsi="宋体" w:cs="宋体"/>
                <w:color w:val="auto"/>
                <w:kern w:val="0"/>
                <w:sz w:val="24"/>
                <w:highlight w:val="none"/>
              </w:rPr>
              <w:t>2.成交供应商须严格按照招标文件的各项要求和服务承诺执行，因成交供应商未能按采购内容要求和自身的承诺实施项目，由此给采购人造成的不良后果和各项损失，全部由成交供应商承担，并由采购人依照有关规定，报请相关部门进行依法处置</w:t>
            </w:r>
            <w:r>
              <w:rPr>
                <w:rStyle w:val="204"/>
                <w:rFonts w:hint="eastAsia" w:ascii="宋体" w:hAnsi="宋体" w:cs="宋体"/>
                <w:color w:val="auto"/>
                <w:kern w:val="0"/>
                <w:sz w:val="24"/>
                <w:szCs w:val="24"/>
                <w:highlight w:val="none"/>
              </w:rPr>
              <w:t>。</w:t>
            </w:r>
          </w:p>
        </w:tc>
      </w:tr>
    </w:tbl>
    <w:p w14:paraId="6627B05B">
      <w:pPr>
        <w:pStyle w:val="2"/>
        <w:jc w:val="both"/>
        <w:rPr>
          <w:rFonts w:ascii="宋体" w:hAnsi="宋体" w:cs="宋体"/>
          <w:color w:val="auto"/>
          <w:sz w:val="28"/>
          <w:szCs w:val="28"/>
          <w:highlight w:val="none"/>
        </w:rPr>
      </w:pPr>
    </w:p>
    <w:p w14:paraId="089A5020">
      <w:pPr>
        <w:spacing w:before="101" w:line="226" w:lineRule="auto"/>
        <w:rPr>
          <w:rFonts w:ascii="黑体" w:hAnsi="黑体" w:eastAsia="黑体" w:cs="黑体"/>
          <w:color w:val="auto"/>
          <w:spacing w:val="-6"/>
          <w:sz w:val="32"/>
          <w:szCs w:val="32"/>
          <w:highlight w:val="none"/>
        </w:rPr>
      </w:pPr>
    </w:p>
    <w:p w14:paraId="3E02D5F9">
      <w:pPr>
        <w:spacing w:before="101" w:line="226" w:lineRule="auto"/>
        <w:rPr>
          <w:rFonts w:ascii="黑体" w:hAnsi="黑体" w:eastAsia="黑体" w:cs="黑体"/>
          <w:color w:val="auto"/>
          <w:spacing w:val="-6"/>
          <w:sz w:val="32"/>
          <w:szCs w:val="32"/>
          <w:highlight w:val="none"/>
        </w:rPr>
      </w:pPr>
    </w:p>
    <w:p w14:paraId="76D63C47">
      <w:pPr>
        <w:spacing w:before="101" w:line="226" w:lineRule="auto"/>
        <w:rPr>
          <w:rFonts w:ascii="黑体" w:hAnsi="黑体" w:eastAsia="黑体" w:cs="黑体"/>
          <w:color w:val="auto"/>
          <w:spacing w:val="-6"/>
          <w:sz w:val="32"/>
          <w:szCs w:val="32"/>
          <w:highlight w:val="none"/>
        </w:rPr>
      </w:pPr>
    </w:p>
    <w:p w14:paraId="7E98634B">
      <w:pPr>
        <w:spacing w:before="101" w:line="226" w:lineRule="auto"/>
        <w:rPr>
          <w:rFonts w:ascii="黑体" w:hAnsi="黑体" w:eastAsia="黑体" w:cs="黑体"/>
          <w:color w:val="auto"/>
          <w:spacing w:val="-6"/>
          <w:sz w:val="32"/>
          <w:szCs w:val="32"/>
          <w:highlight w:val="none"/>
        </w:rPr>
      </w:pPr>
    </w:p>
    <w:p w14:paraId="4F5DC7DA">
      <w:pPr>
        <w:spacing w:before="101" w:line="226" w:lineRule="auto"/>
        <w:rPr>
          <w:rFonts w:ascii="黑体" w:hAnsi="黑体" w:eastAsia="黑体" w:cs="黑体"/>
          <w:color w:val="auto"/>
          <w:spacing w:val="-6"/>
          <w:sz w:val="32"/>
          <w:szCs w:val="32"/>
          <w:highlight w:val="none"/>
        </w:rPr>
      </w:pPr>
    </w:p>
    <w:p w14:paraId="47127DA1">
      <w:pPr>
        <w:pStyle w:val="47"/>
        <w:ind w:firstLine="308"/>
        <w:rPr>
          <w:rFonts w:ascii="黑体" w:hAnsi="黑体" w:eastAsia="黑体" w:cs="黑体"/>
          <w:color w:val="auto"/>
          <w:spacing w:val="-6"/>
          <w:sz w:val="32"/>
          <w:szCs w:val="32"/>
          <w:highlight w:val="none"/>
        </w:rPr>
      </w:pPr>
    </w:p>
    <w:p w14:paraId="7C8AAE1B">
      <w:pPr>
        <w:pStyle w:val="47"/>
        <w:ind w:firstLine="308"/>
        <w:rPr>
          <w:rFonts w:ascii="黑体" w:hAnsi="黑体" w:eastAsia="黑体" w:cs="黑体"/>
          <w:color w:val="auto"/>
          <w:spacing w:val="-6"/>
          <w:sz w:val="32"/>
          <w:szCs w:val="32"/>
          <w:highlight w:val="none"/>
        </w:rPr>
      </w:pPr>
    </w:p>
    <w:p w14:paraId="220181D6">
      <w:pPr>
        <w:pStyle w:val="47"/>
        <w:ind w:firstLine="308"/>
        <w:rPr>
          <w:rFonts w:ascii="黑体" w:hAnsi="黑体" w:eastAsia="黑体" w:cs="黑体"/>
          <w:color w:val="auto"/>
          <w:spacing w:val="-6"/>
          <w:sz w:val="32"/>
          <w:szCs w:val="32"/>
          <w:highlight w:val="none"/>
        </w:rPr>
      </w:pPr>
    </w:p>
    <w:p w14:paraId="108B1610">
      <w:pPr>
        <w:pStyle w:val="47"/>
        <w:ind w:firstLine="308"/>
        <w:rPr>
          <w:rFonts w:ascii="黑体" w:hAnsi="黑体" w:eastAsia="黑体" w:cs="黑体"/>
          <w:color w:val="auto"/>
          <w:spacing w:val="-6"/>
          <w:sz w:val="32"/>
          <w:szCs w:val="32"/>
          <w:highlight w:val="none"/>
        </w:rPr>
      </w:pPr>
    </w:p>
    <w:p w14:paraId="036B0702">
      <w:pPr>
        <w:spacing w:before="101" w:line="226" w:lineRule="auto"/>
        <w:rPr>
          <w:rFonts w:ascii="黑体" w:hAnsi="黑体" w:eastAsia="黑体" w:cs="黑体"/>
          <w:color w:val="auto"/>
          <w:spacing w:val="-6"/>
          <w:sz w:val="32"/>
          <w:szCs w:val="32"/>
          <w:highlight w:val="none"/>
        </w:rPr>
      </w:pPr>
    </w:p>
    <w:p w14:paraId="4505945D">
      <w:pPr>
        <w:spacing w:before="101" w:line="226" w:lineRule="auto"/>
        <w:rPr>
          <w:rFonts w:ascii="黑体" w:hAnsi="黑体" w:eastAsia="黑体" w:cs="黑体"/>
          <w:color w:val="auto"/>
          <w:spacing w:val="-6"/>
          <w:sz w:val="32"/>
          <w:szCs w:val="32"/>
          <w:highlight w:val="none"/>
        </w:rPr>
      </w:pPr>
    </w:p>
    <w:p w14:paraId="3F8DF44D">
      <w:pPr>
        <w:spacing w:before="101" w:line="226" w:lineRule="auto"/>
        <w:rPr>
          <w:rFonts w:ascii="黑体" w:hAnsi="黑体" w:eastAsia="黑体" w:cs="黑体"/>
          <w:color w:val="auto"/>
          <w:spacing w:val="-6"/>
          <w:sz w:val="32"/>
          <w:szCs w:val="32"/>
          <w:highlight w:val="none"/>
        </w:rPr>
      </w:pPr>
    </w:p>
    <w:p w14:paraId="5EB32CD2">
      <w:pPr>
        <w:spacing w:before="101" w:line="226" w:lineRule="auto"/>
        <w:rPr>
          <w:rFonts w:ascii="黑体" w:hAnsi="黑体" w:eastAsia="黑体" w:cs="黑体"/>
          <w:color w:val="auto"/>
          <w:spacing w:val="-6"/>
          <w:sz w:val="32"/>
          <w:szCs w:val="32"/>
          <w:highlight w:val="none"/>
        </w:rPr>
      </w:pPr>
    </w:p>
    <w:p w14:paraId="3547892A">
      <w:pPr>
        <w:spacing w:before="101" w:line="226" w:lineRule="auto"/>
        <w:rPr>
          <w:rFonts w:ascii="黑体" w:hAnsi="黑体" w:eastAsia="黑体" w:cs="黑体"/>
          <w:color w:val="auto"/>
          <w:spacing w:val="-6"/>
          <w:sz w:val="32"/>
          <w:szCs w:val="32"/>
          <w:highlight w:val="none"/>
        </w:rPr>
      </w:pPr>
    </w:p>
    <w:p w14:paraId="095D47F3">
      <w:pPr>
        <w:spacing w:before="101" w:line="226" w:lineRule="auto"/>
        <w:rPr>
          <w:rFonts w:ascii="黑体" w:hAnsi="黑体" w:eastAsia="黑体" w:cs="黑体"/>
          <w:color w:val="auto"/>
          <w:spacing w:val="-6"/>
          <w:sz w:val="32"/>
          <w:szCs w:val="32"/>
          <w:highlight w:val="none"/>
        </w:rPr>
      </w:pPr>
    </w:p>
    <w:p w14:paraId="284A48A6">
      <w:pPr>
        <w:spacing w:before="101" w:line="226" w:lineRule="auto"/>
        <w:rPr>
          <w:rFonts w:ascii="黑体" w:hAnsi="黑体" w:eastAsia="黑体" w:cs="黑体"/>
          <w:color w:val="auto"/>
          <w:spacing w:val="-6"/>
          <w:sz w:val="32"/>
          <w:szCs w:val="32"/>
          <w:highlight w:val="none"/>
        </w:rPr>
      </w:pPr>
      <w:r>
        <w:rPr>
          <w:rFonts w:hint="eastAsia" w:ascii="黑体" w:hAnsi="黑体" w:eastAsia="黑体" w:cs="黑体"/>
          <w:color w:val="auto"/>
          <w:spacing w:val="-6"/>
          <w:sz w:val="32"/>
          <w:szCs w:val="32"/>
          <w:highlight w:val="none"/>
        </w:rPr>
        <w:t>附件1</w:t>
      </w:r>
    </w:p>
    <w:p w14:paraId="0EA776C8">
      <w:pPr>
        <w:spacing w:before="101" w:line="226" w:lineRule="auto"/>
        <w:jc w:val="center"/>
        <w:rPr>
          <w:rFonts w:ascii="黑体" w:hAnsi="黑体" w:eastAsia="黑体" w:cs="黑体"/>
          <w:color w:val="auto"/>
          <w:spacing w:val="-6"/>
          <w:sz w:val="32"/>
          <w:szCs w:val="32"/>
          <w:highlight w:val="none"/>
        </w:rPr>
      </w:pPr>
      <w:r>
        <w:rPr>
          <w:rFonts w:hint="eastAsia" w:ascii="黑体" w:hAnsi="黑体" w:eastAsia="黑体" w:cs="黑体"/>
          <w:color w:val="auto"/>
          <w:spacing w:val="-6"/>
          <w:sz w:val="32"/>
          <w:szCs w:val="32"/>
          <w:highlight w:val="none"/>
        </w:rPr>
        <w:t>2025年桂平市家庭养老床位建设和</w:t>
      </w:r>
    </w:p>
    <w:p w14:paraId="6DA907A1">
      <w:pPr>
        <w:spacing w:before="101" w:line="226" w:lineRule="auto"/>
        <w:jc w:val="center"/>
        <w:rPr>
          <w:rFonts w:ascii="黑体" w:hAnsi="黑体" w:eastAsia="黑体" w:cs="黑体"/>
          <w:color w:val="auto"/>
          <w:spacing w:val="-6"/>
          <w:sz w:val="32"/>
          <w:szCs w:val="32"/>
          <w:highlight w:val="none"/>
        </w:rPr>
      </w:pPr>
      <w:r>
        <w:rPr>
          <w:rFonts w:hint="eastAsia" w:ascii="黑体" w:hAnsi="黑体" w:eastAsia="黑体" w:cs="黑体"/>
          <w:color w:val="auto"/>
          <w:spacing w:val="-6"/>
          <w:sz w:val="32"/>
          <w:szCs w:val="32"/>
          <w:highlight w:val="none"/>
        </w:rPr>
        <w:t>居家上门服务参考数</w:t>
      </w:r>
    </w:p>
    <w:p w14:paraId="59D5A429">
      <w:pPr>
        <w:pStyle w:val="75"/>
        <w:rPr>
          <w:color w:val="auto"/>
          <w:highlight w:val="none"/>
        </w:rPr>
      </w:pPr>
    </w:p>
    <w:tbl>
      <w:tblPr>
        <w:tblStyle w:val="50"/>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409"/>
        <w:gridCol w:w="3285"/>
        <w:gridCol w:w="3285"/>
      </w:tblGrid>
      <w:tr w14:paraId="027C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62" w:type="dxa"/>
            <w:vAlign w:val="center"/>
          </w:tcPr>
          <w:p w14:paraId="3ACC033B">
            <w:pPr>
              <w:widowControl/>
              <w:jc w:val="center"/>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序号</w:t>
            </w:r>
          </w:p>
        </w:tc>
        <w:tc>
          <w:tcPr>
            <w:tcW w:w="1409" w:type="dxa"/>
            <w:vAlign w:val="center"/>
          </w:tcPr>
          <w:p w14:paraId="290162F6">
            <w:pPr>
              <w:widowControl/>
              <w:jc w:val="center"/>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乡镇</w:t>
            </w:r>
          </w:p>
        </w:tc>
        <w:tc>
          <w:tcPr>
            <w:tcW w:w="3285" w:type="dxa"/>
            <w:vAlign w:val="center"/>
          </w:tcPr>
          <w:p w14:paraId="396637FE">
            <w:pPr>
              <w:widowControl/>
              <w:jc w:val="center"/>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家庭养老床位建设任务数（张）</w:t>
            </w:r>
          </w:p>
        </w:tc>
        <w:tc>
          <w:tcPr>
            <w:tcW w:w="3285" w:type="dxa"/>
            <w:vAlign w:val="center"/>
          </w:tcPr>
          <w:p w14:paraId="37C16E38">
            <w:pPr>
              <w:widowControl/>
              <w:jc w:val="center"/>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居家上门服务任务数（人次）</w:t>
            </w:r>
          </w:p>
        </w:tc>
      </w:tr>
      <w:tr w14:paraId="400B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77B60929">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w:t>
            </w:r>
          </w:p>
        </w:tc>
        <w:tc>
          <w:tcPr>
            <w:tcW w:w="1409" w:type="dxa"/>
            <w:vAlign w:val="center"/>
          </w:tcPr>
          <w:p w14:paraId="46809030">
            <w:pPr>
              <w:widowControl/>
              <w:jc w:val="center"/>
              <w:textAlignment w:val="center"/>
              <w:rPr>
                <w:rFonts w:ascii="仿宋" w:hAnsi="仿宋" w:cs="仿宋"/>
                <w:color w:val="auto"/>
                <w:kern w:val="0"/>
                <w:sz w:val="32"/>
                <w:szCs w:val="32"/>
                <w:highlight w:val="none"/>
                <w:lang w:bidi="ar"/>
              </w:rPr>
            </w:pPr>
            <w:r>
              <w:rPr>
                <w:rFonts w:hint="eastAsia" w:ascii="宋体" w:hAnsi="宋体" w:cs="宋体"/>
                <w:color w:val="auto"/>
                <w:kern w:val="0"/>
                <w:sz w:val="32"/>
                <w:szCs w:val="32"/>
                <w:highlight w:val="none"/>
                <w:lang w:bidi="ar"/>
              </w:rPr>
              <w:t>西山镇</w:t>
            </w:r>
          </w:p>
        </w:tc>
        <w:tc>
          <w:tcPr>
            <w:tcW w:w="3285" w:type="dxa"/>
            <w:vAlign w:val="center"/>
          </w:tcPr>
          <w:p w14:paraId="368BE595">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11</w:t>
            </w:r>
          </w:p>
        </w:tc>
        <w:tc>
          <w:tcPr>
            <w:tcW w:w="3285" w:type="dxa"/>
            <w:vAlign w:val="center"/>
          </w:tcPr>
          <w:p w14:paraId="23359CEE">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11</w:t>
            </w:r>
          </w:p>
        </w:tc>
      </w:tr>
      <w:tr w14:paraId="0399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0DD4508D">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2</w:t>
            </w:r>
          </w:p>
        </w:tc>
        <w:tc>
          <w:tcPr>
            <w:tcW w:w="1409" w:type="dxa"/>
            <w:vAlign w:val="center"/>
          </w:tcPr>
          <w:p w14:paraId="467BE004">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木乐镇</w:t>
            </w:r>
          </w:p>
        </w:tc>
        <w:tc>
          <w:tcPr>
            <w:tcW w:w="3285" w:type="dxa"/>
            <w:vAlign w:val="center"/>
          </w:tcPr>
          <w:p w14:paraId="516D464F">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3285" w:type="dxa"/>
            <w:vAlign w:val="center"/>
          </w:tcPr>
          <w:p w14:paraId="329F1061">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40</w:t>
            </w:r>
          </w:p>
        </w:tc>
      </w:tr>
      <w:tr w14:paraId="531F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1948BE36">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3</w:t>
            </w:r>
          </w:p>
        </w:tc>
        <w:tc>
          <w:tcPr>
            <w:tcW w:w="1409" w:type="dxa"/>
            <w:vAlign w:val="center"/>
          </w:tcPr>
          <w:p w14:paraId="6382F584">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木圭镇</w:t>
            </w:r>
          </w:p>
        </w:tc>
        <w:tc>
          <w:tcPr>
            <w:tcW w:w="3285" w:type="dxa"/>
            <w:vAlign w:val="center"/>
          </w:tcPr>
          <w:p w14:paraId="0D500B23">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15</w:t>
            </w:r>
          </w:p>
        </w:tc>
        <w:tc>
          <w:tcPr>
            <w:tcW w:w="3285" w:type="dxa"/>
            <w:vAlign w:val="center"/>
          </w:tcPr>
          <w:p w14:paraId="0B92615C">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83</w:t>
            </w:r>
          </w:p>
        </w:tc>
      </w:tr>
      <w:tr w14:paraId="2691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04290ACF">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4</w:t>
            </w:r>
          </w:p>
        </w:tc>
        <w:tc>
          <w:tcPr>
            <w:tcW w:w="1409" w:type="dxa"/>
            <w:vAlign w:val="center"/>
          </w:tcPr>
          <w:p w14:paraId="03115100">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石咀镇</w:t>
            </w:r>
          </w:p>
        </w:tc>
        <w:tc>
          <w:tcPr>
            <w:tcW w:w="3285" w:type="dxa"/>
            <w:vAlign w:val="center"/>
          </w:tcPr>
          <w:p w14:paraId="78CA58EA">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3285" w:type="dxa"/>
            <w:vAlign w:val="center"/>
          </w:tcPr>
          <w:p w14:paraId="036002DB">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50</w:t>
            </w:r>
          </w:p>
        </w:tc>
      </w:tr>
      <w:tr w14:paraId="055E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112875D8">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5</w:t>
            </w:r>
          </w:p>
        </w:tc>
        <w:tc>
          <w:tcPr>
            <w:tcW w:w="1409" w:type="dxa"/>
            <w:vAlign w:val="center"/>
          </w:tcPr>
          <w:p w14:paraId="334167D2">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社坡镇</w:t>
            </w:r>
          </w:p>
        </w:tc>
        <w:tc>
          <w:tcPr>
            <w:tcW w:w="3285" w:type="dxa"/>
            <w:vAlign w:val="center"/>
          </w:tcPr>
          <w:p w14:paraId="46D162DB">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3285" w:type="dxa"/>
            <w:vAlign w:val="center"/>
          </w:tcPr>
          <w:p w14:paraId="65E7F2C6">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65</w:t>
            </w:r>
          </w:p>
        </w:tc>
      </w:tr>
      <w:tr w14:paraId="5B12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69174C6D">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6</w:t>
            </w:r>
          </w:p>
        </w:tc>
        <w:tc>
          <w:tcPr>
            <w:tcW w:w="1409" w:type="dxa"/>
            <w:vAlign w:val="center"/>
          </w:tcPr>
          <w:p w14:paraId="20D40729">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金田镇</w:t>
            </w:r>
          </w:p>
        </w:tc>
        <w:tc>
          <w:tcPr>
            <w:tcW w:w="3285" w:type="dxa"/>
            <w:vAlign w:val="center"/>
          </w:tcPr>
          <w:p w14:paraId="58B44AF4">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15</w:t>
            </w:r>
          </w:p>
        </w:tc>
        <w:tc>
          <w:tcPr>
            <w:tcW w:w="3285" w:type="dxa"/>
            <w:vAlign w:val="center"/>
          </w:tcPr>
          <w:p w14:paraId="65DFF6E6">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85</w:t>
            </w:r>
          </w:p>
        </w:tc>
      </w:tr>
      <w:tr w14:paraId="599B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7A92CC54">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7</w:t>
            </w:r>
          </w:p>
        </w:tc>
        <w:tc>
          <w:tcPr>
            <w:tcW w:w="1409" w:type="dxa"/>
            <w:vAlign w:val="center"/>
          </w:tcPr>
          <w:p w14:paraId="2C3DDE78">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江口镇</w:t>
            </w:r>
          </w:p>
        </w:tc>
        <w:tc>
          <w:tcPr>
            <w:tcW w:w="3285" w:type="dxa"/>
            <w:vAlign w:val="center"/>
          </w:tcPr>
          <w:p w14:paraId="1492880F">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15</w:t>
            </w:r>
          </w:p>
        </w:tc>
        <w:tc>
          <w:tcPr>
            <w:tcW w:w="3285" w:type="dxa"/>
            <w:vAlign w:val="center"/>
          </w:tcPr>
          <w:p w14:paraId="0366ED2F">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85</w:t>
            </w:r>
          </w:p>
        </w:tc>
      </w:tr>
      <w:tr w14:paraId="7231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785DB8D6">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8</w:t>
            </w:r>
          </w:p>
        </w:tc>
        <w:tc>
          <w:tcPr>
            <w:tcW w:w="1409" w:type="dxa"/>
            <w:vAlign w:val="center"/>
          </w:tcPr>
          <w:p w14:paraId="7B34C6F4">
            <w:pPr>
              <w:widowControl/>
              <w:jc w:val="center"/>
              <w:textAlignment w:val="center"/>
              <w:rPr>
                <w:rFonts w:ascii="仿宋" w:hAnsi="仿宋" w:eastAsia="仿宋" w:cs="仿宋"/>
                <w:color w:val="auto"/>
                <w:kern w:val="0"/>
                <w:sz w:val="32"/>
                <w:szCs w:val="32"/>
                <w:highlight w:val="none"/>
                <w:lang w:bidi="ar"/>
              </w:rPr>
            </w:pPr>
            <w:r>
              <w:rPr>
                <w:rFonts w:hint="eastAsia" w:asciiTheme="majorEastAsia" w:hAnsiTheme="majorEastAsia" w:eastAsiaTheme="majorEastAsia" w:cstheme="majorEastAsia"/>
                <w:color w:val="auto"/>
                <w:kern w:val="0"/>
                <w:sz w:val="32"/>
                <w:szCs w:val="32"/>
                <w:highlight w:val="none"/>
                <w:lang w:bidi="ar"/>
              </w:rPr>
              <w:t>紫荆镇</w:t>
            </w:r>
          </w:p>
        </w:tc>
        <w:tc>
          <w:tcPr>
            <w:tcW w:w="3285" w:type="dxa"/>
            <w:vAlign w:val="center"/>
          </w:tcPr>
          <w:p w14:paraId="62E8CCC3">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3285" w:type="dxa"/>
            <w:vAlign w:val="center"/>
          </w:tcPr>
          <w:p w14:paraId="72D08777">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20</w:t>
            </w:r>
          </w:p>
        </w:tc>
      </w:tr>
      <w:tr w14:paraId="2544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720ECD22">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9</w:t>
            </w:r>
          </w:p>
        </w:tc>
        <w:tc>
          <w:tcPr>
            <w:tcW w:w="1409" w:type="dxa"/>
            <w:vAlign w:val="center"/>
          </w:tcPr>
          <w:p w14:paraId="0651C2B7">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垌心乡</w:t>
            </w:r>
          </w:p>
        </w:tc>
        <w:tc>
          <w:tcPr>
            <w:tcW w:w="3285" w:type="dxa"/>
            <w:vAlign w:val="center"/>
          </w:tcPr>
          <w:p w14:paraId="52A987EF">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3285" w:type="dxa"/>
            <w:vAlign w:val="center"/>
          </w:tcPr>
          <w:p w14:paraId="08688CEF">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20</w:t>
            </w:r>
          </w:p>
        </w:tc>
      </w:tr>
      <w:tr w14:paraId="7FAA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3091B0F0">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1409" w:type="dxa"/>
            <w:vAlign w:val="center"/>
          </w:tcPr>
          <w:p w14:paraId="7FB82BB1">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中沙镇</w:t>
            </w:r>
          </w:p>
        </w:tc>
        <w:tc>
          <w:tcPr>
            <w:tcW w:w="3285" w:type="dxa"/>
            <w:vAlign w:val="center"/>
          </w:tcPr>
          <w:p w14:paraId="278A89D8">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3285" w:type="dxa"/>
            <w:vAlign w:val="center"/>
          </w:tcPr>
          <w:p w14:paraId="0850A367">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65</w:t>
            </w:r>
          </w:p>
        </w:tc>
      </w:tr>
      <w:tr w14:paraId="4C18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3252010B">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11</w:t>
            </w:r>
          </w:p>
        </w:tc>
        <w:tc>
          <w:tcPr>
            <w:tcW w:w="1409" w:type="dxa"/>
            <w:vAlign w:val="center"/>
          </w:tcPr>
          <w:p w14:paraId="78C1D8EF">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罗秀镇</w:t>
            </w:r>
          </w:p>
        </w:tc>
        <w:tc>
          <w:tcPr>
            <w:tcW w:w="3285" w:type="dxa"/>
            <w:vAlign w:val="center"/>
          </w:tcPr>
          <w:p w14:paraId="7755B3EB">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3285" w:type="dxa"/>
            <w:vAlign w:val="center"/>
          </w:tcPr>
          <w:p w14:paraId="0DC019C3">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50</w:t>
            </w:r>
          </w:p>
        </w:tc>
      </w:tr>
      <w:tr w14:paraId="4E4C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6A491A2D">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12</w:t>
            </w:r>
          </w:p>
        </w:tc>
        <w:tc>
          <w:tcPr>
            <w:tcW w:w="1409" w:type="dxa"/>
            <w:vAlign w:val="center"/>
          </w:tcPr>
          <w:p w14:paraId="0833D490">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罗播乡</w:t>
            </w:r>
          </w:p>
        </w:tc>
        <w:tc>
          <w:tcPr>
            <w:tcW w:w="3285" w:type="dxa"/>
            <w:vAlign w:val="center"/>
          </w:tcPr>
          <w:p w14:paraId="2EC04451">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3285" w:type="dxa"/>
            <w:vAlign w:val="center"/>
          </w:tcPr>
          <w:p w14:paraId="19DD91E0">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30</w:t>
            </w:r>
          </w:p>
        </w:tc>
      </w:tr>
      <w:tr w14:paraId="5888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2" w:type="dxa"/>
            <w:vAlign w:val="center"/>
          </w:tcPr>
          <w:p w14:paraId="29338CC5">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13</w:t>
            </w:r>
          </w:p>
        </w:tc>
        <w:tc>
          <w:tcPr>
            <w:tcW w:w="1409" w:type="dxa"/>
            <w:vAlign w:val="center"/>
          </w:tcPr>
          <w:p w14:paraId="2FC2DD5D">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厚禄乡</w:t>
            </w:r>
          </w:p>
        </w:tc>
        <w:tc>
          <w:tcPr>
            <w:tcW w:w="3285" w:type="dxa"/>
            <w:vAlign w:val="center"/>
          </w:tcPr>
          <w:p w14:paraId="5661B061">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10</w:t>
            </w:r>
          </w:p>
        </w:tc>
        <w:tc>
          <w:tcPr>
            <w:tcW w:w="3285" w:type="dxa"/>
            <w:vAlign w:val="center"/>
          </w:tcPr>
          <w:p w14:paraId="305E2029">
            <w:pPr>
              <w:widowControl/>
              <w:jc w:val="center"/>
              <w:textAlignment w:val="center"/>
              <w:rPr>
                <w:rFonts w:ascii="仿宋" w:hAnsi="仿宋" w:eastAsia="仿宋" w:cs="仿宋"/>
                <w:color w:val="auto"/>
                <w:kern w:val="0"/>
                <w:sz w:val="32"/>
                <w:szCs w:val="32"/>
                <w:highlight w:val="none"/>
                <w:lang w:bidi="ar"/>
              </w:rPr>
            </w:pPr>
            <w:r>
              <w:rPr>
                <w:rFonts w:hint="eastAsia" w:ascii="宋体" w:hAnsi="宋体" w:cs="宋体"/>
                <w:color w:val="auto"/>
                <w:kern w:val="0"/>
                <w:sz w:val="32"/>
                <w:szCs w:val="32"/>
                <w:highlight w:val="none"/>
                <w:lang w:bidi="ar"/>
              </w:rPr>
              <w:t>40</w:t>
            </w:r>
          </w:p>
        </w:tc>
      </w:tr>
      <w:tr w14:paraId="194D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71" w:type="dxa"/>
            <w:gridSpan w:val="2"/>
            <w:vAlign w:val="center"/>
          </w:tcPr>
          <w:p w14:paraId="08D2234C">
            <w:pPr>
              <w:widowControl/>
              <w:jc w:val="center"/>
              <w:textAlignment w:val="center"/>
              <w:rPr>
                <w:rFonts w:ascii="宋体" w:hAnsi="宋体" w:cs="宋体"/>
                <w:color w:val="auto"/>
                <w:kern w:val="0"/>
                <w:sz w:val="32"/>
                <w:szCs w:val="32"/>
                <w:highlight w:val="none"/>
                <w:lang w:bidi="ar"/>
              </w:rPr>
            </w:pPr>
            <w:r>
              <w:rPr>
                <w:rFonts w:hint="eastAsia" w:ascii="宋体" w:hAnsi="宋体" w:cs="宋体"/>
                <w:color w:val="auto"/>
                <w:kern w:val="0"/>
                <w:sz w:val="32"/>
                <w:szCs w:val="32"/>
                <w:highlight w:val="none"/>
                <w:lang w:bidi="ar"/>
              </w:rPr>
              <w:t>合计</w:t>
            </w:r>
          </w:p>
        </w:tc>
        <w:tc>
          <w:tcPr>
            <w:tcW w:w="3285" w:type="dxa"/>
            <w:vAlign w:val="center"/>
          </w:tcPr>
          <w:p w14:paraId="780087CB">
            <w:pPr>
              <w:widowControl/>
              <w:jc w:val="center"/>
              <w:textAlignment w:val="center"/>
              <w:rPr>
                <w:rFonts w:ascii="宋体" w:hAnsi="宋体" w:cs="宋体"/>
                <w:color w:val="auto"/>
                <w:kern w:val="0"/>
                <w:sz w:val="32"/>
                <w:szCs w:val="32"/>
                <w:highlight w:val="none"/>
                <w:lang w:bidi="ar"/>
              </w:rPr>
            </w:pPr>
            <w:r>
              <w:rPr>
                <w:rFonts w:hint="eastAsia" w:ascii="宋体" w:hAnsi="宋体" w:cs="宋体"/>
                <w:color w:val="auto"/>
                <w:kern w:val="0"/>
                <w:sz w:val="32"/>
                <w:szCs w:val="32"/>
                <w:highlight w:val="none"/>
                <w:lang w:bidi="ar"/>
              </w:rPr>
              <w:t>146</w:t>
            </w:r>
          </w:p>
        </w:tc>
        <w:tc>
          <w:tcPr>
            <w:tcW w:w="3285" w:type="dxa"/>
            <w:vAlign w:val="center"/>
          </w:tcPr>
          <w:p w14:paraId="321758E0">
            <w:pPr>
              <w:widowControl/>
              <w:jc w:val="center"/>
              <w:textAlignment w:val="center"/>
              <w:rPr>
                <w:rFonts w:ascii="宋体" w:hAnsi="宋体" w:cs="宋体"/>
                <w:color w:val="auto"/>
                <w:kern w:val="0"/>
                <w:sz w:val="32"/>
                <w:szCs w:val="32"/>
                <w:highlight w:val="none"/>
                <w:lang w:bidi="ar"/>
              </w:rPr>
            </w:pPr>
            <w:r>
              <w:rPr>
                <w:rFonts w:hint="eastAsia" w:ascii="宋体" w:hAnsi="宋体" w:cs="宋体"/>
                <w:color w:val="auto"/>
                <w:kern w:val="0"/>
                <w:sz w:val="32"/>
                <w:szCs w:val="32"/>
                <w:highlight w:val="none"/>
                <w:lang w:bidi="ar"/>
              </w:rPr>
              <w:t>644</w:t>
            </w:r>
          </w:p>
        </w:tc>
      </w:tr>
    </w:tbl>
    <w:p w14:paraId="2A3014C2">
      <w:pPr>
        <w:rPr>
          <w:rFonts w:ascii="黑体" w:hAnsi="黑体" w:eastAsia="黑体" w:cs="黑体"/>
          <w:color w:val="auto"/>
          <w:spacing w:val="9"/>
          <w:sz w:val="32"/>
          <w:szCs w:val="32"/>
          <w:highlight w:val="none"/>
        </w:rPr>
      </w:pPr>
    </w:p>
    <w:p w14:paraId="59594D3B">
      <w:pPr>
        <w:rPr>
          <w:rFonts w:ascii="黑体" w:hAnsi="黑体" w:eastAsia="黑体" w:cs="黑体"/>
          <w:color w:val="auto"/>
          <w:spacing w:val="9"/>
          <w:sz w:val="32"/>
          <w:szCs w:val="32"/>
          <w:highlight w:val="none"/>
        </w:rPr>
        <w:sectPr>
          <w:pgSz w:w="11906" w:h="16838"/>
          <w:pgMar w:top="1431" w:right="1382" w:bottom="2064" w:left="1497" w:header="0" w:footer="1780" w:gutter="0"/>
          <w:cols w:space="720" w:num="1"/>
        </w:sectPr>
      </w:pPr>
    </w:p>
    <w:p w14:paraId="475A230A">
      <w:pPr>
        <w:rPr>
          <w:rFonts w:ascii="黑体" w:hAnsi="黑体" w:eastAsia="黑体" w:cs="黑体"/>
          <w:color w:val="auto"/>
          <w:spacing w:val="9"/>
          <w:sz w:val="32"/>
          <w:szCs w:val="32"/>
          <w:highlight w:val="none"/>
        </w:rPr>
      </w:pPr>
      <w:r>
        <w:rPr>
          <w:rFonts w:hint="eastAsia" w:ascii="黑体" w:hAnsi="黑体" w:eastAsia="黑体" w:cs="黑体"/>
          <w:color w:val="auto"/>
          <w:spacing w:val="9"/>
          <w:sz w:val="32"/>
          <w:szCs w:val="32"/>
          <w:highlight w:val="none"/>
        </w:rPr>
        <w:t>附件2</w:t>
      </w:r>
    </w:p>
    <w:p w14:paraId="332156E7">
      <w:pPr>
        <w:spacing w:before="166" w:line="233" w:lineRule="auto"/>
        <w:ind w:left="783"/>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pacing w:val="9"/>
          <w:sz w:val="32"/>
          <w:szCs w:val="32"/>
          <w:highlight w:val="none"/>
        </w:rPr>
        <w:t>桂平市家庭养老床位基本项目参考清单</w:t>
      </w:r>
    </w:p>
    <w:p w14:paraId="572B0699">
      <w:pPr>
        <w:spacing w:before="93"/>
        <w:rPr>
          <w:color w:val="auto"/>
          <w:highlight w:val="none"/>
        </w:rPr>
      </w:pPr>
    </w:p>
    <w:tbl>
      <w:tblPr>
        <w:tblStyle w:val="208"/>
        <w:tblW w:w="90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100"/>
        <w:gridCol w:w="1562"/>
        <w:gridCol w:w="4360"/>
        <w:gridCol w:w="1194"/>
      </w:tblGrid>
      <w:tr w14:paraId="1BE62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9020" w:type="dxa"/>
            <w:gridSpan w:val="5"/>
          </w:tcPr>
          <w:p w14:paraId="02496D77">
            <w:pPr>
              <w:pStyle w:val="206"/>
              <w:spacing w:before="202" w:line="228" w:lineRule="auto"/>
              <w:ind w:left="119"/>
              <w:rPr>
                <w:b/>
                <w:bCs/>
                <w:color w:val="auto"/>
                <w:highlight w:val="none"/>
              </w:rPr>
            </w:pPr>
            <w:r>
              <w:rPr>
                <w:b/>
                <w:bCs/>
                <w:color w:val="auto"/>
                <w:spacing w:val="7"/>
                <w:highlight w:val="none"/>
              </w:rPr>
              <w:t>一、适老化改造</w:t>
            </w:r>
          </w:p>
        </w:tc>
      </w:tr>
      <w:tr w14:paraId="37257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804" w:type="dxa"/>
          </w:tcPr>
          <w:p w14:paraId="504BAE7C">
            <w:pPr>
              <w:pStyle w:val="206"/>
              <w:spacing w:before="200" w:line="229" w:lineRule="auto"/>
              <w:ind w:left="197"/>
              <w:rPr>
                <w:color w:val="auto"/>
                <w:highlight w:val="none"/>
              </w:rPr>
            </w:pPr>
            <w:r>
              <w:rPr>
                <w:color w:val="auto"/>
                <w:spacing w:val="7"/>
                <w:highlight w:val="none"/>
              </w:rPr>
              <w:t>序号</w:t>
            </w:r>
          </w:p>
        </w:tc>
        <w:tc>
          <w:tcPr>
            <w:tcW w:w="1100" w:type="dxa"/>
          </w:tcPr>
          <w:p w14:paraId="02D02275">
            <w:pPr>
              <w:pStyle w:val="206"/>
              <w:spacing w:before="200" w:line="228" w:lineRule="auto"/>
              <w:ind w:left="344"/>
              <w:rPr>
                <w:color w:val="auto"/>
                <w:highlight w:val="none"/>
              </w:rPr>
            </w:pPr>
            <w:r>
              <w:rPr>
                <w:color w:val="auto"/>
                <w:spacing w:val="5"/>
                <w:highlight w:val="none"/>
              </w:rPr>
              <w:t>类别</w:t>
            </w:r>
          </w:p>
        </w:tc>
        <w:tc>
          <w:tcPr>
            <w:tcW w:w="1562" w:type="dxa"/>
          </w:tcPr>
          <w:p w14:paraId="715F9B0C">
            <w:pPr>
              <w:pStyle w:val="206"/>
              <w:spacing w:before="200" w:line="228" w:lineRule="auto"/>
              <w:ind w:left="368"/>
              <w:rPr>
                <w:color w:val="auto"/>
                <w:highlight w:val="none"/>
              </w:rPr>
            </w:pPr>
            <w:r>
              <w:rPr>
                <w:color w:val="auto"/>
                <w:spacing w:val="-7"/>
                <w:highlight w:val="none"/>
              </w:rPr>
              <w:t>项目名称</w:t>
            </w:r>
          </w:p>
        </w:tc>
        <w:tc>
          <w:tcPr>
            <w:tcW w:w="4360" w:type="dxa"/>
          </w:tcPr>
          <w:p w14:paraId="12646D6B">
            <w:pPr>
              <w:pStyle w:val="206"/>
              <w:spacing w:before="200" w:line="228" w:lineRule="auto"/>
              <w:ind w:left="1771"/>
              <w:rPr>
                <w:color w:val="auto"/>
                <w:highlight w:val="none"/>
              </w:rPr>
            </w:pPr>
            <w:r>
              <w:rPr>
                <w:color w:val="auto"/>
                <w:spacing w:val="6"/>
                <w:highlight w:val="none"/>
              </w:rPr>
              <w:t>具体内容</w:t>
            </w:r>
          </w:p>
        </w:tc>
        <w:tc>
          <w:tcPr>
            <w:tcW w:w="1194" w:type="dxa"/>
          </w:tcPr>
          <w:p w14:paraId="734E0D05">
            <w:pPr>
              <w:pStyle w:val="206"/>
              <w:spacing w:before="200" w:line="228" w:lineRule="auto"/>
              <w:ind w:left="187"/>
              <w:rPr>
                <w:color w:val="auto"/>
                <w:highlight w:val="none"/>
              </w:rPr>
            </w:pPr>
            <w:r>
              <w:rPr>
                <w:color w:val="auto"/>
                <w:spacing w:val="-5"/>
                <w:highlight w:val="none"/>
              </w:rPr>
              <w:t>项目类型</w:t>
            </w:r>
          </w:p>
        </w:tc>
      </w:tr>
      <w:tr w14:paraId="2880F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804" w:type="dxa"/>
          </w:tcPr>
          <w:p w14:paraId="4B3CAEB0">
            <w:pPr>
              <w:spacing w:before="292" w:line="195" w:lineRule="auto"/>
              <w:ind w:left="370"/>
              <w:rPr>
                <w:rFonts w:eastAsia="Times New Roman"/>
                <w:color w:val="auto"/>
                <w:sz w:val="20"/>
                <w:szCs w:val="20"/>
                <w:highlight w:val="none"/>
              </w:rPr>
            </w:pPr>
            <w:r>
              <w:rPr>
                <w:rFonts w:eastAsia="Times New Roman"/>
                <w:color w:val="auto"/>
                <w:sz w:val="20"/>
                <w:szCs w:val="20"/>
                <w:highlight w:val="none"/>
              </w:rPr>
              <w:t>1</w:t>
            </w:r>
          </w:p>
        </w:tc>
        <w:tc>
          <w:tcPr>
            <w:tcW w:w="1100" w:type="dxa"/>
            <w:vMerge w:val="restart"/>
            <w:tcBorders>
              <w:bottom w:val="nil"/>
            </w:tcBorders>
          </w:tcPr>
          <w:p w14:paraId="7DF03F6F">
            <w:pPr>
              <w:spacing w:line="265" w:lineRule="auto"/>
              <w:rPr>
                <w:rFonts w:ascii="Arial"/>
                <w:color w:val="auto"/>
                <w:highlight w:val="none"/>
              </w:rPr>
            </w:pPr>
          </w:p>
          <w:p w14:paraId="0AEC5EA8">
            <w:pPr>
              <w:spacing w:line="266" w:lineRule="auto"/>
              <w:rPr>
                <w:rFonts w:ascii="Arial"/>
                <w:color w:val="auto"/>
                <w:highlight w:val="none"/>
              </w:rPr>
            </w:pPr>
          </w:p>
          <w:p w14:paraId="1C10492D">
            <w:pPr>
              <w:pStyle w:val="206"/>
              <w:spacing w:before="65" w:line="228" w:lineRule="auto"/>
              <w:ind w:left="133"/>
              <w:rPr>
                <w:color w:val="auto"/>
                <w:highlight w:val="none"/>
              </w:rPr>
            </w:pPr>
            <w:r>
              <w:rPr>
                <w:color w:val="auto"/>
                <w:spacing w:val="7"/>
                <w:highlight w:val="none"/>
              </w:rPr>
              <w:t>地面改造</w:t>
            </w:r>
          </w:p>
        </w:tc>
        <w:tc>
          <w:tcPr>
            <w:tcW w:w="1562" w:type="dxa"/>
          </w:tcPr>
          <w:p w14:paraId="0DEAF61E">
            <w:pPr>
              <w:pStyle w:val="206"/>
              <w:spacing w:before="257" w:line="228" w:lineRule="auto"/>
              <w:ind w:left="378"/>
              <w:rPr>
                <w:color w:val="auto"/>
                <w:highlight w:val="none"/>
              </w:rPr>
            </w:pPr>
            <w:r>
              <w:rPr>
                <w:color w:val="auto"/>
                <w:spacing w:val="2"/>
                <w:highlight w:val="none"/>
              </w:rPr>
              <w:t>防滑处理</w:t>
            </w:r>
          </w:p>
        </w:tc>
        <w:tc>
          <w:tcPr>
            <w:tcW w:w="4360" w:type="dxa"/>
          </w:tcPr>
          <w:p w14:paraId="1381764F">
            <w:pPr>
              <w:pStyle w:val="206"/>
              <w:spacing w:before="96" w:line="267" w:lineRule="auto"/>
              <w:ind w:left="114" w:right="114" w:hanging="2"/>
              <w:rPr>
                <w:color w:val="auto"/>
                <w:highlight w:val="none"/>
              </w:rPr>
            </w:pPr>
            <w:r>
              <w:rPr>
                <w:color w:val="auto"/>
                <w:spacing w:val="6"/>
                <w:highlight w:val="none"/>
              </w:rPr>
              <w:t>在卫生间、厨房、卧室等区域，铺设防滑砖或</w:t>
            </w:r>
            <w:r>
              <w:rPr>
                <w:color w:val="auto"/>
                <w:spacing w:val="5"/>
                <w:highlight w:val="none"/>
              </w:rPr>
              <w:t>者防滑地胶</w:t>
            </w:r>
          </w:p>
        </w:tc>
        <w:tc>
          <w:tcPr>
            <w:tcW w:w="1194" w:type="dxa"/>
          </w:tcPr>
          <w:p w14:paraId="77429DD2">
            <w:pPr>
              <w:pStyle w:val="206"/>
              <w:spacing w:before="257" w:line="233" w:lineRule="auto"/>
              <w:ind w:left="392"/>
              <w:rPr>
                <w:color w:val="auto"/>
                <w:highlight w:val="none"/>
              </w:rPr>
            </w:pPr>
            <w:r>
              <w:rPr>
                <w:color w:val="auto"/>
                <w:spacing w:val="4"/>
                <w:highlight w:val="none"/>
              </w:rPr>
              <w:t>基础</w:t>
            </w:r>
          </w:p>
        </w:tc>
      </w:tr>
      <w:tr w14:paraId="563BA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804" w:type="dxa"/>
          </w:tcPr>
          <w:p w14:paraId="51B22757">
            <w:pPr>
              <w:spacing w:before="291" w:line="195" w:lineRule="auto"/>
              <w:ind w:left="350"/>
              <w:rPr>
                <w:rFonts w:eastAsia="Times New Roman"/>
                <w:color w:val="auto"/>
                <w:sz w:val="20"/>
                <w:szCs w:val="20"/>
                <w:highlight w:val="none"/>
              </w:rPr>
            </w:pPr>
            <w:r>
              <w:rPr>
                <w:rFonts w:eastAsia="Times New Roman"/>
                <w:color w:val="auto"/>
                <w:sz w:val="20"/>
                <w:szCs w:val="20"/>
                <w:highlight w:val="none"/>
              </w:rPr>
              <w:t>2</w:t>
            </w:r>
          </w:p>
        </w:tc>
        <w:tc>
          <w:tcPr>
            <w:tcW w:w="1100" w:type="dxa"/>
            <w:vMerge w:val="continue"/>
            <w:tcBorders>
              <w:top w:val="nil"/>
            </w:tcBorders>
          </w:tcPr>
          <w:p w14:paraId="5F9693F3">
            <w:pPr>
              <w:rPr>
                <w:rFonts w:ascii="Arial"/>
                <w:color w:val="auto"/>
                <w:highlight w:val="none"/>
              </w:rPr>
            </w:pPr>
          </w:p>
        </w:tc>
        <w:tc>
          <w:tcPr>
            <w:tcW w:w="1562" w:type="dxa"/>
          </w:tcPr>
          <w:p w14:paraId="63437C39">
            <w:pPr>
              <w:pStyle w:val="206"/>
              <w:spacing w:before="255" w:line="228" w:lineRule="auto"/>
              <w:ind w:left="370"/>
              <w:rPr>
                <w:color w:val="auto"/>
                <w:highlight w:val="none"/>
              </w:rPr>
            </w:pPr>
            <w:r>
              <w:rPr>
                <w:color w:val="auto"/>
                <w:spacing w:val="4"/>
                <w:highlight w:val="none"/>
              </w:rPr>
              <w:t>高差处理</w:t>
            </w:r>
          </w:p>
        </w:tc>
        <w:tc>
          <w:tcPr>
            <w:tcW w:w="4360" w:type="dxa"/>
          </w:tcPr>
          <w:p w14:paraId="056060BA">
            <w:pPr>
              <w:pStyle w:val="206"/>
              <w:spacing w:before="96" w:line="267" w:lineRule="auto"/>
              <w:ind w:left="117" w:right="104" w:hanging="5"/>
              <w:rPr>
                <w:color w:val="auto"/>
                <w:highlight w:val="none"/>
              </w:rPr>
            </w:pPr>
            <w:r>
              <w:rPr>
                <w:color w:val="auto"/>
                <w:spacing w:val="17"/>
                <w:highlight w:val="none"/>
              </w:rPr>
              <w:t>铺设水泥坡道或者加设橡胶等材质的可移动</w:t>
            </w:r>
            <w:r>
              <w:rPr>
                <w:color w:val="auto"/>
                <w:spacing w:val="5"/>
                <w:highlight w:val="none"/>
              </w:rPr>
              <w:t>式坡道</w:t>
            </w:r>
          </w:p>
        </w:tc>
        <w:tc>
          <w:tcPr>
            <w:tcW w:w="1194" w:type="dxa"/>
          </w:tcPr>
          <w:p w14:paraId="1E6DD002">
            <w:pPr>
              <w:pStyle w:val="206"/>
              <w:spacing w:before="256" w:line="233" w:lineRule="auto"/>
              <w:ind w:left="392"/>
              <w:rPr>
                <w:color w:val="auto"/>
                <w:highlight w:val="none"/>
              </w:rPr>
            </w:pPr>
            <w:r>
              <w:rPr>
                <w:color w:val="auto"/>
                <w:spacing w:val="4"/>
                <w:highlight w:val="none"/>
              </w:rPr>
              <w:t>基础</w:t>
            </w:r>
          </w:p>
        </w:tc>
      </w:tr>
      <w:tr w14:paraId="587FA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804" w:type="dxa"/>
          </w:tcPr>
          <w:p w14:paraId="6C98AA7B">
            <w:pPr>
              <w:spacing w:before="206" w:line="195" w:lineRule="auto"/>
              <w:ind w:left="354"/>
              <w:rPr>
                <w:rFonts w:eastAsia="Times New Roman"/>
                <w:color w:val="auto"/>
                <w:sz w:val="20"/>
                <w:szCs w:val="20"/>
                <w:highlight w:val="none"/>
              </w:rPr>
            </w:pPr>
            <w:r>
              <w:rPr>
                <w:rFonts w:eastAsia="Times New Roman"/>
                <w:color w:val="auto"/>
                <w:sz w:val="20"/>
                <w:szCs w:val="20"/>
                <w:highlight w:val="none"/>
              </w:rPr>
              <w:t>3</w:t>
            </w:r>
          </w:p>
        </w:tc>
        <w:tc>
          <w:tcPr>
            <w:tcW w:w="1100" w:type="dxa"/>
            <w:vMerge w:val="restart"/>
            <w:tcBorders>
              <w:bottom w:val="nil"/>
            </w:tcBorders>
          </w:tcPr>
          <w:p w14:paraId="437F9231">
            <w:pPr>
              <w:spacing w:line="256" w:lineRule="auto"/>
              <w:rPr>
                <w:rFonts w:ascii="Arial"/>
                <w:color w:val="auto"/>
                <w:highlight w:val="none"/>
              </w:rPr>
            </w:pPr>
          </w:p>
          <w:p w14:paraId="33A10E04">
            <w:pPr>
              <w:spacing w:line="257" w:lineRule="auto"/>
              <w:rPr>
                <w:rFonts w:ascii="Arial"/>
                <w:color w:val="auto"/>
                <w:highlight w:val="none"/>
              </w:rPr>
            </w:pPr>
          </w:p>
          <w:p w14:paraId="1B3D6033">
            <w:pPr>
              <w:spacing w:line="257" w:lineRule="auto"/>
              <w:rPr>
                <w:rFonts w:ascii="Arial"/>
                <w:color w:val="auto"/>
                <w:highlight w:val="none"/>
              </w:rPr>
            </w:pPr>
          </w:p>
          <w:p w14:paraId="1360B805">
            <w:pPr>
              <w:pStyle w:val="206"/>
              <w:spacing w:before="65" w:line="228" w:lineRule="auto"/>
              <w:ind w:left="262"/>
              <w:rPr>
                <w:color w:val="auto"/>
                <w:highlight w:val="none"/>
              </w:rPr>
            </w:pPr>
            <w:r>
              <w:rPr>
                <w:color w:val="auto"/>
                <w:spacing w:val="-1"/>
                <w:highlight w:val="none"/>
              </w:rPr>
              <w:t>门改造</w:t>
            </w:r>
          </w:p>
        </w:tc>
        <w:tc>
          <w:tcPr>
            <w:tcW w:w="1562" w:type="dxa"/>
          </w:tcPr>
          <w:p w14:paraId="28EFC7BB">
            <w:pPr>
              <w:pStyle w:val="206"/>
              <w:spacing w:before="170" w:line="228" w:lineRule="auto"/>
              <w:ind w:left="388"/>
              <w:rPr>
                <w:color w:val="auto"/>
                <w:highlight w:val="none"/>
              </w:rPr>
            </w:pPr>
            <w:r>
              <w:rPr>
                <w:color w:val="auto"/>
                <w:spacing w:val="1"/>
                <w:highlight w:val="none"/>
              </w:rPr>
              <w:t>门槛移除</w:t>
            </w:r>
          </w:p>
        </w:tc>
        <w:tc>
          <w:tcPr>
            <w:tcW w:w="4360" w:type="dxa"/>
          </w:tcPr>
          <w:p w14:paraId="64ABCE58">
            <w:pPr>
              <w:pStyle w:val="206"/>
              <w:spacing w:before="170" w:line="228" w:lineRule="auto"/>
              <w:ind w:left="927"/>
              <w:rPr>
                <w:color w:val="auto"/>
                <w:highlight w:val="none"/>
              </w:rPr>
            </w:pPr>
            <w:r>
              <w:rPr>
                <w:color w:val="auto"/>
                <w:spacing w:val="7"/>
                <w:highlight w:val="none"/>
              </w:rPr>
              <w:t>移除门槛，便利老年人进出</w:t>
            </w:r>
          </w:p>
        </w:tc>
        <w:tc>
          <w:tcPr>
            <w:tcW w:w="1194" w:type="dxa"/>
          </w:tcPr>
          <w:p w14:paraId="2EEB20F7">
            <w:pPr>
              <w:pStyle w:val="206"/>
              <w:spacing w:before="170" w:line="231" w:lineRule="auto"/>
              <w:ind w:left="394"/>
              <w:rPr>
                <w:color w:val="auto"/>
                <w:highlight w:val="none"/>
              </w:rPr>
            </w:pPr>
            <w:r>
              <w:rPr>
                <w:color w:val="auto"/>
                <w:spacing w:val="4"/>
                <w:highlight w:val="none"/>
              </w:rPr>
              <w:t>可选</w:t>
            </w:r>
          </w:p>
        </w:tc>
      </w:tr>
      <w:tr w14:paraId="437EB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04" w:type="dxa"/>
          </w:tcPr>
          <w:p w14:paraId="37D9898A">
            <w:pPr>
              <w:spacing w:before="272" w:line="195" w:lineRule="auto"/>
              <w:ind w:left="349"/>
              <w:rPr>
                <w:rFonts w:eastAsia="Times New Roman"/>
                <w:color w:val="auto"/>
                <w:sz w:val="20"/>
                <w:szCs w:val="20"/>
                <w:highlight w:val="none"/>
              </w:rPr>
            </w:pPr>
            <w:r>
              <w:rPr>
                <w:rFonts w:eastAsia="Times New Roman"/>
                <w:color w:val="auto"/>
                <w:spacing w:val="1"/>
                <w:sz w:val="20"/>
                <w:szCs w:val="20"/>
                <w:highlight w:val="none"/>
              </w:rPr>
              <w:t>4</w:t>
            </w:r>
          </w:p>
        </w:tc>
        <w:tc>
          <w:tcPr>
            <w:tcW w:w="1100" w:type="dxa"/>
            <w:vMerge w:val="continue"/>
            <w:tcBorders>
              <w:top w:val="nil"/>
              <w:bottom w:val="nil"/>
            </w:tcBorders>
          </w:tcPr>
          <w:p w14:paraId="6DC4CACF">
            <w:pPr>
              <w:rPr>
                <w:rFonts w:ascii="Arial"/>
                <w:color w:val="auto"/>
                <w:highlight w:val="none"/>
              </w:rPr>
            </w:pPr>
          </w:p>
        </w:tc>
        <w:tc>
          <w:tcPr>
            <w:tcW w:w="1562" w:type="dxa"/>
          </w:tcPr>
          <w:p w14:paraId="61B1034E">
            <w:pPr>
              <w:pStyle w:val="206"/>
              <w:spacing w:before="236" w:line="228" w:lineRule="auto"/>
              <w:ind w:left="365"/>
              <w:rPr>
                <w:color w:val="auto"/>
                <w:highlight w:val="none"/>
              </w:rPr>
            </w:pPr>
            <w:r>
              <w:rPr>
                <w:color w:val="auto"/>
                <w:spacing w:val="-9"/>
                <w:highlight w:val="none"/>
              </w:rPr>
              <w:t>房门拓宽</w:t>
            </w:r>
          </w:p>
        </w:tc>
        <w:tc>
          <w:tcPr>
            <w:tcW w:w="4360" w:type="dxa"/>
          </w:tcPr>
          <w:p w14:paraId="30B3F64C">
            <w:pPr>
              <w:pStyle w:val="206"/>
              <w:spacing w:before="75" w:line="258" w:lineRule="auto"/>
              <w:ind w:left="120" w:right="98" w:hanging="8"/>
              <w:rPr>
                <w:color w:val="auto"/>
                <w:highlight w:val="none"/>
              </w:rPr>
            </w:pPr>
            <w:r>
              <w:rPr>
                <w:color w:val="auto"/>
                <w:spacing w:val="2"/>
                <w:highlight w:val="none"/>
              </w:rPr>
              <w:t>对卫生间、厨房等空间较窄的门洞进行拓宽，</w:t>
            </w:r>
            <w:r>
              <w:rPr>
                <w:color w:val="auto"/>
                <w:spacing w:val="8"/>
                <w:highlight w:val="none"/>
              </w:rPr>
              <w:t>改善通过性，方便轮椅进出</w:t>
            </w:r>
          </w:p>
        </w:tc>
        <w:tc>
          <w:tcPr>
            <w:tcW w:w="1194" w:type="dxa"/>
          </w:tcPr>
          <w:p w14:paraId="7070D902">
            <w:pPr>
              <w:pStyle w:val="206"/>
              <w:spacing w:before="236" w:line="231" w:lineRule="auto"/>
              <w:ind w:left="394"/>
              <w:rPr>
                <w:color w:val="auto"/>
                <w:highlight w:val="none"/>
              </w:rPr>
            </w:pPr>
            <w:r>
              <w:rPr>
                <w:color w:val="auto"/>
                <w:spacing w:val="4"/>
                <w:highlight w:val="none"/>
              </w:rPr>
              <w:t>可选</w:t>
            </w:r>
          </w:p>
        </w:tc>
      </w:tr>
      <w:tr w14:paraId="30DF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04" w:type="dxa"/>
          </w:tcPr>
          <w:p w14:paraId="380540C4">
            <w:pPr>
              <w:spacing w:before="294" w:line="192" w:lineRule="auto"/>
              <w:ind w:left="355"/>
              <w:rPr>
                <w:rFonts w:eastAsia="Times New Roman"/>
                <w:color w:val="auto"/>
                <w:sz w:val="20"/>
                <w:szCs w:val="20"/>
                <w:highlight w:val="none"/>
              </w:rPr>
            </w:pPr>
            <w:r>
              <w:rPr>
                <w:rFonts w:eastAsia="Times New Roman"/>
                <w:color w:val="auto"/>
                <w:sz w:val="20"/>
                <w:szCs w:val="20"/>
                <w:highlight w:val="none"/>
              </w:rPr>
              <w:t>5</w:t>
            </w:r>
          </w:p>
        </w:tc>
        <w:tc>
          <w:tcPr>
            <w:tcW w:w="1100" w:type="dxa"/>
            <w:vMerge w:val="continue"/>
            <w:tcBorders>
              <w:top w:val="nil"/>
            </w:tcBorders>
          </w:tcPr>
          <w:p w14:paraId="253D8B1A">
            <w:pPr>
              <w:rPr>
                <w:rFonts w:ascii="Arial"/>
                <w:color w:val="auto"/>
                <w:highlight w:val="none"/>
              </w:rPr>
            </w:pPr>
          </w:p>
        </w:tc>
        <w:tc>
          <w:tcPr>
            <w:tcW w:w="1562" w:type="dxa"/>
          </w:tcPr>
          <w:p w14:paraId="088F08F7">
            <w:pPr>
              <w:pStyle w:val="206"/>
              <w:spacing w:before="97" w:line="266" w:lineRule="auto"/>
              <w:ind w:left="119" w:right="114"/>
              <w:rPr>
                <w:color w:val="auto"/>
                <w:highlight w:val="none"/>
              </w:rPr>
            </w:pPr>
            <w:r>
              <w:rPr>
                <w:color w:val="auto"/>
                <w:spacing w:val="13"/>
                <w:highlight w:val="none"/>
              </w:rPr>
              <w:t>下压式门把手</w:t>
            </w:r>
            <w:r>
              <w:rPr>
                <w:color w:val="auto"/>
                <w:spacing w:val="1"/>
                <w:highlight w:val="none"/>
              </w:rPr>
              <w:t>改造</w:t>
            </w:r>
          </w:p>
        </w:tc>
        <w:tc>
          <w:tcPr>
            <w:tcW w:w="4360" w:type="dxa"/>
          </w:tcPr>
          <w:p w14:paraId="67710EB5">
            <w:pPr>
              <w:pStyle w:val="206"/>
              <w:spacing w:before="97" w:line="266" w:lineRule="auto"/>
              <w:ind w:left="114" w:right="104"/>
              <w:rPr>
                <w:color w:val="auto"/>
                <w:highlight w:val="none"/>
              </w:rPr>
            </w:pPr>
            <w:r>
              <w:rPr>
                <w:color w:val="auto"/>
                <w:spacing w:val="6"/>
                <w:highlight w:val="none"/>
              </w:rPr>
              <w:t>可用单手手掌或者手指轻松操作，增加摩擦力</w:t>
            </w:r>
            <w:r>
              <w:rPr>
                <w:color w:val="auto"/>
                <w:spacing w:val="9"/>
                <w:highlight w:val="none"/>
              </w:rPr>
              <w:t>和稳定性，方便老年人开门</w:t>
            </w:r>
          </w:p>
        </w:tc>
        <w:tc>
          <w:tcPr>
            <w:tcW w:w="1194" w:type="dxa"/>
          </w:tcPr>
          <w:p w14:paraId="027BA61C">
            <w:pPr>
              <w:pStyle w:val="206"/>
              <w:spacing w:before="256" w:line="231" w:lineRule="auto"/>
              <w:ind w:left="394"/>
              <w:rPr>
                <w:color w:val="auto"/>
                <w:highlight w:val="none"/>
              </w:rPr>
            </w:pPr>
            <w:r>
              <w:rPr>
                <w:color w:val="auto"/>
                <w:spacing w:val="4"/>
                <w:highlight w:val="none"/>
              </w:rPr>
              <w:t>可选</w:t>
            </w:r>
          </w:p>
        </w:tc>
      </w:tr>
      <w:tr w14:paraId="46B97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804" w:type="dxa"/>
          </w:tcPr>
          <w:p w14:paraId="3D398C02">
            <w:pPr>
              <w:spacing w:line="282" w:lineRule="auto"/>
              <w:rPr>
                <w:rFonts w:ascii="Arial"/>
                <w:color w:val="auto"/>
                <w:highlight w:val="none"/>
              </w:rPr>
            </w:pPr>
          </w:p>
          <w:p w14:paraId="57E6E22C">
            <w:pPr>
              <w:spacing w:before="58" w:line="195" w:lineRule="auto"/>
              <w:ind w:left="354"/>
              <w:rPr>
                <w:rFonts w:eastAsia="Times New Roman"/>
                <w:color w:val="auto"/>
                <w:sz w:val="20"/>
                <w:szCs w:val="20"/>
                <w:highlight w:val="none"/>
              </w:rPr>
            </w:pPr>
            <w:r>
              <w:rPr>
                <w:rFonts w:eastAsia="Times New Roman"/>
                <w:color w:val="auto"/>
                <w:sz w:val="20"/>
                <w:szCs w:val="20"/>
                <w:highlight w:val="none"/>
              </w:rPr>
              <w:t>6</w:t>
            </w:r>
          </w:p>
        </w:tc>
        <w:tc>
          <w:tcPr>
            <w:tcW w:w="1100" w:type="dxa"/>
            <w:vMerge w:val="restart"/>
            <w:tcBorders>
              <w:bottom w:val="nil"/>
            </w:tcBorders>
          </w:tcPr>
          <w:p w14:paraId="33D0C88F">
            <w:pPr>
              <w:spacing w:line="251" w:lineRule="auto"/>
              <w:rPr>
                <w:rFonts w:ascii="Arial"/>
                <w:color w:val="auto"/>
                <w:highlight w:val="none"/>
              </w:rPr>
            </w:pPr>
          </w:p>
          <w:p w14:paraId="253C1D75">
            <w:pPr>
              <w:spacing w:line="251" w:lineRule="auto"/>
              <w:rPr>
                <w:rFonts w:ascii="Arial"/>
                <w:color w:val="auto"/>
                <w:highlight w:val="none"/>
              </w:rPr>
            </w:pPr>
          </w:p>
          <w:p w14:paraId="3E88D9EF">
            <w:pPr>
              <w:spacing w:line="251" w:lineRule="auto"/>
              <w:rPr>
                <w:rFonts w:ascii="Arial"/>
                <w:color w:val="auto"/>
                <w:highlight w:val="none"/>
              </w:rPr>
            </w:pPr>
          </w:p>
          <w:p w14:paraId="7B4EC67F">
            <w:pPr>
              <w:spacing w:line="251" w:lineRule="auto"/>
              <w:rPr>
                <w:rFonts w:ascii="Arial"/>
                <w:color w:val="auto"/>
                <w:highlight w:val="none"/>
              </w:rPr>
            </w:pPr>
          </w:p>
          <w:p w14:paraId="6EB2A423">
            <w:pPr>
              <w:pStyle w:val="206"/>
              <w:spacing w:before="65" w:line="228" w:lineRule="auto"/>
              <w:ind w:left="144"/>
              <w:rPr>
                <w:color w:val="auto"/>
                <w:highlight w:val="none"/>
              </w:rPr>
            </w:pPr>
            <w:r>
              <w:rPr>
                <w:color w:val="auto"/>
                <w:spacing w:val="4"/>
                <w:highlight w:val="none"/>
              </w:rPr>
              <w:t>卧室改造</w:t>
            </w:r>
          </w:p>
        </w:tc>
        <w:tc>
          <w:tcPr>
            <w:tcW w:w="1562" w:type="dxa"/>
          </w:tcPr>
          <w:p w14:paraId="7FA52D95">
            <w:pPr>
              <w:pStyle w:val="206"/>
              <w:spacing w:before="145" w:line="280" w:lineRule="auto"/>
              <w:ind w:left="122" w:right="113" w:hanging="5"/>
              <w:rPr>
                <w:color w:val="auto"/>
                <w:highlight w:val="none"/>
              </w:rPr>
            </w:pPr>
            <w:r>
              <w:rPr>
                <w:color w:val="auto"/>
                <w:spacing w:val="13"/>
                <w:highlight w:val="none"/>
              </w:rPr>
              <w:t>安装床边护栏</w:t>
            </w:r>
            <w:r>
              <w:rPr>
                <w:color w:val="auto"/>
                <w:spacing w:val="1"/>
                <w:highlight w:val="none"/>
              </w:rPr>
              <w:t>（抓杆）</w:t>
            </w:r>
          </w:p>
        </w:tc>
        <w:tc>
          <w:tcPr>
            <w:tcW w:w="4360" w:type="dxa"/>
          </w:tcPr>
          <w:p w14:paraId="3AFF12B1">
            <w:pPr>
              <w:pStyle w:val="206"/>
              <w:spacing w:before="305" w:line="228" w:lineRule="auto"/>
              <w:ind w:left="194"/>
              <w:rPr>
                <w:color w:val="auto"/>
                <w:highlight w:val="none"/>
              </w:rPr>
            </w:pPr>
            <w:r>
              <w:rPr>
                <w:color w:val="auto"/>
                <w:spacing w:val="9"/>
                <w:highlight w:val="none"/>
              </w:rPr>
              <w:t>辅助老年人起身、上下床，防止翻身滚下床</w:t>
            </w:r>
          </w:p>
        </w:tc>
        <w:tc>
          <w:tcPr>
            <w:tcW w:w="1194" w:type="dxa"/>
          </w:tcPr>
          <w:p w14:paraId="23753BAD">
            <w:pPr>
              <w:pStyle w:val="206"/>
              <w:spacing w:before="306" w:line="233" w:lineRule="auto"/>
              <w:ind w:left="392"/>
              <w:rPr>
                <w:color w:val="auto"/>
                <w:highlight w:val="none"/>
              </w:rPr>
            </w:pPr>
            <w:r>
              <w:rPr>
                <w:color w:val="auto"/>
                <w:spacing w:val="4"/>
                <w:highlight w:val="none"/>
              </w:rPr>
              <w:t>基础</w:t>
            </w:r>
          </w:p>
        </w:tc>
      </w:tr>
      <w:tr w14:paraId="57F75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804" w:type="dxa"/>
          </w:tcPr>
          <w:p w14:paraId="49D839BD">
            <w:pPr>
              <w:spacing w:before="296" w:line="192" w:lineRule="auto"/>
              <w:ind w:left="353"/>
              <w:rPr>
                <w:rFonts w:eastAsia="Times New Roman"/>
                <w:color w:val="auto"/>
                <w:sz w:val="20"/>
                <w:szCs w:val="20"/>
                <w:highlight w:val="none"/>
              </w:rPr>
            </w:pPr>
            <w:r>
              <w:rPr>
                <w:rFonts w:eastAsia="Times New Roman"/>
                <w:color w:val="auto"/>
                <w:sz w:val="20"/>
                <w:szCs w:val="20"/>
                <w:highlight w:val="none"/>
              </w:rPr>
              <w:t>7</w:t>
            </w:r>
          </w:p>
        </w:tc>
        <w:tc>
          <w:tcPr>
            <w:tcW w:w="1100" w:type="dxa"/>
            <w:vMerge w:val="continue"/>
            <w:tcBorders>
              <w:top w:val="nil"/>
              <w:bottom w:val="nil"/>
            </w:tcBorders>
          </w:tcPr>
          <w:p w14:paraId="7B15EA66">
            <w:pPr>
              <w:rPr>
                <w:rFonts w:ascii="Arial"/>
                <w:color w:val="auto"/>
                <w:highlight w:val="none"/>
              </w:rPr>
            </w:pPr>
          </w:p>
        </w:tc>
        <w:tc>
          <w:tcPr>
            <w:tcW w:w="1562" w:type="dxa"/>
          </w:tcPr>
          <w:p w14:paraId="21FC070E">
            <w:pPr>
              <w:pStyle w:val="206"/>
              <w:spacing w:before="257" w:line="228" w:lineRule="auto"/>
              <w:ind w:left="261"/>
              <w:rPr>
                <w:color w:val="auto"/>
                <w:highlight w:val="none"/>
              </w:rPr>
            </w:pPr>
            <w:r>
              <w:rPr>
                <w:color w:val="auto"/>
                <w:spacing w:val="7"/>
                <w:highlight w:val="none"/>
              </w:rPr>
              <w:t>配置护理床</w:t>
            </w:r>
          </w:p>
        </w:tc>
        <w:tc>
          <w:tcPr>
            <w:tcW w:w="4360" w:type="dxa"/>
          </w:tcPr>
          <w:p w14:paraId="33615A21">
            <w:pPr>
              <w:pStyle w:val="206"/>
              <w:spacing w:before="98" w:line="266" w:lineRule="auto"/>
              <w:ind w:left="113" w:right="117" w:firstLine="4"/>
              <w:rPr>
                <w:color w:val="auto"/>
                <w:highlight w:val="none"/>
              </w:rPr>
            </w:pPr>
            <w:r>
              <w:rPr>
                <w:color w:val="auto"/>
                <w:spacing w:val="6"/>
                <w:highlight w:val="none"/>
              </w:rPr>
              <w:t>帮助失能老年人完成起身、侧翻、上下床、吃</w:t>
            </w:r>
            <w:r>
              <w:rPr>
                <w:color w:val="auto"/>
                <w:spacing w:val="9"/>
                <w:highlight w:val="none"/>
              </w:rPr>
              <w:t>饭等动作，辅助喂食、处理排泄物等</w:t>
            </w:r>
          </w:p>
        </w:tc>
        <w:tc>
          <w:tcPr>
            <w:tcW w:w="1194" w:type="dxa"/>
          </w:tcPr>
          <w:p w14:paraId="40DB6A75">
            <w:pPr>
              <w:pStyle w:val="206"/>
              <w:spacing w:before="258" w:line="231" w:lineRule="auto"/>
              <w:ind w:left="394"/>
              <w:rPr>
                <w:color w:val="auto"/>
                <w:highlight w:val="none"/>
              </w:rPr>
            </w:pPr>
            <w:r>
              <w:rPr>
                <w:color w:val="auto"/>
                <w:spacing w:val="4"/>
                <w:highlight w:val="none"/>
              </w:rPr>
              <w:t>可选</w:t>
            </w:r>
          </w:p>
        </w:tc>
      </w:tr>
      <w:tr w14:paraId="6405B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jc w:val="center"/>
        </w:trPr>
        <w:tc>
          <w:tcPr>
            <w:tcW w:w="804" w:type="dxa"/>
          </w:tcPr>
          <w:p w14:paraId="72644271">
            <w:pPr>
              <w:spacing w:line="316" w:lineRule="auto"/>
              <w:rPr>
                <w:rFonts w:ascii="Arial"/>
                <w:color w:val="auto"/>
                <w:highlight w:val="none"/>
              </w:rPr>
            </w:pPr>
          </w:p>
          <w:p w14:paraId="42A28249">
            <w:pPr>
              <w:spacing w:before="58" w:line="195" w:lineRule="auto"/>
              <w:ind w:left="358"/>
              <w:rPr>
                <w:rFonts w:eastAsia="Times New Roman"/>
                <w:color w:val="auto"/>
                <w:sz w:val="20"/>
                <w:szCs w:val="20"/>
                <w:highlight w:val="none"/>
              </w:rPr>
            </w:pPr>
            <w:r>
              <w:rPr>
                <w:rFonts w:eastAsia="Times New Roman"/>
                <w:color w:val="auto"/>
                <w:sz w:val="20"/>
                <w:szCs w:val="20"/>
                <w:highlight w:val="none"/>
              </w:rPr>
              <w:t>8</w:t>
            </w:r>
          </w:p>
        </w:tc>
        <w:tc>
          <w:tcPr>
            <w:tcW w:w="1100" w:type="dxa"/>
            <w:vMerge w:val="continue"/>
            <w:tcBorders>
              <w:top w:val="nil"/>
            </w:tcBorders>
          </w:tcPr>
          <w:p w14:paraId="749DF332">
            <w:pPr>
              <w:rPr>
                <w:rFonts w:ascii="Arial"/>
                <w:color w:val="auto"/>
                <w:highlight w:val="none"/>
              </w:rPr>
            </w:pPr>
          </w:p>
        </w:tc>
        <w:tc>
          <w:tcPr>
            <w:tcW w:w="1562" w:type="dxa"/>
          </w:tcPr>
          <w:p w14:paraId="29EB9392">
            <w:pPr>
              <w:spacing w:line="274" w:lineRule="auto"/>
              <w:rPr>
                <w:rFonts w:ascii="Arial"/>
                <w:color w:val="auto"/>
                <w:highlight w:val="none"/>
              </w:rPr>
            </w:pPr>
          </w:p>
          <w:p w14:paraId="302CA214">
            <w:pPr>
              <w:pStyle w:val="206"/>
              <w:spacing w:before="65" w:line="228" w:lineRule="auto"/>
              <w:ind w:left="156"/>
              <w:rPr>
                <w:color w:val="auto"/>
                <w:highlight w:val="none"/>
              </w:rPr>
            </w:pPr>
            <w:r>
              <w:rPr>
                <w:color w:val="auto"/>
                <w:spacing w:val="6"/>
                <w:highlight w:val="none"/>
              </w:rPr>
              <w:t>配置防压疮垫</w:t>
            </w:r>
          </w:p>
        </w:tc>
        <w:tc>
          <w:tcPr>
            <w:tcW w:w="4360" w:type="dxa"/>
          </w:tcPr>
          <w:p w14:paraId="677796C2">
            <w:pPr>
              <w:pStyle w:val="206"/>
              <w:spacing w:before="180" w:line="282" w:lineRule="auto"/>
              <w:ind w:left="113" w:right="104" w:hanging="2"/>
              <w:rPr>
                <w:color w:val="auto"/>
                <w:highlight w:val="none"/>
              </w:rPr>
            </w:pPr>
            <w:r>
              <w:rPr>
                <w:color w:val="auto"/>
                <w:spacing w:val="15"/>
                <w:highlight w:val="none"/>
              </w:rPr>
              <w:t>避免长期乘坐轮椅或卧床的老年人发生严重</w:t>
            </w:r>
            <w:r>
              <w:rPr>
                <w:color w:val="auto"/>
                <w:spacing w:val="9"/>
                <w:highlight w:val="none"/>
              </w:rPr>
              <w:t>压疮，包括防压疮坐垫、靠垫或床垫等</w:t>
            </w:r>
          </w:p>
        </w:tc>
        <w:tc>
          <w:tcPr>
            <w:tcW w:w="1194" w:type="dxa"/>
          </w:tcPr>
          <w:p w14:paraId="554C6AAD">
            <w:pPr>
              <w:spacing w:line="274" w:lineRule="auto"/>
              <w:rPr>
                <w:rFonts w:ascii="Arial"/>
                <w:color w:val="auto"/>
                <w:highlight w:val="none"/>
              </w:rPr>
            </w:pPr>
          </w:p>
          <w:p w14:paraId="46AE4326">
            <w:pPr>
              <w:pStyle w:val="206"/>
              <w:spacing w:before="65" w:line="231" w:lineRule="auto"/>
              <w:ind w:left="394"/>
              <w:rPr>
                <w:color w:val="auto"/>
                <w:highlight w:val="none"/>
              </w:rPr>
            </w:pPr>
            <w:r>
              <w:rPr>
                <w:color w:val="auto"/>
                <w:spacing w:val="4"/>
                <w:highlight w:val="none"/>
              </w:rPr>
              <w:t>可选</w:t>
            </w:r>
          </w:p>
        </w:tc>
      </w:tr>
      <w:tr w14:paraId="508BF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804" w:type="dxa"/>
          </w:tcPr>
          <w:p w14:paraId="31BD6A9D">
            <w:pPr>
              <w:spacing w:line="375" w:lineRule="auto"/>
              <w:rPr>
                <w:rFonts w:ascii="Arial"/>
                <w:color w:val="auto"/>
                <w:highlight w:val="none"/>
              </w:rPr>
            </w:pPr>
          </w:p>
          <w:p w14:paraId="44997A2E">
            <w:pPr>
              <w:spacing w:before="58" w:line="195" w:lineRule="auto"/>
              <w:ind w:left="354"/>
              <w:rPr>
                <w:rFonts w:eastAsia="Times New Roman"/>
                <w:color w:val="auto"/>
                <w:sz w:val="20"/>
                <w:szCs w:val="20"/>
                <w:highlight w:val="none"/>
              </w:rPr>
            </w:pPr>
            <w:r>
              <w:rPr>
                <w:rFonts w:eastAsia="Times New Roman"/>
                <w:color w:val="auto"/>
                <w:sz w:val="20"/>
                <w:szCs w:val="20"/>
                <w:highlight w:val="none"/>
              </w:rPr>
              <w:t>9</w:t>
            </w:r>
          </w:p>
        </w:tc>
        <w:tc>
          <w:tcPr>
            <w:tcW w:w="1100" w:type="dxa"/>
            <w:vMerge w:val="restart"/>
            <w:tcBorders>
              <w:bottom w:val="nil"/>
            </w:tcBorders>
          </w:tcPr>
          <w:p w14:paraId="1F04692E">
            <w:pPr>
              <w:spacing w:line="432" w:lineRule="auto"/>
              <w:rPr>
                <w:rFonts w:ascii="Arial"/>
                <w:color w:val="auto"/>
                <w:highlight w:val="none"/>
              </w:rPr>
            </w:pPr>
          </w:p>
          <w:p w14:paraId="528A4643">
            <w:pPr>
              <w:pStyle w:val="206"/>
              <w:spacing w:before="65" w:line="280" w:lineRule="auto"/>
              <w:ind w:left="114" w:right="116"/>
              <w:rPr>
                <w:color w:val="auto"/>
                <w:highlight w:val="none"/>
              </w:rPr>
            </w:pPr>
            <w:r>
              <w:rPr>
                <w:color w:val="auto"/>
                <w:spacing w:val="15"/>
                <w:highlight w:val="none"/>
              </w:rPr>
              <w:t>如厕洗浴</w:t>
            </w:r>
            <w:r>
              <w:rPr>
                <w:color w:val="auto"/>
                <w:spacing w:val="6"/>
                <w:highlight w:val="none"/>
              </w:rPr>
              <w:t>设备改造</w:t>
            </w:r>
          </w:p>
        </w:tc>
        <w:tc>
          <w:tcPr>
            <w:tcW w:w="1562" w:type="dxa"/>
          </w:tcPr>
          <w:p w14:paraId="44AB276E">
            <w:pPr>
              <w:spacing w:line="332" w:lineRule="auto"/>
              <w:rPr>
                <w:rFonts w:ascii="Arial"/>
                <w:color w:val="auto"/>
                <w:highlight w:val="none"/>
              </w:rPr>
            </w:pPr>
          </w:p>
          <w:p w14:paraId="2FE2E58E">
            <w:pPr>
              <w:pStyle w:val="206"/>
              <w:spacing w:before="65" w:line="228" w:lineRule="auto"/>
              <w:ind w:left="369"/>
              <w:rPr>
                <w:color w:val="auto"/>
                <w:highlight w:val="none"/>
              </w:rPr>
            </w:pPr>
            <w:r>
              <w:rPr>
                <w:color w:val="auto"/>
                <w:spacing w:val="6"/>
                <w:highlight w:val="none"/>
              </w:rPr>
              <w:t>安装扶手</w:t>
            </w:r>
          </w:p>
        </w:tc>
        <w:tc>
          <w:tcPr>
            <w:tcW w:w="4360" w:type="dxa"/>
          </w:tcPr>
          <w:p w14:paraId="1E8CD391">
            <w:pPr>
              <w:pStyle w:val="206"/>
              <w:spacing w:before="79" w:line="269" w:lineRule="auto"/>
              <w:ind w:left="112" w:right="109"/>
              <w:jc w:val="both"/>
              <w:rPr>
                <w:color w:val="auto"/>
                <w:highlight w:val="none"/>
              </w:rPr>
            </w:pPr>
            <w:r>
              <w:rPr>
                <w:color w:val="auto"/>
                <w:spacing w:val="6"/>
                <w:highlight w:val="none"/>
              </w:rPr>
              <w:t>在如厕区或者洗浴区安装扶手，包括一字形扶</w:t>
            </w:r>
            <w:r>
              <w:rPr>
                <w:color w:val="auto"/>
                <w:spacing w:val="7"/>
                <w:highlight w:val="none"/>
              </w:rPr>
              <w:t>手、</w:t>
            </w:r>
            <w:r>
              <w:rPr>
                <w:rFonts w:ascii="Times New Roman" w:hAnsi="Times New Roman" w:eastAsia="Times New Roman" w:cs="Times New Roman"/>
                <w:color w:val="auto"/>
                <w:spacing w:val="7"/>
                <w:highlight w:val="none"/>
              </w:rPr>
              <w:t>U</w:t>
            </w:r>
            <w:r>
              <w:rPr>
                <w:color w:val="auto"/>
                <w:spacing w:val="7"/>
                <w:highlight w:val="none"/>
              </w:rPr>
              <w:t>形扶手、</w:t>
            </w:r>
            <w:r>
              <w:rPr>
                <w:rFonts w:ascii="Times New Roman" w:hAnsi="Times New Roman" w:eastAsia="Times New Roman" w:cs="Times New Roman"/>
                <w:color w:val="auto"/>
                <w:spacing w:val="7"/>
                <w:highlight w:val="none"/>
              </w:rPr>
              <w:t>L</w:t>
            </w:r>
            <w:r>
              <w:rPr>
                <w:color w:val="auto"/>
                <w:spacing w:val="7"/>
                <w:highlight w:val="none"/>
              </w:rPr>
              <w:t>形扶手、</w:t>
            </w:r>
            <w:r>
              <w:rPr>
                <w:rFonts w:ascii="Times New Roman" w:hAnsi="Times New Roman" w:eastAsia="Times New Roman" w:cs="Times New Roman"/>
                <w:color w:val="auto"/>
                <w:spacing w:val="7"/>
                <w:highlight w:val="none"/>
              </w:rPr>
              <w:t>135°</w:t>
            </w:r>
            <w:r>
              <w:rPr>
                <w:color w:val="auto"/>
                <w:spacing w:val="7"/>
                <w:highlight w:val="none"/>
              </w:rPr>
              <w:t>扶手、</w:t>
            </w:r>
            <w:r>
              <w:rPr>
                <w:rFonts w:ascii="Times New Roman" w:hAnsi="Times New Roman" w:eastAsia="Times New Roman" w:cs="Times New Roman"/>
                <w:color w:val="auto"/>
                <w:spacing w:val="7"/>
                <w:highlight w:val="none"/>
              </w:rPr>
              <w:t>T</w:t>
            </w:r>
            <w:r>
              <w:rPr>
                <w:color w:val="auto"/>
                <w:spacing w:val="7"/>
                <w:highlight w:val="none"/>
              </w:rPr>
              <w:t>形扶</w:t>
            </w:r>
            <w:r>
              <w:rPr>
                <w:color w:val="auto"/>
                <w:spacing w:val="8"/>
                <w:highlight w:val="none"/>
              </w:rPr>
              <w:t>手或者助力扶手等</w:t>
            </w:r>
          </w:p>
        </w:tc>
        <w:tc>
          <w:tcPr>
            <w:tcW w:w="1194" w:type="dxa"/>
          </w:tcPr>
          <w:p w14:paraId="7F8BD43C">
            <w:pPr>
              <w:spacing w:line="332" w:lineRule="auto"/>
              <w:rPr>
                <w:rFonts w:ascii="Arial"/>
                <w:color w:val="auto"/>
                <w:highlight w:val="none"/>
              </w:rPr>
            </w:pPr>
          </w:p>
          <w:p w14:paraId="5969D402">
            <w:pPr>
              <w:pStyle w:val="206"/>
              <w:spacing w:before="65" w:line="233" w:lineRule="auto"/>
              <w:ind w:left="392"/>
              <w:rPr>
                <w:color w:val="auto"/>
                <w:highlight w:val="none"/>
              </w:rPr>
            </w:pPr>
            <w:r>
              <w:rPr>
                <w:color w:val="auto"/>
                <w:spacing w:val="4"/>
                <w:highlight w:val="none"/>
              </w:rPr>
              <w:t>基础</w:t>
            </w:r>
          </w:p>
        </w:tc>
      </w:tr>
      <w:tr w14:paraId="11C98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804" w:type="dxa"/>
          </w:tcPr>
          <w:p w14:paraId="77FB6D65">
            <w:pPr>
              <w:spacing w:before="210" w:line="195" w:lineRule="auto"/>
              <w:ind w:left="319"/>
              <w:rPr>
                <w:rFonts w:eastAsia="Times New Roman"/>
                <w:color w:val="auto"/>
                <w:sz w:val="20"/>
                <w:szCs w:val="20"/>
                <w:highlight w:val="none"/>
              </w:rPr>
            </w:pPr>
            <w:r>
              <w:rPr>
                <w:rFonts w:eastAsia="Times New Roman"/>
                <w:color w:val="auto"/>
                <w:spacing w:val="-9"/>
                <w:sz w:val="20"/>
                <w:szCs w:val="20"/>
                <w:highlight w:val="none"/>
              </w:rPr>
              <w:t>10</w:t>
            </w:r>
          </w:p>
        </w:tc>
        <w:tc>
          <w:tcPr>
            <w:tcW w:w="1100" w:type="dxa"/>
            <w:vMerge w:val="continue"/>
            <w:tcBorders>
              <w:top w:val="nil"/>
            </w:tcBorders>
          </w:tcPr>
          <w:p w14:paraId="2C3309F6">
            <w:pPr>
              <w:rPr>
                <w:rFonts w:ascii="Arial"/>
                <w:color w:val="auto"/>
                <w:highlight w:val="none"/>
              </w:rPr>
            </w:pPr>
          </w:p>
        </w:tc>
        <w:tc>
          <w:tcPr>
            <w:tcW w:w="1562" w:type="dxa"/>
          </w:tcPr>
          <w:p w14:paraId="3901DB8A">
            <w:pPr>
              <w:pStyle w:val="206"/>
              <w:spacing w:before="174" w:line="226" w:lineRule="auto"/>
              <w:ind w:left="261"/>
              <w:rPr>
                <w:color w:val="auto"/>
                <w:highlight w:val="none"/>
              </w:rPr>
            </w:pPr>
            <w:r>
              <w:rPr>
                <w:color w:val="auto"/>
                <w:spacing w:val="8"/>
                <w:highlight w:val="none"/>
              </w:rPr>
              <w:t>配置淋浴椅</w:t>
            </w:r>
          </w:p>
        </w:tc>
        <w:tc>
          <w:tcPr>
            <w:tcW w:w="4360" w:type="dxa"/>
          </w:tcPr>
          <w:p w14:paraId="5252972D">
            <w:pPr>
              <w:pStyle w:val="206"/>
              <w:spacing w:before="174" w:line="228" w:lineRule="auto"/>
              <w:ind w:left="508"/>
              <w:rPr>
                <w:color w:val="auto"/>
                <w:highlight w:val="none"/>
              </w:rPr>
            </w:pPr>
            <w:r>
              <w:rPr>
                <w:color w:val="auto"/>
                <w:spacing w:val="9"/>
                <w:highlight w:val="none"/>
              </w:rPr>
              <w:t>辅助老年人洗澡用，避免老年人滑倒</w:t>
            </w:r>
          </w:p>
        </w:tc>
        <w:tc>
          <w:tcPr>
            <w:tcW w:w="1194" w:type="dxa"/>
          </w:tcPr>
          <w:p w14:paraId="76FA7B56">
            <w:pPr>
              <w:pStyle w:val="206"/>
              <w:spacing w:before="174" w:line="233" w:lineRule="auto"/>
              <w:ind w:left="392"/>
              <w:rPr>
                <w:color w:val="auto"/>
                <w:highlight w:val="none"/>
              </w:rPr>
            </w:pPr>
            <w:r>
              <w:rPr>
                <w:color w:val="auto"/>
                <w:spacing w:val="4"/>
                <w:highlight w:val="none"/>
              </w:rPr>
              <w:t>基础</w:t>
            </w:r>
          </w:p>
        </w:tc>
      </w:tr>
      <w:tr w14:paraId="2918F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804" w:type="dxa"/>
          </w:tcPr>
          <w:p w14:paraId="56C7B305">
            <w:pPr>
              <w:spacing w:before="211" w:line="195" w:lineRule="auto"/>
              <w:ind w:left="322"/>
              <w:rPr>
                <w:rFonts w:eastAsia="Times New Roman"/>
                <w:color w:val="auto"/>
                <w:sz w:val="20"/>
                <w:szCs w:val="20"/>
                <w:highlight w:val="none"/>
              </w:rPr>
            </w:pPr>
            <w:r>
              <w:rPr>
                <w:rFonts w:eastAsia="Times New Roman"/>
                <w:color w:val="auto"/>
                <w:spacing w:val="-10"/>
                <w:sz w:val="20"/>
                <w:szCs w:val="20"/>
                <w:highlight w:val="none"/>
              </w:rPr>
              <w:t>11</w:t>
            </w:r>
          </w:p>
        </w:tc>
        <w:tc>
          <w:tcPr>
            <w:tcW w:w="1100" w:type="dxa"/>
            <w:vMerge w:val="restart"/>
            <w:tcBorders>
              <w:bottom w:val="nil"/>
            </w:tcBorders>
          </w:tcPr>
          <w:p w14:paraId="75B1B441">
            <w:pPr>
              <w:spacing w:line="258" w:lineRule="auto"/>
              <w:rPr>
                <w:rFonts w:ascii="Arial"/>
                <w:color w:val="auto"/>
                <w:highlight w:val="none"/>
              </w:rPr>
            </w:pPr>
          </w:p>
          <w:p w14:paraId="5CB768DA">
            <w:pPr>
              <w:spacing w:line="258" w:lineRule="auto"/>
              <w:rPr>
                <w:rFonts w:ascii="Arial"/>
                <w:color w:val="auto"/>
                <w:highlight w:val="none"/>
              </w:rPr>
            </w:pPr>
          </w:p>
          <w:p w14:paraId="35A3292A">
            <w:pPr>
              <w:spacing w:line="259" w:lineRule="auto"/>
              <w:rPr>
                <w:rFonts w:ascii="Arial"/>
                <w:color w:val="auto"/>
                <w:highlight w:val="none"/>
              </w:rPr>
            </w:pPr>
          </w:p>
          <w:p w14:paraId="34D9DB04">
            <w:pPr>
              <w:pStyle w:val="206"/>
              <w:spacing w:before="65" w:line="280" w:lineRule="auto"/>
              <w:ind w:left="118" w:right="116" w:hanging="7"/>
              <w:rPr>
                <w:color w:val="auto"/>
                <w:highlight w:val="none"/>
              </w:rPr>
            </w:pPr>
            <w:r>
              <w:rPr>
                <w:color w:val="auto"/>
                <w:spacing w:val="16"/>
                <w:highlight w:val="none"/>
              </w:rPr>
              <w:t>物理环境</w:t>
            </w:r>
            <w:r>
              <w:rPr>
                <w:color w:val="auto"/>
                <w:spacing w:val="1"/>
                <w:highlight w:val="none"/>
              </w:rPr>
              <w:t>改造</w:t>
            </w:r>
          </w:p>
        </w:tc>
        <w:tc>
          <w:tcPr>
            <w:tcW w:w="1562" w:type="dxa"/>
          </w:tcPr>
          <w:p w14:paraId="544B9421">
            <w:pPr>
              <w:pStyle w:val="206"/>
              <w:spacing w:before="174" w:line="228" w:lineRule="auto"/>
              <w:ind w:left="366"/>
              <w:rPr>
                <w:color w:val="auto"/>
                <w:highlight w:val="none"/>
              </w:rPr>
            </w:pPr>
            <w:r>
              <w:rPr>
                <w:color w:val="auto"/>
                <w:spacing w:val="7"/>
                <w:highlight w:val="none"/>
              </w:rPr>
              <w:t>灯源改造</w:t>
            </w:r>
          </w:p>
        </w:tc>
        <w:tc>
          <w:tcPr>
            <w:tcW w:w="4360" w:type="dxa"/>
          </w:tcPr>
          <w:p w14:paraId="25E4C77C">
            <w:pPr>
              <w:pStyle w:val="206"/>
              <w:spacing w:before="174" w:line="228" w:lineRule="auto"/>
              <w:ind w:left="405"/>
              <w:rPr>
                <w:color w:val="auto"/>
                <w:highlight w:val="none"/>
              </w:rPr>
            </w:pPr>
            <w:r>
              <w:rPr>
                <w:color w:val="auto"/>
                <w:spacing w:val="6"/>
                <w:highlight w:val="none"/>
              </w:rPr>
              <w:t>安装自动感应灯，辅助老年人起夜使用</w:t>
            </w:r>
          </w:p>
        </w:tc>
        <w:tc>
          <w:tcPr>
            <w:tcW w:w="1194" w:type="dxa"/>
          </w:tcPr>
          <w:p w14:paraId="633FE570">
            <w:pPr>
              <w:pStyle w:val="206"/>
              <w:spacing w:before="175" w:line="233" w:lineRule="auto"/>
              <w:ind w:left="392"/>
              <w:rPr>
                <w:color w:val="auto"/>
                <w:highlight w:val="none"/>
              </w:rPr>
            </w:pPr>
            <w:r>
              <w:rPr>
                <w:color w:val="auto"/>
                <w:spacing w:val="4"/>
                <w:highlight w:val="none"/>
              </w:rPr>
              <w:t>基础</w:t>
            </w:r>
          </w:p>
        </w:tc>
      </w:tr>
      <w:tr w14:paraId="3866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804" w:type="dxa"/>
          </w:tcPr>
          <w:p w14:paraId="416156AC">
            <w:pPr>
              <w:spacing w:before="296" w:line="195" w:lineRule="auto"/>
              <w:ind w:left="319"/>
              <w:rPr>
                <w:rFonts w:eastAsia="Times New Roman"/>
                <w:color w:val="auto"/>
                <w:sz w:val="20"/>
                <w:szCs w:val="20"/>
                <w:highlight w:val="none"/>
              </w:rPr>
            </w:pPr>
            <w:r>
              <w:rPr>
                <w:rFonts w:eastAsia="Times New Roman"/>
                <w:color w:val="auto"/>
                <w:spacing w:val="-9"/>
                <w:sz w:val="20"/>
                <w:szCs w:val="20"/>
                <w:highlight w:val="none"/>
              </w:rPr>
              <w:t>12</w:t>
            </w:r>
          </w:p>
        </w:tc>
        <w:tc>
          <w:tcPr>
            <w:tcW w:w="1100" w:type="dxa"/>
            <w:vMerge w:val="continue"/>
            <w:tcBorders>
              <w:top w:val="nil"/>
              <w:bottom w:val="nil"/>
            </w:tcBorders>
          </w:tcPr>
          <w:p w14:paraId="0EB35A65">
            <w:pPr>
              <w:rPr>
                <w:rFonts w:ascii="Arial"/>
                <w:color w:val="auto"/>
                <w:highlight w:val="none"/>
              </w:rPr>
            </w:pPr>
          </w:p>
        </w:tc>
        <w:tc>
          <w:tcPr>
            <w:tcW w:w="1562" w:type="dxa"/>
          </w:tcPr>
          <w:p w14:paraId="01664AD2">
            <w:pPr>
              <w:pStyle w:val="206"/>
              <w:spacing w:before="98" w:line="266" w:lineRule="auto"/>
              <w:ind w:left="116" w:right="105" w:firstLine="21"/>
              <w:rPr>
                <w:color w:val="auto"/>
                <w:highlight w:val="none"/>
              </w:rPr>
            </w:pPr>
            <w:r>
              <w:rPr>
                <w:color w:val="auto"/>
                <w:spacing w:val="19"/>
                <w:highlight w:val="none"/>
              </w:rPr>
              <w:t>电源插座及开</w:t>
            </w:r>
            <w:r>
              <w:rPr>
                <w:color w:val="auto"/>
                <w:spacing w:val="5"/>
                <w:highlight w:val="none"/>
              </w:rPr>
              <w:t>关改造</w:t>
            </w:r>
          </w:p>
        </w:tc>
        <w:tc>
          <w:tcPr>
            <w:tcW w:w="4360" w:type="dxa"/>
          </w:tcPr>
          <w:p w14:paraId="38B8DF99">
            <w:pPr>
              <w:pStyle w:val="206"/>
              <w:spacing w:before="69" w:line="276" w:lineRule="auto"/>
              <w:ind w:left="112" w:right="113"/>
              <w:rPr>
                <w:color w:val="auto"/>
                <w:highlight w:val="none"/>
              </w:rPr>
            </w:pPr>
            <w:r>
              <w:rPr>
                <w:color w:val="auto"/>
                <w:spacing w:val="13"/>
                <w:highlight w:val="none"/>
              </w:rPr>
              <w:t>根据情况进行高</w:t>
            </w:r>
            <w:r>
              <w:rPr>
                <w:rFonts w:ascii="Times New Roman" w:hAnsi="Times New Roman" w:eastAsia="Times New Roman" w:cs="Times New Roman"/>
                <w:color w:val="auto"/>
                <w:spacing w:val="13"/>
                <w:highlight w:val="none"/>
              </w:rPr>
              <w:t>/</w:t>
            </w:r>
            <w:r>
              <w:rPr>
                <w:color w:val="auto"/>
                <w:spacing w:val="13"/>
                <w:highlight w:val="none"/>
              </w:rPr>
              <w:t>低位、大面板、夜间指示改</w:t>
            </w:r>
            <w:r>
              <w:rPr>
                <w:color w:val="auto"/>
                <w:spacing w:val="9"/>
                <w:highlight w:val="none"/>
              </w:rPr>
              <w:t>造，方便老年人使用</w:t>
            </w:r>
          </w:p>
        </w:tc>
        <w:tc>
          <w:tcPr>
            <w:tcW w:w="1194" w:type="dxa"/>
          </w:tcPr>
          <w:p w14:paraId="41819A20">
            <w:pPr>
              <w:pStyle w:val="206"/>
              <w:spacing w:before="260" w:line="231" w:lineRule="auto"/>
              <w:ind w:left="394"/>
              <w:rPr>
                <w:color w:val="auto"/>
                <w:highlight w:val="none"/>
              </w:rPr>
            </w:pPr>
            <w:r>
              <w:rPr>
                <w:color w:val="auto"/>
                <w:spacing w:val="4"/>
                <w:highlight w:val="none"/>
              </w:rPr>
              <w:t>可选</w:t>
            </w:r>
          </w:p>
        </w:tc>
      </w:tr>
      <w:tr w14:paraId="3174E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804" w:type="dxa"/>
          </w:tcPr>
          <w:p w14:paraId="2D9B690E">
            <w:pPr>
              <w:spacing w:line="376" w:lineRule="auto"/>
              <w:rPr>
                <w:rFonts w:ascii="Arial"/>
                <w:color w:val="auto"/>
                <w:highlight w:val="none"/>
              </w:rPr>
            </w:pPr>
          </w:p>
          <w:p w14:paraId="4DA73F3B">
            <w:pPr>
              <w:spacing w:before="58" w:line="195" w:lineRule="auto"/>
              <w:ind w:left="319"/>
              <w:rPr>
                <w:rFonts w:eastAsia="Times New Roman"/>
                <w:color w:val="auto"/>
                <w:sz w:val="20"/>
                <w:szCs w:val="20"/>
                <w:highlight w:val="none"/>
              </w:rPr>
            </w:pPr>
            <w:r>
              <w:rPr>
                <w:rFonts w:eastAsia="Times New Roman"/>
                <w:color w:val="auto"/>
                <w:spacing w:val="-9"/>
                <w:sz w:val="20"/>
                <w:szCs w:val="20"/>
                <w:highlight w:val="none"/>
              </w:rPr>
              <w:t>13</w:t>
            </w:r>
          </w:p>
        </w:tc>
        <w:tc>
          <w:tcPr>
            <w:tcW w:w="1100" w:type="dxa"/>
            <w:vMerge w:val="continue"/>
            <w:tcBorders>
              <w:top w:val="nil"/>
            </w:tcBorders>
          </w:tcPr>
          <w:p w14:paraId="23D1D767">
            <w:pPr>
              <w:rPr>
                <w:rFonts w:ascii="Arial"/>
                <w:color w:val="auto"/>
                <w:highlight w:val="none"/>
              </w:rPr>
            </w:pPr>
          </w:p>
        </w:tc>
        <w:tc>
          <w:tcPr>
            <w:tcW w:w="1562" w:type="dxa"/>
          </w:tcPr>
          <w:p w14:paraId="67938269">
            <w:pPr>
              <w:pStyle w:val="206"/>
              <w:spacing w:before="50" w:line="279" w:lineRule="auto"/>
              <w:ind w:left="113" w:right="104" w:firstLine="3"/>
              <w:jc w:val="both"/>
              <w:rPr>
                <w:color w:val="auto"/>
                <w:highlight w:val="none"/>
              </w:rPr>
            </w:pPr>
            <w:r>
              <w:rPr>
                <w:color w:val="auto"/>
                <w:spacing w:val="11"/>
                <w:highlight w:val="none"/>
              </w:rPr>
              <w:t>安装防撞护角</w:t>
            </w:r>
            <w:r>
              <w:rPr>
                <w:rFonts w:ascii="Times New Roman" w:hAnsi="Times New Roman" w:eastAsia="Times New Roman" w:cs="Times New Roman"/>
                <w:color w:val="auto"/>
                <w:spacing w:val="11"/>
                <w:highlight w:val="none"/>
              </w:rPr>
              <w:t>/</w:t>
            </w:r>
            <w:r>
              <w:rPr>
                <w:color w:val="auto"/>
                <w:spacing w:val="22"/>
                <w:highlight w:val="none"/>
              </w:rPr>
              <w:t>防撞条、提示</w:t>
            </w:r>
            <w:r>
              <w:rPr>
                <w:color w:val="auto"/>
                <w:spacing w:val="4"/>
                <w:highlight w:val="none"/>
              </w:rPr>
              <w:t>标识</w:t>
            </w:r>
          </w:p>
        </w:tc>
        <w:tc>
          <w:tcPr>
            <w:tcW w:w="4360" w:type="dxa"/>
          </w:tcPr>
          <w:p w14:paraId="723D135D">
            <w:pPr>
              <w:pStyle w:val="206"/>
              <w:spacing w:before="240" w:line="282" w:lineRule="auto"/>
              <w:ind w:left="116" w:right="98" w:hanging="4"/>
              <w:rPr>
                <w:color w:val="auto"/>
                <w:highlight w:val="none"/>
              </w:rPr>
            </w:pPr>
            <w:r>
              <w:rPr>
                <w:color w:val="auto"/>
                <w:spacing w:val="7"/>
                <w:highlight w:val="none"/>
              </w:rPr>
              <w:t>在家具尖角或墙角安装防撞护角或者防撞条，</w:t>
            </w:r>
            <w:r>
              <w:rPr>
                <w:color w:val="auto"/>
                <w:spacing w:val="8"/>
                <w:highlight w:val="none"/>
              </w:rPr>
              <w:t>必要时粘贴警示条</w:t>
            </w:r>
          </w:p>
        </w:tc>
        <w:tc>
          <w:tcPr>
            <w:tcW w:w="1194" w:type="dxa"/>
          </w:tcPr>
          <w:p w14:paraId="790A5081">
            <w:pPr>
              <w:spacing w:line="333" w:lineRule="auto"/>
              <w:rPr>
                <w:rFonts w:ascii="Arial"/>
                <w:color w:val="auto"/>
                <w:highlight w:val="none"/>
              </w:rPr>
            </w:pPr>
          </w:p>
          <w:p w14:paraId="6F75441E">
            <w:pPr>
              <w:pStyle w:val="206"/>
              <w:spacing w:before="65" w:line="231" w:lineRule="auto"/>
              <w:ind w:left="394"/>
              <w:rPr>
                <w:color w:val="auto"/>
                <w:highlight w:val="none"/>
              </w:rPr>
            </w:pPr>
            <w:r>
              <w:rPr>
                <w:color w:val="auto"/>
                <w:spacing w:val="4"/>
                <w:highlight w:val="none"/>
              </w:rPr>
              <w:t>可选</w:t>
            </w:r>
          </w:p>
        </w:tc>
      </w:tr>
    </w:tbl>
    <w:p w14:paraId="6543F9D1">
      <w:pPr>
        <w:rPr>
          <w:rFonts w:ascii="Arial" w:hAnsi="Arial" w:eastAsia="Arial" w:cs="Arial"/>
          <w:color w:val="auto"/>
          <w:szCs w:val="21"/>
          <w:highlight w:val="none"/>
        </w:rPr>
        <w:sectPr>
          <w:pgSz w:w="11906" w:h="16838"/>
          <w:pgMar w:top="1431" w:right="1382" w:bottom="2064" w:left="1497" w:header="0" w:footer="1780" w:gutter="0"/>
          <w:cols w:space="720" w:num="1"/>
        </w:sectPr>
      </w:pPr>
    </w:p>
    <w:p w14:paraId="6F75BDC5">
      <w:pPr>
        <w:spacing w:before="92"/>
        <w:rPr>
          <w:color w:val="auto"/>
          <w:highlight w:val="none"/>
        </w:rPr>
      </w:pPr>
    </w:p>
    <w:tbl>
      <w:tblPr>
        <w:tblStyle w:val="208"/>
        <w:tblW w:w="90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100"/>
        <w:gridCol w:w="1562"/>
        <w:gridCol w:w="4360"/>
        <w:gridCol w:w="1194"/>
      </w:tblGrid>
      <w:tr w14:paraId="758B7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20" w:type="dxa"/>
            <w:gridSpan w:val="5"/>
          </w:tcPr>
          <w:p w14:paraId="15305C6C">
            <w:pPr>
              <w:pStyle w:val="206"/>
              <w:spacing w:before="232" w:line="228" w:lineRule="auto"/>
              <w:ind w:left="119"/>
              <w:rPr>
                <w:b/>
                <w:bCs/>
                <w:color w:val="auto"/>
                <w:highlight w:val="none"/>
              </w:rPr>
            </w:pPr>
            <w:r>
              <w:rPr>
                <w:b/>
                <w:bCs/>
                <w:color w:val="auto"/>
                <w:spacing w:val="8"/>
                <w:highlight w:val="none"/>
              </w:rPr>
              <w:t>二、智能化改造</w:t>
            </w:r>
          </w:p>
        </w:tc>
      </w:tr>
      <w:tr w14:paraId="7A6CA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4" w:type="dxa"/>
          </w:tcPr>
          <w:p w14:paraId="4B6FD96C">
            <w:pPr>
              <w:pStyle w:val="206"/>
              <w:spacing w:before="228" w:line="229" w:lineRule="auto"/>
              <w:ind w:left="197"/>
              <w:rPr>
                <w:color w:val="auto"/>
                <w:highlight w:val="none"/>
              </w:rPr>
            </w:pPr>
            <w:r>
              <w:rPr>
                <w:color w:val="auto"/>
                <w:spacing w:val="7"/>
                <w:highlight w:val="none"/>
              </w:rPr>
              <w:t>序号</w:t>
            </w:r>
          </w:p>
        </w:tc>
        <w:tc>
          <w:tcPr>
            <w:tcW w:w="1100" w:type="dxa"/>
          </w:tcPr>
          <w:p w14:paraId="10F808B5">
            <w:pPr>
              <w:pStyle w:val="206"/>
              <w:spacing w:before="227" w:line="228" w:lineRule="auto"/>
              <w:ind w:left="344"/>
              <w:rPr>
                <w:color w:val="auto"/>
                <w:highlight w:val="none"/>
              </w:rPr>
            </w:pPr>
            <w:r>
              <w:rPr>
                <w:color w:val="auto"/>
                <w:spacing w:val="5"/>
                <w:highlight w:val="none"/>
              </w:rPr>
              <w:t>类别</w:t>
            </w:r>
          </w:p>
        </w:tc>
        <w:tc>
          <w:tcPr>
            <w:tcW w:w="1562" w:type="dxa"/>
          </w:tcPr>
          <w:p w14:paraId="575F6692">
            <w:pPr>
              <w:pStyle w:val="206"/>
              <w:spacing w:before="228" w:line="228" w:lineRule="auto"/>
              <w:ind w:left="368"/>
              <w:rPr>
                <w:color w:val="auto"/>
                <w:highlight w:val="none"/>
              </w:rPr>
            </w:pPr>
            <w:r>
              <w:rPr>
                <w:color w:val="auto"/>
                <w:spacing w:val="-7"/>
                <w:highlight w:val="none"/>
              </w:rPr>
              <w:t>项目名称</w:t>
            </w:r>
          </w:p>
        </w:tc>
        <w:tc>
          <w:tcPr>
            <w:tcW w:w="4360" w:type="dxa"/>
          </w:tcPr>
          <w:p w14:paraId="3387A78D">
            <w:pPr>
              <w:pStyle w:val="206"/>
              <w:spacing w:before="227" w:line="228" w:lineRule="auto"/>
              <w:ind w:left="1771"/>
              <w:rPr>
                <w:color w:val="auto"/>
                <w:highlight w:val="none"/>
              </w:rPr>
            </w:pPr>
            <w:r>
              <w:rPr>
                <w:color w:val="auto"/>
                <w:spacing w:val="6"/>
                <w:highlight w:val="none"/>
              </w:rPr>
              <w:t>具体内容</w:t>
            </w:r>
          </w:p>
        </w:tc>
        <w:tc>
          <w:tcPr>
            <w:tcW w:w="1194" w:type="dxa"/>
          </w:tcPr>
          <w:p w14:paraId="1026933B">
            <w:pPr>
              <w:pStyle w:val="206"/>
              <w:spacing w:before="227" w:line="228" w:lineRule="auto"/>
              <w:ind w:left="187"/>
              <w:rPr>
                <w:color w:val="auto"/>
                <w:highlight w:val="none"/>
              </w:rPr>
            </w:pPr>
            <w:r>
              <w:rPr>
                <w:color w:val="auto"/>
                <w:spacing w:val="-5"/>
                <w:highlight w:val="none"/>
              </w:rPr>
              <w:t>项目类型</w:t>
            </w:r>
          </w:p>
        </w:tc>
      </w:tr>
      <w:tr w14:paraId="0DB6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4" w:type="dxa"/>
          </w:tcPr>
          <w:p w14:paraId="3AEAE4AE">
            <w:pPr>
              <w:spacing w:before="263" w:line="195" w:lineRule="auto"/>
              <w:ind w:left="319"/>
              <w:rPr>
                <w:rFonts w:eastAsia="Times New Roman"/>
                <w:color w:val="auto"/>
                <w:sz w:val="20"/>
                <w:szCs w:val="20"/>
                <w:highlight w:val="none"/>
              </w:rPr>
            </w:pPr>
            <w:r>
              <w:rPr>
                <w:rFonts w:eastAsia="Times New Roman"/>
                <w:color w:val="auto"/>
                <w:spacing w:val="-9"/>
                <w:sz w:val="20"/>
                <w:szCs w:val="20"/>
                <w:highlight w:val="none"/>
              </w:rPr>
              <w:t>14</w:t>
            </w:r>
          </w:p>
        </w:tc>
        <w:tc>
          <w:tcPr>
            <w:tcW w:w="1100" w:type="dxa"/>
            <w:vMerge w:val="restart"/>
            <w:tcBorders>
              <w:bottom w:val="nil"/>
            </w:tcBorders>
          </w:tcPr>
          <w:p w14:paraId="467B4343">
            <w:pPr>
              <w:spacing w:line="318" w:lineRule="auto"/>
              <w:rPr>
                <w:rFonts w:ascii="Arial"/>
                <w:color w:val="auto"/>
                <w:highlight w:val="none"/>
              </w:rPr>
            </w:pPr>
          </w:p>
          <w:p w14:paraId="5D737122">
            <w:pPr>
              <w:pStyle w:val="206"/>
              <w:spacing w:before="65" w:line="281" w:lineRule="auto"/>
              <w:ind w:left="114" w:right="107" w:firstLine="12"/>
              <w:rPr>
                <w:color w:val="auto"/>
                <w:highlight w:val="none"/>
              </w:rPr>
            </w:pPr>
            <w:r>
              <w:rPr>
                <w:color w:val="auto"/>
                <w:spacing w:val="14"/>
                <w:highlight w:val="none"/>
              </w:rPr>
              <w:t>网络连接</w:t>
            </w:r>
            <w:r>
              <w:rPr>
                <w:color w:val="auto"/>
                <w:spacing w:val="3"/>
                <w:highlight w:val="none"/>
              </w:rPr>
              <w:t>设备</w:t>
            </w:r>
          </w:p>
        </w:tc>
        <w:tc>
          <w:tcPr>
            <w:tcW w:w="1562" w:type="dxa"/>
          </w:tcPr>
          <w:p w14:paraId="4A0D66CD">
            <w:pPr>
              <w:pStyle w:val="206"/>
              <w:spacing w:before="227" w:line="228" w:lineRule="auto"/>
              <w:ind w:left="213"/>
              <w:rPr>
                <w:color w:val="auto"/>
                <w:highlight w:val="none"/>
              </w:rPr>
            </w:pPr>
            <w:r>
              <w:rPr>
                <w:rFonts w:ascii="Times New Roman" w:hAnsi="Times New Roman" w:eastAsia="Times New Roman" w:cs="Times New Roman"/>
                <w:color w:val="auto"/>
                <w:highlight w:val="none"/>
              </w:rPr>
              <w:t>WIFI</w:t>
            </w:r>
            <w:r>
              <w:rPr>
                <w:color w:val="auto"/>
                <w:spacing w:val="9"/>
                <w:highlight w:val="none"/>
              </w:rPr>
              <w:t>路由器</w:t>
            </w:r>
          </w:p>
        </w:tc>
        <w:tc>
          <w:tcPr>
            <w:tcW w:w="4360" w:type="dxa"/>
            <w:vMerge w:val="restart"/>
            <w:tcBorders>
              <w:bottom w:val="nil"/>
            </w:tcBorders>
          </w:tcPr>
          <w:p w14:paraId="1A252847">
            <w:pPr>
              <w:spacing w:line="476" w:lineRule="auto"/>
              <w:rPr>
                <w:rFonts w:ascii="Arial"/>
                <w:color w:val="auto"/>
                <w:highlight w:val="none"/>
              </w:rPr>
            </w:pPr>
          </w:p>
          <w:p w14:paraId="2C4E68DB">
            <w:pPr>
              <w:pStyle w:val="206"/>
              <w:spacing w:before="65" w:line="227" w:lineRule="auto"/>
              <w:ind w:left="296"/>
              <w:rPr>
                <w:color w:val="auto"/>
                <w:highlight w:val="none"/>
              </w:rPr>
            </w:pPr>
            <w:r>
              <w:rPr>
                <w:color w:val="auto"/>
                <w:spacing w:val="9"/>
                <w:highlight w:val="none"/>
              </w:rPr>
              <w:t>保证相关智能设备数据的传送和服务响应</w:t>
            </w:r>
          </w:p>
        </w:tc>
        <w:tc>
          <w:tcPr>
            <w:tcW w:w="1194" w:type="dxa"/>
            <w:vMerge w:val="restart"/>
            <w:tcBorders>
              <w:bottom w:val="nil"/>
            </w:tcBorders>
          </w:tcPr>
          <w:p w14:paraId="77019355">
            <w:pPr>
              <w:spacing w:line="318" w:lineRule="auto"/>
              <w:rPr>
                <w:rFonts w:ascii="Arial"/>
                <w:color w:val="auto"/>
                <w:highlight w:val="none"/>
              </w:rPr>
            </w:pPr>
          </w:p>
          <w:p w14:paraId="3EA57B0A">
            <w:pPr>
              <w:pStyle w:val="206"/>
              <w:spacing w:before="65" w:line="281" w:lineRule="auto"/>
              <w:ind w:left="116" w:right="110"/>
              <w:rPr>
                <w:color w:val="auto"/>
                <w:highlight w:val="none"/>
              </w:rPr>
            </w:pPr>
            <w:r>
              <w:rPr>
                <w:color w:val="auto"/>
                <w:spacing w:val="-8"/>
                <w:highlight w:val="none"/>
              </w:rPr>
              <w:t>基础（任选</w:t>
            </w:r>
            <w:r>
              <w:rPr>
                <w:color w:val="auto"/>
                <w:highlight w:val="none"/>
              </w:rPr>
              <w:t>其一）</w:t>
            </w:r>
          </w:p>
        </w:tc>
      </w:tr>
      <w:tr w14:paraId="67CE5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4" w:type="dxa"/>
          </w:tcPr>
          <w:p w14:paraId="4537538A">
            <w:pPr>
              <w:spacing w:before="263" w:line="195" w:lineRule="auto"/>
              <w:ind w:left="319"/>
              <w:rPr>
                <w:rFonts w:eastAsia="Times New Roman"/>
                <w:color w:val="auto"/>
                <w:sz w:val="20"/>
                <w:szCs w:val="20"/>
                <w:highlight w:val="none"/>
              </w:rPr>
            </w:pPr>
            <w:r>
              <w:rPr>
                <w:rFonts w:eastAsia="Times New Roman"/>
                <w:color w:val="auto"/>
                <w:spacing w:val="-9"/>
                <w:sz w:val="20"/>
                <w:szCs w:val="20"/>
                <w:highlight w:val="none"/>
              </w:rPr>
              <w:t>15</w:t>
            </w:r>
          </w:p>
        </w:tc>
        <w:tc>
          <w:tcPr>
            <w:tcW w:w="1100" w:type="dxa"/>
            <w:vMerge w:val="continue"/>
            <w:tcBorders>
              <w:top w:val="nil"/>
            </w:tcBorders>
          </w:tcPr>
          <w:p w14:paraId="08CEC217">
            <w:pPr>
              <w:rPr>
                <w:rFonts w:ascii="Arial"/>
                <w:color w:val="auto"/>
                <w:highlight w:val="none"/>
              </w:rPr>
            </w:pPr>
          </w:p>
        </w:tc>
        <w:tc>
          <w:tcPr>
            <w:tcW w:w="1562" w:type="dxa"/>
          </w:tcPr>
          <w:p w14:paraId="24594040">
            <w:pPr>
              <w:pStyle w:val="206"/>
              <w:spacing w:before="227" w:line="228" w:lineRule="auto"/>
              <w:ind w:left="366"/>
              <w:rPr>
                <w:color w:val="auto"/>
                <w:highlight w:val="none"/>
              </w:rPr>
            </w:pPr>
            <w:r>
              <w:rPr>
                <w:color w:val="auto"/>
                <w:spacing w:val="7"/>
                <w:highlight w:val="none"/>
              </w:rPr>
              <w:t>无线网卡</w:t>
            </w:r>
          </w:p>
        </w:tc>
        <w:tc>
          <w:tcPr>
            <w:tcW w:w="4360" w:type="dxa"/>
            <w:vMerge w:val="continue"/>
            <w:tcBorders>
              <w:top w:val="nil"/>
            </w:tcBorders>
          </w:tcPr>
          <w:p w14:paraId="0ECC956B">
            <w:pPr>
              <w:rPr>
                <w:rFonts w:ascii="Arial"/>
                <w:color w:val="auto"/>
                <w:highlight w:val="none"/>
              </w:rPr>
            </w:pPr>
          </w:p>
        </w:tc>
        <w:tc>
          <w:tcPr>
            <w:tcW w:w="1194" w:type="dxa"/>
            <w:vMerge w:val="continue"/>
            <w:tcBorders>
              <w:top w:val="nil"/>
            </w:tcBorders>
          </w:tcPr>
          <w:p w14:paraId="25D1FF52">
            <w:pPr>
              <w:rPr>
                <w:rFonts w:ascii="Arial"/>
                <w:color w:val="auto"/>
                <w:highlight w:val="none"/>
              </w:rPr>
            </w:pPr>
          </w:p>
        </w:tc>
      </w:tr>
      <w:tr w14:paraId="6493C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4" w:type="dxa"/>
          </w:tcPr>
          <w:p w14:paraId="1F09DF3C">
            <w:pPr>
              <w:spacing w:line="261" w:lineRule="auto"/>
              <w:rPr>
                <w:rFonts w:ascii="Arial"/>
                <w:color w:val="auto"/>
                <w:highlight w:val="none"/>
              </w:rPr>
            </w:pPr>
          </w:p>
          <w:p w14:paraId="02A09D58">
            <w:pPr>
              <w:spacing w:before="57" w:line="195" w:lineRule="auto"/>
              <w:ind w:left="319"/>
              <w:rPr>
                <w:rFonts w:eastAsia="Times New Roman"/>
                <w:color w:val="auto"/>
                <w:sz w:val="20"/>
                <w:szCs w:val="20"/>
                <w:highlight w:val="none"/>
              </w:rPr>
            </w:pPr>
            <w:r>
              <w:rPr>
                <w:rFonts w:eastAsia="Times New Roman"/>
                <w:color w:val="auto"/>
                <w:spacing w:val="-9"/>
                <w:sz w:val="20"/>
                <w:szCs w:val="20"/>
                <w:highlight w:val="none"/>
              </w:rPr>
              <w:t>16</w:t>
            </w:r>
          </w:p>
        </w:tc>
        <w:tc>
          <w:tcPr>
            <w:tcW w:w="1100" w:type="dxa"/>
          </w:tcPr>
          <w:p w14:paraId="18623238">
            <w:pPr>
              <w:pStyle w:val="206"/>
              <w:spacing w:before="123" w:line="281" w:lineRule="auto"/>
              <w:ind w:left="114" w:right="131" w:firstLine="2"/>
              <w:rPr>
                <w:color w:val="auto"/>
                <w:highlight w:val="none"/>
              </w:rPr>
            </w:pPr>
            <w:r>
              <w:rPr>
                <w:color w:val="auto"/>
                <w:spacing w:val="-1"/>
                <w:highlight w:val="none"/>
              </w:rPr>
              <w:t>紧急呼叫</w:t>
            </w:r>
            <w:r>
              <w:rPr>
                <w:color w:val="auto"/>
                <w:spacing w:val="3"/>
                <w:highlight w:val="none"/>
              </w:rPr>
              <w:t>设备</w:t>
            </w:r>
          </w:p>
        </w:tc>
        <w:tc>
          <w:tcPr>
            <w:tcW w:w="1562" w:type="dxa"/>
          </w:tcPr>
          <w:p w14:paraId="4F712A56">
            <w:pPr>
              <w:pStyle w:val="206"/>
              <w:spacing w:before="284" w:line="228" w:lineRule="auto"/>
              <w:ind w:left="267"/>
              <w:rPr>
                <w:color w:val="auto"/>
                <w:highlight w:val="none"/>
              </w:rPr>
            </w:pPr>
            <w:r>
              <w:rPr>
                <w:color w:val="auto"/>
                <w:spacing w:val="6"/>
                <w:highlight w:val="none"/>
              </w:rPr>
              <w:t>紧急呼叫器</w:t>
            </w:r>
          </w:p>
        </w:tc>
        <w:tc>
          <w:tcPr>
            <w:tcW w:w="4360" w:type="dxa"/>
          </w:tcPr>
          <w:p w14:paraId="3DBD9680">
            <w:pPr>
              <w:pStyle w:val="206"/>
              <w:spacing w:before="123" w:line="281" w:lineRule="auto"/>
              <w:ind w:left="115" w:right="104" w:firstLine="1"/>
              <w:rPr>
                <w:color w:val="auto"/>
                <w:highlight w:val="none"/>
              </w:rPr>
            </w:pPr>
            <w:r>
              <w:rPr>
                <w:color w:val="auto"/>
                <w:spacing w:val="6"/>
                <w:highlight w:val="none"/>
              </w:rPr>
              <w:t>安装在床头、卫生间等关键位置，老年人出现</w:t>
            </w:r>
            <w:r>
              <w:rPr>
                <w:color w:val="auto"/>
                <w:spacing w:val="7"/>
                <w:highlight w:val="none"/>
              </w:rPr>
              <w:t>危机情况便于一键呼叫</w:t>
            </w:r>
          </w:p>
        </w:tc>
        <w:tc>
          <w:tcPr>
            <w:tcW w:w="1194" w:type="dxa"/>
          </w:tcPr>
          <w:p w14:paraId="68983C0A">
            <w:pPr>
              <w:pStyle w:val="206"/>
              <w:spacing w:before="285" w:line="233" w:lineRule="auto"/>
              <w:ind w:left="392"/>
              <w:rPr>
                <w:color w:val="auto"/>
                <w:highlight w:val="none"/>
              </w:rPr>
            </w:pPr>
            <w:r>
              <w:rPr>
                <w:color w:val="auto"/>
                <w:spacing w:val="4"/>
                <w:highlight w:val="none"/>
              </w:rPr>
              <w:t>基础</w:t>
            </w:r>
          </w:p>
        </w:tc>
      </w:tr>
      <w:tr w14:paraId="03E2A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4" w:type="dxa"/>
          </w:tcPr>
          <w:p w14:paraId="1F9E2CDD">
            <w:pPr>
              <w:spacing w:line="260" w:lineRule="auto"/>
              <w:rPr>
                <w:rFonts w:ascii="Arial"/>
                <w:color w:val="auto"/>
                <w:highlight w:val="none"/>
              </w:rPr>
            </w:pPr>
          </w:p>
          <w:p w14:paraId="3AAF558A">
            <w:pPr>
              <w:spacing w:before="58" w:line="195" w:lineRule="auto"/>
              <w:ind w:left="319"/>
              <w:rPr>
                <w:rFonts w:eastAsia="Times New Roman"/>
                <w:color w:val="auto"/>
                <w:sz w:val="20"/>
                <w:szCs w:val="20"/>
                <w:highlight w:val="none"/>
              </w:rPr>
            </w:pPr>
            <w:r>
              <w:rPr>
                <w:rFonts w:eastAsia="Times New Roman"/>
                <w:color w:val="auto"/>
                <w:spacing w:val="-9"/>
                <w:sz w:val="20"/>
                <w:szCs w:val="20"/>
                <w:highlight w:val="none"/>
              </w:rPr>
              <w:t>17</w:t>
            </w:r>
          </w:p>
        </w:tc>
        <w:tc>
          <w:tcPr>
            <w:tcW w:w="1100" w:type="dxa"/>
          </w:tcPr>
          <w:p w14:paraId="63908238">
            <w:pPr>
              <w:pStyle w:val="206"/>
              <w:spacing w:before="123" w:line="281" w:lineRule="auto"/>
              <w:ind w:left="112" w:right="107"/>
              <w:rPr>
                <w:color w:val="auto"/>
                <w:highlight w:val="none"/>
              </w:rPr>
            </w:pPr>
            <w:r>
              <w:rPr>
                <w:color w:val="auto"/>
                <w:spacing w:val="18"/>
                <w:highlight w:val="none"/>
              </w:rPr>
              <w:t>生命体征</w:t>
            </w:r>
            <w:r>
              <w:rPr>
                <w:color w:val="auto"/>
                <w:spacing w:val="7"/>
                <w:highlight w:val="none"/>
              </w:rPr>
              <w:t>监测设备</w:t>
            </w:r>
          </w:p>
        </w:tc>
        <w:tc>
          <w:tcPr>
            <w:tcW w:w="1562" w:type="dxa"/>
          </w:tcPr>
          <w:p w14:paraId="50D67DCC">
            <w:pPr>
              <w:pStyle w:val="206"/>
              <w:spacing w:before="284" w:line="228" w:lineRule="auto"/>
              <w:ind w:left="370"/>
              <w:rPr>
                <w:color w:val="auto"/>
                <w:highlight w:val="none"/>
              </w:rPr>
            </w:pPr>
            <w:r>
              <w:rPr>
                <w:color w:val="auto"/>
                <w:spacing w:val="3"/>
                <w:highlight w:val="none"/>
              </w:rPr>
              <w:t>智能腕表</w:t>
            </w:r>
          </w:p>
        </w:tc>
        <w:tc>
          <w:tcPr>
            <w:tcW w:w="4360" w:type="dxa"/>
          </w:tcPr>
          <w:p w14:paraId="494EA82E">
            <w:pPr>
              <w:pStyle w:val="206"/>
              <w:spacing w:before="123" w:line="281" w:lineRule="auto"/>
              <w:ind w:left="114" w:right="113"/>
              <w:rPr>
                <w:color w:val="auto"/>
                <w:highlight w:val="none"/>
              </w:rPr>
            </w:pPr>
            <w:r>
              <w:rPr>
                <w:color w:val="auto"/>
                <w:spacing w:val="6"/>
                <w:highlight w:val="none"/>
              </w:rPr>
              <w:t>动态监测和记录老年人呼吸、心率等参数，发</w:t>
            </w:r>
            <w:r>
              <w:rPr>
                <w:color w:val="auto"/>
                <w:highlight w:val="none"/>
              </w:rPr>
              <w:t>现异常自动提醒</w:t>
            </w:r>
          </w:p>
        </w:tc>
        <w:tc>
          <w:tcPr>
            <w:tcW w:w="1194" w:type="dxa"/>
          </w:tcPr>
          <w:p w14:paraId="4E3B38CC">
            <w:pPr>
              <w:pStyle w:val="206"/>
              <w:spacing w:before="284" w:line="233" w:lineRule="auto"/>
              <w:ind w:left="392"/>
              <w:rPr>
                <w:color w:val="auto"/>
                <w:highlight w:val="none"/>
              </w:rPr>
            </w:pPr>
            <w:r>
              <w:rPr>
                <w:color w:val="auto"/>
                <w:spacing w:val="4"/>
                <w:highlight w:val="none"/>
              </w:rPr>
              <w:t>基础</w:t>
            </w:r>
          </w:p>
        </w:tc>
      </w:tr>
      <w:tr w14:paraId="28C4E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804" w:type="dxa"/>
          </w:tcPr>
          <w:p w14:paraId="4E7FA0BC">
            <w:pPr>
              <w:spacing w:line="260" w:lineRule="auto"/>
              <w:rPr>
                <w:rFonts w:ascii="Arial"/>
                <w:color w:val="auto"/>
                <w:highlight w:val="none"/>
              </w:rPr>
            </w:pPr>
          </w:p>
          <w:p w14:paraId="2E999E87">
            <w:pPr>
              <w:spacing w:before="57" w:line="195" w:lineRule="auto"/>
              <w:ind w:left="319"/>
              <w:rPr>
                <w:rFonts w:eastAsia="Times New Roman"/>
                <w:color w:val="auto"/>
                <w:sz w:val="20"/>
                <w:szCs w:val="20"/>
                <w:highlight w:val="none"/>
              </w:rPr>
            </w:pPr>
            <w:r>
              <w:rPr>
                <w:rFonts w:eastAsia="Times New Roman"/>
                <w:color w:val="auto"/>
                <w:spacing w:val="-9"/>
                <w:sz w:val="20"/>
                <w:szCs w:val="20"/>
                <w:highlight w:val="none"/>
              </w:rPr>
              <w:t>18</w:t>
            </w:r>
          </w:p>
        </w:tc>
        <w:tc>
          <w:tcPr>
            <w:tcW w:w="1100" w:type="dxa"/>
            <w:vMerge w:val="restart"/>
            <w:tcBorders>
              <w:bottom w:val="nil"/>
            </w:tcBorders>
          </w:tcPr>
          <w:p w14:paraId="7F849F91">
            <w:pPr>
              <w:spacing w:line="267" w:lineRule="auto"/>
              <w:rPr>
                <w:rFonts w:ascii="Arial"/>
                <w:color w:val="auto"/>
                <w:highlight w:val="none"/>
              </w:rPr>
            </w:pPr>
          </w:p>
          <w:p w14:paraId="4D7C46B7">
            <w:pPr>
              <w:spacing w:line="267" w:lineRule="auto"/>
              <w:rPr>
                <w:rFonts w:ascii="Arial"/>
                <w:color w:val="auto"/>
                <w:highlight w:val="none"/>
              </w:rPr>
            </w:pPr>
          </w:p>
          <w:p w14:paraId="6FD1DACA">
            <w:pPr>
              <w:spacing w:line="268" w:lineRule="auto"/>
              <w:rPr>
                <w:rFonts w:ascii="Arial"/>
                <w:color w:val="auto"/>
                <w:highlight w:val="none"/>
              </w:rPr>
            </w:pPr>
          </w:p>
          <w:p w14:paraId="33E3E6B3">
            <w:pPr>
              <w:pStyle w:val="206"/>
              <w:spacing w:before="65" w:line="280" w:lineRule="auto"/>
              <w:ind w:left="111" w:right="107" w:firstLine="4"/>
              <w:rPr>
                <w:color w:val="auto"/>
                <w:highlight w:val="none"/>
              </w:rPr>
            </w:pPr>
            <w:r>
              <w:rPr>
                <w:color w:val="auto"/>
                <w:spacing w:val="17"/>
                <w:highlight w:val="none"/>
              </w:rPr>
              <w:t>安全监控</w:t>
            </w:r>
            <w:r>
              <w:rPr>
                <w:color w:val="auto"/>
                <w:spacing w:val="4"/>
                <w:highlight w:val="none"/>
              </w:rPr>
              <w:t>装置</w:t>
            </w:r>
          </w:p>
        </w:tc>
        <w:tc>
          <w:tcPr>
            <w:tcW w:w="1562" w:type="dxa"/>
          </w:tcPr>
          <w:p w14:paraId="1E4A8E4E">
            <w:pPr>
              <w:pStyle w:val="206"/>
              <w:spacing w:before="283" w:line="228" w:lineRule="auto"/>
              <w:ind w:left="262"/>
              <w:rPr>
                <w:color w:val="auto"/>
                <w:highlight w:val="none"/>
              </w:rPr>
            </w:pPr>
            <w:r>
              <w:rPr>
                <w:color w:val="auto"/>
                <w:spacing w:val="6"/>
                <w:highlight w:val="none"/>
              </w:rPr>
              <w:t>烟雾报警器</w:t>
            </w:r>
          </w:p>
        </w:tc>
        <w:tc>
          <w:tcPr>
            <w:tcW w:w="4360" w:type="dxa"/>
            <w:vMerge w:val="restart"/>
            <w:tcBorders>
              <w:bottom w:val="nil"/>
            </w:tcBorders>
          </w:tcPr>
          <w:p w14:paraId="100FE543">
            <w:pPr>
              <w:spacing w:line="267" w:lineRule="auto"/>
              <w:rPr>
                <w:rFonts w:ascii="Arial"/>
                <w:color w:val="auto"/>
                <w:highlight w:val="none"/>
              </w:rPr>
            </w:pPr>
          </w:p>
          <w:p w14:paraId="58D74E99">
            <w:pPr>
              <w:spacing w:line="267" w:lineRule="auto"/>
              <w:rPr>
                <w:rFonts w:ascii="Arial"/>
                <w:color w:val="auto"/>
                <w:highlight w:val="none"/>
              </w:rPr>
            </w:pPr>
          </w:p>
          <w:p w14:paraId="6BAA9403">
            <w:pPr>
              <w:spacing w:line="267" w:lineRule="auto"/>
              <w:rPr>
                <w:rFonts w:ascii="Arial"/>
                <w:color w:val="auto"/>
                <w:highlight w:val="none"/>
              </w:rPr>
            </w:pPr>
          </w:p>
          <w:p w14:paraId="45B5AA7A">
            <w:pPr>
              <w:pStyle w:val="206"/>
              <w:spacing w:before="65" w:line="280" w:lineRule="auto"/>
              <w:ind w:left="116" w:right="115"/>
              <w:rPr>
                <w:color w:val="auto"/>
                <w:highlight w:val="none"/>
              </w:rPr>
            </w:pPr>
            <w:r>
              <w:rPr>
                <w:color w:val="auto"/>
                <w:spacing w:val="6"/>
                <w:highlight w:val="none"/>
              </w:rPr>
              <w:t>安装在居家应急响应位置，用于监测老年人居</w:t>
            </w:r>
            <w:r>
              <w:rPr>
                <w:color w:val="auto"/>
                <w:spacing w:val="9"/>
                <w:highlight w:val="none"/>
              </w:rPr>
              <w:t>室环境，发生险情时及时报警</w:t>
            </w:r>
          </w:p>
        </w:tc>
        <w:tc>
          <w:tcPr>
            <w:tcW w:w="1194" w:type="dxa"/>
          </w:tcPr>
          <w:p w14:paraId="1CCC4D98">
            <w:pPr>
              <w:pStyle w:val="206"/>
              <w:spacing w:before="283" w:line="233" w:lineRule="auto"/>
              <w:ind w:left="392"/>
              <w:rPr>
                <w:color w:val="auto"/>
                <w:highlight w:val="none"/>
              </w:rPr>
            </w:pPr>
            <w:r>
              <w:rPr>
                <w:color w:val="auto"/>
                <w:spacing w:val="4"/>
                <w:highlight w:val="none"/>
              </w:rPr>
              <w:t>基础</w:t>
            </w:r>
          </w:p>
        </w:tc>
      </w:tr>
      <w:tr w14:paraId="54684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04" w:type="dxa"/>
          </w:tcPr>
          <w:p w14:paraId="53CF2EC2">
            <w:pPr>
              <w:spacing w:line="261" w:lineRule="auto"/>
              <w:rPr>
                <w:rFonts w:ascii="Arial"/>
                <w:color w:val="auto"/>
                <w:highlight w:val="none"/>
              </w:rPr>
            </w:pPr>
          </w:p>
          <w:p w14:paraId="13239A1B">
            <w:pPr>
              <w:spacing w:before="58" w:line="195" w:lineRule="auto"/>
              <w:ind w:left="319"/>
              <w:rPr>
                <w:rFonts w:eastAsia="Times New Roman"/>
                <w:color w:val="auto"/>
                <w:sz w:val="20"/>
                <w:szCs w:val="20"/>
                <w:highlight w:val="none"/>
              </w:rPr>
            </w:pPr>
            <w:r>
              <w:rPr>
                <w:rFonts w:eastAsia="Times New Roman"/>
                <w:color w:val="auto"/>
                <w:spacing w:val="-9"/>
                <w:sz w:val="20"/>
                <w:szCs w:val="20"/>
                <w:highlight w:val="none"/>
              </w:rPr>
              <w:t>19</w:t>
            </w:r>
          </w:p>
        </w:tc>
        <w:tc>
          <w:tcPr>
            <w:tcW w:w="1100" w:type="dxa"/>
            <w:vMerge w:val="continue"/>
            <w:tcBorders>
              <w:top w:val="nil"/>
              <w:bottom w:val="nil"/>
            </w:tcBorders>
          </w:tcPr>
          <w:p w14:paraId="25E31314">
            <w:pPr>
              <w:rPr>
                <w:rFonts w:ascii="Arial"/>
                <w:color w:val="auto"/>
                <w:highlight w:val="none"/>
              </w:rPr>
            </w:pPr>
          </w:p>
        </w:tc>
        <w:tc>
          <w:tcPr>
            <w:tcW w:w="1562" w:type="dxa"/>
          </w:tcPr>
          <w:p w14:paraId="6EE8B663">
            <w:pPr>
              <w:pStyle w:val="206"/>
              <w:spacing w:before="124" w:line="280" w:lineRule="auto"/>
              <w:ind w:left="111" w:right="115" w:firstLine="3"/>
              <w:rPr>
                <w:color w:val="auto"/>
                <w:highlight w:val="none"/>
              </w:rPr>
            </w:pPr>
            <w:r>
              <w:rPr>
                <w:color w:val="auto"/>
                <w:spacing w:val="7"/>
                <w:highlight w:val="none"/>
              </w:rPr>
              <w:t>可燃气体泄露</w:t>
            </w:r>
            <w:r>
              <w:rPr>
                <w:color w:val="auto"/>
                <w:spacing w:val="4"/>
                <w:highlight w:val="none"/>
              </w:rPr>
              <w:t>报警器</w:t>
            </w:r>
          </w:p>
        </w:tc>
        <w:tc>
          <w:tcPr>
            <w:tcW w:w="4360" w:type="dxa"/>
            <w:vMerge w:val="continue"/>
            <w:tcBorders>
              <w:top w:val="nil"/>
              <w:bottom w:val="nil"/>
            </w:tcBorders>
          </w:tcPr>
          <w:p w14:paraId="7413CF88">
            <w:pPr>
              <w:rPr>
                <w:rFonts w:ascii="Arial"/>
                <w:color w:val="auto"/>
                <w:highlight w:val="none"/>
              </w:rPr>
            </w:pPr>
          </w:p>
        </w:tc>
        <w:tc>
          <w:tcPr>
            <w:tcW w:w="1194" w:type="dxa"/>
          </w:tcPr>
          <w:p w14:paraId="7134D270">
            <w:pPr>
              <w:pStyle w:val="206"/>
              <w:spacing w:before="285" w:line="231" w:lineRule="auto"/>
              <w:ind w:left="394"/>
              <w:rPr>
                <w:color w:val="auto"/>
                <w:highlight w:val="none"/>
              </w:rPr>
            </w:pPr>
            <w:r>
              <w:rPr>
                <w:color w:val="auto"/>
                <w:spacing w:val="4"/>
                <w:highlight w:val="none"/>
              </w:rPr>
              <w:t>可选</w:t>
            </w:r>
          </w:p>
        </w:tc>
      </w:tr>
      <w:tr w14:paraId="7F9A0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04" w:type="dxa"/>
          </w:tcPr>
          <w:p w14:paraId="670356E4">
            <w:pPr>
              <w:spacing w:line="261" w:lineRule="auto"/>
              <w:rPr>
                <w:rFonts w:ascii="Arial"/>
                <w:color w:val="auto"/>
                <w:highlight w:val="none"/>
              </w:rPr>
            </w:pPr>
          </w:p>
          <w:p w14:paraId="29AF6329">
            <w:pPr>
              <w:spacing w:before="57" w:line="195" w:lineRule="auto"/>
              <w:ind w:left="299"/>
              <w:rPr>
                <w:rFonts w:eastAsia="Times New Roman"/>
                <w:color w:val="auto"/>
                <w:sz w:val="20"/>
                <w:szCs w:val="20"/>
                <w:highlight w:val="none"/>
              </w:rPr>
            </w:pPr>
            <w:r>
              <w:rPr>
                <w:rFonts w:eastAsia="Times New Roman"/>
                <w:color w:val="auto"/>
                <w:spacing w:val="1"/>
                <w:sz w:val="20"/>
                <w:szCs w:val="20"/>
                <w:highlight w:val="none"/>
              </w:rPr>
              <w:t>20</w:t>
            </w:r>
          </w:p>
        </w:tc>
        <w:tc>
          <w:tcPr>
            <w:tcW w:w="1100" w:type="dxa"/>
            <w:vMerge w:val="continue"/>
            <w:tcBorders>
              <w:top w:val="nil"/>
            </w:tcBorders>
          </w:tcPr>
          <w:p w14:paraId="732DCD3A">
            <w:pPr>
              <w:rPr>
                <w:rFonts w:ascii="Arial"/>
                <w:color w:val="auto"/>
                <w:highlight w:val="none"/>
              </w:rPr>
            </w:pPr>
          </w:p>
        </w:tc>
        <w:tc>
          <w:tcPr>
            <w:tcW w:w="1562" w:type="dxa"/>
          </w:tcPr>
          <w:p w14:paraId="715A5A4A">
            <w:pPr>
              <w:pStyle w:val="206"/>
              <w:spacing w:before="284" w:line="228" w:lineRule="auto"/>
              <w:ind w:left="263"/>
              <w:rPr>
                <w:color w:val="auto"/>
                <w:highlight w:val="none"/>
              </w:rPr>
            </w:pPr>
            <w:r>
              <w:rPr>
                <w:color w:val="auto"/>
                <w:spacing w:val="6"/>
                <w:highlight w:val="none"/>
              </w:rPr>
              <w:t>溢水报警器</w:t>
            </w:r>
          </w:p>
        </w:tc>
        <w:tc>
          <w:tcPr>
            <w:tcW w:w="4360" w:type="dxa"/>
            <w:vMerge w:val="continue"/>
            <w:tcBorders>
              <w:top w:val="nil"/>
            </w:tcBorders>
          </w:tcPr>
          <w:p w14:paraId="2A553B23">
            <w:pPr>
              <w:rPr>
                <w:rFonts w:ascii="Arial"/>
                <w:color w:val="auto"/>
                <w:highlight w:val="none"/>
              </w:rPr>
            </w:pPr>
          </w:p>
        </w:tc>
        <w:tc>
          <w:tcPr>
            <w:tcW w:w="1194" w:type="dxa"/>
          </w:tcPr>
          <w:p w14:paraId="08B2A868">
            <w:pPr>
              <w:pStyle w:val="206"/>
              <w:spacing w:before="284" w:line="231" w:lineRule="auto"/>
              <w:ind w:left="394"/>
              <w:rPr>
                <w:color w:val="auto"/>
                <w:highlight w:val="none"/>
              </w:rPr>
            </w:pPr>
            <w:r>
              <w:rPr>
                <w:color w:val="auto"/>
                <w:spacing w:val="4"/>
                <w:highlight w:val="none"/>
              </w:rPr>
              <w:t>可选</w:t>
            </w:r>
          </w:p>
        </w:tc>
      </w:tr>
      <w:tr w14:paraId="17D59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804" w:type="dxa"/>
          </w:tcPr>
          <w:p w14:paraId="0C3CED99">
            <w:pPr>
              <w:spacing w:line="256" w:lineRule="auto"/>
              <w:rPr>
                <w:rFonts w:ascii="Arial"/>
                <w:color w:val="auto"/>
                <w:highlight w:val="none"/>
              </w:rPr>
            </w:pPr>
          </w:p>
          <w:p w14:paraId="28577536">
            <w:pPr>
              <w:spacing w:line="257" w:lineRule="auto"/>
              <w:rPr>
                <w:rFonts w:ascii="Arial"/>
                <w:color w:val="auto"/>
                <w:highlight w:val="none"/>
              </w:rPr>
            </w:pPr>
          </w:p>
          <w:p w14:paraId="7CF7B636">
            <w:pPr>
              <w:spacing w:before="58" w:line="195" w:lineRule="auto"/>
              <w:ind w:left="299"/>
              <w:rPr>
                <w:rFonts w:eastAsia="Times New Roman"/>
                <w:color w:val="auto"/>
                <w:sz w:val="20"/>
                <w:szCs w:val="20"/>
                <w:highlight w:val="none"/>
              </w:rPr>
            </w:pPr>
            <w:r>
              <w:rPr>
                <w:rFonts w:eastAsia="Times New Roman"/>
                <w:color w:val="auto"/>
                <w:spacing w:val="1"/>
                <w:sz w:val="20"/>
                <w:szCs w:val="20"/>
                <w:highlight w:val="none"/>
              </w:rPr>
              <w:t>21</w:t>
            </w:r>
          </w:p>
        </w:tc>
        <w:tc>
          <w:tcPr>
            <w:tcW w:w="1100" w:type="dxa"/>
          </w:tcPr>
          <w:p w14:paraId="3AC73EF1">
            <w:pPr>
              <w:pStyle w:val="206"/>
              <w:spacing w:before="220" w:line="286" w:lineRule="auto"/>
              <w:ind w:left="112" w:right="107" w:hanging="2"/>
              <w:jc w:val="both"/>
              <w:rPr>
                <w:color w:val="auto"/>
                <w:highlight w:val="none"/>
              </w:rPr>
            </w:pPr>
            <w:r>
              <w:rPr>
                <w:color w:val="auto"/>
                <w:spacing w:val="16"/>
                <w:highlight w:val="none"/>
              </w:rPr>
              <w:t>视频或语</w:t>
            </w:r>
            <w:r>
              <w:rPr>
                <w:color w:val="auto"/>
                <w:spacing w:val="18"/>
                <w:highlight w:val="none"/>
              </w:rPr>
              <w:t>音通话设</w:t>
            </w:r>
            <w:r>
              <w:rPr>
                <w:color w:val="auto"/>
                <w:highlight w:val="none"/>
              </w:rPr>
              <w:t>备</w:t>
            </w:r>
          </w:p>
        </w:tc>
        <w:tc>
          <w:tcPr>
            <w:tcW w:w="1562" w:type="dxa"/>
          </w:tcPr>
          <w:p w14:paraId="62BC47F7">
            <w:pPr>
              <w:spacing w:line="312" w:lineRule="auto"/>
              <w:rPr>
                <w:rFonts w:ascii="Arial"/>
                <w:color w:val="auto"/>
                <w:highlight w:val="none"/>
              </w:rPr>
            </w:pPr>
          </w:p>
          <w:p w14:paraId="6246C8B4">
            <w:pPr>
              <w:pStyle w:val="206"/>
              <w:spacing w:before="65" w:line="280" w:lineRule="auto"/>
              <w:ind w:left="116" w:right="105" w:firstLine="1"/>
              <w:rPr>
                <w:color w:val="auto"/>
                <w:highlight w:val="none"/>
              </w:rPr>
            </w:pPr>
            <w:r>
              <w:rPr>
                <w:color w:val="auto"/>
                <w:spacing w:val="13"/>
                <w:highlight w:val="none"/>
              </w:rPr>
              <w:t>智能监控摄像</w:t>
            </w:r>
            <w:r>
              <w:rPr>
                <w:color w:val="auto"/>
                <w:highlight w:val="none"/>
              </w:rPr>
              <w:t>头</w:t>
            </w:r>
          </w:p>
        </w:tc>
        <w:tc>
          <w:tcPr>
            <w:tcW w:w="4360" w:type="dxa"/>
          </w:tcPr>
          <w:p w14:paraId="1D69A139">
            <w:pPr>
              <w:spacing w:line="313" w:lineRule="auto"/>
              <w:rPr>
                <w:rFonts w:ascii="Arial"/>
                <w:color w:val="auto"/>
                <w:highlight w:val="none"/>
              </w:rPr>
            </w:pPr>
          </w:p>
          <w:p w14:paraId="7C604EFF">
            <w:pPr>
              <w:pStyle w:val="206"/>
              <w:spacing w:before="65" w:line="280" w:lineRule="auto"/>
              <w:ind w:left="112" w:right="103"/>
              <w:rPr>
                <w:color w:val="auto"/>
                <w:highlight w:val="none"/>
              </w:rPr>
            </w:pPr>
            <w:r>
              <w:rPr>
                <w:color w:val="auto"/>
                <w:spacing w:val="4"/>
                <w:highlight w:val="none"/>
              </w:rPr>
              <w:t>双向实时视频或语音通话，及时准确掌握老人</w:t>
            </w:r>
            <w:r>
              <w:rPr>
                <w:color w:val="auto"/>
                <w:spacing w:val="7"/>
                <w:highlight w:val="none"/>
              </w:rPr>
              <w:t>在家实时情况</w:t>
            </w:r>
          </w:p>
        </w:tc>
        <w:tc>
          <w:tcPr>
            <w:tcW w:w="1194" w:type="dxa"/>
          </w:tcPr>
          <w:p w14:paraId="50D772C1">
            <w:pPr>
              <w:spacing w:line="470" w:lineRule="auto"/>
              <w:rPr>
                <w:rFonts w:ascii="Arial"/>
                <w:color w:val="auto"/>
                <w:highlight w:val="none"/>
              </w:rPr>
            </w:pPr>
          </w:p>
          <w:p w14:paraId="09B71968">
            <w:pPr>
              <w:pStyle w:val="206"/>
              <w:spacing w:before="65" w:line="233" w:lineRule="auto"/>
              <w:ind w:left="392"/>
              <w:rPr>
                <w:color w:val="auto"/>
                <w:highlight w:val="none"/>
              </w:rPr>
            </w:pPr>
            <w:r>
              <w:rPr>
                <w:color w:val="auto"/>
                <w:spacing w:val="4"/>
                <w:highlight w:val="none"/>
              </w:rPr>
              <w:t>基础</w:t>
            </w:r>
          </w:p>
        </w:tc>
      </w:tr>
      <w:tr w14:paraId="4961A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4" w:type="dxa"/>
          </w:tcPr>
          <w:p w14:paraId="193CA3F8">
            <w:pPr>
              <w:spacing w:line="290" w:lineRule="auto"/>
              <w:rPr>
                <w:rFonts w:ascii="Arial"/>
                <w:color w:val="auto"/>
                <w:highlight w:val="none"/>
              </w:rPr>
            </w:pPr>
          </w:p>
          <w:p w14:paraId="2F166A02">
            <w:pPr>
              <w:spacing w:before="58" w:line="195" w:lineRule="auto"/>
              <w:ind w:left="299"/>
              <w:rPr>
                <w:rFonts w:eastAsia="Times New Roman"/>
                <w:color w:val="auto"/>
                <w:sz w:val="20"/>
                <w:szCs w:val="20"/>
                <w:highlight w:val="none"/>
              </w:rPr>
            </w:pPr>
            <w:r>
              <w:rPr>
                <w:rFonts w:eastAsia="Times New Roman"/>
                <w:color w:val="auto"/>
                <w:spacing w:val="1"/>
                <w:sz w:val="20"/>
                <w:szCs w:val="20"/>
                <w:highlight w:val="none"/>
              </w:rPr>
              <w:t>22</w:t>
            </w:r>
          </w:p>
        </w:tc>
        <w:tc>
          <w:tcPr>
            <w:tcW w:w="1100" w:type="dxa"/>
            <w:vMerge w:val="restart"/>
            <w:tcBorders>
              <w:bottom w:val="nil"/>
            </w:tcBorders>
          </w:tcPr>
          <w:p w14:paraId="39D1BD8C">
            <w:pPr>
              <w:spacing w:line="244" w:lineRule="auto"/>
              <w:rPr>
                <w:rFonts w:ascii="Arial"/>
                <w:color w:val="auto"/>
                <w:highlight w:val="none"/>
              </w:rPr>
            </w:pPr>
          </w:p>
          <w:p w14:paraId="1B6D5D2F">
            <w:pPr>
              <w:spacing w:line="244" w:lineRule="auto"/>
              <w:rPr>
                <w:rFonts w:ascii="Arial"/>
                <w:color w:val="auto"/>
                <w:highlight w:val="none"/>
              </w:rPr>
            </w:pPr>
          </w:p>
          <w:p w14:paraId="03708889">
            <w:pPr>
              <w:pStyle w:val="206"/>
              <w:spacing w:before="65" w:line="281" w:lineRule="auto"/>
              <w:ind w:left="114" w:right="116" w:firstLine="1"/>
              <w:rPr>
                <w:color w:val="auto"/>
                <w:highlight w:val="none"/>
              </w:rPr>
            </w:pPr>
            <w:r>
              <w:rPr>
                <w:color w:val="auto"/>
                <w:spacing w:val="2"/>
                <w:highlight w:val="none"/>
              </w:rPr>
              <w:t>智能感应</w:t>
            </w:r>
            <w:r>
              <w:rPr>
                <w:color w:val="auto"/>
                <w:spacing w:val="3"/>
                <w:highlight w:val="none"/>
              </w:rPr>
              <w:t>设备</w:t>
            </w:r>
          </w:p>
        </w:tc>
        <w:tc>
          <w:tcPr>
            <w:tcW w:w="1562" w:type="dxa"/>
          </w:tcPr>
          <w:p w14:paraId="3E30993F">
            <w:pPr>
              <w:spacing w:line="247" w:lineRule="auto"/>
              <w:rPr>
                <w:rFonts w:ascii="Arial"/>
                <w:color w:val="auto"/>
                <w:highlight w:val="none"/>
              </w:rPr>
            </w:pPr>
          </w:p>
          <w:p w14:paraId="18726C25">
            <w:pPr>
              <w:pStyle w:val="206"/>
              <w:spacing w:before="65" w:line="230" w:lineRule="auto"/>
              <w:ind w:left="285"/>
              <w:rPr>
                <w:color w:val="auto"/>
                <w:highlight w:val="none"/>
              </w:rPr>
            </w:pPr>
            <w:r>
              <w:rPr>
                <w:color w:val="auto"/>
                <w:spacing w:val="3"/>
                <w:highlight w:val="none"/>
              </w:rPr>
              <w:t>门磁感应器</w:t>
            </w:r>
          </w:p>
        </w:tc>
        <w:tc>
          <w:tcPr>
            <w:tcW w:w="4360" w:type="dxa"/>
          </w:tcPr>
          <w:p w14:paraId="59C3C4E6">
            <w:pPr>
              <w:pStyle w:val="206"/>
              <w:spacing w:before="153" w:line="282" w:lineRule="auto"/>
              <w:ind w:left="113" w:right="98"/>
              <w:rPr>
                <w:color w:val="auto"/>
                <w:highlight w:val="none"/>
              </w:rPr>
            </w:pPr>
            <w:r>
              <w:rPr>
                <w:color w:val="auto"/>
                <w:spacing w:val="7"/>
                <w:highlight w:val="none"/>
              </w:rPr>
              <w:t>装在门或窗等位置，实时监测门窗开闭状态，</w:t>
            </w:r>
            <w:r>
              <w:rPr>
                <w:color w:val="auto"/>
                <w:spacing w:val="8"/>
                <w:highlight w:val="none"/>
              </w:rPr>
              <w:t>触发及时报警</w:t>
            </w:r>
          </w:p>
        </w:tc>
        <w:tc>
          <w:tcPr>
            <w:tcW w:w="1194" w:type="dxa"/>
          </w:tcPr>
          <w:p w14:paraId="259CC703">
            <w:pPr>
              <w:spacing w:line="248" w:lineRule="auto"/>
              <w:rPr>
                <w:rFonts w:ascii="Arial"/>
                <w:color w:val="auto"/>
                <w:highlight w:val="none"/>
              </w:rPr>
            </w:pPr>
          </w:p>
          <w:p w14:paraId="339BC650">
            <w:pPr>
              <w:pStyle w:val="206"/>
              <w:spacing w:before="65" w:line="231" w:lineRule="auto"/>
              <w:ind w:left="394"/>
              <w:rPr>
                <w:color w:val="auto"/>
                <w:highlight w:val="none"/>
              </w:rPr>
            </w:pPr>
            <w:r>
              <w:rPr>
                <w:color w:val="auto"/>
                <w:spacing w:val="4"/>
                <w:highlight w:val="none"/>
              </w:rPr>
              <w:t>可选</w:t>
            </w:r>
          </w:p>
        </w:tc>
      </w:tr>
      <w:tr w14:paraId="315DE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04" w:type="dxa"/>
          </w:tcPr>
          <w:p w14:paraId="5D9B405F">
            <w:pPr>
              <w:spacing w:line="291" w:lineRule="auto"/>
              <w:rPr>
                <w:rFonts w:ascii="Arial"/>
                <w:color w:val="auto"/>
                <w:highlight w:val="none"/>
              </w:rPr>
            </w:pPr>
          </w:p>
          <w:p w14:paraId="6FF985AA">
            <w:pPr>
              <w:spacing w:before="58" w:line="195" w:lineRule="auto"/>
              <w:ind w:left="299"/>
              <w:rPr>
                <w:rFonts w:eastAsia="Times New Roman"/>
                <w:color w:val="auto"/>
                <w:sz w:val="20"/>
                <w:szCs w:val="20"/>
                <w:highlight w:val="none"/>
              </w:rPr>
            </w:pPr>
            <w:r>
              <w:rPr>
                <w:rFonts w:eastAsia="Times New Roman"/>
                <w:color w:val="auto"/>
                <w:spacing w:val="1"/>
                <w:sz w:val="20"/>
                <w:szCs w:val="20"/>
                <w:highlight w:val="none"/>
              </w:rPr>
              <w:t>23</w:t>
            </w:r>
          </w:p>
        </w:tc>
        <w:tc>
          <w:tcPr>
            <w:tcW w:w="1100" w:type="dxa"/>
            <w:vMerge w:val="continue"/>
            <w:tcBorders>
              <w:top w:val="nil"/>
            </w:tcBorders>
          </w:tcPr>
          <w:p w14:paraId="5FDA5CF7">
            <w:pPr>
              <w:rPr>
                <w:rFonts w:ascii="Arial"/>
                <w:color w:val="auto"/>
                <w:highlight w:val="none"/>
              </w:rPr>
            </w:pPr>
          </w:p>
        </w:tc>
        <w:tc>
          <w:tcPr>
            <w:tcW w:w="1562" w:type="dxa"/>
          </w:tcPr>
          <w:p w14:paraId="3AE5729B">
            <w:pPr>
              <w:spacing w:line="249" w:lineRule="auto"/>
              <w:rPr>
                <w:rFonts w:ascii="Arial"/>
                <w:color w:val="auto"/>
                <w:highlight w:val="none"/>
              </w:rPr>
            </w:pPr>
          </w:p>
          <w:p w14:paraId="05F9CF85">
            <w:pPr>
              <w:pStyle w:val="206"/>
              <w:spacing w:before="65" w:line="228" w:lineRule="auto"/>
              <w:ind w:left="266"/>
              <w:rPr>
                <w:color w:val="auto"/>
                <w:highlight w:val="none"/>
              </w:rPr>
            </w:pPr>
            <w:r>
              <w:rPr>
                <w:color w:val="auto"/>
                <w:spacing w:val="5"/>
                <w:highlight w:val="none"/>
              </w:rPr>
              <w:t>红外探测器</w:t>
            </w:r>
          </w:p>
        </w:tc>
        <w:tc>
          <w:tcPr>
            <w:tcW w:w="4360" w:type="dxa"/>
          </w:tcPr>
          <w:p w14:paraId="1558138A">
            <w:pPr>
              <w:pStyle w:val="206"/>
              <w:spacing w:before="154" w:line="282" w:lineRule="auto"/>
              <w:ind w:left="114" w:right="104" w:firstLine="3"/>
              <w:rPr>
                <w:color w:val="auto"/>
                <w:highlight w:val="none"/>
              </w:rPr>
            </w:pPr>
            <w:r>
              <w:rPr>
                <w:color w:val="auto"/>
                <w:spacing w:val="6"/>
                <w:highlight w:val="none"/>
              </w:rPr>
              <w:t>安装在卧室、客厅等老年人频繁活动区域，探</w:t>
            </w:r>
            <w:r>
              <w:rPr>
                <w:color w:val="auto"/>
                <w:spacing w:val="7"/>
                <w:highlight w:val="none"/>
              </w:rPr>
              <w:t>测老年人活动情况</w:t>
            </w:r>
          </w:p>
        </w:tc>
        <w:tc>
          <w:tcPr>
            <w:tcW w:w="1194" w:type="dxa"/>
          </w:tcPr>
          <w:p w14:paraId="303250AC">
            <w:pPr>
              <w:spacing w:line="249" w:lineRule="auto"/>
              <w:rPr>
                <w:rFonts w:ascii="Arial"/>
                <w:color w:val="auto"/>
                <w:highlight w:val="none"/>
              </w:rPr>
            </w:pPr>
          </w:p>
          <w:p w14:paraId="4EA7B336">
            <w:pPr>
              <w:pStyle w:val="206"/>
              <w:spacing w:before="65" w:line="231" w:lineRule="auto"/>
              <w:ind w:left="394"/>
              <w:rPr>
                <w:color w:val="auto"/>
                <w:highlight w:val="none"/>
              </w:rPr>
            </w:pPr>
            <w:r>
              <w:rPr>
                <w:color w:val="auto"/>
                <w:spacing w:val="4"/>
                <w:highlight w:val="none"/>
              </w:rPr>
              <w:t>可选</w:t>
            </w:r>
          </w:p>
        </w:tc>
      </w:tr>
      <w:tr w14:paraId="5974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20" w:type="dxa"/>
            <w:gridSpan w:val="5"/>
          </w:tcPr>
          <w:p w14:paraId="1648238E">
            <w:pPr>
              <w:pStyle w:val="206"/>
              <w:spacing w:before="231" w:line="228" w:lineRule="auto"/>
              <w:ind w:left="116"/>
              <w:rPr>
                <w:b/>
                <w:bCs/>
                <w:color w:val="auto"/>
                <w:highlight w:val="none"/>
              </w:rPr>
            </w:pPr>
            <w:r>
              <w:rPr>
                <w:b/>
                <w:bCs/>
                <w:color w:val="auto"/>
                <w:spacing w:val="8"/>
                <w:highlight w:val="none"/>
              </w:rPr>
              <w:t>三、老年用品</w:t>
            </w:r>
          </w:p>
        </w:tc>
      </w:tr>
      <w:tr w14:paraId="002F8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04" w:type="dxa"/>
          </w:tcPr>
          <w:p w14:paraId="1471249D">
            <w:pPr>
              <w:pStyle w:val="206"/>
              <w:spacing w:before="258" w:line="229" w:lineRule="auto"/>
              <w:ind w:left="197"/>
              <w:rPr>
                <w:color w:val="auto"/>
                <w:highlight w:val="none"/>
              </w:rPr>
            </w:pPr>
            <w:r>
              <w:rPr>
                <w:color w:val="auto"/>
                <w:spacing w:val="7"/>
                <w:highlight w:val="none"/>
              </w:rPr>
              <w:t>序号</w:t>
            </w:r>
          </w:p>
        </w:tc>
        <w:tc>
          <w:tcPr>
            <w:tcW w:w="1100" w:type="dxa"/>
          </w:tcPr>
          <w:p w14:paraId="56B0A994">
            <w:pPr>
              <w:pStyle w:val="206"/>
              <w:spacing w:before="257" w:line="228" w:lineRule="auto"/>
              <w:ind w:left="344"/>
              <w:rPr>
                <w:color w:val="auto"/>
                <w:highlight w:val="none"/>
              </w:rPr>
            </w:pPr>
            <w:r>
              <w:rPr>
                <w:color w:val="auto"/>
                <w:spacing w:val="5"/>
                <w:highlight w:val="none"/>
              </w:rPr>
              <w:t>类别</w:t>
            </w:r>
          </w:p>
        </w:tc>
        <w:tc>
          <w:tcPr>
            <w:tcW w:w="1562" w:type="dxa"/>
          </w:tcPr>
          <w:p w14:paraId="76599B43">
            <w:pPr>
              <w:pStyle w:val="206"/>
              <w:spacing w:before="258" w:line="228" w:lineRule="auto"/>
              <w:ind w:left="368"/>
              <w:rPr>
                <w:color w:val="auto"/>
                <w:highlight w:val="none"/>
              </w:rPr>
            </w:pPr>
            <w:r>
              <w:rPr>
                <w:color w:val="auto"/>
                <w:spacing w:val="-7"/>
                <w:highlight w:val="none"/>
              </w:rPr>
              <w:t>项目名称</w:t>
            </w:r>
          </w:p>
        </w:tc>
        <w:tc>
          <w:tcPr>
            <w:tcW w:w="4360" w:type="dxa"/>
          </w:tcPr>
          <w:p w14:paraId="4978955C">
            <w:pPr>
              <w:pStyle w:val="206"/>
              <w:spacing w:before="257" w:line="228" w:lineRule="auto"/>
              <w:ind w:left="1771"/>
              <w:rPr>
                <w:color w:val="auto"/>
                <w:highlight w:val="none"/>
              </w:rPr>
            </w:pPr>
            <w:r>
              <w:rPr>
                <w:color w:val="auto"/>
                <w:spacing w:val="6"/>
                <w:highlight w:val="none"/>
              </w:rPr>
              <w:t>具体内容</w:t>
            </w:r>
          </w:p>
        </w:tc>
        <w:tc>
          <w:tcPr>
            <w:tcW w:w="1194" w:type="dxa"/>
          </w:tcPr>
          <w:p w14:paraId="6459A552">
            <w:pPr>
              <w:pStyle w:val="206"/>
              <w:spacing w:before="257" w:line="228" w:lineRule="auto"/>
              <w:ind w:left="187"/>
              <w:rPr>
                <w:color w:val="auto"/>
                <w:highlight w:val="none"/>
              </w:rPr>
            </w:pPr>
            <w:r>
              <w:rPr>
                <w:color w:val="auto"/>
                <w:spacing w:val="-5"/>
                <w:highlight w:val="none"/>
              </w:rPr>
              <w:t>项目类型</w:t>
            </w:r>
          </w:p>
        </w:tc>
      </w:tr>
      <w:tr w14:paraId="1A99C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04" w:type="dxa"/>
          </w:tcPr>
          <w:p w14:paraId="558E6A3D">
            <w:pPr>
              <w:spacing w:line="319" w:lineRule="auto"/>
              <w:rPr>
                <w:rFonts w:ascii="Arial"/>
                <w:color w:val="auto"/>
                <w:highlight w:val="none"/>
              </w:rPr>
            </w:pPr>
          </w:p>
          <w:p w14:paraId="1AFF74BB">
            <w:pPr>
              <w:spacing w:before="58" w:line="195" w:lineRule="auto"/>
              <w:ind w:left="299"/>
              <w:rPr>
                <w:rFonts w:eastAsia="Times New Roman"/>
                <w:color w:val="auto"/>
                <w:sz w:val="20"/>
                <w:szCs w:val="20"/>
                <w:highlight w:val="none"/>
              </w:rPr>
            </w:pPr>
            <w:r>
              <w:rPr>
                <w:rFonts w:eastAsia="Times New Roman"/>
                <w:color w:val="auto"/>
                <w:spacing w:val="1"/>
                <w:sz w:val="20"/>
                <w:szCs w:val="20"/>
                <w:highlight w:val="none"/>
              </w:rPr>
              <w:t>24</w:t>
            </w:r>
          </w:p>
        </w:tc>
        <w:tc>
          <w:tcPr>
            <w:tcW w:w="1100" w:type="dxa"/>
            <w:vMerge w:val="restart"/>
            <w:tcBorders>
              <w:bottom w:val="nil"/>
            </w:tcBorders>
          </w:tcPr>
          <w:p w14:paraId="3F8C17B0">
            <w:pPr>
              <w:spacing w:line="351" w:lineRule="auto"/>
              <w:rPr>
                <w:rFonts w:ascii="Arial"/>
                <w:color w:val="auto"/>
                <w:highlight w:val="none"/>
              </w:rPr>
            </w:pPr>
          </w:p>
          <w:p w14:paraId="22F2BD55">
            <w:pPr>
              <w:spacing w:line="352" w:lineRule="auto"/>
              <w:rPr>
                <w:rFonts w:ascii="Arial"/>
                <w:color w:val="auto"/>
                <w:highlight w:val="none"/>
              </w:rPr>
            </w:pPr>
          </w:p>
          <w:p w14:paraId="7C227E27">
            <w:pPr>
              <w:pStyle w:val="206"/>
              <w:spacing w:before="65" w:line="228" w:lineRule="auto"/>
              <w:ind w:left="136"/>
              <w:rPr>
                <w:color w:val="auto"/>
                <w:highlight w:val="none"/>
              </w:rPr>
            </w:pPr>
            <w:r>
              <w:rPr>
                <w:color w:val="auto"/>
                <w:spacing w:val="6"/>
                <w:highlight w:val="none"/>
              </w:rPr>
              <w:t>老年用品</w:t>
            </w:r>
          </w:p>
        </w:tc>
        <w:tc>
          <w:tcPr>
            <w:tcW w:w="1562" w:type="dxa"/>
          </w:tcPr>
          <w:p w14:paraId="6A4550AD">
            <w:pPr>
              <w:spacing w:line="276" w:lineRule="auto"/>
              <w:rPr>
                <w:rFonts w:ascii="Arial"/>
                <w:color w:val="auto"/>
                <w:highlight w:val="none"/>
              </w:rPr>
            </w:pPr>
          </w:p>
          <w:p w14:paraId="3B8835A3">
            <w:pPr>
              <w:pStyle w:val="206"/>
              <w:spacing w:before="65" w:line="228" w:lineRule="auto"/>
              <w:ind w:left="576"/>
              <w:rPr>
                <w:color w:val="auto"/>
                <w:highlight w:val="none"/>
              </w:rPr>
            </w:pPr>
            <w:r>
              <w:rPr>
                <w:color w:val="auto"/>
                <w:spacing w:val="4"/>
                <w:highlight w:val="none"/>
              </w:rPr>
              <w:t>手杖</w:t>
            </w:r>
          </w:p>
        </w:tc>
        <w:tc>
          <w:tcPr>
            <w:tcW w:w="4360" w:type="dxa"/>
          </w:tcPr>
          <w:p w14:paraId="48B94684">
            <w:pPr>
              <w:pStyle w:val="206"/>
              <w:spacing w:before="185" w:line="280" w:lineRule="auto"/>
              <w:ind w:left="113" w:right="116" w:firstLine="1"/>
              <w:rPr>
                <w:color w:val="auto"/>
                <w:highlight w:val="none"/>
              </w:rPr>
            </w:pPr>
            <w:r>
              <w:rPr>
                <w:color w:val="auto"/>
                <w:spacing w:val="6"/>
                <w:highlight w:val="none"/>
              </w:rPr>
              <w:t>辅助老年人平稳站立和行走，包含三脚或四脚</w:t>
            </w:r>
            <w:r>
              <w:rPr>
                <w:color w:val="auto"/>
                <w:spacing w:val="8"/>
                <w:highlight w:val="none"/>
              </w:rPr>
              <w:t>手杖、凳拐等</w:t>
            </w:r>
          </w:p>
        </w:tc>
        <w:tc>
          <w:tcPr>
            <w:tcW w:w="1194" w:type="dxa"/>
            <w:vMerge w:val="restart"/>
            <w:tcBorders>
              <w:bottom w:val="nil"/>
            </w:tcBorders>
          </w:tcPr>
          <w:p w14:paraId="3B40F876">
            <w:pPr>
              <w:spacing w:line="272" w:lineRule="auto"/>
              <w:rPr>
                <w:rFonts w:ascii="Arial"/>
                <w:color w:val="auto"/>
                <w:highlight w:val="none"/>
              </w:rPr>
            </w:pPr>
          </w:p>
          <w:p w14:paraId="26A936FA">
            <w:pPr>
              <w:spacing w:line="273" w:lineRule="auto"/>
              <w:rPr>
                <w:rFonts w:ascii="Arial"/>
                <w:color w:val="auto"/>
                <w:highlight w:val="none"/>
              </w:rPr>
            </w:pPr>
          </w:p>
          <w:p w14:paraId="55569199">
            <w:pPr>
              <w:pStyle w:val="206"/>
              <w:spacing w:before="65" w:line="289" w:lineRule="auto"/>
              <w:ind w:left="116" w:right="119" w:firstLine="1"/>
              <w:rPr>
                <w:color w:val="auto"/>
                <w:highlight w:val="none"/>
              </w:rPr>
            </w:pPr>
            <w:r>
              <w:rPr>
                <w:rFonts w:ascii="Times New Roman" w:hAnsi="Times New Roman" w:eastAsia="Times New Roman" w:cs="Times New Roman"/>
                <w:color w:val="auto"/>
                <w:spacing w:val="2"/>
                <w:highlight w:val="none"/>
              </w:rPr>
              <w:t>5</w:t>
            </w:r>
            <w:r>
              <w:rPr>
                <w:color w:val="auto"/>
                <w:spacing w:val="2"/>
                <w:highlight w:val="none"/>
              </w:rPr>
              <w:t>项任选其</w:t>
            </w:r>
            <w:r>
              <w:rPr>
                <w:color w:val="auto"/>
                <w:highlight w:val="none"/>
              </w:rPr>
              <w:t>三</w:t>
            </w:r>
          </w:p>
        </w:tc>
      </w:tr>
      <w:tr w14:paraId="0D04B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804" w:type="dxa"/>
          </w:tcPr>
          <w:p w14:paraId="594F776D">
            <w:pPr>
              <w:spacing w:line="322" w:lineRule="auto"/>
              <w:rPr>
                <w:rFonts w:ascii="Arial"/>
                <w:color w:val="auto"/>
                <w:highlight w:val="none"/>
              </w:rPr>
            </w:pPr>
          </w:p>
          <w:p w14:paraId="1B81DBC5">
            <w:pPr>
              <w:spacing w:before="57" w:line="195" w:lineRule="auto"/>
              <w:ind w:left="299"/>
              <w:rPr>
                <w:rFonts w:eastAsia="Times New Roman"/>
                <w:color w:val="auto"/>
                <w:sz w:val="20"/>
                <w:szCs w:val="20"/>
                <w:highlight w:val="none"/>
              </w:rPr>
            </w:pPr>
            <w:r>
              <w:rPr>
                <w:rFonts w:eastAsia="Times New Roman"/>
                <w:color w:val="auto"/>
                <w:spacing w:val="1"/>
                <w:sz w:val="20"/>
                <w:szCs w:val="20"/>
                <w:highlight w:val="none"/>
              </w:rPr>
              <w:t>25</w:t>
            </w:r>
          </w:p>
        </w:tc>
        <w:tc>
          <w:tcPr>
            <w:tcW w:w="1100" w:type="dxa"/>
            <w:vMerge w:val="continue"/>
            <w:tcBorders>
              <w:top w:val="nil"/>
            </w:tcBorders>
          </w:tcPr>
          <w:p w14:paraId="0AFFF177">
            <w:pPr>
              <w:rPr>
                <w:rFonts w:ascii="Arial"/>
                <w:color w:val="auto"/>
                <w:highlight w:val="none"/>
              </w:rPr>
            </w:pPr>
          </w:p>
        </w:tc>
        <w:tc>
          <w:tcPr>
            <w:tcW w:w="1562" w:type="dxa"/>
          </w:tcPr>
          <w:p w14:paraId="510E4827">
            <w:pPr>
              <w:spacing w:line="248" w:lineRule="auto"/>
              <w:rPr>
                <w:rFonts w:ascii="Arial"/>
                <w:color w:val="auto"/>
                <w:highlight w:val="none"/>
              </w:rPr>
            </w:pPr>
          </w:p>
          <w:p w14:paraId="302A864F">
            <w:pPr>
              <w:pStyle w:val="206"/>
              <w:spacing w:before="65" w:line="275" w:lineRule="exact"/>
              <w:ind w:left="230"/>
              <w:rPr>
                <w:color w:val="auto"/>
                <w:highlight w:val="none"/>
              </w:rPr>
            </w:pPr>
            <w:r>
              <w:rPr>
                <w:color w:val="auto"/>
                <w:spacing w:val="6"/>
                <w:position w:val="1"/>
                <w:highlight w:val="none"/>
              </w:rPr>
              <w:t>轮椅</w:t>
            </w:r>
            <w:r>
              <w:rPr>
                <w:rFonts w:ascii="Times New Roman" w:hAnsi="Times New Roman" w:eastAsia="Times New Roman" w:cs="Times New Roman"/>
                <w:color w:val="auto"/>
                <w:spacing w:val="6"/>
                <w:position w:val="1"/>
                <w:highlight w:val="none"/>
              </w:rPr>
              <w:t>/</w:t>
            </w:r>
            <w:r>
              <w:rPr>
                <w:color w:val="auto"/>
                <w:spacing w:val="6"/>
                <w:position w:val="1"/>
                <w:highlight w:val="none"/>
              </w:rPr>
              <w:t>助行器</w:t>
            </w:r>
          </w:p>
        </w:tc>
        <w:tc>
          <w:tcPr>
            <w:tcW w:w="4360" w:type="dxa"/>
          </w:tcPr>
          <w:p w14:paraId="1C149C7E">
            <w:pPr>
              <w:pStyle w:val="206"/>
              <w:spacing w:before="155" w:line="275" w:lineRule="auto"/>
              <w:ind w:left="115" w:right="101"/>
              <w:rPr>
                <w:color w:val="auto"/>
                <w:highlight w:val="none"/>
              </w:rPr>
            </w:pPr>
            <w:r>
              <w:rPr>
                <w:color w:val="auto"/>
                <w:spacing w:val="11"/>
                <w:highlight w:val="none"/>
              </w:rPr>
              <w:t>辅助家人、照护人员推行</w:t>
            </w:r>
            <w:r>
              <w:rPr>
                <w:rFonts w:ascii="Times New Roman" w:hAnsi="Times New Roman" w:eastAsia="Times New Roman" w:cs="Times New Roman"/>
                <w:color w:val="auto"/>
                <w:spacing w:val="11"/>
                <w:highlight w:val="none"/>
              </w:rPr>
              <w:t>/</w:t>
            </w:r>
            <w:r>
              <w:rPr>
                <w:color w:val="auto"/>
                <w:spacing w:val="11"/>
                <w:highlight w:val="none"/>
              </w:rPr>
              <w:t>帮助老年人站立行</w:t>
            </w:r>
            <w:r>
              <w:rPr>
                <w:color w:val="auto"/>
                <w:spacing w:val="10"/>
                <w:highlight w:val="none"/>
              </w:rPr>
              <w:t>走，扩大老年人活动空间</w:t>
            </w:r>
          </w:p>
        </w:tc>
        <w:tc>
          <w:tcPr>
            <w:tcW w:w="1194" w:type="dxa"/>
            <w:vMerge w:val="continue"/>
            <w:tcBorders>
              <w:top w:val="nil"/>
            </w:tcBorders>
          </w:tcPr>
          <w:p w14:paraId="44CA3D3C">
            <w:pPr>
              <w:rPr>
                <w:rFonts w:ascii="Arial"/>
                <w:color w:val="auto"/>
                <w:highlight w:val="none"/>
              </w:rPr>
            </w:pPr>
          </w:p>
        </w:tc>
      </w:tr>
    </w:tbl>
    <w:p w14:paraId="2E151B83">
      <w:pPr>
        <w:rPr>
          <w:rFonts w:ascii="Arial" w:hAnsi="Arial" w:eastAsia="Arial" w:cs="Arial"/>
          <w:color w:val="auto"/>
          <w:szCs w:val="21"/>
          <w:highlight w:val="none"/>
        </w:rPr>
        <w:sectPr>
          <w:footerReference r:id="rId9" w:type="default"/>
          <w:pgSz w:w="11906" w:h="16838"/>
          <w:pgMar w:top="1431" w:right="1382" w:bottom="2052" w:left="1497" w:header="0" w:footer="1780" w:gutter="0"/>
          <w:cols w:space="720" w:num="1"/>
        </w:sectPr>
      </w:pPr>
    </w:p>
    <w:p w14:paraId="2B58FF98">
      <w:pPr>
        <w:spacing w:before="92"/>
        <w:rPr>
          <w:color w:val="auto"/>
          <w:highlight w:val="none"/>
        </w:rPr>
      </w:pPr>
    </w:p>
    <w:tbl>
      <w:tblPr>
        <w:tblStyle w:val="208"/>
        <w:tblW w:w="90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100"/>
        <w:gridCol w:w="1562"/>
        <w:gridCol w:w="4360"/>
        <w:gridCol w:w="1194"/>
      </w:tblGrid>
      <w:tr w14:paraId="6A7C5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804" w:type="dxa"/>
          </w:tcPr>
          <w:p w14:paraId="6AD9C937">
            <w:pPr>
              <w:spacing w:line="321" w:lineRule="auto"/>
              <w:rPr>
                <w:rFonts w:ascii="Arial"/>
                <w:color w:val="auto"/>
                <w:highlight w:val="none"/>
              </w:rPr>
            </w:pPr>
          </w:p>
          <w:p w14:paraId="1B3DA4E3">
            <w:pPr>
              <w:spacing w:before="58" w:line="195" w:lineRule="auto"/>
              <w:ind w:left="299"/>
              <w:rPr>
                <w:rFonts w:eastAsia="Times New Roman"/>
                <w:color w:val="auto"/>
                <w:sz w:val="20"/>
                <w:szCs w:val="20"/>
                <w:highlight w:val="none"/>
              </w:rPr>
            </w:pPr>
            <w:r>
              <w:rPr>
                <w:rFonts w:eastAsia="Times New Roman"/>
                <w:color w:val="auto"/>
                <w:spacing w:val="1"/>
                <w:sz w:val="20"/>
                <w:szCs w:val="20"/>
                <w:highlight w:val="none"/>
              </w:rPr>
              <w:t>26</w:t>
            </w:r>
          </w:p>
        </w:tc>
        <w:tc>
          <w:tcPr>
            <w:tcW w:w="1100" w:type="dxa"/>
            <w:vMerge w:val="restart"/>
            <w:tcBorders>
              <w:bottom w:val="nil"/>
            </w:tcBorders>
          </w:tcPr>
          <w:p w14:paraId="4EE8A196">
            <w:pPr>
              <w:rPr>
                <w:rFonts w:ascii="Arial"/>
                <w:color w:val="auto"/>
                <w:highlight w:val="none"/>
              </w:rPr>
            </w:pPr>
          </w:p>
        </w:tc>
        <w:tc>
          <w:tcPr>
            <w:tcW w:w="1562" w:type="dxa"/>
          </w:tcPr>
          <w:p w14:paraId="153FC9BA">
            <w:pPr>
              <w:spacing w:line="279" w:lineRule="auto"/>
              <w:rPr>
                <w:rFonts w:ascii="Arial"/>
                <w:color w:val="auto"/>
                <w:highlight w:val="none"/>
              </w:rPr>
            </w:pPr>
          </w:p>
          <w:p w14:paraId="326C9165">
            <w:pPr>
              <w:pStyle w:val="206"/>
              <w:spacing w:before="65" w:line="228" w:lineRule="auto"/>
              <w:ind w:left="365"/>
              <w:rPr>
                <w:color w:val="auto"/>
                <w:highlight w:val="none"/>
              </w:rPr>
            </w:pPr>
            <w:r>
              <w:rPr>
                <w:color w:val="auto"/>
                <w:spacing w:val="7"/>
                <w:highlight w:val="none"/>
              </w:rPr>
              <w:t>放大装置</w:t>
            </w:r>
          </w:p>
        </w:tc>
        <w:tc>
          <w:tcPr>
            <w:tcW w:w="4360" w:type="dxa"/>
          </w:tcPr>
          <w:p w14:paraId="0484A171">
            <w:pPr>
              <w:pStyle w:val="206"/>
              <w:spacing w:before="154" w:line="276" w:lineRule="auto"/>
              <w:ind w:left="114" w:right="112" w:hanging="1"/>
              <w:rPr>
                <w:color w:val="auto"/>
                <w:highlight w:val="none"/>
              </w:rPr>
            </w:pPr>
            <w:r>
              <w:rPr>
                <w:color w:val="auto"/>
                <w:spacing w:val="13"/>
                <w:highlight w:val="none"/>
              </w:rPr>
              <w:t>运用光学</w:t>
            </w:r>
            <w:r>
              <w:rPr>
                <w:rFonts w:ascii="Times New Roman" w:hAnsi="Times New Roman" w:eastAsia="Times New Roman" w:cs="Times New Roman"/>
                <w:color w:val="auto"/>
                <w:spacing w:val="13"/>
                <w:highlight w:val="none"/>
              </w:rPr>
              <w:t>/</w:t>
            </w:r>
            <w:r>
              <w:rPr>
                <w:color w:val="auto"/>
                <w:spacing w:val="13"/>
                <w:highlight w:val="none"/>
              </w:rPr>
              <w:t>电子原理进行影像放大，方便老年</w:t>
            </w:r>
            <w:r>
              <w:rPr>
                <w:color w:val="auto"/>
                <w:spacing w:val="6"/>
                <w:highlight w:val="none"/>
              </w:rPr>
              <w:t>人使用</w:t>
            </w:r>
          </w:p>
        </w:tc>
        <w:tc>
          <w:tcPr>
            <w:tcW w:w="1194" w:type="dxa"/>
            <w:vMerge w:val="restart"/>
            <w:tcBorders>
              <w:bottom w:val="nil"/>
            </w:tcBorders>
          </w:tcPr>
          <w:p w14:paraId="38FBD932">
            <w:pPr>
              <w:rPr>
                <w:rFonts w:ascii="Arial"/>
                <w:color w:val="auto"/>
                <w:highlight w:val="none"/>
              </w:rPr>
            </w:pPr>
          </w:p>
        </w:tc>
      </w:tr>
      <w:tr w14:paraId="7B220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804" w:type="dxa"/>
          </w:tcPr>
          <w:p w14:paraId="2C88F961">
            <w:pPr>
              <w:spacing w:line="318" w:lineRule="auto"/>
              <w:rPr>
                <w:rFonts w:ascii="Arial"/>
                <w:color w:val="auto"/>
                <w:highlight w:val="none"/>
              </w:rPr>
            </w:pPr>
          </w:p>
          <w:p w14:paraId="6E4A570A">
            <w:pPr>
              <w:spacing w:before="57" w:line="195" w:lineRule="auto"/>
              <w:ind w:left="299"/>
              <w:rPr>
                <w:rFonts w:eastAsia="Times New Roman"/>
                <w:color w:val="auto"/>
                <w:sz w:val="20"/>
                <w:szCs w:val="20"/>
                <w:highlight w:val="none"/>
              </w:rPr>
            </w:pPr>
            <w:r>
              <w:rPr>
                <w:rFonts w:eastAsia="Times New Roman"/>
                <w:color w:val="auto"/>
                <w:spacing w:val="1"/>
                <w:sz w:val="20"/>
                <w:szCs w:val="20"/>
                <w:highlight w:val="none"/>
              </w:rPr>
              <w:t>27</w:t>
            </w:r>
          </w:p>
        </w:tc>
        <w:tc>
          <w:tcPr>
            <w:tcW w:w="1100" w:type="dxa"/>
            <w:vMerge w:val="continue"/>
            <w:tcBorders>
              <w:top w:val="nil"/>
              <w:bottom w:val="nil"/>
            </w:tcBorders>
          </w:tcPr>
          <w:p w14:paraId="2773D1F4">
            <w:pPr>
              <w:rPr>
                <w:rFonts w:ascii="Arial"/>
                <w:color w:val="auto"/>
                <w:highlight w:val="none"/>
              </w:rPr>
            </w:pPr>
          </w:p>
        </w:tc>
        <w:tc>
          <w:tcPr>
            <w:tcW w:w="1562" w:type="dxa"/>
          </w:tcPr>
          <w:p w14:paraId="4CFB3B73">
            <w:pPr>
              <w:spacing w:line="275" w:lineRule="auto"/>
              <w:rPr>
                <w:rFonts w:ascii="Arial"/>
                <w:color w:val="auto"/>
                <w:highlight w:val="none"/>
              </w:rPr>
            </w:pPr>
          </w:p>
          <w:p w14:paraId="357CBFC2">
            <w:pPr>
              <w:pStyle w:val="206"/>
              <w:spacing w:before="65" w:line="228" w:lineRule="auto"/>
              <w:ind w:left="190"/>
              <w:rPr>
                <w:color w:val="auto"/>
                <w:highlight w:val="none"/>
              </w:rPr>
            </w:pPr>
            <w:r>
              <w:rPr>
                <w:color w:val="auto"/>
                <w:spacing w:val="3"/>
                <w:highlight w:val="none"/>
              </w:rPr>
              <w:t>自助进食器具</w:t>
            </w:r>
          </w:p>
        </w:tc>
        <w:tc>
          <w:tcPr>
            <w:tcW w:w="4360" w:type="dxa"/>
          </w:tcPr>
          <w:p w14:paraId="6D4B183E">
            <w:pPr>
              <w:pStyle w:val="206"/>
              <w:spacing w:before="182" w:line="280" w:lineRule="auto"/>
              <w:ind w:left="118" w:right="33" w:hanging="3"/>
              <w:rPr>
                <w:color w:val="auto"/>
                <w:highlight w:val="none"/>
              </w:rPr>
            </w:pPr>
            <w:r>
              <w:rPr>
                <w:color w:val="auto"/>
                <w:highlight w:val="none"/>
              </w:rPr>
              <w:t>辅助老年人进食，包括防洒碗（盘）、助食筷、</w:t>
            </w:r>
            <w:r>
              <w:rPr>
                <w:color w:val="auto"/>
                <w:spacing w:val="-1"/>
                <w:highlight w:val="none"/>
              </w:rPr>
              <w:t>弯柄勺（叉）、饮水杯（壶）</w:t>
            </w:r>
          </w:p>
        </w:tc>
        <w:tc>
          <w:tcPr>
            <w:tcW w:w="1194" w:type="dxa"/>
            <w:vMerge w:val="continue"/>
            <w:tcBorders>
              <w:top w:val="nil"/>
              <w:bottom w:val="nil"/>
            </w:tcBorders>
          </w:tcPr>
          <w:p w14:paraId="663A7F76">
            <w:pPr>
              <w:rPr>
                <w:rFonts w:ascii="Arial"/>
                <w:color w:val="auto"/>
                <w:highlight w:val="none"/>
              </w:rPr>
            </w:pPr>
          </w:p>
        </w:tc>
      </w:tr>
      <w:tr w14:paraId="29456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804" w:type="dxa"/>
          </w:tcPr>
          <w:p w14:paraId="72D4212E">
            <w:pPr>
              <w:spacing w:line="244" w:lineRule="auto"/>
              <w:rPr>
                <w:rFonts w:ascii="Arial"/>
                <w:color w:val="auto"/>
                <w:highlight w:val="none"/>
              </w:rPr>
            </w:pPr>
          </w:p>
          <w:p w14:paraId="2471A873">
            <w:pPr>
              <w:spacing w:line="244" w:lineRule="auto"/>
              <w:rPr>
                <w:rFonts w:ascii="Arial"/>
                <w:color w:val="auto"/>
                <w:highlight w:val="none"/>
              </w:rPr>
            </w:pPr>
          </w:p>
          <w:p w14:paraId="5951AC71">
            <w:pPr>
              <w:spacing w:before="58" w:line="195" w:lineRule="auto"/>
              <w:ind w:left="299"/>
              <w:rPr>
                <w:rFonts w:eastAsia="Times New Roman"/>
                <w:color w:val="auto"/>
                <w:sz w:val="20"/>
                <w:szCs w:val="20"/>
                <w:highlight w:val="none"/>
              </w:rPr>
            </w:pPr>
            <w:r>
              <w:rPr>
                <w:rFonts w:eastAsia="Times New Roman"/>
                <w:color w:val="auto"/>
                <w:spacing w:val="1"/>
                <w:sz w:val="20"/>
                <w:szCs w:val="20"/>
                <w:highlight w:val="none"/>
              </w:rPr>
              <w:t>28</w:t>
            </w:r>
          </w:p>
        </w:tc>
        <w:tc>
          <w:tcPr>
            <w:tcW w:w="1100" w:type="dxa"/>
            <w:vMerge w:val="continue"/>
            <w:tcBorders>
              <w:top w:val="nil"/>
            </w:tcBorders>
          </w:tcPr>
          <w:p w14:paraId="1DA1CE80">
            <w:pPr>
              <w:rPr>
                <w:rFonts w:ascii="Arial"/>
                <w:color w:val="auto"/>
                <w:highlight w:val="none"/>
              </w:rPr>
            </w:pPr>
          </w:p>
        </w:tc>
        <w:tc>
          <w:tcPr>
            <w:tcW w:w="1562" w:type="dxa"/>
          </w:tcPr>
          <w:p w14:paraId="2811D9DC">
            <w:pPr>
              <w:spacing w:line="445" w:lineRule="auto"/>
              <w:rPr>
                <w:rFonts w:ascii="Arial"/>
                <w:color w:val="auto"/>
                <w:highlight w:val="none"/>
              </w:rPr>
            </w:pPr>
          </w:p>
          <w:p w14:paraId="7C9243FF">
            <w:pPr>
              <w:pStyle w:val="206"/>
              <w:spacing w:before="65" w:line="228" w:lineRule="auto"/>
              <w:ind w:left="470"/>
              <w:rPr>
                <w:color w:val="auto"/>
                <w:highlight w:val="none"/>
              </w:rPr>
            </w:pPr>
            <w:r>
              <w:rPr>
                <w:color w:val="auto"/>
                <w:spacing w:val="6"/>
                <w:highlight w:val="none"/>
              </w:rPr>
              <w:t>助听器</w:t>
            </w:r>
          </w:p>
        </w:tc>
        <w:tc>
          <w:tcPr>
            <w:tcW w:w="4360" w:type="dxa"/>
          </w:tcPr>
          <w:p w14:paraId="17C35358">
            <w:pPr>
              <w:pStyle w:val="206"/>
              <w:spacing w:before="193" w:line="286" w:lineRule="auto"/>
              <w:ind w:left="113" w:right="104" w:firstLine="4"/>
              <w:jc w:val="both"/>
              <w:rPr>
                <w:color w:val="auto"/>
                <w:highlight w:val="none"/>
              </w:rPr>
            </w:pPr>
            <w:r>
              <w:rPr>
                <w:color w:val="auto"/>
                <w:spacing w:val="12"/>
                <w:highlight w:val="none"/>
              </w:rPr>
              <w:t>帮助老年人听清声音来源，增加与周围的交</w:t>
            </w:r>
            <w:r>
              <w:rPr>
                <w:color w:val="auto"/>
                <w:spacing w:val="6"/>
                <w:highlight w:val="none"/>
              </w:rPr>
              <w:t>流，包括盒式助听器、耳内助听器、耳背助听</w:t>
            </w:r>
            <w:r>
              <w:rPr>
                <w:color w:val="auto"/>
                <w:spacing w:val="9"/>
                <w:highlight w:val="none"/>
              </w:rPr>
              <w:t>器、骨传导助听器等</w:t>
            </w:r>
          </w:p>
        </w:tc>
        <w:tc>
          <w:tcPr>
            <w:tcW w:w="1194" w:type="dxa"/>
            <w:vMerge w:val="continue"/>
            <w:tcBorders>
              <w:top w:val="nil"/>
            </w:tcBorders>
          </w:tcPr>
          <w:p w14:paraId="487120A7">
            <w:pPr>
              <w:rPr>
                <w:rFonts w:ascii="Arial"/>
                <w:color w:val="auto"/>
                <w:highlight w:val="none"/>
              </w:rPr>
            </w:pPr>
          </w:p>
        </w:tc>
      </w:tr>
    </w:tbl>
    <w:p w14:paraId="6FB1C546">
      <w:pPr>
        <w:pStyle w:val="20"/>
        <w:widowControl/>
        <w:kinsoku w:val="0"/>
        <w:autoSpaceDE w:val="0"/>
        <w:autoSpaceDN w:val="0"/>
        <w:adjustRightInd w:val="0"/>
        <w:snapToGrid w:val="0"/>
        <w:spacing w:before="239" w:line="560" w:lineRule="exact"/>
        <w:ind w:right="40"/>
        <w:textAlignment w:val="baseline"/>
        <w:rPr>
          <w:rFonts w:ascii="仿宋_GB2312" w:hAnsi="仿宋_GB2312" w:eastAsia="仿宋_GB2312" w:cs="仿宋_GB2312"/>
          <w:color w:val="auto"/>
          <w:spacing w:val="3"/>
          <w:sz w:val="23"/>
          <w:szCs w:val="23"/>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pacing w:val="9"/>
          <w:sz w:val="23"/>
          <w:szCs w:val="23"/>
          <w:highlight w:val="none"/>
        </w:rPr>
        <w:t>注：中央财政补助资金支持的服务项目分为基</w:t>
      </w:r>
      <w:r>
        <w:rPr>
          <w:rFonts w:hint="eastAsia" w:ascii="仿宋_GB2312" w:hAnsi="仿宋_GB2312" w:eastAsia="仿宋_GB2312" w:cs="仿宋_GB2312"/>
          <w:color w:val="auto"/>
          <w:spacing w:val="8"/>
          <w:sz w:val="23"/>
          <w:szCs w:val="23"/>
          <w:highlight w:val="none"/>
        </w:rPr>
        <w:t>础项目和可选项目，基础项目是必</w:t>
      </w:r>
      <w:r>
        <w:rPr>
          <w:rFonts w:hint="eastAsia" w:ascii="仿宋_GB2312" w:hAnsi="仿宋_GB2312" w:eastAsia="仿宋_GB2312" w:cs="仿宋_GB2312"/>
          <w:color w:val="auto"/>
          <w:spacing w:val="9"/>
          <w:sz w:val="23"/>
          <w:szCs w:val="23"/>
          <w:highlight w:val="none"/>
        </w:rPr>
        <w:t>须配置的项目，可选项目是根据老年人实际情况</w:t>
      </w:r>
      <w:r>
        <w:rPr>
          <w:rFonts w:hint="eastAsia" w:ascii="仿宋_GB2312" w:hAnsi="仿宋_GB2312" w:eastAsia="仿宋_GB2312" w:cs="仿宋_GB2312"/>
          <w:color w:val="auto"/>
          <w:spacing w:val="8"/>
          <w:sz w:val="23"/>
          <w:szCs w:val="23"/>
          <w:highlight w:val="none"/>
        </w:rPr>
        <w:t>和需求进行个性化配置的项</w:t>
      </w:r>
      <w:r>
        <w:rPr>
          <w:rFonts w:hint="eastAsia" w:ascii="仿宋_GB2312" w:hAnsi="仿宋_GB2312" w:eastAsia="仿宋_GB2312" w:cs="仿宋_GB2312"/>
          <w:color w:val="auto"/>
          <w:spacing w:val="2"/>
          <w:sz w:val="23"/>
          <w:szCs w:val="23"/>
          <w:highlight w:val="none"/>
        </w:rPr>
        <w:t>目。适老化改造配置项目（1-13项）中的可选</w:t>
      </w:r>
      <w:r>
        <w:rPr>
          <w:rFonts w:hint="eastAsia" w:ascii="仿宋_GB2312" w:hAnsi="仿宋_GB2312" w:eastAsia="仿宋_GB2312" w:cs="仿宋_GB2312"/>
          <w:color w:val="auto"/>
          <w:spacing w:val="1"/>
          <w:sz w:val="23"/>
          <w:szCs w:val="23"/>
          <w:highlight w:val="none"/>
        </w:rPr>
        <w:t>项目7项选2项（不可重复选</w:t>
      </w:r>
      <w:r>
        <w:rPr>
          <w:rFonts w:hint="eastAsia" w:ascii="仿宋_GB2312" w:hAnsi="仿宋_GB2312" w:eastAsia="仿宋_GB2312" w:cs="仿宋_GB2312"/>
          <w:color w:val="auto"/>
          <w:spacing w:val="-84"/>
          <w:sz w:val="23"/>
          <w:szCs w:val="23"/>
          <w:highlight w:val="none"/>
        </w:rPr>
        <w:t>）；</w:t>
      </w:r>
      <w:r>
        <w:rPr>
          <w:rFonts w:hint="eastAsia" w:ascii="仿宋_GB2312" w:hAnsi="仿宋_GB2312" w:eastAsia="仿宋_GB2312" w:cs="仿宋_GB2312"/>
          <w:color w:val="auto"/>
          <w:spacing w:val="5"/>
          <w:sz w:val="23"/>
          <w:szCs w:val="23"/>
          <w:highlight w:val="none"/>
        </w:rPr>
        <w:t>智能化改造配置项目（14-23项）中的可选项目4项选1项</w:t>
      </w:r>
      <w:r>
        <w:rPr>
          <w:rFonts w:hint="eastAsia" w:ascii="仿宋_GB2312" w:hAnsi="仿宋_GB2312" w:eastAsia="仿宋_GB2312" w:cs="仿宋_GB2312"/>
          <w:color w:val="auto"/>
          <w:spacing w:val="4"/>
          <w:sz w:val="23"/>
          <w:szCs w:val="23"/>
          <w:highlight w:val="none"/>
        </w:rPr>
        <w:t>；老年用品配置项目（24-28项）中的可选项目5项选3项（不可重</w:t>
      </w:r>
      <w:r>
        <w:rPr>
          <w:rFonts w:hint="eastAsia" w:ascii="仿宋_GB2312" w:hAnsi="仿宋_GB2312" w:eastAsia="仿宋_GB2312" w:cs="仿宋_GB2312"/>
          <w:color w:val="auto"/>
          <w:spacing w:val="3"/>
          <w:sz w:val="23"/>
          <w:szCs w:val="23"/>
          <w:highlight w:val="none"/>
        </w:rPr>
        <w:t>复选）。</w:t>
      </w:r>
    </w:p>
    <w:p w14:paraId="2F35496B">
      <w:pPr>
        <w:spacing w:before="101" w:line="226" w:lineRule="auto"/>
        <w:rPr>
          <w:rFonts w:ascii="黑体" w:hAnsi="黑体" w:eastAsia="黑体" w:cs="黑体"/>
          <w:color w:val="auto"/>
          <w:sz w:val="32"/>
          <w:szCs w:val="32"/>
          <w:highlight w:val="none"/>
        </w:rPr>
      </w:pPr>
      <w:r>
        <w:rPr>
          <w:rFonts w:hint="eastAsia" w:ascii="黑体" w:hAnsi="黑体" w:eastAsia="黑体" w:cs="黑体"/>
          <w:color w:val="auto"/>
          <w:spacing w:val="-6"/>
          <w:sz w:val="32"/>
          <w:szCs w:val="32"/>
          <w:highlight w:val="none"/>
        </w:rPr>
        <w:t>附件3</w:t>
      </w:r>
    </w:p>
    <w:p w14:paraId="06519A46">
      <w:pPr>
        <w:spacing w:before="101" w:line="226" w:lineRule="auto"/>
        <w:ind w:left="126"/>
        <w:jc w:val="center"/>
        <w:rPr>
          <w:rFonts w:ascii="方正小标宋简体" w:hAnsi="方正小标宋简体" w:eastAsia="方正小标宋简体" w:cs="方正小标宋简体"/>
          <w:color w:val="auto"/>
          <w:spacing w:val="4"/>
          <w:sz w:val="36"/>
          <w:szCs w:val="36"/>
          <w:highlight w:val="none"/>
        </w:rPr>
      </w:pPr>
      <w:r>
        <w:rPr>
          <w:rFonts w:hint="eastAsia" w:ascii="黑体" w:hAnsi="黑体" w:eastAsia="黑体" w:cs="黑体"/>
          <w:color w:val="auto"/>
          <w:spacing w:val="-6"/>
          <w:sz w:val="32"/>
          <w:szCs w:val="32"/>
          <w:highlight w:val="none"/>
        </w:rPr>
        <w:t>桂平市居家养老上门服务基本项目参考清单</w:t>
      </w:r>
    </w:p>
    <w:p w14:paraId="24CBF429">
      <w:pPr>
        <w:spacing w:line="197" w:lineRule="exact"/>
        <w:rPr>
          <w:color w:val="auto"/>
          <w:highlight w:val="none"/>
        </w:rPr>
      </w:pPr>
    </w:p>
    <w:tbl>
      <w:tblPr>
        <w:tblStyle w:val="208"/>
        <w:tblW w:w="91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4"/>
        <w:gridCol w:w="1899"/>
        <w:gridCol w:w="6153"/>
      </w:tblGrid>
      <w:tr w14:paraId="1B86E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124" w:type="dxa"/>
          </w:tcPr>
          <w:p w14:paraId="2A5A8A2F">
            <w:pPr>
              <w:pStyle w:val="206"/>
              <w:widowControl w:val="0"/>
              <w:snapToGrid/>
              <w:spacing w:before="105" w:line="300" w:lineRule="exact"/>
              <w:ind w:left="357"/>
              <w:rPr>
                <w:color w:val="auto"/>
                <w:highlight w:val="none"/>
              </w:rPr>
            </w:pPr>
            <w:r>
              <w:rPr>
                <w:color w:val="auto"/>
                <w:spacing w:val="5"/>
                <w:highlight w:val="none"/>
              </w:rPr>
              <w:t>类别</w:t>
            </w:r>
          </w:p>
        </w:tc>
        <w:tc>
          <w:tcPr>
            <w:tcW w:w="1899" w:type="dxa"/>
          </w:tcPr>
          <w:p w14:paraId="42D18436">
            <w:pPr>
              <w:pStyle w:val="206"/>
              <w:widowControl w:val="0"/>
              <w:snapToGrid/>
              <w:spacing w:before="106" w:line="300" w:lineRule="exact"/>
              <w:ind w:left="537"/>
              <w:rPr>
                <w:color w:val="auto"/>
                <w:highlight w:val="none"/>
              </w:rPr>
            </w:pPr>
            <w:r>
              <w:rPr>
                <w:color w:val="auto"/>
                <w:spacing w:val="-7"/>
                <w:highlight w:val="none"/>
              </w:rPr>
              <w:t>项目名称</w:t>
            </w:r>
          </w:p>
        </w:tc>
        <w:tc>
          <w:tcPr>
            <w:tcW w:w="6153" w:type="dxa"/>
          </w:tcPr>
          <w:p w14:paraId="372A560F">
            <w:pPr>
              <w:pStyle w:val="206"/>
              <w:widowControl w:val="0"/>
              <w:snapToGrid/>
              <w:spacing w:before="105" w:line="300" w:lineRule="exact"/>
              <w:ind w:left="2660"/>
              <w:rPr>
                <w:color w:val="auto"/>
                <w:highlight w:val="none"/>
              </w:rPr>
            </w:pPr>
            <w:r>
              <w:rPr>
                <w:color w:val="auto"/>
                <w:spacing w:val="7"/>
                <w:highlight w:val="none"/>
              </w:rPr>
              <w:t>服务内容</w:t>
            </w:r>
          </w:p>
        </w:tc>
      </w:tr>
      <w:tr w14:paraId="38A1E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restart"/>
            <w:tcBorders>
              <w:bottom w:val="nil"/>
            </w:tcBorders>
          </w:tcPr>
          <w:p w14:paraId="53652AA5">
            <w:pPr>
              <w:spacing w:line="300" w:lineRule="exact"/>
              <w:rPr>
                <w:rFonts w:ascii="Arial"/>
                <w:color w:val="auto"/>
                <w:highlight w:val="none"/>
              </w:rPr>
            </w:pPr>
          </w:p>
          <w:p w14:paraId="7B6C10EF">
            <w:pPr>
              <w:spacing w:line="300" w:lineRule="exact"/>
              <w:rPr>
                <w:rFonts w:ascii="Arial"/>
                <w:color w:val="auto"/>
                <w:highlight w:val="none"/>
              </w:rPr>
            </w:pPr>
          </w:p>
          <w:p w14:paraId="6F177AC0">
            <w:pPr>
              <w:spacing w:line="300" w:lineRule="exact"/>
              <w:rPr>
                <w:rFonts w:ascii="Arial"/>
                <w:color w:val="auto"/>
                <w:highlight w:val="none"/>
              </w:rPr>
            </w:pPr>
          </w:p>
          <w:p w14:paraId="415D9E8F">
            <w:pPr>
              <w:spacing w:line="300" w:lineRule="exact"/>
              <w:rPr>
                <w:rFonts w:ascii="Arial"/>
                <w:color w:val="auto"/>
                <w:highlight w:val="none"/>
              </w:rPr>
            </w:pPr>
          </w:p>
          <w:p w14:paraId="4B143E31">
            <w:pPr>
              <w:pStyle w:val="206"/>
              <w:widowControl w:val="0"/>
              <w:snapToGrid/>
              <w:spacing w:before="65" w:line="300" w:lineRule="exact"/>
              <w:ind w:left="115" w:right="109" w:firstLine="1"/>
              <w:rPr>
                <w:color w:val="auto"/>
                <w:highlight w:val="none"/>
              </w:rPr>
            </w:pPr>
            <w:r>
              <w:rPr>
                <w:color w:val="auto"/>
                <w:spacing w:val="23"/>
                <w:highlight w:val="none"/>
              </w:rPr>
              <w:t>生活照料</w:t>
            </w:r>
            <w:r>
              <w:rPr>
                <w:color w:val="auto"/>
                <w:spacing w:val="4"/>
                <w:highlight w:val="none"/>
              </w:rPr>
              <w:t>服务</w:t>
            </w:r>
          </w:p>
        </w:tc>
        <w:tc>
          <w:tcPr>
            <w:tcW w:w="1899" w:type="dxa"/>
          </w:tcPr>
          <w:p w14:paraId="4810B22C">
            <w:pPr>
              <w:pStyle w:val="206"/>
              <w:widowControl w:val="0"/>
              <w:snapToGrid/>
              <w:spacing w:before="101" w:line="300" w:lineRule="exact"/>
              <w:ind w:left="743"/>
              <w:rPr>
                <w:color w:val="auto"/>
                <w:highlight w:val="none"/>
              </w:rPr>
            </w:pPr>
            <w:r>
              <w:rPr>
                <w:color w:val="auto"/>
                <w:highlight w:val="none"/>
              </w:rPr>
              <w:t>助餐</w:t>
            </w:r>
          </w:p>
        </w:tc>
        <w:tc>
          <w:tcPr>
            <w:tcW w:w="6153" w:type="dxa"/>
          </w:tcPr>
          <w:p w14:paraId="596A2E72">
            <w:pPr>
              <w:pStyle w:val="206"/>
              <w:widowControl w:val="0"/>
              <w:snapToGrid/>
              <w:spacing w:before="101" w:line="300" w:lineRule="exact"/>
              <w:ind w:left="115"/>
              <w:rPr>
                <w:color w:val="auto"/>
                <w:highlight w:val="none"/>
              </w:rPr>
            </w:pPr>
            <w:r>
              <w:rPr>
                <w:color w:val="auto"/>
                <w:spacing w:val="6"/>
                <w:highlight w:val="none"/>
              </w:rPr>
              <w:t>上门烹饪、协助老年人前往老年助餐点就餐、送餐上门等</w:t>
            </w:r>
          </w:p>
        </w:tc>
      </w:tr>
      <w:tr w14:paraId="0E6C4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59179D0A">
            <w:pPr>
              <w:spacing w:line="300" w:lineRule="exact"/>
              <w:rPr>
                <w:rFonts w:ascii="Arial"/>
                <w:color w:val="auto"/>
                <w:highlight w:val="none"/>
              </w:rPr>
            </w:pPr>
          </w:p>
        </w:tc>
        <w:tc>
          <w:tcPr>
            <w:tcW w:w="1899" w:type="dxa"/>
          </w:tcPr>
          <w:p w14:paraId="46BB9498">
            <w:pPr>
              <w:pStyle w:val="206"/>
              <w:widowControl w:val="0"/>
              <w:snapToGrid/>
              <w:spacing w:before="102" w:line="300" w:lineRule="exact"/>
              <w:ind w:left="743"/>
              <w:rPr>
                <w:color w:val="auto"/>
                <w:highlight w:val="none"/>
              </w:rPr>
            </w:pPr>
            <w:r>
              <w:rPr>
                <w:color w:val="auto"/>
                <w:highlight w:val="none"/>
              </w:rPr>
              <w:t>助浴</w:t>
            </w:r>
          </w:p>
        </w:tc>
        <w:tc>
          <w:tcPr>
            <w:tcW w:w="6153" w:type="dxa"/>
          </w:tcPr>
          <w:p w14:paraId="53E1139A">
            <w:pPr>
              <w:pStyle w:val="206"/>
              <w:widowControl w:val="0"/>
              <w:snapToGrid/>
              <w:spacing w:before="101" w:line="300" w:lineRule="exact"/>
              <w:ind w:left="115"/>
              <w:rPr>
                <w:color w:val="auto"/>
                <w:highlight w:val="none"/>
              </w:rPr>
            </w:pPr>
            <w:r>
              <w:rPr>
                <w:color w:val="auto"/>
                <w:spacing w:val="7"/>
                <w:highlight w:val="none"/>
              </w:rPr>
              <w:t>上门助浴或协助前往老年人助浴点进行身体清洁等</w:t>
            </w:r>
          </w:p>
        </w:tc>
      </w:tr>
      <w:tr w14:paraId="1B5D0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124" w:type="dxa"/>
            <w:vMerge w:val="continue"/>
            <w:tcBorders>
              <w:top w:val="nil"/>
              <w:bottom w:val="nil"/>
            </w:tcBorders>
          </w:tcPr>
          <w:p w14:paraId="091B0E98">
            <w:pPr>
              <w:spacing w:line="300" w:lineRule="exact"/>
              <w:rPr>
                <w:rFonts w:ascii="Arial"/>
                <w:color w:val="auto"/>
                <w:highlight w:val="none"/>
              </w:rPr>
            </w:pPr>
          </w:p>
        </w:tc>
        <w:tc>
          <w:tcPr>
            <w:tcW w:w="1899" w:type="dxa"/>
          </w:tcPr>
          <w:p w14:paraId="3B98EE68">
            <w:pPr>
              <w:pStyle w:val="206"/>
              <w:widowControl w:val="0"/>
              <w:snapToGrid/>
              <w:spacing w:before="237" w:line="300" w:lineRule="exact"/>
              <w:ind w:left="743"/>
              <w:rPr>
                <w:color w:val="auto"/>
                <w:highlight w:val="none"/>
              </w:rPr>
            </w:pPr>
            <w:r>
              <w:rPr>
                <w:color w:val="auto"/>
                <w:spacing w:val="4"/>
                <w:highlight w:val="none"/>
              </w:rPr>
              <w:t>助洁</w:t>
            </w:r>
          </w:p>
        </w:tc>
        <w:tc>
          <w:tcPr>
            <w:tcW w:w="6153" w:type="dxa"/>
          </w:tcPr>
          <w:p w14:paraId="287137FB">
            <w:pPr>
              <w:pStyle w:val="206"/>
              <w:widowControl w:val="0"/>
              <w:snapToGrid/>
              <w:spacing w:before="75" w:line="300" w:lineRule="exact"/>
              <w:ind w:left="116" w:right="171" w:hanging="4"/>
              <w:rPr>
                <w:color w:val="auto"/>
                <w:highlight w:val="none"/>
              </w:rPr>
            </w:pPr>
            <w:r>
              <w:rPr>
                <w:color w:val="auto"/>
                <w:spacing w:val="5"/>
                <w:highlight w:val="none"/>
              </w:rPr>
              <w:t>洗漱、剪发剃须、洗脚、剪指（趾）甲等身体助洁服务，居家清</w:t>
            </w:r>
            <w:r>
              <w:rPr>
                <w:color w:val="auto"/>
                <w:spacing w:val="8"/>
                <w:highlight w:val="none"/>
              </w:rPr>
              <w:t>洁、衣物洗涤、物品整理等普通助洁服务。</w:t>
            </w:r>
          </w:p>
        </w:tc>
      </w:tr>
      <w:tr w14:paraId="088F5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4EE4105F">
            <w:pPr>
              <w:spacing w:line="300" w:lineRule="exact"/>
              <w:rPr>
                <w:rFonts w:ascii="Arial"/>
                <w:color w:val="auto"/>
                <w:highlight w:val="none"/>
              </w:rPr>
            </w:pPr>
          </w:p>
        </w:tc>
        <w:tc>
          <w:tcPr>
            <w:tcW w:w="1899" w:type="dxa"/>
          </w:tcPr>
          <w:p w14:paraId="273680B6">
            <w:pPr>
              <w:pStyle w:val="206"/>
              <w:widowControl w:val="0"/>
              <w:snapToGrid/>
              <w:spacing w:before="104" w:line="300" w:lineRule="exact"/>
              <w:ind w:left="743"/>
              <w:rPr>
                <w:color w:val="auto"/>
                <w:highlight w:val="none"/>
              </w:rPr>
            </w:pPr>
            <w:r>
              <w:rPr>
                <w:color w:val="auto"/>
                <w:spacing w:val="4"/>
                <w:highlight w:val="none"/>
              </w:rPr>
              <w:t>助行</w:t>
            </w:r>
          </w:p>
        </w:tc>
        <w:tc>
          <w:tcPr>
            <w:tcW w:w="6153" w:type="dxa"/>
          </w:tcPr>
          <w:p w14:paraId="418EC7CD">
            <w:pPr>
              <w:pStyle w:val="206"/>
              <w:widowControl w:val="0"/>
              <w:snapToGrid/>
              <w:spacing w:before="103" w:line="300" w:lineRule="exact"/>
              <w:ind w:left="114"/>
              <w:rPr>
                <w:color w:val="auto"/>
                <w:highlight w:val="none"/>
              </w:rPr>
            </w:pPr>
            <w:r>
              <w:rPr>
                <w:color w:val="auto"/>
                <w:spacing w:val="9"/>
                <w:highlight w:val="none"/>
              </w:rPr>
              <w:t>协助行走、陪伴外出、参加活动等</w:t>
            </w:r>
          </w:p>
        </w:tc>
      </w:tr>
      <w:tr w14:paraId="51876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0A231C8B">
            <w:pPr>
              <w:spacing w:line="300" w:lineRule="exact"/>
              <w:rPr>
                <w:rFonts w:ascii="Arial"/>
                <w:color w:val="auto"/>
                <w:highlight w:val="none"/>
              </w:rPr>
            </w:pPr>
          </w:p>
        </w:tc>
        <w:tc>
          <w:tcPr>
            <w:tcW w:w="1899" w:type="dxa"/>
          </w:tcPr>
          <w:p w14:paraId="08E6CBCD">
            <w:pPr>
              <w:pStyle w:val="206"/>
              <w:widowControl w:val="0"/>
              <w:snapToGrid/>
              <w:spacing w:before="103" w:line="300" w:lineRule="exact"/>
              <w:ind w:left="743"/>
              <w:rPr>
                <w:color w:val="auto"/>
                <w:highlight w:val="none"/>
              </w:rPr>
            </w:pPr>
            <w:r>
              <w:rPr>
                <w:color w:val="auto"/>
                <w:spacing w:val="-2"/>
                <w:highlight w:val="none"/>
              </w:rPr>
              <w:t>助急</w:t>
            </w:r>
          </w:p>
        </w:tc>
        <w:tc>
          <w:tcPr>
            <w:tcW w:w="6153" w:type="dxa"/>
          </w:tcPr>
          <w:p w14:paraId="1A2639EC">
            <w:pPr>
              <w:pStyle w:val="206"/>
              <w:widowControl w:val="0"/>
              <w:snapToGrid/>
              <w:spacing w:before="103" w:line="300" w:lineRule="exact"/>
              <w:ind w:left="119"/>
              <w:rPr>
                <w:color w:val="auto"/>
                <w:highlight w:val="none"/>
              </w:rPr>
            </w:pPr>
            <w:r>
              <w:rPr>
                <w:color w:val="auto"/>
                <w:spacing w:val="8"/>
                <w:highlight w:val="none"/>
              </w:rPr>
              <w:t>紧急呼叫受理、紧急转介等</w:t>
            </w:r>
          </w:p>
        </w:tc>
      </w:tr>
      <w:tr w14:paraId="2BEF6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tcBorders>
          </w:tcPr>
          <w:p w14:paraId="589F1C19">
            <w:pPr>
              <w:spacing w:line="300" w:lineRule="exact"/>
              <w:rPr>
                <w:rFonts w:ascii="Arial"/>
                <w:color w:val="auto"/>
                <w:highlight w:val="none"/>
              </w:rPr>
            </w:pPr>
          </w:p>
        </w:tc>
        <w:tc>
          <w:tcPr>
            <w:tcW w:w="1899" w:type="dxa"/>
          </w:tcPr>
          <w:p w14:paraId="0E33CD15">
            <w:pPr>
              <w:pStyle w:val="206"/>
              <w:widowControl w:val="0"/>
              <w:snapToGrid/>
              <w:spacing w:before="103" w:line="300" w:lineRule="exact"/>
              <w:ind w:left="743"/>
              <w:rPr>
                <w:color w:val="auto"/>
                <w:highlight w:val="none"/>
              </w:rPr>
            </w:pPr>
            <w:r>
              <w:rPr>
                <w:color w:val="auto"/>
                <w:spacing w:val="4"/>
                <w:highlight w:val="none"/>
              </w:rPr>
              <w:t>助医</w:t>
            </w:r>
          </w:p>
        </w:tc>
        <w:tc>
          <w:tcPr>
            <w:tcW w:w="6153" w:type="dxa"/>
          </w:tcPr>
          <w:p w14:paraId="0D637F0D">
            <w:pPr>
              <w:pStyle w:val="206"/>
              <w:widowControl w:val="0"/>
              <w:snapToGrid/>
              <w:spacing w:before="103" w:line="300" w:lineRule="exact"/>
              <w:ind w:left="124"/>
              <w:rPr>
                <w:color w:val="auto"/>
                <w:highlight w:val="none"/>
              </w:rPr>
            </w:pPr>
            <w:r>
              <w:rPr>
                <w:color w:val="auto"/>
                <w:spacing w:val="8"/>
                <w:highlight w:val="none"/>
              </w:rPr>
              <w:t>陪同就医、治疗陪伴等</w:t>
            </w:r>
          </w:p>
        </w:tc>
      </w:tr>
      <w:tr w14:paraId="0E6BE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restart"/>
            <w:tcBorders>
              <w:bottom w:val="nil"/>
            </w:tcBorders>
          </w:tcPr>
          <w:p w14:paraId="0EC21A3D">
            <w:pPr>
              <w:spacing w:line="300" w:lineRule="exact"/>
              <w:rPr>
                <w:rFonts w:ascii="Arial"/>
                <w:color w:val="auto"/>
                <w:highlight w:val="none"/>
              </w:rPr>
            </w:pPr>
          </w:p>
          <w:p w14:paraId="1367F44B">
            <w:pPr>
              <w:spacing w:line="300" w:lineRule="exact"/>
              <w:rPr>
                <w:rFonts w:ascii="Arial"/>
                <w:color w:val="auto"/>
                <w:highlight w:val="none"/>
              </w:rPr>
            </w:pPr>
          </w:p>
          <w:p w14:paraId="207F6C23">
            <w:pPr>
              <w:spacing w:line="300" w:lineRule="exact"/>
              <w:rPr>
                <w:rFonts w:ascii="Arial"/>
                <w:color w:val="auto"/>
                <w:highlight w:val="none"/>
              </w:rPr>
            </w:pPr>
          </w:p>
          <w:p w14:paraId="758986A3">
            <w:pPr>
              <w:pStyle w:val="206"/>
              <w:widowControl w:val="0"/>
              <w:snapToGrid/>
              <w:spacing w:before="65" w:line="300" w:lineRule="exact"/>
              <w:ind w:left="115" w:right="124"/>
              <w:rPr>
                <w:color w:val="auto"/>
                <w:highlight w:val="none"/>
              </w:rPr>
            </w:pPr>
            <w:r>
              <w:rPr>
                <w:color w:val="auto"/>
                <w:spacing w:val="7"/>
                <w:highlight w:val="none"/>
              </w:rPr>
              <w:t>基础照护</w:t>
            </w:r>
            <w:r>
              <w:rPr>
                <w:color w:val="auto"/>
                <w:spacing w:val="4"/>
                <w:highlight w:val="none"/>
              </w:rPr>
              <w:t>服务</w:t>
            </w:r>
          </w:p>
        </w:tc>
        <w:tc>
          <w:tcPr>
            <w:tcW w:w="1899" w:type="dxa"/>
          </w:tcPr>
          <w:p w14:paraId="75CA88BA">
            <w:pPr>
              <w:pStyle w:val="206"/>
              <w:widowControl w:val="0"/>
              <w:snapToGrid/>
              <w:spacing w:before="103" w:line="300" w:lineRule="exact"/>
              <w:ind w:left="534"/>
              <w:rPr>
                <w:color w:val="auto"/>
                <w:highlight w:val="none"/>
              </w:rPr>
            </w:pPr>
            <w:r>
              <w:rPr>
                <w:color w:val="auto"/>
                <w:spacing w:val="7"/>
                <w:highlight w:val="none"/>
              </w:rPr>
              <w:t>排泄护理</w:t>
            </w:r>
          </w:p>
        </w:tc>
        <w:tc>
          <w:tcPr>
            <w:tcW w:w="6153" w:type="dxa"/>
          </w:tcPr>
          <w:p w14:paraId="0128C210">
            <w:pPr>
              <w:pStyle w:val="206"/>
              <w:widowControl w:val="0"/>
              <w:snapToGrid/>
              <w:spacing w:before="103" w:line="300" w:lineRule="exact"/>
              <w:ind w:left="113"/>
              <w:rPr>
                <w:color w:val="auto"/>
                <w:highlight w:val="none"/>
              </w:rPr>
            </w:pPr>
            <w:r>
              <w:rPr>
                <w:color w:val="auto"/>
                <w:spacing w:val="9"/>
                <w:highlight w:val="none"/>
              </w:rPr>
              <w:t>排尿护理、排便护理、排气护理等</w:t>
            </w:r>
          </w:p>
        </w:tc>
      </w:tr>
      <w:tr w14:paraId="0F209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124" w:type="dxa"/>
            <w:vMerge w:val="continue"/>
            <w:tcBorders>
              <w:top w:val="nil"/>
              <w:bottom w:val="nil"/>
            </w:tcBorders>
          </w:tcPr>
          <w:p w14:paraId="3B61D8E0">
            <w:pPr>
              <w:spacing w:line="300" w:lineRule="exact"/>
              <w:rPr>
                <w:rFonts w:ascii="Arial"/>
                <w:color w:val="auto"/>
                <w:highlight w:val="none"/>
              </w:rPr>
            </w:pPr>
          </w:p>
        </w:tc>
        <w:tc>
          <w:tcPr>
            <w:tcW w:w="1899" w:type="dxa"/>
          </w:tcPr>
          <w:p w14:paraId="4B10E1D4">
            <w:pPr>
              <w:pStyle w:val="206"/>
              <w:widowControl w:val="0"/>
              <w:snapToGrid/>
              <w:spacing w:before="238" w:line="300" w:lineRule="exact"/>
              <w:ind w:left="535"/>
              <w:rPr>
                <w:color w:val="auto"/>
                <w:highlight w:val="none"/>
              </w:rPr>
            </w:pPr>
            <w:r>
              <w:rPr>
                <w:color w:val="auto"/>
                <w:spacing w:val="7"/>
                <w:highlight w:val="none"/>
              </w:rPr>
              <w:t>护理协助</w:t>
            </w:r>
          </w:p>
        </w:tc>
        <w:tc>
          <w:tcPr>
            <w:tcW w:w="6153" w:type="dxa"/>
          </w:tcPr>
          <w:p w14:paraId="292D5140">
            <w:pPr>
              <w:pStyle w:val="206"/>
              <w:widowControl w:val="0"/>
              <w:snapToGrid/>
              <w:spacing w:before="77" w:line="300" w:lineRule="exact"/>
              <w:ind w:left="126" w:right="160" w:hanging="10"/>
              <w:rPr>
                <w:color w:val="auto"/>
                <w:highlight w:val="none"/>
              </w:rPr>
            </w:pPr>
            <w:r>
              <w:rPr>
                <w:color w:val="auto"/>
                <w:spacing w:val="9"/>
                <w:highlight w:val="none"/>
              </w:rPr>
              <w:t>为老年人进行保暖和物理降温，协助和指导翻身、拍背、褥疮预</w:t>
            </w:r>
            <w:r>
              <w:rPr>
                <w:color w:val="auto"/>
                <w:spacing w:val="-1"/>
                <w:highlight w:val="none"/>
              </w:rPr>
              <w:t>防等</w:t>
            </w:r>
          </w:p>
        </w:tc>
      </w:tr>
      <w:tr w14:paraId="52AAB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0A512C53">
            <w:pPr>
              <w:spacing w:line="300" w:lineRule="exact"/>
              <w:rPr>
                <w:rFonts w:ascii="Arial"/>
                <w:color w:val="auto"/>
                <w:highlight w:val="none"/>
              </w:rPr>
            </w:pPr>
          </w:p>
        </w:tc>
        <w:tc>
          <w:tcPr>
            <w:tcW w:w="1899" w:type="dxa"/>
          </w:tcPr>
          <w:p w14:paraId="1826BDDD">
            <w:pPr>
              <w:pStyle w:val="206"/>
              <w:widowControl w:val="0"/>
              <w:snapToGrid/>
              <w:spacing w:before="104" w:line="300" w:lineRule="exact"/>
              <w:ind w:left="533"/>
              <w:rPr>
                <w:color w:val="auto"/>
                <w:highlight w:val="none"/>
              </w:rPr>
            </w:pPr>
            <w:r>
              <w:rPr>
                <w:color w:val="auto"/>
                <w:spacing w:val="8"/>
                <w:highlight w:val="none"/>
              </w:rPr>
              <w:t>康复护理</w:t>
            </w:r>
          </w:p>
        </w:tc>
        <w:tc>
          <w:tcPr>
            <w:tcW w:w="6153" w:type="dxa"/>
          </w:tcPr>
          <w:p w14:paraId="623A6273">
            <w:pPr>
              <w:pStyle w:val="206"/>
              <w:widowControl w:val="0"/>
              <w:snapToGrid/>
              <w:spacing w:before="105" w:line="300" w:lineRule="exact"/>
              <w:ind w:left="113"/>
              <w:rPr>
                <w:color w:val="auto"/>
                <w:highlight w:val="none"/>
              </w:rPr>
            </w:pPr>
            <w:r>
              <w:rPr>
                <w:color w:val="auto"/>
                <w:spacing w:val="9"/>
                <w:highlight w:val="none"/>
              </w:rPr>
              <w:t>包括康复评估、计划制定、康复指导、康复理疗等</w:t>
            </w:r>
          </w:p>
        </w:tc>
      </w:tr>
      <w:tr w14:paraId="18578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1BD968F0">
            <w:pPr>
              <w:spacing w:line="300" w:lineRule="exact"/>
              <w:rPr>
                <w:rFonts w:ascii="Arial"/>
                <w:color w:val="auto"/>
                <w:highlight w:val="none"/>
              </w:rPr>
            </w:pPr>
          </w:p>
        </w:tc>
        <w:tc>
          <w:tcPr>
            <w:tcW w:w="1899" w:type="dxa"/>
          </w:tcPr>
          <w:p w14:paraId="231344F4">
            <w:pPr>
              <w:pStyle w:val="206"/>
              <w:widowControl w:val="0"/>
              <w:snapToGrid/>
              <w:spacing w:before="105" w:line="300" w:lineRule="exact"/>
              <w:ind w:left="535"/>
              <w:rPr>
                <w:color w:val="auto"/>
                <w:highlight w:val="none"/>
              </w:rPr>
            </w:pPr>
            <w:r>
              <w:rPr>
                <w:color w:val="auto"/>
                <w:spacing w:val="3"/>
                <w:highlight w:val="none"/>
              </w:rPr>
              <w:t>用药照护</w:t>
            </w:r>
          </w:p>
        </w:tc>
        <w:tc>
          <w:tcPr>
            <w:tcW w:w="6153" w:type="dxa"/>
          </w:tcPr>
          <w:p w14:paraId="3C27D2A8">
            <w:pPr>
              <w:pStyle w:val="206"/>
              <w:widowControl w:val="0"/>
              <w:snapToGrid/>
              <w:spacing w:before="104" w:line="300" w:lineRule="exact"/>
              <w:ind w:left="113"/>
              <w:rPr>
                <w:color w:val="auto"/>
                <w:highlight w:val="none"/>
              </w:rPr>
            </w:pPr>
            <w:r>
              <w:rPr>
                <w:color w:val="auto"/>
                <w:spacing w:val="6"/>
                <w:highlight w:val="none"/>
              </w:rPr>
              <w:t>包括用药提醒、用药指导及不良反应观察等</w:t>
            </w:r>
          </w:p>
        </w:tc>
      </w:tr>
      <w:tr w14:paraId="7B34E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tcBorders>
          </w:tcPr>
          <w:p w14:paraId="62405A7F">
            <w:pPr>
              <w:spacing w:line="300" w:lineRule="exact"/>
              <w:rPr>
                <w:rFonts w:ascii="Arial"/>
                <w:color w:val="auto"/>
                <w:highlight w:val="none"/>
              </w:rPr>
            </w:pPr>
          </w:p>
        </w:tc>
        <w:tc>
          <w:tcPr>
            <w:tcW w:w="1899" w:type="dxa"/>
          </w:tcPr>
          <w:p w14:paraId="6276A192">
            <w:pPr>
              <w:pStyle w:val="206"/>
              <w:widowControl w:val="0"/>
              <w:snapToGrid/>
              <w:spacing w:before="105" w:line="300" w:lineRule="exact"/>
              <w:ind w:left="535"/>
              <w:rPr>
                <w:color w:val="auto"/>
                <w:highlight w:val="none"/>
              </w:rPr>
            </w:pPr>
            <w:r>
              <w:rPr>
                <w:color w:val="auto"/>
                <w:spacing w:val="3"/>
                <w:highlight w:val="none"/>
              </w:rPr>
              <w:t>生活照护</w:t>
            </w:r>
          </w:p>
        </w:tc>
        <w:tc>
          <w:tcPr>
            <w:tcW w:w="6153" w:type="dxa"/>
          </w:tcPr>
          <w:p w14:paraId="6C0EB910">
            <w:pPr>
              <w:pStyle w:val="206"/>
              <w:widowControl w:val="0"/>
              <w:snapToGrid/>
              <w:spacing w:before="104" w:line="300" w:lineRule="exact"/>
              <w:ind w:left="114"/>
              <w:rPr>
                <w:color w:val="auto"/>
                <w:highlight w:val="none"/>
              </w:rPr>
            </w:pPr>
            <w:r>
              <w:rPr>
                <w:color w:val="auto"/>
                <w:spacing w:val="5"/>
                <w:highlight w:val="none"/>
              </w:rPr>
              <w:t>协助穿（脱）衣、饮食照护、睡眠照护等</w:t>
            </w:r>
          </w:p>
        </w:tc>
      </w:tr>
      <w:tr w14:paraId="5F077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restart"/>
            <w:tcBorders>
              <w:bottom w:val="nil"/>
            </w:tcBorders>
          </w:tcPr>
          <w:p w14:paraId="3F358C68">
            <w:pPr>
              <w:pStyle w:val="206"/>
              <w:widowControl w:val="0"/>
              <w:snapToGrid/>
              <w:spacing w:before="270" w:line="300" w:lineRule="exact"/>
              <w:ind w:left="114" w:right="119"/>
              <w:rPr>
                <w:color w:val="auto"/>
                <w:highlight w:val="none"/>
              </w:rPr>
            </w:pPr>
            <w:r>
              <w:rPr>
                <w:color w:val="auto"/>
                <w:spacing w:val="9"/>
                <w:highlight w:val="none"/>
              </w:rPr>
              <w:t>探访关爱</w:t>
            </w:r>
            <w:r>
              <w:rPr>
                <w:color w:val="auto"/>
                <w:spacing w:val="4"/>
                <w:highlight w:val="none"/>
              </w:rPr>
              <w:t>服务</w:t>
            </w:r>
          </w:p>
        </w:tc>
        <w:tc>
          <w:tcPr>
            <w:tcW w:w="1899" w:type="dxa"/>
          </w:tcPr>
          <w:p w14:paraId="67BA527C">
            <w:pPr>
              <w:pStyle w:val="206"/>
              <w:widowControl w:val="0"/>
              <w:snapToGrid/>
              <w:spacing w:before="104" w:line="300" w:lineRule="exact"/>
              <w:ind w:left="534"/>
              <w:rPr>
                <w:color w:val="auto"/>
                <w:highlight w:val="none"/>
              </w:rPr>
            </w:pPr>
            <w:r>
              <w:rPr>
                <w:color w:val="auto"/>
                <w:spacing w:val="7"/>
                <w:highlight w:val="none"/>
              </w:rPr>
              <w:t>远程服务</w:t>
            </w:r>
          </w:p>
        </w:tc>
        <w:tc>
          <w:tcPr>
            <w:tcW w:w="6153" w:type="dxa"/>
          </w:tcPr>
          <w:p w14:paraId="04FF7BE3">
            <w:pPr>
              <w:pStyle w:val="206"/>
              <w:widowControl w:val="0"/>
              <w:snapToGrid/>
              <w:spacing w:before="104" w:line="300" w:lineRule="exact"/>
              <w:ind w:left="112"/>
              <w:rPr>
                <w:color w:val="auto"/>
                <w:highlight w:val="none"/>
              </w:rPr>
            </w:pPr>
            <w:r>
              <w:rPr>
                <w:color w:val="auto"/>
                <w:spacing w:val="9"/>
                <w:highlight w:val="none"/>
              </w:rPr>
              <w:t>接受与协助老年人电话呼叫和紧急求助</w:t>
            </w:r>
          </w:p>
        </w:tc>
      </w:tr>
      <w:tr w14:paraId="07A14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124" w:type="dxa"/>
            <w:vMerge w:val="continue"/>
            <w:tcBorders>
              <w:top w:val="nil"/>
            </w:tcBorders>
          </w:tcPr>
          <w:p w14:paraId="6C49724B">
            <w:pPr>
              <w:spacing w:line="300" w:lineRule="exact"/>
              <w:rPr>
                <w:rFonts w:ascii="Arial"/>
                <w:color w:val="auto"/>
                <w:highlight w:val="none"/>
              </w:rPr>
            </w:pPr>
          </w:p>
        </w:tc>
        <w:tc>
          <w:tcPr>
            <w:tcW w:w="1899" w:type="dxa"/>
          </w:tcPr>
          <w:p w14:paraId="78B97030">
            <w:pPr>
              <w:pStyle w:val="206"/>
              <w:widowControl w:val="0"/>
              <w:snapToGrid/>
              <w:spacing w:before="239" w:line="300" w:lineRule="exact"/>
              <w:ind w:left="535"/>
              <w:rPr>
                <w:color w:val="auto"/>
                <w:highlight w:val="none"/>
              </w:rPr>
            </w:pPr>
            <w:r>
              <w:rPr>
                <w:color w:val="auto"/>
                <w:spacing w:val="-4"/>
                <w:highlight w:val="none"/>
              </w:rPr>
              <w:t>上门探访</w:t>
            </w:r>
          </w:p>
        </w:tc>
        <w:tc>
          <w:tcPr>
            <w:tcW w:w="6153" w:type="dxa"/>
          </w:tcPr>
          <w:p w14:paraId="1EB956E9">
            <w:pPr>
              <w:pStyle w:val="206"/>
              <w:widowControl w:val="0"/>
              <w:snapToGrid/>
              <w:spacing w:before="79" w:line="300" w:lineRule="exact"/>
              <w:ind w:left="115" w:right="195" w:firstLine="17"/>
              <w:rPr>
                <w:color w:val="auto"/>
                <w:highlight w:val="none"/>
              </w:rPr>
            </w:pPr>
            <w:r>
              <w:rPr>
                <w:color w:val="auto"/>
                <w:spacing w:val="8"/>
                <w:highlight w:val="none"/>
              </w:rPr>
              <w:t>了解掌握老年人的健康状况、精神状况、安全情况</w:t>
            </w:r>
            <w:r>
              <w:rPr>
                <w:color w:val="auto"/>
                <w:spacing w:val="7"/>
                <w:highlight w:val="none"/>
              </w:rPr>
              <w:t>、卫生状况、</w:t>
            </w:r>
            <w:r>
              <w:rPr>
                <w:color w:val="auto"/>
                <w:spacing w:val="9"/>
                <w:highlight w:val="none"/>
              </w:rPr>
              <w:t>居室环境、服务需求等</w:t>
            </w:r>
          </w:p>
        </w:tc>
      </w:tr>
      <w:tr w14:paraId="6DD21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124" w:type="dxa"/>
            <w:vMerge w:val="restart"/>
            <w:tcBorders>
              <w:bottom w:val="nil"/>
            </w:tcBorders>
          </w:tcPr>
          <w:p w14:paraId="76B6DC06">
            <w:pPr>
              <w:spacing w:line="300" w:lineRule="exact"/>
              <w:rPr>
                <w:rFonts w:ascii="Arial"/>
                <w:color w:val="auto"/>
                <w:highlight w:val="none"/>
              </w:rPr>
            </w:pPr>
          </w:p>
          <w:p w14:paraId="645306B6">
            <w:pPr>
              <w:spacing w:line="300" w:lineRule="exact"/>
              <w:rPr>
                <w:rFonts w:ascii="Arial"/>
                <w:color w:val="auto"/>
                <w:highlight w:val="none"/>
              </w:rPr>
            </w:pPr>
          </w:p>
          <w:p w14:paraId="42C70F02">
            <w:pPr>
              <w:pStyle w:val="206"/>
              <w:widowControl w:val="0"/>
              <w:snapToGrid/>
              <w:spacing w:before="65" w:line="300" w:lineRule="exact"/>
              <w:ind w:left="115" w:right="116"/>
              <w:rPr>
                <w:color w:val="auto"/>
                <w:highlight w:val="none"/>
              </w:rPr>
            </w:pPr>
            <w:r>
              <w:rPr>
                <w:color w:val="auto"/>
                <w:spacing w:val="21"/>
                <w:highlight w:val="none"/>
              </w:rPr>
              <w:t>健康管理</w:t>
            </w:r>
            <w:r>
              <w:rPr>
                <w:color w:val="auto"/>
                <w:spacing w:val="4"/>
                <w:highlight w:val="none"/>
              </w:rPr>
              <w:t>服务</w:t>
            </w:r>
          </w:p>
        </w:tc>
        <w:tc>
          <w:tcPr>
            <w:tcW w:w="1899" w:type="dxa"/>
          </w:tcPr>
          <w:p w14:paraId="733289D0">
            <w:pPr>
              <w:pStyle w:val="206"/>
              <w:widowControl w:val="0"/>
              <w:snapToGrid/>
              <w:spacing w:before="238" w:line="300" w:lineRule="exact"/>
              <w:ind w:left="534"/>
              <w:rPr>
                <w:color w:val="auto"/>
                <w:highlight w:val="none"/>
              </w:rPr>
            </w:pPr>
            <w:r>
              <w:rPr>
                <w:color w:val="auto"/>
                <w:spacing w:val="5"/>
                <w:highlight w:val="none"/>
              </w:rPr>
              <w:t>信息采集</w:t>
            </w:r>
          </w:p>
        </w:tc>
        <w:tc>
          <w:tcPr>
            <w:tcW w:w="6153" w:type="dxa"/>
          </w:tcPr>
          <w:p w14:paraId="44EE0A88">
            <w:pPr>
              <w:pStyle w:val="206"/>
              <w:widowControl w:val="0"/>
              <w:snapToGrid/>
              <w:spacing w:before="79" w:line="300" w:lineRule="exact"/>
              <w:ind w:left="112" w:right="168"/>
              <w:rPr>
                <w:color w:val="auto"/>
                <w:highlight w:val="none"/>
              </w:rPr>
            </w:pPr>
            <w:r>
              <w:rPr>
                <w:color w:val="auto"/>
                <w:spacing w:val="8"/>
                <w:highlight w:val="none"/>
              </w:rPr>
              <w:t>采集老年人的体检信息、既往疾病史等健康信息，建立老年人健</w:t>
            </w:r>
            <w:r>
              <w:rPr>
                <w:color w:val="auto"/>
                <w:spacing w:val="7"/>
                <w:highlight w:val="none"/>
              </w:rPr>
              <w:t>康档案</w:t>
            </w:r>
          </w:p>
        </w:tc>
      </w:tr>
      <w:tr w14:paraId="70B34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1F205500">
            <w:pPr>
              <w:spacing w:line="300" w:lineRule="exact"/>
              <w:rPr>
                <w:rFonts w:ascii="Arial"/>
                <w:color w:val="auto"/>
                <w:highlight w:val="none"/>
              </w:rPr>
            </w:pPr>
          </w:p>
        </w:tc>
        <w:tc>
          <w:tcPr>
            <w:tcW w:w="1899" w:type="dxa"/>
          </w:tcPr>
          <w:p w14:paraId="005F132E">
            <w:pPr>
              <w:pStyle w:val="206"/>
              <w:widowControl w:val="0"/>
              <w:snapToGrid/>
              <w:spacing w:before="107" w:line="300" w:lineRule="exact"/>
              <w:ind w:left="534"/>
              <w:rPr>
                <w:color w:val="auto"/>
                <w:highlight w:val="none"/>
              </w:rPr>
            </w:pPr>
            <w:r>
              <w:rPr>
                <w:color w:val="auto"/>
                <w:spacing w:val="7"/>
                <w:highlight w:val="none"/>
              </w:rPr>
              <w:t>健康咨询</w:t>
            </w:r>
          </w:p>
        </w:tc>
        <w:tc>
          <w:tcPr>
            <w:tcW w:w="6153" w:type="dxa"/>
          </w:tcPr>
          <w:p w14:paraId="7AB1AC9B">
            <w:pPr>
              <w:pStyle w:val="206"/>
              <w:widowControl w:val="0"/>
              <w:snapToGrid/>
              <w:spacing w:before="107" w:line="300" w:lineRule="exact"/>
              <w:ind w:left="116"/>
              <w:rPr>
                <w:color w:val="auto"/>
                <w:highlight w:val="none"/>
              </w:rPr>
            </w:pPr>
            <w:r>
              <w:rPr>
                <w:color w:val="auto"/>
                <w:spacing w:val="9"/>
                <w:highlight w:val="none"/>
              </w:rPr>
              <w:t>为老年人提供防跌倒、疾病预防、膳食营养、康复保健等指导</w:t>
            </w:r>
          </w:p>
        </w:tc>
      </w:tr>
      <w:tr w14:paraId="57D63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257DA13C">
            <w:pPr>
              <w:spacing w:line="300" w:lineRule="exact"/>
              <w:rPr>
                <w:rFonts w:ascii="Arial"/>
                <w:color w:val="auto"/>
                <w:highlight w:val="none"/>
              </w:rPr>
            </w:pPr>
          </w:p>
        </w:tc>
        <w:tc>
          <w:tcPr>
            <w:tcW w:w="1899" w:type="dxa"/>
          </w:tcPr>
          <w:p w14:paraId="726CFE19">
            <w:pPr>
              <w:pStyle w:val="206"/>
              <w:widowControl w:val="0"/>
              <w:snapToGrid/>
              <w:spacing w:before="107" w:line="300" w:lineRule="exact"/>
              <w:ind w:left="534"/>
              <w:rPr>
                <w:color w:val="auto"/>
                <w:highlight w:val="none"/>
              </w:rPr>
            </w:pPr>
            <w:r>
              <w:rPr>
                <w:color w:val="auto"/>
                <w:spacing w:val="7"/>
                <w:highlight w:val="none"/>
              </w:rPr>
              <w:t>健康干预</w:t>
            </w:r>
          </w:p>
        </w:tc>
        <w:tc>
          <w:tcPr>
            <w:tcW w:w="6153" w:type="dxa"/>
          </w:tcPr>
          <w:p w14:paraId="5901A748">
            <w:pPr>
              <w:pStyle w:val="206"/>
              <w:widowControl w:val="0"/>
              <w:snapToGrid/>
              <w:spacing w:before="107" w:line="300" w:lineRule="exact"/>
              <w:ind w:left="114"/>
              <w:rPr>
                <w:color w:val="auto"/>
                <w:highlight w:val="none"/>
              </w:rPr>
            </w:pPr>
            <w:r>
              <w:rPr>
                <w:color w:val="auto"/>
                <w:spacing w:val="10"/>
                <w:highlight w:val="none"/>
              </w:rPr>
              <w:t>制定服务方案，为老年人的生活起居、慢病</w:t>
            </w:r>
            <w:r>
              <w:rPr>
                <w:color w:val="auto"/>
                <w:spacing w:val="9"/>
                <w:highlight w:val="none"/>
              </w:rPr>
              <w:t>调理等提供干预服务</w:t>
            </w:r>
          </w:p>
        </w:tc>
      </w:tr>
      <w:tr w14:paraId="3CA8C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tcBorders>
          </w:tcPr>
          <w:p w14:paraId="54817AAE">
            <w:pPr>
              <w:spacing w:line="300" w:lineRule="exact"/>
              <w:rPr>
                <w:rFonts w:ascii="Arial"/>
                <w:color w:val="auto"/>
                <w:highlight w:val="none"/>
              </w:rPr>
            </w:pPr>
          </w:p>
        </w:tc>
        <w:tc>
          <w:tcPr>
            <w:tcW w:w="1899" w:type="dxa"/>
          </w:tcPr>
          <w:p w14:paraId="6C565847">
            <w:pPr>
              <w:pStyle w:val="206"/>
              <w:widowControl w:val="0"/>
              <w:snapToGrid/>
              <w:spacing w:before="108" w:line="300" w:lineRule="exact"/>
              <w:ind w:left="120"/>
              <w:rPr>
                <w:color w:val="auto"/>
                <w:highlight w:val="none"/>
              </w:rPr>
            </w:pPr>
            <w:r>
              <w:rPr>
                <w:color w:val="auto"/>
                <w:spacing w:val="8"/>
                <w:highlight w:val="none"/>
              </w:rPr>
              <w:t>常规生理指标监测</w:t>
            </w:r>
          </w:p>
        </w:tc>
        <w:tc>
          <w:tcPr>
            <w:tcW w:w="6153" w:type="dxa"/>
          </w:tcPr>
          <w:p w14:paraId="7C2DE2EA">
            <w:pPr>
              <w:pStyle w:val="206"/>
              <w:widowControl w:val="0"/>
              <w:snapToGrid/>
              <w:spacing w:before="107" w:line="300" w:lineRule="exact"/>
              <w:ind w:left="114"/>
              <w:rPr>
                <w:color w:val="auto"/>
                <w:highlight w:val="none"/>
              </w:rPr>
            </w:pPr>
            <w:r>
              <w:rPr>
                <w:color w:val="auto"/>
                <w:spacing w:val="9"/>
                <w:highlight w:val="none"/>
              </w:rPr>
              <w:t>监测体温、体重、血压、呼吸、心率、血糖等</w:t>
            </w:r>
          </w:p>
        </w:tc>
      </w:tr>
      <w:tr w14:paraId="74690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restart"/>
            <w:tcBorders>
              <w:bottom w:val="nil"/>
            </w:tcBorders>
          </w:tcPr>
          <w:p w14:paraId="344B01E7">
            <w:pPr>
              <w:spacing w:line="300" w:lineRule="exact"/>
              <w:rPr>
                <w:rFonts w:ascii="Arial"/>
                <w:color w:val="auto"/>
                <w:highlight w:val="none"/>
              </w:rPr>
            </w:pPr>
          </w:p>
          <w:p w14:paraId="07FC8469">
            <w:pPr>
              <w:pStyle w:val="206"/>
              <w:widowControl w:val="0"/>
              <w:snapToGrid/>
              <w:spacing w:before="65" w:line="300" w:lineRule="exact"/>
              <w:ind w:left="114" w:right="109"/>
              <w:rPr>
                <w:color w:val="auto"/>
                <w:highlight w:val="none"/>
              </w:rPr>
            </w:pPr>
            <w:r>
              <w:rPr>
                <w:color w:val="auto"/>
                <w:spacing w:val="23"/>
                <w:highlight w:val="none"/>
              </w:rPr>
              <w:t>委托代办</w:t>
            </w:r>
            <w:r>
              <w:rPr>
                <w:color w:val="auto"/>
                <w:spacing w:val="4"/>
                <w:highlight w:val="none"/>
              </w:rPr>
              <w:t>服务</w:t>
            </w:r>
          </w:p>
        </w:tc>
        <w:tc>
          <w:tcPr>
            <w:tcW w:w="1899" w:type="dxa"/>
          </w:tcPr>
          <w:p w14:paraId="4C007734">
            <w:pPr>
              <w:pStyle w:val="206"/>
              <w:widowControl w:val="0"/>
              <w:snapToGrid/>
              <w:spacing w:before="107" w:line="300" w:lineRule="exact"/>
              <w:ind w:left="322"/>
              <w:rPr>
                <w:color w:val="auto"/>
                <w:highlight w:val="none"/>
              </w:rPr>
            </w:pPr>
            <w:r>
              <w:rPr>
                <w:color w:val="auto"/>
                <w:spacing w:val="-10"/>
                <w:highlight w:val="none"/>
              </w:rPr>
              <w:t>代购日常用品</w:t>
            </w:r>
          </w:p>
        </w:tc>
        <w:tc>
          <w:tcPr>
            <w:tcW w:w="6153" w:type="dxa"/>
          </w:tcPr>
          <w:p w14:paraId="2113AAE9">
            <w:pPr>
              <w:pStyle w:val="206"/>
              <w:widowControl w:val="0"/>
              <w:snapToGrid/>
              <w:spacing w:before="107" w:line="300" w:lineRule="exact"/>
              <w:ind w:left="112"/>
              <w:rPr>
                <w:color w:val="auto"/>
                <w:highlight w:val="none"/>
              </w:rPr>
            </w:pPr>
            <w:r>
              <w:rPr>
                <w:color w:val="auto"/>
                <w:highlight w:val="none"/>
              </w:rPr>
              <w:t>代购日常生活用品、果蔬等</w:t>
            </w:r>
          </w:p>
        </w:tc>
      </w:tr>
      <w:tr w14:paraId="6A225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12F0AFC2">
            <w:pPr>
              <w:spacing w:line="300" w:lineRule="exact"/>
              <w:rPr>
                <w:rFonts w:ascii="Arial"/>
                <w:color w:val="auto"/>
                <w:highlight w:val="none"/>
              </w:rPr>
            </w:pPr>
          </w:p>
        </w:tc>
        <w:tc>
          <w:tcPr>
            <w:tcW w:w="1899" w:type="dxa"/>
          </w:tcPr>
          <w:p w14:paraId="0F04CAE4">
            <w:pPr>
              <w:pStyle w:val="206"/>
              <w:widowControl w:val="0"/>
              <w:snapToGrid/>
              <w:spacing w:before="107" w:line="300" w:lineRule="exact"/>
              <w:ind w:left="322"/>
              <w:rPr>
                <w:color w:val="auto"/>
                <w:highlight w:val="none"/>
              </w:rPr>
            </w:pPr>
            <w:r>
              <w:rPr>
                <w:color w:val="auto"/>
                <w:spacing w:val="-1"/>
                <w:highlight w:val="none"/>
              </w:rPr>
              <w:t>代缴日常费用</w:t>
            </w:r>
          </w:p>
        </w:tc>
        <w:tc>
          <w:tcPr>
            <w:tcW w:w="6153" w:type="dxa"/>
          </w:tcPr>
          <w:p w14:paraId="0688083B">
            <w:pPr>
              <w:pStyle w:val="206"/>
              <w:widowControl w:val="0"/>
              <w:snapToGrid/>
              <w:spacing w:before="107" w:line="300" w:lineRule="exact"/>
              <w:ind w:left="112"/>
              <w:rPr>
                <w:color w:val="auto"/>
                <w:highlight w:val="none"/>
              </w:rPr>
            </w:pPr>
            <w:r>
              <w:rPr>
                <w:color w:val="auto"/>
                <w:spacing w:val="6"/>
                <w:highlight w:val="none"/>
              </w:rPr>
              <w:t>代缴水、电、气、通讯费等日常费用</w:t>
            </w:r>
          </w:p>
        </w:tc>
      </w:tr>
      <w:tr w14:paraId="0D0AC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0F8D0804">
            <w:pPr>
              <w:spacing w:line="300" w:lineRule="exact"/>
              <w:rPr>
                <w:rFonts w:ascii="Arial"/>
                <w:color w:val="auto"/>
                <w:highlight w:val="none"/>
              </w:rPr>
            </w:pPr>
          </w:p>
        </w:tc>
        <w:tc>
          <w:tcPr>
            <w:tcW w:w="1899" w:type="dxa"/>
          </w:tcPr>
          <w:p w14:paraId="16FB6CD5">
            <w:pPr>
              <w:pStyle w:val="206"/>
              <w:widowControl w:val="0"/>
              <w:snapToGrid/>
              <w:spacing w:before="107" w:line="300" w:lineRule="exact"/>
              <w:ind w:left="322"/>
              <w:rPr>
                <w:color w:val="auto"/>
                <w:highlight w:val="none"/>
              </w:rPr>
            </w:pPr>
            <w:r>
              <w:rPr>
                <w:color w:val="auto"/>
                <w:spacing w:val="8"/>
                <w:highlight w:val="none"/>
              </w:rPr>
              <w:t>代订代取业务</w:t>
            </w:r>
          </w:p>
        </w:tc>
        <w:tc>
          <w:tcPr>
            <w:tcW w:w="6153" w:type="dxa"/>
          </w:tcPr>
          <w:p w14:paraId="3FC16A7A">
            <w:pPr>
              <w:pStyle w:val="206"/>
              <w:widowControl w:val="0"/>
              <w:snapToGrid/>
              <w:spacing w:before="107" w:line="300" w:lineRule="exact"/>
              <w:ind w:left="112"/>
              <w:rPr>
                <w:color w:val="auto"/>
                <w:highlight w:val="none"/>
              </w:rPr>
            </w:pPr>
            <w:r>
              <w:rPr>
                <w:color w:val="auto"/>
                <w:spacing w:val="9"/>
                <w:highlight w:val="none"/>
              </w:rPr>
              <w:t>代订车票、预约车辆，代取送信函、文件和物品等</w:t>
            </w:r>
          </w:p>
        </w:tc>
      </w:tr>
      <w:tr w14:paraId="6A9B6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tcBorders>
          </w:tcPr>
          <w:p w14:paraId="25E36EF3">
            <w:pPr>
              <w:spacing w:line="300" w:lineRule="exact"/>
              <w:rPr>
                <w:rFonts w:ascii="Arial"/>
                <w:color w:val="auto"/>
                <w:highlight w:val="none"/>
              </w:rPr>
            </w:pPr>
          </w:p>
        </w:tc>
        <w:tc>
          <w:tcPr>
            <w:tcW w:w="1899" w:type="dxa"/>
          </w:tcPr>
          <w:p w14:paraId="6C502F72">
            <w:pPr>
              <w:pStyle w:val="206"/>
              <w:widowControl w:val="0"/>
              <w:snapToGrid/>
              <w:spacing w:before="107" w:line="300" w:lineRule="exact"/>
              <w:ind w:left="322"/>
              <w:rPr>
                <w:color w:val="auto"/>
                <w:highlight w:val="none"/>
              </w:rPr>
            </w:pPr>
            <w:r>
              <w:rPr>
                <w:color w:val="auto"/>
                <w:highlight w:val="none"/>
              </w:rPr>
              <w:t>代为申请服务</w:t>
            </w:r>
          </w:p>
        </w:tc>
        <w:tc>
          <w:tcPr>
            <w:tcW w:w="6153" w:type="dxa"/>
          </w:tcPr>
          <w:p w14:paraId="14507359">
            <w:pPr>
              <w:pStyle w:val="206"/>
              <w:widowControl w:val="0"/>
              <w:snapToGrid/>
              <w:spacing w:before="107" w:line="300" w:lineRule="exact"/>
              <w:ind w:left="112"/>
              <w:rPr>
                <w:color w:val="auto"/>
                <w:highlight w:val="none"/>
              </w:rPr>
            </w:pPr>
            <w:r>
              <w:rPr>
                <w:color w:val="auto"/>
                <w:spacing w:val="6"/>
                <w:highlight w:val="none"/>
              </w:rPr>
              <w:t>代为申请法律援助、救助服务等</w:t>
            </w:r>
          </w:p>
        </w:tc>
      </w:tr>
      <w:tr w14:paraId="347DA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restart"/>
            <w:tcBorders>
              <w:bottom w:val="nil"/>
            </w:tcBorders>
          </w:tcPr>
          <w:p w14:paraId="786469BB">
            <w:pPr>
              <w:spacing w:line="300" w:lineRule="exact"/>
              <w:rPr>
                <w:rFonts w:ascii="Arial"/>
                <w:color w:val="auto"/>
                <w:highlight w:val="none"/>
              </w:rPr>
            </w:pPr>
          </w:p>
          <w:p w14:paraId="04EB8705">
            <w:pPr>
              <w:pStyle w:val="206"/>
              <w:widowControl w:val="0"/>
              <w:snapToGrid/>
              <w:spacing w:before="65" w:line="300" w:lineRule="exact"/>
              <w:ind w:left="115" w:right="109"/>
              <w:rPr>
                <w:color w:val="auto"/>
                <w:highlight w:val="none"/>
              </w:rPr>
            </w:pPr>
            <w:r>
              <w:rPr>
                <w:color w:val="auto"/>
                <w:spacing w:val="23"/>
                <w:highlight w:val="none"/>
              </w:rPr>
              <w:t>精神慰藉</w:t>
            </w:r>
            <w:r>
              <w:rPr>
                <w:color w:val="auto"/>
                <w:spacing w:val="4"/>
                <w:highlight w:val="none"/>
              </w:rPr>
              <w:t>服务</w:t>
            </w:r>
          </w:p>
        </w:tc>
        <w:tc>
          <w:tcPr>
            <w:tcW w:w="1899" w:type="dxa"/>
          </w:tcPr>
          <w:p w14:paraId="28502611">
            <w:pPr>
              <w:pStyle w:val="206"/>
              <w:widowControl w:val="0"/>
              <w:snapToGrid/>
              <w:spacing w:before="107" w:line="300" w:lineRule="exact"/>
              <w:ind w:left="544"/>
              <w:rPr>
                <w:color w:val="auto"/>
                <w:highlight w:val="none"/>
              </w:rPr>
            </w:pPr>
            <w:r>
              <w:rPr>
                <w:color w:val="auto"/>
                <w:spacing w:val="4"/>
                <w:highlight w:val="none"/>
              </w:rPr>
              <w:t>陪伴支持</w:t>
            </w:r>
          </w:p>
        </w:tc>
        <w:tc>
          <w:tcPr>
            <w:tcW w:w="6153" w:type="dxa"/>
          </w:tcPr>
          <w:p w14:paraId="2E5105EA">
            <w:pPr>
              <w:pStyle w:val="206"/>
              <w:widowControl w:val="0"/>
              <w:snapToGrid/>
              <w:spacing w:before="107" w:line="300" w:lineRule="exact"/>
              <w:ind w:left="118"/>
              <w:rPr>
                <w:color w:val="auto"/>
                <w:highlight w:val="none"/>
              </w:rPr>
            </w:pPr>
            <w:r>
              <w:rPr>
                <w:color w:val="auto"/>
                <w:spacing w:val="9"/>
                <w:highlight w:val="none"/>
              </w:rPr>
              <w:t>定期协助有意愿的老年人外出活动或前往服务机构参加集体活动</w:t>
            </w:r>
          </w:p>
        </w:tc>
      </w:tr>
      <w:tr w14:paraId="667EB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124" w:type="dxa"/>
            <w:vMerge w:val="continue"/>
            <w:tcBorders>
              <w:top w:val="nil"/>
              <w:bottom w:val="nil"/>
            </w:tcBorders>
          </w:tcPr>
          <w:p w14:paraId="34C69D03">
            <w:pPr>
              <w:spacing w:line="300" w:lineRule="exact"/>
              <w:rPr>
                <w:rFonts w:ascii="Arial"/>
                <w:color w:val="auto"/>
                <w:highlight w:val="none"/>
              </w:rPr>
            </w:pPr>
          </w:p>
        </w:tc>
        <w:tc>
          <w:tcPr>
            <w:tcW w:w="1899" w:type="dxa"/>
          </w:tcPr>
          <w:p w14:paraId="701E0727">
            <w:pPr>
              <w:pStyle w:val="206"/>
              <w:widowControl w:val="0"/>
              <w:snapToGrid/>
              <w:spacing w:before="108" w:line="300" w:lineRule="exact"/>
              <w:ind w:left="535"/>
              <w:rPr>
                <w:color w:val="auto"/>
                <w:highlight w:val="none"/>
              </w:rPr>
            </w:pPr>
            <w:r>
              <w:rPr>
                <w:color w:val="auto"/>
                <w:spacing w:val="4"/>
                <w:highlight w:val="none"/>
              </w:rPr>
              <w:t>情绪疏导</w:t>
            </w:r>
          </w:p>
        </w:tc>
        <w:tc>
          <w:tcPr>
            <w:tcW w:w="6153" w:type="dxa"/>
          </w:tcPr>
          <w:p w14:paraId="544B46FF">
            <w:pPr>
              <w:pStyle w:val="206"/>
              <w:widowControl w:val="0"/>
              <w:snapToGrid/>
              <w:spacing w:before="107" w:line="300" w:lineRule="exact"/>
              <w:ind w:left="117"/>
              <w:rPr>
                <w:color w:val="auto"/>
                <w:highlight w:val="none"/>
              </w:rPr>
            </w:pPr>
            <w:r>
              <w:rPr>
                <w:color w:val="auto"/>
                <w:spacing w:val="7"/>
                <w:highlight w:val="none"/>
              </w:rPr>
              <w:t>与老年人进行谈心、交流，耐心倾听老年人的诉说</w:t>
            </w:r>
          </w:p>
        </w:tc>
      </w:tr>
      <w:tr w14:paraId="1053D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1124" w:type="dxa"/>
            <w:vMerge w:val="continue"/>
            <w:tcBorders>
              <w:top w:val="nil"/>
            </w:tcBorders>
          </w:tcPr>
          <w:p w14:paraId="4F8A5475">
            <w:pPr>
              <w:spacing w:line="300" w:lineRule="exact"/>
              <w:rPr>
                <w:rFonts w:ascii="Arial"/>
                <w:color w:val="auto"/>
                <w:highlight w:val="none"/>
              </w:rPr>
            </w:pPr>
          </w:p>
        </w:tc>
        <w:tc>
          <w:tcPr>
            <w:tcW w:w="1899" w:type="dxa"/>
          </w:tcPr>
          <w:p w14:paraId="1A29BF19">
            <w:pPr>
              <w:pStyle w:val="206"/>
              <w:widowControl w:val="0"/>
              <w:snapToGrid/>
              <w:spacing w:before="107" w:line="300" w:lineRule="exact"/>
              <w:ind w:left="537"/>
              <w:rPr>
                <w:color w:val="auto"/>
                <w:highlight w:val="none"/>
              </w:rPr>
            </w:pPr>
            <w:r>
              <w:rPr>
                <w:color w:val="auto"/>
                <w:spacing w:val="6"/>
                <w:highlight w:val="none"/>
              </w:rPr>
              <w:t>心理慰藉</w:t>
            </w:r>
          </w:p>
        </w:tc>
        <w:tc>
          <w:tcPr>
            <w:tcW w:w="6153" w:type="dxa"/>
          </w:tcPr>
          <w:p w14:paraId="050FAF72">
            <w:pPr>
              <w:pStyle w:val="206"/>
              <w:widowControl w:val="0"/>
              <w:snapToGrid/>
              <w:spacing w:before="107" w:line="300" w:lineRule="exact"/>
              <w:ind w:left="113"/>
              <w:rPr>
                <w:color w:val="auto"/>
                <w:highlight w:val="none"/>
              </w:rPr>
            </w:pPr>
            <w:r>
              <w:rPr>
                <w:color w:val="auto"/>
                <w:spacing w:val="8"/>
                <w:highlight w:val="none"/>
              </w:rPr>
              <w:t>通过心理健康教育、心理干预手段调整老年人</w:t>
            </w:r>
            <w:r>
              <w:rPr>
                <w:color w:val="auto"/>
                <w:spacing w:val="7"/>
                <w:highlight w:val="none"/>
              </w:rPr>
              <w:t>心理状态</w:t>
            </w:r>
          </w:p>
        </w:tc>
      </w:tr>
    </w:tbl>
    <w:p w14:paraId="687EE05C">
      <w:pPr>
        <w:spacing w:before="101" w:line="226" w:lineRule="auto"/>
        <w:rPr>
          <w:rFonts w:ascii="黑体" w:hAnsi="黑体" w:eastAsia="黑体" w:cs="黑体"/>
          <w:color w:val="auto"/>
          <w:spacing w:val="-6"/>
          <w:sz w:val="32"/>
          <w:szCs w:val="32"/>
          <w:highlight w:val="none"/>
        </w:rPr>
        <w:sectPr>
          <w:pgSz w:w="11906" w:h="16838"/>
          <w:pgMar w:top="1440" w:right="1800" w:bottom="1440" w:left="1800" w:header="851" w:footer="992" w:gutter="0"/>
          <w:cols w:space="425" w:num="1"/>
          <w:docGrid w:type="lines" w:linePitch="312" w:charSpace="0"/>
        </w:sectPr>
      </w:pPr>
    </w:p>
    <w:p w14:paraId="564903F4">
      <w:pPr>
        <w:pStyle w:val="47"/>
        <w:ind w:firstLine="0" w:firstLineChars="0"/>
        <w:rPr>
          <w:color w:val="auto"/>
          <w:highlight w:val="none"/>
        </w:rPr>
      </w:pPr>
    </w:p>
    <w:p w14:paraId="51674C79">
      <w:pPr>
        <w:spacing w:before="101" w:line="226" w:lineRule="auto"/>
        <w:rPr>
          <w:color w:val="auto"/>
          <w:sz w:val="32"/>
          <w:szCs w:val="32"/>
          <w:highlight w:val="none"/>
        </w:rPr>
      </w:pPr>
      <w:r>
        <w:rPr>
          <w:rFonts w:hint="eastAsia" w:ascii="黑体" w:hAnsi="黑体" w:eastAsia="黑体" w:cs="黑体"/>
          <w:color w:val="auto"/>
          <w:spacing w:val="-6"/>
          <w:sz w:val="32"/>
          <w:szCs w:val="32"/>
          <w:highlight w:val="none"/>
        </w:rPr>
        <w:t>附件4</w:t>
      </w:r>
    </w:p>
    <w:tbl>
      <w:tblPr>
        <w:tblStyle w:val="49"/>
        <w:tblpPr w:leftFromText="180" w:rightFromText="180" w:vertAnchor="text" w:horzAnchor="page" w:tblpXSpec="center" w:tblpY="416"/>
        <w:tblOverlap w:val="never"/>
        <w:tblW w:w="15240" w:type="dxa"/>
        <w:jc w:val="center"/>
        <w:tblLayout w:type="fixed"/>
        <w:tblCellMar>
          <w:top w:w="0" w:type="dxa"/>
          <w:left w:w="108" w:type="dxa"/>
          <w:bottom w:w="0" w:type="dxa"/>
          <w:right w:w="108" w:type="dxa"/>
        </w:tblCellMar>
      </w:tblPr>
      <w:tblGrid>
        <w:gridCol w:w="510"/>
        <w:gridCol w:w="764"/>
        <w:gridCol w:w="750"/>
        <w:gridCol w:w="722"/>
        <w:gridCol w:w="778"/>
        <w:gridCol w:w="736"/>
        <w:gridCol w:w="750"/>
        <w:gridCol w:w="709"/>
        <w:gridCol w:w="777"/>
        <w:gridCol w:w="873"/>
        <w:gridCol w:w="927"/>
        <w:gridCol w:w="1105"/>
        <w:gridCol w:w="1118"/>
        <w:gridCol w:w="1105"/>
        <w:gridCol w:w="981"/>
        <w:gridCol w:w="1214"/>
        <w:gridCol w:w="873"/>
        <w:gridCol w:w="548"/>
      </w:tblGrid>
      <w:tr w14:paraId="53063B80">
        <w:tblPrEx>
          <w:tblCellMar>
            <w:top w:w="0" w:type="dxa"/>
            <w:left w:w="108" w:type="dxa"/>
            <w:bottom w:w="0" w:type="dxa"/>
            <w:right w:w="108" w:type="dxa"/>
          </w:tblCellMar>
        </w:tblPrEx>
        <w:trPr>
          <w:trHeight w:val="488" w:hRule="atLeast"/>
          <w:jc w:val="center"/>
        </w:trPr>
        <w:tc>
          <w:tcPr>
            <w:tcW w:w="15240" w:type="dxa"/>
            <w:gridSpan w:val="18"/>
            <w:tcBorders>
              <w:top w:val="nil"/>
              <w:left w:val="nil"/>
              <w:bottom w:val="nil"/>
              <w:right w:val="nil"/>
            </w:tcBorders>
            <w:vAlign w:val="center"/>
          </w:tcPr>
          <w:p w14:paraId="2F470518">
            <w:pPr>
              <w:spacing w:before="101" w:line="226" w:lineRule="auto"/>
              <w:jc w:val="center"/>
              <w:rPr>
                <w:rFonts w:ascii="仿宋_GB2312" w:hAnsi="仿宋_GB2312" w:eastAsia="仿宋_GB2312" w:cs="仿宋_GB2312"/>
                <w:color w:val="auto"/>
                <w:sz w:val="44"/>
                <w:szCs w:val="44"/>
                <w:highlight w:val="none"/>
              </w:rPr>
            </w:pPr>
            <w:r>
              <w:rPr>
                <w:rFonts w:hint="eastAsia" w:ascii="黑体" w:hAnsi="黑体" w:eastAsia="黑体" w:cs="黑体"/>
                <w:color w:val="auto"/>
                <w:spacing w:val="-6"/>
                <w:sz w:val="32"/>
                <w:szCs w:val="32"/>
                <w:highlight w:val="none"/>
                <w:lang w:eastAsia="zh-CN"/>
              </w:rPr>
              <w:t>2025年桂平市居家和社区基本养老服务提升行动项目</w:t>
            </w:r>
            <w:r>
              <w:rPr>
                <w:rFonts w:hint="eastAsia" w:ascii="黑体" w:hAnsi="黑体" w:eastAsia="黑体" w:cs="黑体"/>
                <w:color w:val="auto"/>
                <w:spacing w:val="-6"/>
                <w:sz w:val="32"/>
                <w:szCs w:val="32"/>
                <w:highlight w:val="none"/>
              </w:rPr>
              <w:t>项目摸底排查信息表</w:t>
            </w:r>
          </w:p>
        </w:tc>
      </w:tr>
      <w:tr w14:paraId="3876D5E0">
        <w:tblPrEx>
          <w:tblCellMar>
            <w:top w:w="0" w:type="dxa"/>
            <w:left w:w="108" w:type="dxa"/>
            <w:bottom w:w="0" w:type="dxa"/>
            <w:right w:w="108" w:type="dxa"/>
          </w:tblCellMar>
        </w:tblPrEx>
        <w:trPr>
          <w:trHeight w:val="458" w:hRule="atLeast"/>
          <w:jc w:val="center"/>
        </w:trPr>
        <w:tc>
          <w:tcPr>
            <w:tcW w:w="15240" w:type="dxa"/>
            <w:gridSpan w:val="18"/>
            <w:tcBorders>
              <w:top w:val="nil"/>
              <w:left w:val="nil"/>
              <w:bottom w:val="nil"/>
              <w:right w:val="nil"/>
            </w:tcBorders>
            <w:vAlign w:val="center"/>
          </w:tcPr>
          <w:p w14:paraId="7715267B">
            <w:pPr>
              <w:widowControl/>
              <w:spacing w:line="280" w:lineRule="exact"/>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填报单位：（盖章）　　　　　　　　　填报人：　　　　　　　　　　　联系电话：　　　　　　　　　　　　　　　　　　　　　　　　　填报日期：2024年  月  日</w:t>
            </w:r>
          </w:p>
        </w:tc>
      </w:tr>
      <w:tr w14:paraId="3E6ACC8D">
        <w:tblPrEx>
          <w:tblCellMar>
            <w:top w:w="0" w:type="dxa"/>
            <w:left w:w="108" w:type="dxa"/>
            <w:bottom w:w="0" w:type="dxa"/>
            <w:right w:w="108" w:type="dxa"/>
          </w:tblCellMar>
        </w:tblPrEx>
        <w:trPr>
          <w:trHeight w:val="117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70E20396">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序号</w:t>
            </w:r>
          </w:p>
        </w:tc>
        <w:tc>
          <w:tcPr>
            <w:tcW w:w="764" w:type="dxa"/>
            <w:tcBorders>
              <w:top w:val="single" w:color="000000" w:sz="4" w:space="0"/>
              <w:left w:val="single" w:color="000000" w:sz="4" w:space="0"/>
              <w:bottom w:val="single" w:color="000000" w:sz="4" w:space="0"/>
              <w:right w:val="single" w:color="000000" w:sz="4" w:space="0"/>
            </w:tcBorders>
            <w:vAlign w:val="center"/>
          </w:tcPr>
          <w:p w14:paraId="7C08E87F">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县（市、区）</w:t>
            </w:r>
          </w:p>
        </w:tc>
        <w:tc>
          <w:tcPr>
            <w:tcW w:w="750" w:type="dxa"/>
            <w:tcBorders>
              <w:top w:val="single" w:color="000000" w:sz="4" w:space="0"/>
              <w:left w:val="single" w:color="000000" w:sz="4" w:space="0"/>
              <w:bottom w:val="single" w:color="000000" w:sz="4" w:space="0"/>
              <w:right w:val="single" w:color="000000" w:sz="4" w:space="0"/>
            </w:tcBorders>
            <w:vAlign w:val="center"/>
          </w:tcPr>
          <w:p w14:paraId="43307B09">
            <w:pPr>
              <w:widowControl/>
              <w:spacing w:line="280" w:lineRule="exact"/>
              <w:jc w:val="center"/>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镇</w:t>
            </w:r>
          </w:p>
        </w:tc>
        <w:tc>
          <w:tcPr>
            <w:tcW w:w="722" w:type="dxa"/>
            <w:tcBorders>
              <w:top w:val="single" w:color="000000" w:sz="4" w:space="0"/>
              <w:left w:val="single" w:color="000000" w:sz="4" w:space="0"/>
              <w:bottom w:val="single" w:color="000000" w:sz="4" w:space="0"/>
              <w:right w:val="single" w:color="000000" w:sz="4" w:space="0"/>
            </w:tcBorders>
            <w:vAlign w:val="center"/>
          </w:tcPr>
          <w:p w14:paraId="5E11A46C">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村（社区）</w:t>
            </w:r>
          </w:p>
        </w:tc>
        <w:tc>
          <w:tcPr>
            <w:tcW w:w="778" w:type="dxa"/>
            <w:tcBorders>
              <w:top w:val="single" w:color="000000" w:sz="4" w:space="0"/>
              <w:left w:val="single" w:color="000000" w:sz="4" w:space="0"/>
              <w:bottom w:val="single" w:color="000000" w:sz="4" w:space="0"/>
              <w:right w:val="single" w:color="000000" w:sz="4" w:space="0"/>
            </w:tcBorders>
            <w:vAlign w:val="center"/>
          </w:tcPr>
          <w:p w14:paraId="38F9331A">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老人姓名</w:t>
            </w:r>
          </w:p>
        </w:tc>
        <w:tc>
          <w:tcPr>
            <w:tcW w:w="736" w:type="dxa"/>
            <w:tcBorders>
              <w:top w:val="single" w:color="000000" w:sz="4" w:space="0"/>
              <w:left w:val="single" w:color="000000" w:sz="4" w:space="0"/>
              <w:bottom w:val="single" w:color="000000" w:sz="4" w:space="0"/>
              <w:right w:val="single" w:color="000000" w:sz="4" w:space="0"/>
            </w:tcBorders>
            <w:vAlign w:val="center"/>
          </w:tcPr>
          <w:p w14:paraId="0CCA1210">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性别</w:t>
            </w:r>
          </w:p>
        </w:tc>
        <w:tc>
          <w:tcPr>
            <w:tcW w:w="750" w:type="dxa"/>
            <w:tcBorders>
              <w:top w:val="single" w:color="000000" w:sz="4" w:space="0"/>
              <w:left w:val="single" w:color="000000" w:sz="4" w:space="0"/>
              <w:bottom w:val="single" w:color="000000" w:sz="4" w:space="0"/>
              <w:right w:val="single" w:color="000000" w:sz="4" w:space="0"/>
            </w:tcBorders>
            <w:vAlign w:val="center"/>
          </w:tcPr>
          <w:p w14:paraId="306BA8D0">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年龄</w:t>
            </w:r>
          </w:p>
        </w:tc>
        <w:tc>
          <w:tcPr>
            <w:tcW w:w="709" w:type="dxa"/>
            <w:tcBorders>
              <w:top w:val="single" w:color="000000" w:sz="4" w:space="0"/>
              <w:left w:val="single" w:color="000000" w:sz="4" w:space="0"/>
              <w:bottom w:val="nil"/>
              <w:right w:val="single" w:color="000000" w:sz="4" w:space="0"/>
            </w:tcBorders>
            <w:vAlign w:val="center"/>
          </w:tcPr>
          <w:p w14:paraId="05EBE5DE">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联系电话</w:t>
            </w:r>
          </w:p>
        </w:tc>
        <w:tc>
          <w:tcPr>
            <w:tcW w:w="777" w:type="dxa"/>
            <w:tcBorders>
              <w:top w:val="single" w:color="000000" w:sz="4" w:space="0"/>
              <w:left w:val="single" w:color="000000" w:sz="4" w:space="0"/>
              <w:bottom w:val="single" w:color="000000" w:sz="4" w:space="0"/>
              <w:right w:val="single" w:color="000000" w:sz="4" w:space="0"/>
            </w:tcBorders>
            <w:vAlign w:val="center"/>
          </w:tcPr>
          <w:p w14:paraId="793E583C">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身份证号</w:t>
            </w:r>
          </w:p>
        </w:tc>
        <w:tc>
          <w:tcPr>
            <w:tcW w:w="873" w:type="dxa"/>
            <w:tcBorders>
              <w:top w:val="single" w:color="000000" w:sz="4" w:space="0"/>
              <w:left w:val="single" w:color="000000" w:sz="4" w:space="0"/>
              <w:bottom w:val="single" w:color="000000" w:sz="4" w:space="0"/>
              <w:right w:val="single" w:color="000000" w:sz="4" w:space="0"/>
            </w:tcBorders>
            <w:vAlign w:val="center"/>
          </w:tcPr>
          <w:p w14:paraId="472FBBB0">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老人身份类别</w:t>
            </w:r>
          </w:p>
        </w:tc>
        <w:tc>
          <w:tcPr>
            <w:tcW w:w="927" w:type="dxa"/>
            <w:tcBorders>
              <w:top w:val="single" w:color="000000" w:sz="4" w:space="0"/>
              <w:left w:val="single" w:color="000000" w:sz="4" w:space="0"/>
              <w:bottom w:val="nil"/>
              <w:right w:val="single" w:color="000000" w:sz="4" w:space="0"/>
            </w:tcBorders>
            <w:vAlign w:val="center"/>
          </w:tcPr>
          <w:p w14:paraId="07335393">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监护人姓名</w:t>
            </w:r>
          </w:p>
        </w:tc>
        <w:tc>
          <w:tcPr>
            <w:tcW w:w="1105" w:type="dxa"/>
            <w:tcBorders>
              <w:top w:val="single" w:color="000000" w:sz="4" w:space="0"/>
              <w:left w:val="single" w:color="000000" w:sz="4" w:space="0"/>
              <w:bottom w:val="nil"/>
              <w:right w:val="single" w:color="000000" w:sz="4" w:space="0"/>
            </w:tcBorders>
            <w:vAlign w:val="center"/>
          </w:tcPr>
          <w:p w14:paraId="6528E91B">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监护人联系电话</w:t>
            </w:r>
          </w:p>
        </w:tc>
        <w:tc>
          <w:tcPr>
            <w:tcW w:w="1118" w:type="dxa"/>
            <w:tcBorders>
              <w:top w:val="single" w:color="000000" w:sz="4" w:space="0"/>
              <w:left w:val="single" w:color="000000" w:sz="4" w:space="0"/>
              <w:bottom w:val="single" w:color="000000" w:sz="4" w:space="0"/>
              <w:right w:val="single" w:color="000000" w:sz="4" w:space="0"/>
            </w:tcBorders>
            <w:vAlign w:val="center"/>
          </w:tcPr>
          <w:p w14:paraId="7A35907A">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家庭地址</w:t>
            </w:r>
          </w:p>
        </w:tc>
        <w:tc>
          <w:tcPr>
            <w:tcW w:w="1105" w:type="dxa"/>
            <w:tcBorders>
              <w:top w:val="single" w:color="000000" w:sz="4" w:space="0"/>
              <w:left w:val="single" w:color="000000" w:sz="4" w:space="0"/>
              <w:bottom w:val="single" w:color="000000" w:sz="4" w:space="0"/>
              <w:right w:val="single" w:color="000000" w:sz="4" w:space="0"/>
            </w:tcBorders>
            <w:vAlign w:val="center"/>
          </w:tcPr>
          <w:p w14:paraId="22113AB9">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房屋建筑面积（㎡）</w:t>
            </w:r>
          </w:p>
        </w:tc>
        <w:tc>
          <w:tcPr>
            <w:tcW w:w="981" w:type="dxa"/>
            <w:tcBorders>
              <w:top w:val="single" w:color="000000" w:sz="4" w:space="0"/>
              <w:left w:val="single" w:color="000000" w:sz="4" w:space="0"/>
              <w:bottom w:val="single" w:color="000000" w:sz="4" w:space="0"/>
              <w:right w:val="single" w:color="000000" w:sz="4" w:space="0"/>
            </w:tcBorders>
            <w:vAlign w:val="center"/>
          </w:tcPr>
          <w:p w14:paraId="4BB5135F">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产权人姓名</w:t>
            </w:r>
          </w:p>
        </w:tc>
        <w:tc>
          <w:tcPr>
            <w:tcW w:w="1214" w:type="dxa"/>
            <w:tcBorders>
              <w:top w:val="single" w:color="000000" w:sz="4" w:space="0"/>
              <w:left w:val="single" w:color="000000" w:sz="4" w:space="0"/>
              <w:bottom w:val="single" w:color="000000" w:sz="4" w:space="0"/>
              <w:right w:val="single" w:color="000000" w:sz="4" w:space="0"/>
            </w:tcBorders>
            <w:vAlign w:val="center"/>
          </w:tcPr>
          <w:p w14:paraId="08F54D81">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平均可支配月收入（元）</w:t>
            </w:r>
          </w:p>
        </w:tc>
        <w:tc>
          <w:tcPr>
            <w:tcW w:w="873" w:type="dxa"/>
            <w:tcBorders>
              <w:top w:val="single" w:color="000000" w:sz="4" w:space="0"/>
              <w:left w:val="single" w:color="000000" w:sz="4" w:space="0"/>
              <w:bottom w:val="single" w:color="000000" w:sz="4" w:space="0"/>
              <w:right w:val="single" w:color="000000" w:sz="4" w:space="0"/>
            </w:tcBorders>
            <w:vAlign w:val="center"/>
          </w:tcPr>
          <w:p w14:paraId="3549138D">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户籍类型</w:t>
            </w:r>
          </w:p>
        </w:tc>
        <w:tc>
          <w:tcPr>
            <w:tcW w:w="548" w:type="dxa"/>
            <w:tcBorders>
              <w:top w:val="single" w:color="000000" w:sz="4" w:space="0"/>
              <w:left w:val="single" w:color="000000" w:sz="4" w:space="0"/>
              <w:bottom w:val="single" w:color="000000" w:sz="4" w:space="0"/>
              <w:right w:val="single" w:color="000000" w:sz="4" w:space="0"/>
            </w:tcBorders>
            <w:vAlign w:val="center"/>
          </w:tcPr>
          <w:p w14:paraId="3BA674B2">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备注</w:t>
            </w:r>
          </w:p>
        </w:tc>
      </w:tr>
      <w:tr w14:paraId="6EF2354B">
        <w:tblPrEx>
          <w:tblCellMar>
            <w:top w:w="0" w:type="dxa"/>
            <w:left w:w="108" w:type="dxa"/>
            <w:bottom w:w="0" w:type="dxa"/>
            <w:right w:w="108" w:type="dxa"/>
          </w:tblCellMar>
        </w:tblPrEx>
        <w:trPr>
          <w:trHeight w:val="47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3E6FDC95">
            <w:pPr>
              <w:widowControl/>
              <w:spacing w:line="280" w:lineRule="exact"/>
              <w:jc w:val="center"/>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1</w:t>
            </w:r>
          </w:p>
        </w:tc>
        <w:tc>
          <w:tcPr>
            <w:tcW w:w="764" w:type="dxa"/>
            <w:tcBorders>
              <w:top w:val="single" w:color="000000" w:sz="4" w:space="0"/>
              <w:left w:val="single" w:color="000000" w:sz="4" w:space="0"/>
              <w:bottom w:val="single" w:color="000000" w:sz="4" w:space="0"/>
              <w:right w:val="single" w:color="000000" w:sz="4" w:space="0"/>
            </w:tcBorders>
            <w:vAlign w:val="center"/>
          </w:tcPr>
          <w:p w14:paraId="05B53DEE">
            <w:pPr>
              <w:widowControl/>
              <w:spacing w:line="280" w:lineRule="exact"/>
              <w:jc w:val="center"/>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3E9B4E2B">
            <w:pPr>
              <w:widowControl/>
              <w:spacing w:line="280" w:lineRule="exact"/>
              <w:jc w:val="center"/>
              <w:rPr>
                <w:rFonts w:ascii="仿宋_GB2312" w:hAnsi="仿宋_GB2312" w:eastAsia="仿宋_GB2312" w:cs="仿宋_GB2312"/>
                <w:color w:val="auto"/>
                <w:sz w:val="20"/>
                <w:szCs w:val="20"/>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3A7B302A">
            <w:pPr>
              <w:widowControl/>
              <w:spacing w:line="280" w:lineRule="exact"/>
              <w:rPr>
                <w:rFonts w:ascii="仿宋_GB2312" w:hAnsi="仿宋_GB2312" w:eastAsia="仿宋_GB2312" w:cs="仿宋_GB2312"/>
                <w:color w:val="auto"/>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vAlign w:val="center"/>
          </w:tcPr>
          <w:p w14:paraId="52ECDAB1">
            <w:pPr>
              <w:widowControl/>
              <w:spacing w:line="280" w:lineRule="exact"/>
              <w:rPr>
                <w:rFonts w:ascii="仿宋_GB2312" w:hAnsi="仿宋_GB2312" w:eastAsia="仿宋_GB2312" w:cs="仿宋_GB2312"/>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32740D4A">
            <w:pPr>
              <w:widowControl/>
              <w:spacing w:line="280" w:lineRule="exact"/>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5242643E">
            <w:pPr>
              <w:widowControl/>
              <w:spacing w:line="280" w:lineRule="exact"/>
              <w:rPr>
                <w:rFonts w:ascii="仿宋_GB2312" w:hAnsi="仿宋_GB2312" w:eastAsia="仿宋_GB2312" w:cs="仿宋_GB2312"/>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CD9100B">
            <w:pPr>
              <w:widowControl/>
              <w:spacing w:line="280" w:lineRule="exact"/>
              <w:rPr>
                <w:rFonts w:ascii="仿宋_GB2312" w:hAnsi="仿宋_GB2312" w:eastAsia="仿宋_GB2312" w:cs="仿宋_GB2312"/>
                <w:color w:val="auto"/>
                <w:sz w:val="20"/>
                <w:szCs w:val="20"/>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001720D5">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374DAAAD">
            <w:pPr>
              <w:widowControl/>
              <w:spacing w:line="280" w:lineRule="exact"/>
              <w:rPr>
                <w:rFonts w:ascii="仿宋_GB2312" w:hAnsi="仿宋_GB2312" w:eastAsia="仿宋_GB2312" w:cs="仿宋_GB2312"/>
                <w:color w:val="auto"/>
                <w:sz w:val="20"/>
                <w:szCs w:val="20"/>
                <w:highlight w:val="none"/>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35C3532F">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4BA6283F">
            <w:pPr>
              <w:widowControl/>
              <w:spacing w:line="280" w:lineRule="exact"/>
              <w:rPr>
                <w:rFonts w:ascii="仿宋_GB2312" w:hAnsi="仿宋_GB2312" w:eastAsia="仿宋_GB2312" w:cs="仿宋_GB2312"/>
                <w:color w:val="auto"/>
                <w:sz w:val="20"/>
                <w:szCs w:val="20"/>
                <w:highlight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7F0A83E7">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69DEAF02">
            <w:pPr>
              <w:widowControl/>
              <w:spacing w:line="280" w:lineRule="exact"/>
              <w:rPr>
                <w:rFonts w:ascii="仿宋_GB2312" w:hAnsi="仿宋_GB2312" w:eastAsia="仿宋_GB2312" w:cs="仿宋_GB2312"/>
                <w:color w:val="auto"/>
                <w:sz w:val="20"/>
                <w:szCs w:val="20"/>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0A4F0171">
            <w:pPr>
              <w:widowControl/>
              <w:spacing w:line="280" w:lineRule="exact"/>
              <w:rPr>
                <w:rFonts w:ascii="仿宋_GB2312" w:hAnsi="仿宋_GB2312" w:eastAsia="仿宋_GB2312" w:cs="仿宋_GB2312"/>
                <w:color w:val="auto"/>
                <w:sz w:val="20"/>
                <w:szCs w:val="20"/>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694438C0">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06EF5222">
            <w:pPr>
              <w:widowControl/>
              <w:spacing w:line="280" w:lineRule="exact"/>
              <w:rPr>
                <w:rFonts w:ascii="仿宋_GB2312" w:hAnsi="仿宋_GB2312" w:eastAsia="仿宋_GB2312" w:cs="仿宋_GB2312"/>
                <w:color w:val="auto"/>
                <w:sz w:val="20"/>
                <w:szCs w:val="20"/>
                <w:highlight w:val="none"/>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18267081">
            <w:pPr>
              <w:widowControl/>
              <w:spacing w:line="280" w:lineRule="exact"/>
              <w:rPr>
                <w:rFonts w:ascii="仿宋_GB2312" w:hAnsi="仿宋_GB2312" w:eastAsia="仿宋_GB2312" w:cs="仿宋_GB2312"/>
                <w:color w:val="auto"/>
                <w:sz w:val="20"/>
                <w:szCs w:val="20"/>
                <w:highlight w:val="none"/>
              </w:rPr>
            </w:pPr>
          </w:p>
        </w:tc>
      </w:tr>
      <w:tr w14:paraId="5BA17FFD">
        <w:tblPrEx>
          <w:tblCellMar>
            <w:top w:w="0" w:type="dxa"/>
            <w:left w:w="108" w:type="dxa"/>
            <w:bottom w:w="0" w:type="dxa"/>
            <w:right w:w="108" w:type="dxa"/>
          </w:tblCellMar>
        </w:tblPrEx>
        <w:trPr>
          <w:trHeight w:val="47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7C46F281">
            <w:pPr>
              <w:widowControl/>
              <w:spacing w:line="280" w:lineRule="exact"/>
              <w:jc w:val="center"/>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2</w:t>
            </w:r>
          </w:p>
        </w:tc>
        <w:tc>
          <w:tcPr>
            <w:tcW w:w="764" w:type="dxa"/>
            <w:tcBorders>
              <w:top w:val="single" w:color="000000" w:sz="4" w:space="0"/>
              <w:left w:val="single" w:color="000000" w:sz="4" w:space="0"/>
              <w:bottom w:val="single" w:color="000000" w:sz="4" w:space="0"/>
              <w:right w:val="single" w:color="000000" w:sz="4" w:space="0"/>
            </w:tcBorders>
            <w:vAlign w:val="center"/>
          </w:tcPr>
          <w:p w14:paraId="44A79BA4">
            <w:pPr>
              <w:widowControl/>
              <w:spacing w:line="280" w:lineRule="exact"/>
              <w:jc w:val="center"/>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2A6B0D1C">
            <w:pPr>
              <w:widowControl/>
              <w:spacing w:line="280" w:lineRule="exact"/>
              <w:jc w:val="center"/>
              <w:rPr>
                <w:rFonts w:ascii="仿宋_GB2312" w:hAnsi="仿宋_GB2312" w:eastAsia="仿宋_GB2312" w:cs="仿宋_GB2312"/>
                <w:color w:val="auto"/>
                <w:sz w:val="20"/>
                <w:szCs w:val="20"/>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411D1CA6">
            <w:pPr>
              <w:widowControl/>
              <w:spacing w:line="280" w:lineRule="exact"/>
              <w:rPr>
                <w:rFonts w:ascii="仿宋_GB2312" w:hAnsi="仿宋_GB2312" w:eastAsia="仿宋_GB2312" w:cs="仿宋_GB2312"/>
                <w:color w:val="auto"/>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vAlign w:val="center"/>
          </w:tcPr>
          <w:p w14:paraId="27D4C91C">
            <w:pPr>
              <w:widowControl/>
              <w:spacing w:line="280" w:lineRule="exact"/>
              <w:rPr>
                <w:rFonts w:ascii="仿宋_GB2312" w:hAnsi="仿宋_GB2312" w:eastAsia="仿宋_GB2312" w:cs="仿宋_GB2312"/>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26D883D2">
            <w:pPr>
              <w:widowControl/>
              <w:spacing w:line="280" w:lineRule="exact"/>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B263812">
            <w:pPr>
              <w:widowControl/>
              <w:spacing w:line="280" w:lineRule="exact"/>
              <w:rPr>
                <w:rFonts w:ascii="仿宋_GB2312" w:hAnsi="仿宋_GB2312" w:eastAsia="仿宋_GB2312" w:cs="仿宋_GB2312"/>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C9A9D19">
            <w:pPr>
              <w:widowControl/>
              <w:spacing w:line="280" w:lineRule="exact"/>
              <w:rPr>
                <w:rFonts w:ascii="仿宋_GB2312" w:hAnsi="仿宋_GB2312" w:eastAsia="仿宋_GB2312" w:cs="仿宋_GB2312"/>
                <w:color w:val="auto"/>
                <w:sz w:val="20"/>
                <w:szCs w:val="20"/>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37435E58">
            <w:pPr>
              <w:widowControl/>
              <w:spacing w:line="280" w:lineRule="exact"/>
              <w:rPr>
                <w:rFonts w:ascii="仿宋_GB2312" w:hAnsi="仿宋_GB2312" w:eastAsia="仿宋_GB2312" w:cs="仿宋_GB2312"/>
                <w:color w:val="auto"/>
                <w:sz w:val="20"/>
                <w:szCs w:val="20"/>
                <w:highlight w:val="none"/>
              </w:rPr>
            </w:pPr>
          </w:p>
        </w:tc>
        <w:tc>
          <w:tcPr>
            <w:tcW w:w="873" w:type="dxa"/>
            <w:tcBorders>
              <w:top w:val="nil"/>
              <w:left w:val="nil"/>
              <w:bottom w:val="nil"/>
              <w:right w:val="nil"/>
            </w:tcBorders>
            <w:vAlign w:val="center"/>
          </w:tcPr>
          <w:p w14:paraId="57C12274">
            <w:pPr>
              <w:widowControl/>
              <w:spacing w:line="280" w:lineRule="exact"/>
              <w:rPr>
                <w:rFonts w:ascii="仿宋_GB2312" w:hAnsi="仿宋_GB2312" w:eastAsia="仿宋_GB2312" w:cs="仿宋_GB2312"/>
                <w:color w:val="auto"/>
                <w:sz w:val="20"/>
                <w:szCs w:val="20"/>
                <w:highlight w:val="none"/>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683985C3">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571A6041">
            <w:pPr>
              <w:widowControl/>
              <w:spacing w:line="280" w:lineRule="exact"/>
              <w:rPr>
                <w:rFonts w:ascii="仿宋_GB2312" w:hAnsi="仿宋_GB2312" w:eastAsia="仿宋_GB2312" w:cs="仿宋_GB2312"/>
                <w:color w:val="auto"/>
                <w:sz w:val="20"/>
                <w:szCs w:val="20"/>
                <w:highlight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1ACB5F3E">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171462A3">
            <w:pPr>
              <w:widowControl/>
              <w:spacing w:line="280" w:lineRule="exact"/>
              <w:rPr>
                <w:rFonts w:ascii="仿宋_GB2312" w:hAnsi="仿宋_GB2312" w:eastAsia="仿宋_GB2312" w:cs="仿宋_GB2312"/>
                <w:color w:val="auto"/>
                <w:sz w:val="20"/>
                <w:szCs w:val="20"/>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6A3FC091">
            <w:pPr>
              <w:widowControl/>
              <w:spacing w:line="280" w:lineRule="exact"/>
              <w:rPr>
                <w:rFonts w:ascii="仿宋_GB2312" w:hAnsi="仿宋_GB2312" w:eastAsia="仿宋_GB2312" w:cs="仿宋_GB2312"/>
                <w:color w:val="auto"/>
                <w:sz w:val="20"/>
                <w:szCs w:val="20"/>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5E2AEBC7">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6221376C">
            <w:pPr>
              <w:widowControl/>
              <w:spacing w:line="280" w:lineRule="exact"/>
              <w:rPr>
                <w:rFonts w:ascii="仿宋_GB2312" w:hAnsi="仿宋_GB2312" w:eastAsia="仿宋_GB2312" w:cs="仿宋_GB2312"/>
                <w:color w:val="auto"/>
                <w:sz w:val="20"/>
                <w:szCs w:val="20"/>
                <w:highlight w:val="none"/>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6BF17145">
            <w:pPr>
              <w:widowControl/>
              <w:spacing w:line="280" w:lineRule="exact"/>
              <w:rPr>
                <w:rFonts w:ascii="仿宋_GB2312" w:hAnsi="仿宋_GB2312" w:eastAsia="仿宋_GB2312" w:cs="仿宋_GB2312"/>
                <w:color w:val="auto"/>
                <w:sz w:val="20"/>
                <w:szCs w:val="20"/>
                <w:highlight w:val="none"/>
              </w:rPr>
            </w:pPr>
          </w:p>
        </w:tc>
      </w:tr>
      <w:tr w14:paraId="7DB87A6B">
        <w:tblPrEx>
          <w:tblCellMar>
            <w:top w:w="0" w:type="dxa"/>
            <w:left w:w="108" w:type="dxa"/>
            <w:bottom w:w="0" w:type="dxa"/>
            <w:right w:w="108" w:type="dxa"/>
          </w:tblCellMar>
        </w:tblPrEx>
        <w:trPr>
          <w:trHeight w:val="47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4A537067">
            <w:pPr>
              <w:widowControl/>
              <w:spacing w:line="280" w:lineRule="exact"/>
              <w:jc w:val="center"/>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3</w:t>
            </w:r>
          </w:p>
        </w:tc>
        <w:tc>
          <w:tcPr>
            <w:tcW w:w="764" w:type="dxa"/>
            <w:tcBorders>
              <w:top w:val="single" w:color="000000" w:sz="4" w:space="0"/>
              <w:left w:val="single" w:color="000000" w:sz="4" w:space="0"/>
              <w:bottom w:val="single" w:color="000000" w:sz="4" w:space="0"/>
              <w:right w:val="single" w:color="000000" w:sz="4" w:space="0"/>
            </w:tcBorders>
            <w:vAlign w:val="center"/>
          </w:tcPr>
          <w:p w14:paraId="67AC7405">
            <w:pPr>
              <w:widowControl/>
              <w:spacing w:line="280" w:lineRule="exact"/>
              <w:jc w:val="center"/>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3FDCAB83">
            <w:pPr>
              <w:widowControl/>
              <w:spacing w:line="280" w:lineRule="exact"/>
              <w:jc w:val="center"/>
              <w:rPr>
                <w:rFonts w:ascii="仿宋_GB2312" w:hAnsi="仿宋_GB2312" w:eastAsia="仿宋_GB2312" w:cs="仿宋_GB2312"/>
                <w:color w:val="auto"/>
                <w:sz w:val="20"/>
                <w:szCs w:val="20"/>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33109DEB">
            <w:pPr>
              <w:widowControl/>
              <w:spacing w:line="280" w:lineRule="exact"/>
              <w:rPr>
                <w:rFonts w:ascii="仿宋_GB2312" w:hAnsi="仿宋_GB2312" w:eastAsia="仿宋_GB2312" w:cs="仿宋_GB2312"/>
                <w:color w:val="auto"/>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vAlign w:val="center"/>
          </w:tcPr>
          <w:p w14:paraId="572E0FF1">
            <w:pPr>
              <w:widowControl/>
              <w:spacing w:line="280" w:lineRule="exact"/>
              <w:rPr>
                <w:rFonts w:ascii="仿宋_GB2312" w:hAnsi="仿宋_GB2312" w:eastAsia="仿宋_GB2312" w:cs="仿宋_GB2312"/>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681E58EA">
            <w:pPr>
              <w:widowControl/>
              <w:spacing w:line="280" w:lineRule="exact"/>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02C12112">
            <w:pPr>
              <w:widowControl/>
              <w:spacing w:line="280" w:lineRule="exact"/>
              <w:rPr>
                <w:rFonts w:ascii="仿宋_GB2312" w:hAnsi="仿宋_GB2312" w:eastAsia="仿宋_GB2312" w:cs="仿宋_GB2312"/>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467B725">
            <w:pPr>
              <w:widowControl/>
              <w:spacing w:line="280" w:lineRule="exact"/>
              <w:rPr>
                <w:rFonts w:ascii="仿宋_GB2312" w:hAnsi="仿宋_GB2312" w:eastAsia="仿宋_GB2312" w:cs="仿宋_GB2312"/>
                <w:color w:val="auto"/>
                <w:sz w:val="20"/>
                <w:szCs w:val="20"/>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6874C201">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78918594">
            <w:pPr>
              <w:widowControl/>
              <w:spacing w:line="280" w:lineRule="exact"/>
              <w:rPr>
                <w:rFonts w:ascii="仿宋_GB2312" w:hAnsi="仿宋_GB2312" w:eastAsia="仿宋_GB2312" w:cs="仿宋_GB2312"/>
                <w:color w:val="auto"/>
                <w:sz w:val="20"/>
                <w:szCs w:val="20"/>
                <w:highlight w:val="none"/>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78BE27C3">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1A8B2AE6">
            <w:pPr>
              <w:widowControl/>
              <w:spacing w:line="280" w:lineRule="exact"/>
              <w:rPr>
                <w:rFonts w:ascii="仿宋_GB2312" w:hAnsi="仿宋_GB2312" w:eastAsia="仿宋_GB2312" w:cs="仿宋_GB2312"/>
                <w:color w:val="auto"/>
                <w:sz w:val="20"/>
                <w:szCs w:val="20"/>
                <w:highlight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47313CBC">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54064D42">
            <w:pPr>
              <w:widowControl/>
              <w:spacing w:line="280" w:lineRule="exact"/>
              <w:rPr>
                <w:rFonts w:ascii="仿宋_GB2312" w:hAnsi="仿宋_GB2312" w:eastAsia="仿宋_GB2312" w:cs="仿宋_GB2312"/>
                <w:color w:val="auto"/>
                <w:sz w:val="20"/>
                <w:szCs w:val="20"/>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12D99777">
            <w:pPr>
              <w:widowControl/>
              <w:spacing w:line="280" w:lineRule="exact"/>
              <w:rPr>
                <w:rFonts w:ascii="仿宋_GB2312" w:hAnsi="仿宋_GB2312" w:eastAsia="仿宋_GB2312" w:cs="仿宋_GB2312"/>
                <w:color w:val="auto"/>
                <w:sz w:val="20"/>
                <w:szCs w:val="20"/>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1AAA4D3B">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32C41666">
            <w:pPr>
              <w:widowControl/>
              <w:spacing w:line="280" w:lineRule="exact"/>
              <w:rPr>
                <w:rFonts w:ascii="仿宋_GB2312" w:hAnsi="仿宋_GB2312" w:eastAsia="仿宋_GB2312" w:cs="仿宋_GB2312"/>
                <w:color w:val="auto"/>
                <w:sz w:val="20"/>
                <w:szCs w:val="20"/>
                <w:highlight w:val="none"/>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7FC723B2">
            <w:pPr>
              <w:widowControl/>
              <w:spacing w:line="280" w:lineRule="exact"/>
              <w:rPr>
                <w:rFonts w:ascii="仿宋_GB2312" w:hAnsi="仿宋_GB2312" w:eastAsia="仿宋_GB2312" w:cs="仿宋_GB2312"/>
                <w:color w:val="auto"/>
                <w:sz w:val="20"/>
                <w:szCs w:val="20"/>
                <w:highlight w:val="none"/>
              </w:rPr>
            </w:pPr>
          </w:p>
        </w:tc>
      </w:tr>
      <w:tr w14:paraId="349309D4">
        <w:tblPrEx>
          <w:tblCellMar>
            <w:top w:w="0" w:type="dxa"/>
            <w:left w:w="108" w:type="dxa"/>
            <w:bottom w:w="0" w:type="dxa"/>
            <w:right w:w="108" w:type="dxa"/>
          </w:tblCellMar>
        </w:tblPrEx>
        <w:trPr>
          <w:trHeight w:val="47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65329840">
            <w:pPr>
              <w:widowControl/>
              <w:spacing w:line="280" w:lineRule="exact"/>
              <w:jc w:val="center"/>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4</w:t>
            </w:r>
          </w:p>
        </w:tc>
        <w:tc>
          <w:tcPr>
            <w:tcW w:w="764" w:type="dxa"/>
            <w:tcBorders>
              <w:top w:val="single" w:color="000000" w:sz="4" w:space="0"/>
              <w:left w:val="single" w:color="000000" w:sz="4" w:space="0"/>
              <w:bottom w:val="single" w:color="000000" w:sz="4" w:space="0"/>
              <w:right w:val="single" w:color="000000" w:sz="4" w:space="0"/>
            </w:tcBorders>
            <w:vAlign w:val="center"/>
          </w:tcPr>
          <w:p w14:paraId="7E8ACAE4">
            <w:pPr>
              <w:widowControl/>
              <w:spacing w:line="280" w:lineRule="exact"/>
              <w:jc w:val="center"/>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9F105F0">
            <w:pPr>
              <w:widowControl/>
              <w:spacing w:line="280" w:lineRule="exact"/>
              <w:jc w:val="center"/>
              <w:rPr>
                <w:rFonts w:ascii="仿宋_GB2312" w:hAnsi="仿宋_GB2312" w:eastAsia="仿宋_GB2312" w:cs="仿宋_GB2312"/>
                <w:color w:val="auto"/>
                <w:sz w:val="20"/>
                <w:szCs w:val="20"/>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006AFD18">
            <w:pPr>
              <w:widowControl/>
              <w:spacing w:line="280" w:lineRule="exact"/>
              <w:rPr>
                <w:rFonts w:ascii="仿宋_GB2312" w:hAnsi="仿宋_GB2312" w:eastAsia="仿宋_GB2312" w:cs="仿宋_GB2312"/>
                <w:color w:val="auto"/>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vAlign w:val="center"/>
          </w:tcPr>
          <w:p w14:paraId="42DED584">
            <w:pPr>
              <w:widowControl/>
              <w:spacing w:line="280" w:lineRule="exact"/>
              <w:rPr>
                <w:rFonts w:ascii="仿宋_GB2312" w:hAnsi="仿宋_GB2312" w:eastAsia="仿宋_GB2312" w:cs="仿宋_GB2312"/>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720C733E">
            <w:pPr>
              <w:widowControl/>
              <w:spacing w:line="280" w:lineRule="exact"/>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ECA4B65">
            <w:pPr>
              <w:widowControl/>
              <w:spacing w:line="280" w:lineRule="exact"/>
              <w:rPr>
                <w:rFonts w:ascii="仿宋_GB2312" w:hAnsi="仿宋_GB2312" w:eastAsia="仿宋_GB2312" w:cs="仿宋_GB2312"/>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B591E43">
            <w:pPr>
              <w:widowControl/>
              <w:spacing w:line="280" w:lineRule="exact"/>
              <w:rPr>
                <w:rFonts w:ascii="仿宋_GB2312" w:hAnsi="仿宋_GB2312" w:eastAsia="仿宋_GB2312" w:cs="仿宋_GB2312"/>
                <w:color w:val="auto"/>
                <w:sz w:val="20"/>
                <w:szCs w:val="20"/>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6182A94C">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38148C23">
            <w:pPr>
              <w:widowControl/>
              <w:spacing w:line="280" w:lineRule="exact"/>
              <w:rPr>
                <w:rFonts w:ascii="仿宋_GB2312" w:hAnsi="仿宋_GB2312" w:eastAsia="仿宋_GB2312" w:cs="仿宋_GB2312"/>
                <w:color w:val="auto"/>
                <w:sz w:val="20"/>
                <w:szCs w:val="20"/>
                <w:highlight w:val="none"/>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15B15571">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797C7E88">
            <w:pPr>
              <w:widowControl/>
              <w:spacing w:line="280" w:lineRule="exact"/>
              <w:rPr>
                <w:rFonts w:ascii="仿宋_GB2312" w:hAnsi="仿宋_GB2312" w:eastAsia="仿宋_GB2312" w:cs="仿宋_GB2312"/>
                <w:color w:val="auto"/>
                <w:sz w:val="20"/>
                <w:szCs w:val="20"/>
                <w:highlight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57F3E355">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15919088">
            <w:pPr>
              <w:widowControl/>
              <w:spacing w:line="280" w:lineRule="exact"/>
              <w:rPr>
                <w:rFonts w:ascii="仿宋_GB2312" w:hAnsi="仿宋_GB2312" w:eastAsia="仿宋_GB2312" w:cs="仿宋_GB2312"/>
                <w:color w:val="auto"/>
                <w:sz w:val="20"/>
                <w:szCs w:val="20"/>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1FB86050">
            <w:pPr>
              <w:widowControl/>
              <w:spacing w:line="280" w:lineRule="exact"/>
              <w:rPr>
                <w:rFonts w:ascii="仿宋_GB2312" w:hAnsi="仿宋_GB2312" w:eastAsia="仿宋_GB2312" w:cs="仿宋_GB2312"/>
                <w:color w:val="auto"/>
                <w:sz w:val="20"/>
                <w:szCs w:val="20"/>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343E5C79">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576E172B">
            <w:pPr>
              <w:widowControl/>
              <w:spacing w:line="280" w:lineRule="exact"/>
              <w:rPr>
                <w:rFonts w:ascii="仿宋_GB2312" w:hAnsi="仿宋_GB2312" w:eastAsia="仿宋_GB2312" w:cs="仿宋_GB2312"/>
                <w:color w:val="auto"/>
                <w:sz w:val="20"/>
                <w:szCs w:val="20"/>
                <w:highlight w:val="none"/>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133EA458">
            <w:pPr>
              <w:widowControl/>
              <w:spacing w:line="280" w:lineRule="exact"/>
              <w:rPr>
                <w:rFonts w:ascii="仿宋_GB2312" w:hAnsi="仿宋_GB2312" w:eastAsia="仿宋_GB2312" w:cs="仿宋_GB2312"/>
                <w:color w:val="auto"/>
                <w:sz w:val="20"/>
                <w:szCs w:val="20"/>
                <w:highlight w:val="none"/>
              </w:rPr>
            </w:pPr>
          </w:p>
        </w:tc>
      </w:tr>
      <w:tr w14:paraId="3667D96B">
        <w:tblPrEx>
          <w:tblCellMar>
            <w:top w:w="0" w:type="dxa"/>
            <w:left w:w="108" w:type="dxa"/>
            <w:bottom w:w="0" w:type="dxa"/>
            <w:right w:w="108" w:type="dxa"/>
          </w:tblCellMar>
        </w:tblPrEx>
        <w:trPr>
          <w:trHeight w:val="47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527C5611">
            <w:pPr>
              <w:widowControl/>
              <w:spacing w:line="280" w:lineRule="exact"/>
              <w:jc w:val="center"/>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5</w:t>
            </w:r>
          </w:p>
        </w:tc>
        <w:tc>
          <w:tcPr>
            <w:tcW w:w="764" w:type="dxa"/>
            <w:tcBorders>
              <w:top w:val="single" w:color="000000" w:sz="4" w:space="0"/>
              <w:left w:val="single" w:color="000000" w:sz="4" w:space="0"/>
              <w:bottom w:val="single" w:color="000000" w:sz="4" w:space="0"/>
              <w:right w:val="single" w:color="000000" w:sz="4" w:space="0"/>
            </w:tcBorders>
            <w:vAlign w:val="center"/>
          </w:tcPr>
          <w:p w14:paraId="18A13629">
            <w:pPr>
              <w:widowControl/>
              <w:spacing w:line="280" w:lineRule="exact"/>
              <w:jc w:val="center"/>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9BFDEF6">
            <w:pPr>
              <w:widowControl/>
              <w:spacing w:line="280" w:lineRule="exact"/>
              <w:jc w:val="center"/>
              <w:rPr>
                <w:rFonts w:ascii="仿宋_GB2312" w:hAnsi="仿宋_GB2312" w:eastAsia="仿宋_GB2312" w:cs="仿宋_GB2312"/>
                <w:color w:val="auto"/>
                <w:sz w:val="20"/>
                <w:szCs w:val="20"/>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54FDC331">
            <w:pPr>
              <w:widowControl/>
              <w:spacing w:line="280" w:lineRule="exact"/>
              <w:rPr>
                <w:rFonts w:ascii="仿宋_GB2312" w:hAnsi="仿宋_GB2312" w:eastAsia="仿宋_GB2312" w:cs="仿宋_GB2312"/>
                <w:color w:val="auto"/>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vAlign w:val="center"/>
          </w:tcPr>
          <w:p w14:paraId="448C94E5">
            <w:pPr>
              <w:widowControl/>
              <w:spacing w:line="280" w:lineRule="exact"/>
              <w:rPr>
                <w:rFonts w:ascii="仿宋_GB2312" w:hAnsi="仿宋_GB2312" w:eastAsia="仿宋_GB2312" w:cs="仿宋_GB2312"/>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14E906A9">
            <w:pPr>
              <w:widowControl/>
              <w:spacing w:line="280" w:lineRule="exact"/>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666FFB06">
            <w:pPr>
              <w:widowControl/>
              <w:spacing w:line="280" w:lineRule="exact"/>
              <w:rPr>
                <w:rFonts w:ascii="仿宋_GB2312" w:hAnsi="仿宋_GB2312" w:eastAsia="仿宋_GB2312" w:cs="仿宋_GB2312"/>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3182309">
            <w:pPr>
              <w:widowControl/>
              <w:spacing w:line="280" w:lineRule="exact"/>
              <w:rPr>
                <w:rFonts w:ascii="仿宋_GB2312" w:hAnsi="仿宋_GB2312" w:eastAsia="仿宋_GB2312" w:cs="仿宋_GB2312"/>
                <w:color w:val="auto"/>
                <w:sz w:val="20"/>
                <w:szCs w:val="20"/>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696FE747">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63C46530">
            <w:pPr>
              <w:widowControl/>
              <w:spacing w:line="280" w:lineRule="exact"/>
              <w:rPr>
                <w:rFonts w:ascii="仿宋_GB2312" w:hAnsi="仿宋_GB2312" w:eastAsia="仿宋_GB2312" w:cs="仿宋_GB2312"/>
                <w:color w:val="auto"/>
                <w:sz w:val="20"/>
                <w:szCs w:val="20"/>
                <w:highlight w:val="none"/>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01097C5B">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65E83B35">
            <w:pPr>
              <w:widowControl/>
              <w:spacing w:line="280" w:lineRule="exact"/>
              <w:rPr>
                <w:rFonts w:ascii="仿宋_GB2312" w:hAnsi="仿宋_GB2312" w:eastAsia="仿宋_GB2312" w:cs="仿宋_GB2312"/>
                <w:color w:val="auto"/>
                <w:sz w:val="20"/>
                <w:szCs w:val="20"/>
                <w:highlight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3B1558FD">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6FCF88CA">
            <w:pPr>
              <w:widowControl/>
              <w:spacing w:line="280" w:lineRule="exact"/>
              <w:rPr>
                <w:rFonts w:ascii="仿宋_GB2312" w:hAnsi="仿宋_GB2312" w:eastAsia="仿宋_GB2312" w:cs="仿宋_GB2312"/>
                <w:color w:val="auto"/>
                <w:sz w:val="20"/>
                <w:szCs w:val="20"/>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3A12BF3C">
            <w:pPr>
              <w:widowControl/>
              <w:spacing w:line="280" w:lineRule="exact"/>
              <w:rPr>
                <w:rFonts w:ascii="仿宋_GB2312" w:hAnsi="仿宋_GB2312" w:eastAsia="仿宋_GB2312" w:cs="仿宋_GB2312"/>
                <w:color w:val="auto"/>
                <w:sz w:val="20"/>
                <w:szCs w:val="20"/>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66219074">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42362039">
            <w:pPr>
              <w:widowControl/>
              <w:spacing w:line="280" w:lineRule="exact"/>
              <w:rPr>
                <w:rFonts w:ascii="仿宋_GB2312" w:hAnsi="仿宋_GB2312" w:eastAsia="仿宋_GB2312" w:cs="仿宋_GB2312"/>
                <w:color w:val="auto"/>
                <w:sz w:val="20"/>
                <w:szCs w:val="20"/>
                <w:highlight w:val="none"/>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54698237">
            <w:pPr>
              <w:widowControl/>
              <w:spacing w:line="280" w:lineRule="exact"/>
              <w:rPr>
                <w:rFonts w:ascii="仿宋_GB2312" w:hAnsi="仿宋_GB2312" w:eastAsia="仿宋_GB2312" w:cs="仿宋_GB2312"/>
                <w:color w:val="auto"/>
                <w:sz w:val="20"/>
                <w:szCs w:val="20"/>
                <w:highlight w:val="none"/>
              </w:rPr>
            </w:pPr>
          </w:p>
        </w:tc>
      </w:tr>
      <w:tr w14:paraId="7B70895B">
        <w:tblPrEx>
          <w:tblCellMar>
            <w:top w:w="0" w:type="dxa"/>
            <w:left w:w="108" w:type="dxa"/>
            <w:bottom w:w="0" w:type="dxa"/>
            <w:right w:w="108" w:type="dxa"/>
          </w:tblCellMar>
        </w:tblPrEx>
        <w:trPr>
          <w:trHeight w:val="47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7C5F5C78">
            <w:pPr>
              <w:widowControl/>
              <w:spacing w:line="280" w:lineRule="exact"/>
              <w:jc w:val="center"/>
              <w:textAlignment w:val="center"/>
              <w:rPr>
                <w:rFonts w:ascii="仿宋_GB2312" w:hAnsi="仿宋_GB2312" w:eastAsia="仿宋_GB2312" w:cs="仿宋_GB2312"/>
                <w:color w:val="auto"/>
                <w:kern w:val="0"/>
                <w:sz w:val="20"/>
                <w:szCs w:val="20"/>
                <w:highlight w:val="none"/>
                <w:lang w:bidi="ar"/>
              </w:rPr>
            </w:pPr>
            <w:r>
              <w:rPr>
                <w:rFonts w:hint="eastAsia" w:ascii="仿宋_GB2312" w:hAnsi="仿宋_GB2312" w:eastAsia="仿宋_GB2312" w:cs="仿宋_GB2312"/>
                <w:color w:val="auto"/>
                <w:kern w:val="0"/>
                <w:sz w:val="20"/>
                <w:szCs w:val="20"/>
                <w:highlight w:val="none"/>
                <w:lang w:bidi="ar"/>
              </w:rPr>
              <w:t>6</w:t>
            </w:r>
          </w:p>
        </w:tc>
        <w:tc>
          <w:tcPr>
            <w:tcW w:w="764" w:type="dxa"/>
            <w:tcBorders>
              <w:top w:val="single" w:color="000000" w:sz="4" w:space="0"/>
              <w:left w:val="single" w:color="000000" w:sz="4" w:space="0"/>
              <w:bottom w:val="single" w:color="000000" w:sz="4" w:space="0"/>
              <w:right w:val="single" w:color="000000" w:sz="4" w:space="0"/>
            </w:tcBorders>
            <w:vAlign w:val="center"/>
          </w:tcPr>
          <w:p w14:paraId="52BDEBF5">
            <w:pPr>
              <w:widowControl/>
              <w:spacing w:line="280" w:lineRule="exact"/>
              <w:jc w:val="center"/>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6B69B3A">
            <w:pPr>
              <w:widowControl/>
              <w:spacing w:line="280" w:lineRule="exact"/>
              <w:jc w:val="center"/>
              <w:rPr>
                <w:rFonts w:ascii="仿宋_GB2312" w:hAnsi="仿宋_GB2312" w:eastAsia="仿宋_GB2312" w:cs="仿宋_GB2312"/>
                <w:color w:val="auto"/>
                <w:sz w:val="20"/>
                <w:szCs w:val="20"/>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6F6D6969">
            <w:pPr>
              <w:widowControl/>
              <w:spacing w:line="280" w:lineRule="exact"/>
              <w:rPr>
                <w:rFonts w:ascii="仿宋_GB2312" w:hAnsi="仿宋_GB2312" w:eastAsia="仿宋_GB2312" w:cs="仿宋_GB2312"/>
                <w:color w:val="auto"/>
                <w:sz w:val="20"/>
                <w:szCs w:val="20"/>
                <w:highlight w:val="none"/>
              </w:rPr>
            </w:pPr>
          </w:p>
        </w:tc>
        <w:tc>
          <w:tcPr>
            <w:tcW w:w="778" w:type="dxa"/>
            <w:tcBorders>
              <w:top w:val="single" w:color="000000" w:sz="4" w:space="0"/>
              <w:left w:val="single" w:color="000000" w:sz="4" w:space="0"/>
              <w:bottom w:val="single" w:color="000000" w:sz="4" w:space="0"/>
              <w:right w:val="single" w:color="000000" w:sz="4" w:space="0"/>
            </w:tcBorders>
            <w:vAlign w:val="center"/>
          </w:tcPr>
          <w:p w14:paraId="558BAC60">
            <w:pPr>
              <w:widowControl/>
              <w:spacing w:line="280" w:lineRule="exact"/>
              <w:rPr>
                <w:rFonts w:ascii="仿宋_GB2312" w:hAnsi="仿宋_GB2312" w:eastAsia="仿宋_GB2312" w:cs="仿宋_GB2312"/>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424F3ADC">
            <w:pPr>
              <w:widowControl/>
              <w:spacing w:line="280" w:lineRule="exact"/>
              <w:rPr>
                <w:rFonts w:ascii="仿宋_GB2312" w:hAnsi="仿宋_GB2312" w:eastAsia="仿宋_GB2312" w:cs="仿宋_GB2312"/>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B262992">
            <w:pPr>
              <w:widowControl/>
              <w:spacing w:line="280" w:lineRule="exact"/>
              <w:rPr>
                <w:rFonts w:ascii="仿宋_GB2312" w:hAnsi="仿宋_GB2312" w:eastAsia="仿宋_GB2312" w:cs="仿宋_GB2312"/>
                <w:color w:val="auto"/>
                <w:sz w:val="20"/>
                <w:szCs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5FD5009">
            <w:pPr>
              <w:widowControl/>
              <w:spacing w:line="280" w:lineRule="exact"/>
              <w:rPr>
                <w:rFonts w:ascii="仿宋_GB2312" w:hAnsi="仿宋_GB2312" w:eastAsia="仿宋_GB2312" w:cs="仿宋_GB2312"/>
                <w:color w:val="auto"/>
                <w:sz w:val="20"/>
                <w:szCs w:val="20"/>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28C577F2">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06C1C07F">
            <w:pPr>
              <w:widowControl/>
              <w:spacing w:line="280" w:lineRule="exact"/>
              <w:rPr>
                <w:rFonts w:ascii="仿宋_GB2312" w:hAnsi="仿宋_GB2312" w:eastAsia="仿宋_GB2312" w:cs="仿宋_GB2312"/>
                <w:color w:val="auto"/>
                <w:sz w:val="20"/>
                <w:szCs w:val="20"/>
                <w:highlight w:val="none"/>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7002C216">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29C9FC75">
            <w:pPr>
              <w:widowControl/>
              <w:spacing w:line="280" w:lineRule="exact"/>
              <w:rPr>
                <w:rFonts w:ascii="仿宋_GB2312" w:hAnsi="仿宋_GB2312" w:eastAsia="仿宋_GB2312" w:cs="仿宋_GB2312"/>
                <w:color w:val="auto"/>
                <w:sz w:val="20"/>
                <w:szCs w:val="20"/>
                <w:highlight w:val="none"/>
              </w:rPr>
            </w:pPr>
          </w:p>
        </w:tc>
        <w:tc>
          <w:tcPr>
            <w:tcW w:w="1118" w:type="dxa"/>
            <w:tcBorders>
              <w:top w:val="single" w:color="000000" w:sz="4" w:space="0"/>
              <w:left w:val="single" w:color="000000" w:sz="4" w:space="0"/>
              <w:bottom w:val="single" w:color="000000" w:sz="4" w:space="0"/>
              <w:right w:val="single" w:color="000000" w:sz="4" w:space="0"/>
            </w:tcBorders>
            <w:vAlign w:val="center"/>
          </w:tcPr>
          <w:p w14:paraId="0252056D">
            <w:pPr>
              <w:widowControl/>
              <w:spacing w:line="280" w:lineRule="exact"/>
              <w:rPr>
                <w:rFonts w:ascii="仿宋_GB2312" w:hAnsi="仿宋_GB2312" w:eastAsia="仿宋_GB2312" w:cs="仿宋_GB2312"/>
                <w:color w:val="auto"/>
                <w:sz w:val="20"/>
                <w:szCs w:val="20"/>
                <w:highlight w:val="none"/>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2BAF1604">
            <w:pPr>
              <w:widowControl/>
              <w:spacing w:line="280" w:lineRule="exact"/>
              <w:rPr>
                <w:rFonts w:ascii="仿宋_GB2312" w:hAnsi="仿宋_GB2312" w:eastAsia="仿宋_GB2312" w:cs="仿宋_GB2312"/>
                <w:color w:val="auto"/>
                <w:sz w:val="20"/>
                <w:szCs w:val="20"/>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1954FB30">
            <w:pPr>
              <w:widowControl/>
              <w:spacing w:line="280" w:lineRule="exact"/>
              <w:rPr>
                <w:rFonts w:ascii="仿宋_GB2312" w:hAnsi="仿宋_GB2312" w:eastAsia="仿宋_GB2312" w:cs="仿宋_GB2312"/>
                <w:color w:val="auto"/>
                <w:sz w:val="20"/>
                <w:szCs w:val="20"/>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4AE62BED">
            <w:pPr>
              <w:widowControl/>
              <w:spacing w:line="280" w:lineRule="exact"/>
              <w:rPr>
                <w:rFonts w:ascii="仿宋_GB2312" w:hAnsi="仿宋_GB2312" w:eastAsia="仿宋_GB2312" w:cs="仿宋_GB2312"/>
                <w:color w:val="auto"/>
                <w:sz w:val="20"/>
                <w:szCs w:val="20"/>
                <w:highlight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731E0911">
            <w:pPr>
              <w:widowControl/>
              <w:spacing w:line="280" w:lineRule="exact"/>
              <w:rPr>
                <w:rFonts w:ascii="仿宋_GB2312" w:hAnsi="仿宋_GB2312" w:eastAsia="仿宋_GB2312" w:cs="仿宋_GB2312"/>
                <w:color w:val="auto"/>
                <w:sz w:val="20"/>
                <w:szCs w:val="20"/>
                <w:highlight w:val="none"/>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30BEB4DF">
            <w:pPr>
              <w:widowControl/>
              <w:spacing w:line="280" w:lineRule="exact"/>
              <w:rPr>
                <w:rFonts w:ascii="仿宋_GB2312" w:hAnsi="仿宋_GB2312" w:eastAsia="仿宋_GB2312" w:cs="仿宋_GB2312"/>
                <w:color w:val="auto"/>
                <w:sz w:val="20"/>
                <w:szCs w:val="20"/>
                <w:highlight w:val="none"/>
              </w:rPr>
            </w:pPr>
          </w:p>
        </w:tc>
      </w:tr>
      <w:tr w14:paraId="35B99914">
        <w:tblPrEx>
          <w:tblCellMar>
            <w:top w:w="0" w:type="dxa"/>
            <w:left w:w="108" w:type="dxa"/>
            <w:bottom w:w="0" w:type="dxa"/>
            <w:right w:w="108" w:type="dxa"/>
          </w:tblCellMar>
        </w:tblPrEx>
        <w:trPr>
          <w:trHeight w:val="312" w:hRule="atLeast"/>
          <w:jc w:val="center"/>
        </w:trPr>
        <w:tc>
          <w:tcPr>
            <w:tcW w:w="15240" w:type="dxa"/>
            <w:gridSpan w:val="18"/>
            <w:tcBorders>
              <w:top w:val="nil"/>
              <w:left w:val="nil"/>
              <w:bottom w:val="nil"/>
              <w:right w:val="nil"/>
            </w:tcBorders>
            <w:vAlign w:val="center"/>
          </w:tcPr>
          <w:p w14:paraId="6373CE4E">
            <w:pPr>
              <w:widowControl/>
              <w:spacing w:line="280" w:lineRule="exact"/>
              <w:textAlignment w:val="center"/>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bidi="ar"/>
              </w:rPr>
              <w:t>老人身份类别：□分散供养中特困人员；□城乡低保对象；□低收入家庭；□其他经济困难对象；</w:t>
            </w:r>
          </w:p>
        </w:tc>
      </w:tr>
    </w:tbl>
    <w:p w14:paraId="72FA023F">
      <w:pPr>
        <w:pStyle w:val="30"/>
        <w:spacing w:before="156" w:beforeLines="50" w:line="640" w:lineRule="exact"/>
        <w:ind w:left="0" w:leftChars="0"/>
        <w:rPr>
          <w:rFonts w:ascii="宋体" w:hAnsi="宋体" w:cs="宋体"/>
          <w:color w:val="auto"/>
          <w:sz w:val="32"/>
          <w:szCs w:val="32"/>
          <w:highlight w:val="none"/>
        </w:rPr>
        <w:sectPr>
          <w:pgSz w:w="16838" w:h="11906" w:orient="landscape"/>
          <w:pgMar w:top="1800" w:right="1440" w:bottom="1800" w:left="1440" w:header="851" w:footer="992" w:gutter="0"/>
          <w:cols w:space="425" w:num="1"/>
          <w:docGrid w:type="lines" w:linePitch="312" w:charSpace="0"/>
        </w:sectPr>
      </w:pPr>
    </w:p>
    <w:p w14:paraId="6BA83201">
      <w:pPr>
        <w:pStyle w:val="30"/>
        <w:spacing w:before="156" w:beforeLines="50" w:line="640" w:lineRule="exact"/>
        <w:ind w:left="0" w:leftChars="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附件5</w:t>
      </w:r>
    </w:p>
    <w:p w14:paraId="2A67F0CD">
      <w:pPr>
        <w:pStyle w:val="42"/>
        <w:widowControl/>
        <w:spacing w:line="560" w:lineRule="exact"/>
        <w:jc w:val="center"/>
        <w:rPr>
          <w:rFonts w:hint="default" w:ascii="黑体" w:hAnsi="黑体" w:eastAsia="黑体" w:cs="黑体"/>
          <w:color w:val="auto"/>
          <w:kern w:val="2"/>
          <w:sz w:val="32"/>
          <w:szCs w:val="32"/>
          <w:highlight w:val="none"/>
        </w:rPr>
      </w:pPr>
      <w:r>
        <w:rPr>
          <w:rFonts w:ascii="黑体" w:hAnsi="黑体" w:eastAsia="黑体" w:cs="黑体"/>
          <w:color w:val="auto"/>
          <w:kern w:val="2"/>
          <w:sz w:val="32"/>
          <w:szCs w:val="32"/>
          <w:highlight w:val="none"/>
        </w:rPr>
        <w:t>桂平市居家和社区基本养老服务提升行动项目家庭养老床位建设</w:t>
      </w:r>
    </w:p>
    <w:p w14:paraId="30A761DE">
      <w:pPr>
        <w:pStyle w:val="42"/>
        <w:widowControl/>
        <w:spacing w:line="560" w:lineRule="exact"/>
        <w:jc w:val="center"/>
        <w:rPr>
          <w:rFonts w:hint="default" w:ascii="黑体" w:hAnsi="黑体" w:eastAsia="黑体" w:cs="黑体"/>
          <w:color w:val="auto"/>
          <w:kern w:val="2"/>
          <w:sz w:val="32"/>
          <w:szCs w:val="32"/>
          <w:highlight w:val="none"/>
        </w:rPr>
      </w:pPr>
      <w:r>
        <w:rPr>
          <w:rFonts w:ascii="黑体" w:hAnsi="黑体" w:eastAsia="黑体" w:cs="黑体"/>
          <w:color w:val="auto"/>
          <w:kern w:val="2"/>
          <w:sz w:val="32"/>
          <w:szCs w:val="32"/>
          <w:highlight w:val="none"/>
        </w:rPr>
        <w:t>申请表</w:t>
      </w:r>
    </w:p>
    <w:tbl>
      <w:tblPr>
        <w:tblStyle w:val="49"/>
        <w:tblW w:w="0" w:type="auto"/>
        <w:jc w:val="center"/>
        <w:tblLayout w:type="fixed"/>
        <w:tblCellMar>
          <w:top w:w="0" w:type="dxa"/>
          <w:left w:w="108" w:type="dxa"/>
          <w:bottom w:w="0" w:type="dxa"/>
          <w:right w:w="108" w:type="dxa"/>
        </w:tblCellMar>
      </w:tblPr>
      <w:tblGrid>
        <w:gridCol w:w="1673"/>
        <w:gridCol w:w="1364"/>
        <w:gridCol w:w="1071"/>
        <w:gridCol w:w="866"/>
        <w:gridCol w:w="1650"/>
        <w:gridCol w:w="2133"/>
      </w:tblGrid>
      <w:tr w14:paraId="5EF5155F">
        <w:tblPrEx>
          <w:tblCellMar>
            <w:top w:w="0" w:type="dxa"/>
            <w:left w:w="108" w:type="dxa"/>
            <w:bottom w:w="0" w:type="dxa"/>
            <w:right w:w="108" w:type="dxa"/>
          </w:tblCellMar>
        </w:tblPrEx>
        <w:trPr>
          <w:trHeight w:val="328"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73454401">
            <w:pPr>
              <w:widowControl/>
              <w:spacing w:line="300" w:lineRule="exact"/>
              <w:jc w:val="left"/>
              <w:textAlignment w:val="center"/>
              <w:rPr>
                <w:rFonts w:eastAsia="方正仿宋_GB2312"/>
                <w:color w:val="auto"/>
                <w:sz w:val="24"/>
                <w:highlight w:val="none"/>
              </w:rPr>
            </w:pPr>
            <w:r>
              <w:rPr>
                <w:rFonts w:eastAsia="方正仿宋_GB2312"/>
                <w:color w:val="auto"/>
                <w:kern w:val="0"/>
                <w:sz w:val="24"/>
                <w:highlight w:val="none"/>
                <w:lang w:bidi="ar"/>
              </w:rPr>
              <w:t>老年人姓名</w:t>
            </w:r>
          </w:p>
        </w:tc>
        <w:tc>
          <w:tcPr>
            <w:tcW w:w="1364" w:type="dxa"/>
            <w:tcBorders>
              <w:top w:val="single" w:color="000000" w:sz="4" w:space="0"/>
              <w:left w:val="single" w:color="000000" w:sz="4" w:space="0"/>
              <w:bottom w:val="single" w:color="000000" w:sz="4" w:space="0"/>
              <w:right w:val="single" w:color="000000" w:sz="4" w:space="0"/>
            </w:tcBorders>
            <w:vAlign w:val="center"/>
          </w:tcPr>
          <w:p w14:paraId="10A4701C">
            <w:pPr>
              <w:widowControl/>
              <w:spacing w:line="300" w:lineRule="exact"/>
              <w:rPr>
                <w:rFonts w:eastAsia="方正仿宋_GB2312"/>
                <w:color w:val="auto"/>
                <w:sz w:val="24"/>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3FF9EFBB">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性别</w:t>
            </w:r>
          </w:p>
        </w:tc>
        <w:tc>
          <w:tcPr>
            <w:tcW w:w="866" w:type="dxa"/>
            <w:tcBorders>
              <w:top w:val="single" w:color="000000" w:sz="4" w:space="0"/>
              <w:left w:val="single" w:color="000000" w:sz="4" w:space="0"/>
              <w:bottom w:val="single" w:color="000000" w:sz="4" w:space="0"/>
              <w:right w:val="single" w:color="000000" w:sz="4" w:space="0"/>
            </w:tcBorders>
            <w:vAlign w:val="center"/>
          </w:tcPr>
          <w:p w14:paraId="533B8EE3">
            <w:pPr>
              <w:widowControl/>
              <w:spacing w:line="300" w:lineRule="exact"/>
              <w:rPr>
                <w:rFonts w:eastAsia="方正仿宋_GB2312"/>
                <w:color w:val="auto"/>
                <w:sz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4F1BFDF6">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身份证号</w:t>
            </w:r>
          </w:p>
        </w:tc>
        <w:tc>
          <w:tcPr>
            <w:tcW w:w="2133" w:type="dxa"/>
            <w:tcBorders>
              <w:top w:val="single" w:color="000000" w:sz="4" w:space="0"/>
              <w:left w:val="single" w:color="000000" w:sz="4" w:space="0"/>
              <w:bottom w:val="single" w:color="000000" w:sz="4" w:space="0"/>
              <w:right w:val="single" w:color="000000" w:sz="4" w:space="0"/>
            </w:tcBorders>
            <w:vAlign w:val="center"/>
          </w:tcPr>
          <w:p w14:paraId="2D61E694">
            <w:pPr>
              <w:widowControl/>
              <w:spacing w:line="300" w:lineRule="exact"/>
              <w:rPr>
                <w:rFonts w:eastAsia="方正仿宋_GB2312"/>
                <w:color w:val="auto"/>
                <w:sz w:val="24"/>
                <w:highlight w:val="none"/>
              </w:rPr>
            </w:pPr>
          </w:p>
        </w:tc>
      </w:tr>
      <w:tr w14:paraId="7695C0D9">
        <w:tblPrEx>
          <w:tblCellMar>
            <w:top w:w="0" w:type="dxa"/>
            <w:left w:w="108" w:type="dxa"/>
            <w:bottom w:w="0" w:type="dxa"/>
            <w:right w:w="108" w:type="dxa"/>
          </w:tblCellMar>
        </w:tblPrEx>
        <w:trPr>
          <w:trHeight w:val="328"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3F30D0D2">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户籍所在地</w:t>
            </w:r>
          </w:p>
        </w:tc>
        <w:tc>
          <w:tcPr>
            <w:tcW w:w="7084" w:type="dxa"/>
            <w:gridSpan w:val="5"/>
            <w:tcBorders>
              <w:top w:val="single" w:color="000000" w:sz="4" w:space="0"/>
              <w:left w:val="single" w:color="000000" w:sz="4" w:space="0"/>
              <w:bottom w:val="single" w:color="000000" w:sz="4" w:space="0"/>
              <w:right w:val="single" w:color="000000" w:sz="4" w:space="0"/>
            </w:tcBorders>
            <w:vAlign w:val="center"/>
          </w:tcPr>
          <w:p w14:paraId="06BE9764">
            <w:pPr>
              <w:widowControl/>
              <w:spacing w:line="300" w:lineRule="exact"/>
              <w:jc w:val="center"/>
              <w:rPr>
                <w:rFonts w:eastAsia="方正仿宋_GB2312"/>
                <w:color w:val="auto"/>
                <w:sz w:val="24"/>
                <w:highlight w:val="none"/>
              </w:rPr>
            </w:pPr>
          </w:p>
        </w:tc>
      </w:tr>
      <w:tr w14:paraId="6141054E">
        <w:tblPrEx>
          <w:tblCellMar>
            <w:top w:w="0" w:type="dxa"/>
            <w:left w:w="108" w:type="dxa"/>
            <w:bottom w:w="0" w:type="dxa"/>
            <w:right w:w="108" w:type="dxa"/>
          </w:tblCellMar>
        </w:tblPrEx>
        <w:trPr>
          <w:trHeight w:val="328"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6A2D2E82">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家庭住址</w:t>
            </w:r>
          </w:p>
        </w:tc>
        <w:tc>
          <w:tcPr>
            <w:tcW w:w="7084" w:type="dxa"/>
            <w:gridSpan w:val="5"/>
            <w:tcBorders>
              <w:top w:val="single" w:color="000000" w:sz="4" w:space="0"/>
              <w:left w:val="single" w:color="000000" w:sz="4" w:space="0"/>
              <w:bottom w:val="single" w:color="000000" w:sz="4" w:space="0"/>
              <w:right w:val="single" w:color="000000" w:sz="4" w:space="0"/>
            </w:tcBorders>
            <w:vAlign w:val="center"/>
          </w:tcPr>
          <w:p w14:paraId="36CDF0FD">
            <w:pPr>
              <w:widowControl/>
              <w:spacing w:line="300" w:lineRule="exact"/>
              <w:jc w:val="left"/>
              <w:textAlignment w:val="center"/>
              <w:rPr>
                <w:rFonts w:eastAsia="方正仿宋_GB2312"/>
                <w:color w:val="auto"/>
                <w:sz w:val="24"/>
                <w:highlight w:val="none"/>
              </w:rPr>
            </w:pPr>
            <w:r>
              <w:rPr>
                <w:rFonts w:eastAsia="方正仿宋_GB2312"/>
                <w:color w:val="auto"/>
                <w:kern w:val="0"/>
                <w:sz w:val="24"/>
                <w:highlight w:val="none"/>
                <w:lang w:bidi="ar"/>
              </w:rPr>
              <w:t>（详细地址）</w:t>
            </w:r>
          </w:p>
        </w:tc>
      </w:tr>
      <w:tr w14:paraId="0E446F67">
        <w:tblPrEx>
          <w:tblCellMar>
            <w:top w:w="0" w:type="dxa"/>
            <w:left w:w="108" w:type="dxa"/>
            <w:bottom w:w="0" w:type="dxa"/>
            <w:right w:w="108" w:type="dxa"/>
          </w:tblCellMar>
        </w:tblPrEx>
        <w:trPr>
          <w:trHeight w:val="328"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39EE9F53">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住宅情况</w:t>
            </w:r>
          </w:p>
        </w:tc>
        <w:tc>
          <w:tcPr>
            <w:tcW w:w="3301" w:type="dxa"/>
            <w:gridSpan w:val="3"/>
            <w:tcBorders>
              <w:top w:val="single" w:color="000000" w:sz="4" w:space="0"/>
              <w:left w:val="single" w:color="000000" w:sz="4" w:space="0"/>
              <w:bottom w:val="single" w:color="000000" w:sz="4" w:space="0"/>
              <w:right w:val="nil"/>
            </w:tcBorders>
            <w:vAlign w:val="center"/>
          </w:tcPr>
          <w:p w14:paraId="6384EA27">
            <w:pPr>
              <w:widowControl/>
              <w:spacing w:line="300" w:lineRule="exact"/>
              <w:ind w:firstLine="480" w:firstLineChars="200"/>
              <w:textAlignment w:val="center"/>
              <w:rPr>
                <w:rFonts w:eastAsia="方正仿宋_GB2312"/>
                <w:color w:val="auto"/>
                <w:sz w:val="24"/>
                <w:highlight w:val="none"/>
              </w:rPr>
            </w:pPr>
            <w:r>
              <w:rPr>
                <w:rFonts w:eastAsia="方正仿宋_GB2312"/>
                <w:color w:val="auto"/>
                <w:kern w:val="0"/>
                <w:sz w:val="24"/>
                <w:highlight w:val="none"/>
                <w:lang w:bidi="ar"/>
              </w:rPr>
              <w:t>□自有□非自有</w:t>
            </w:r>
          </w:p>
        </w:tc>
        <w:tc>
          <w:tcPr>
            <w:tcW w:w="1650" w:type="dxa"/>
            <w:tcBorders>
              <w:top w:val="single" w:color="000000" w:sz="4" w:space="0"/>
              <w:left w:val="single" w:color="000000" w:sz="4" w:space="0"/>
              <w:bottom w:val="single" w:color="000000" w:sz="4" w:space="0"/>
              <w:right w:val="single" w:color="000000" w:sz="4" w:space="0"/>
            </w:tcBorders>
            <w:vAlign w:val="center"/>
          </w:tcPr>
          <w:p w14:paraId="6F413F8F">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家庭人数</w:t>
            </w:r>
          </w:p>
        </w:tc>
        <w:tc>
          <w:tcPr>
            <w:tcW w:w="2133" w:type="dxa"/>
            <w:tcBorders>
              <w:top w:val="single" w:color="000000" w:sz="4" w:space="0"/>
              <w:left w:val="single" w:color="000000" w:sz="4" w:space="0"/>
              <w:bottom w:val="single" w:color="000000" w:sz="4" w:space="0"/>
              <w:right w:val="single" w:color="000000" w:sz="4" w:space="0"/>
            </w:tcBorders>
            <w:vAlign w:val="center"/>
          </w:tcPr>
          <w:p w14:paraId="19F41246">
            <w:pPr>
              <w:widowControl/>
              <w:spacing w:line="300" w:lineRule="exact"/>
              <w:rPr>
                <w:rFonts w:eastAsia="方正仿宋_GB2312"/>
                <w:color w:val="auto"/>
                <w:sz w:val="24"/>
                <w:highlight w:val="none"/>
              </w:rPr>
            </w:pPr>
          </w:p>
        </w:tc>
      </w:tr>
      <w:tr w14:paraId="490C9567">
        <w:tblPrEx>
          <w:tblCellMar>
            <w:top w:w="0" w:type="dxa"/>
            <w:left w:w="108" w:type="dxa"/>
            <w:bottom w:w="0" w:type="dxa"/>
            <w:right w:w="108" w:type="dxa"/>
          </w:tblCellMar>
        </w:tblPrEx>
        <w:trPr>
          <w:trHeight w:val="328"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4355F552">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家庭联系人</w:t>
            </w:r>
          </w:p>
        </w:tc>
        <w:tc>
          <w:tcPr>
            <w:tcW w:w="3301" w:type="dxa"/>
            <w:gridSpan w:val="3"/>
            <w:tcBorders>
              <w:top w:val="single" w:color="000000" w:sz="4" w:space="0"/>
              <w:left w:val="single" w:color="000000" w:sz="4" w:space="0"/>
              <w:bottom w:val="single" w:color="000000" w:sz="4" w:space="0"/>
              <w:right w:val="nil"/>
            </w:tcBorders>
            <w:vAlign w:val="center"/>
          </w:tcPr>
          <w:p w14:paraId="16D8B040">
            <w:pPr>
              <w:widowControl/>
              <w:spacing w:line="300" w:lineRule="exact"/>
              <w:jc w:val="center"/>
              <w:rPr>
                <w:rFonts w:eastAsia="方正仿宋_GB2312"/>
                <w:color w:val="auto"/>
                <w:sz w:val="24"/>
                <w:highlight w:val="none"/>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5C542A75">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联系电话</w:t>
            </w:r>
          </w:p>
        </w:tc>
        <w:tc>
          <w:tcPr>
            <w:tcW w:w="2133" w:type="dxa"/>
            <w:tcBorders>
              <w:top w:val="single" w:color="000000" w:sz="4" w:space="0"/>
              <w:left w:val="nil"/>
              <w:bottom w:val="single" w:color="000000" w:sz="4" w:space="0"/>
              <w:right w:val="single" w:color="000000" w:sz="4" w:space="0"/>
            </w:tcBorders>
            <w:vAlign w:val="center"/>
          </w:tcPr>
          <w:p w14:paraId="4172169E">
            <w:pPr>
              <w:widowControl/>
              <w:spacing w:line="300" w:lineRule="exact"/>
              <w:rPr>
                <w:rFonts w:eastAsia="方正仿宋_GB2312"/>
                <w:color w:val="auto"/>
                <w:sz w:val="24"/>
                <w:highlight w:val="none"/>
              </w:rPr>
            </w:pPr>
          </w:p>
        </w:tc>
      </w:tr>
      <w:tr w14:paraId="046A2921">
        <w:tblPrEx>
          <w:tblCellMar>
            <w:top w:w="0" w:type="dxa"/>
            <w:left w:w="108" w:type="dxa"/>
            <w:bottom w:w="0" w:type="dxa"/>
            <w:right w:w="108" w:type="dxa"/>
          </w:tblCellMar>
        </w:tblPrEx>
        <w:trPr>
          <w:trHeight w:val="2175"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3A5BC197">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身份特征</w:t>
            </w:r>
          </w:p>
        </w:tc>
        <w:tc>
          <w:tcPr>
            <w:tcW w:w="7084" w:type="dxa"/>
            <w:gridSpan w:val="5"/>
            <w:tcBorders>
              <w:top w:val="single" w:color="000000" w:sz="4" w:space="0"/>
              <w:left w:val="single" w:color="000000" w:sz="4" w:space="0"/>
              <w:bottom w:val="single" w:color="000000" w:sz="4" w:space="0"/>
              <w:right w:val="single" w:color="000000" w:sz="4" w:space="0"/>
            </w:tcBorders>
            <w:vAlign w:val="center"/>
          </w:tcPr>
          <w:p w14:paraId="0AC393C6">
            <w:pPr>
              <w:widowControl/>
              <w:spacing w:line="300" w:lineRule="exact"/>
              <w:jc w:val="left"/>
              <w:textAlignment w:val="center"/>
              <w:rPr>
                <w:rFonts w:eastAsia="方正仿宋_GB2312"/>
                <w:color w:val="auto"/>
                <w:kern w:val="0"/>
                <w:sz w:val="24"/>
                <w:highlight w:val="none"/>
                <w:lang w:bidi="ar"/>
              </w:rPr>
            </w:pPr>
            <w:r>
              <w:rPr>
                <w:rFonts w:eastAsia="方正仿宋_GB2312"/>
                <w:color w:val="auto"/>
                <w:kern w:val="0"/>
                <w:sz w:val="24"/>
                <w:highlight w:val="none"/>
                <w:lang w:bidi="ar"/>
              </w:rPr>
              <w:t>□分散供养中特困人员；</w:t>
            </w:r>
          </w:p>
          <w:p w14:paraId="66791990">
            <w:pPr>
              <w:widowControl/>
              <w:spacing w:line="300" w:lineRule="exact"/>
              <w:jc w:val="left"/>
              <w:textAlignment w:val="center"/>
              <w:rPr>
                <w:rFonts w:eastAsia="方正仿宋_GB2312"/>
                <w:color w:val="auto"/>
                <w:kern w:val="0"/>
                <w:sz w:val="24"/>
                <w:highlight w:val="none"/>
                <w:lang w:bidi="ar"/>
              </w:rPr>
            </w:pPr>
            <w:r>
              <w:rPr>
                <w:rFonts w:eastAsia="方正仿宋_GB2312"/>
                <w:color w:val="auto"/>
                <w:kern w:val="0"/>
                <w:sz w:val="24"/>
                <w:highlight w:val="none"/>
                <w:lang w:bidi="ar"/>
              </w:rPr>
              <w:t>□城乡低保对象；</w:t>
            </w:r>
          </w:p>
          <w:p w14:paraId="14C89391">
            <w:pPr>
              <w:widowControl/>
              <w:spacing w:line="300" w:lineRule="exact"/>
              <w:jc w:val="left"/>
              <w:textAlignment w:val="center"/>
              <w:rPr>
                <w:rFonts w:eastAsia="方正仿宋_GB2312"/>
                <w:color w:val="auto"/>
                <w:kern w:val="0"/>
                <w:sz w:val="24"/>
                <w:highlight w:val="none"/>
                <w:lang w:bidi="ar"/>
              </w:rPr>
            </w:pPr>
            <w:r>
              <w:rPr>
                <w:rFonts w:eastAsia="方正仿宋_GB2312"/>
                <w:color w:val="auto"/>
                <w:kern w:val="0"/>
                <w:sz w:val="24"/>
                <w:highlight w:val="none"/>
                <w:lang w:bidi="ar"/>
              </w:rPr>
              <w:t>□低收入家庭；</w:t>
            </w:r>
          </w:p>
          <w:p w14:paraId="57D4C01C">
            <w:pPr>
              <w:widowControl/>
              <w:spacing w:line="300" w:lineRule="exact"/>
              <w:jc w:val="left"/>
              <w:textAlignment w:val="center"/>
              <w:rPr>
                <w:rFonts w:eastAsia="方正仿宋_GB2312"/>
                <w:color w:val="auto"/>
                <w:sz w:val="24"/>
                <w:highlight w:val="none"/>
              </w:rPr>
            </w:pPr>
            <w:r>
              <w:rPr>
                <w:rFonts w:eastAsia="方正仿宋_GB2312"/>
                <w:color w:val="auto"/>
                <w:kern w:val="0"/>
                <w:sz w:val="24"/>
                <w:highlight w:val="none"/>
                <w:lang w:bidi="ar"/>
              </w:rPr>
              <w:t>□其他根据自治区统计部门公布的年度经济和社会发展统计公报确定的人均可支配收入低收入组、中间偏下组的老年人（城镇居民人均可支配收入低于</w:t>
            </w:r>
            <w:r>
              <w:rPr>
                <w:rFonts w:eastAsia="Times New Roman"/>
                <w:color w:val="auto"/>
                <w:spacing w:val="4"/>
                <w:highlight w:val="none"/>
              </w:rPr>
              <w:t>2073</w:t>
            </w:r>
            <w:r>
              <w:rPr>
                <w:rFonts w:eastAsia="方正仿宋_GB2312"/>
                <w:color w:val="auto"/>
                <w:kern w:val="0"/>
                <w:sz w:val="24"/>
                <w:highlight w:val="none"/>
                <w:lang w:bidi="ar"/>
              </w:rPr>
              <w:t>元/月、农村居民人均可支配收入低于</w:t>
            </w:r>
            <w:r>
              <w:rPr>
                <w:rFonts w:eastAsia="Times New Roman"/>
                <w:color w:val="auto"/>
                <w:spacing w:val="6"/>
                <w:highlight w:val="none"/>
              </w:rPr>
              <w:t>963</w:t>
            </w:r>
            <w:r>
              <w:rPr>
                <w:rFonts w:eastAsia="方正仿宋_GB2312"/>
                <w:color w:val="auto"/>
                <w:kern w:val="0"/>
                <w:sz w:val="24"/>
                <w:highlight w:val="none"/>
                <w:lang w:bidi="ar"/>
              </w:rPr>
              <w:t>元/月可纳入实施对象）。</w:t>
            </w:r>
          </w:p>
        </w:tc>
      </w:tr>
      <w:tr w14:paraId="55202E8B">
        <w:tblPrEx>
          <w:tblCellMar>
            <w:top w:w="0" w:type="dxa"/>
            <w:left w:w="108" w:type="dxa"/>
            <w:bottom w:w="0" w:type="dxa"/>
            <w:right w:w="108" w:type="dxa"/>
          </w:tblCellMar>
        </w:tblPrEx>
        <w:trPr>
          <w:trHeight w:val="595"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6482E1C5">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老年人家庭经济收入情况</w:t>
            </w:r>
          </w:p>
        </w:tc>
        <w:tc>
          <w:tcPr>
            <w:tcW w:w="7084" w:type="dxa"/>
            <w:gridSpan w:val="5"/>
            <w:tcBorders>
              <w:top w:val="single" w:color="000000" w:sz="4" w:space="0"/>
              <w:left w:val="single" w:color="000000" w:sz="4" w:space="0"/>
              <w:bottom w:val="single" w:color="000000" w:sz="4" w:space="0"/>
              <w:right w:val="single" w:color="000000" w:sz="4" w:space="0"/>
            </w:tcBorders>
            <w:vAlign w:val="center"/>
          </w:tcPr>
          <w:p w14:paraId="0C7B516E">
            <w:pPr>
              <w:widowControl/>
              <w:spacing w:line="300" w:lineRule="exact"/>
              <w:jc w:val="center"/>
              <w:rPr>
                <w:rFonts w:eastAsia="方正仿宋_GB2312"/>
                <w:color w:val="auto"/>
                <w:sz w:val="24"/>
                <w:highlight w:val="none"/>
              </w:rPr>
            </w:pPr>
          </w:p>
        </w:tc>
      </w:tr>
      <w:tr w14:paraId="79166C69">
        <w:tblPrEx>
          <w:tblCellMar>
            <w:top w:w="0" w:type="dxa"/>
            <w:left w:w="108" w:type="dxa"/>
            <w:bottom w:w="0" w:type="dxa"/>
            <w:right w:w="108" w:type="dxa"/>
          </w:tblCellMar>
        </w:tblPrEx>
        <w:trPr>
          <w:trHeight w:val="635"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0315FEC4">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老年人身体状况评估情况</w:t>
            </w:r>
          </w:p>
        </w:tc>
        <w:tc>
          <w:tcPr>
            <w:tcW w:w="7084" w:type="dxa"/>
            <w:gridSpan w:val="5"/>
            <w:tcBorders>
              <w:top w:val="single" w:color="000000" w:sz="4" w:space="0"/>
              <w:left w:val="single" w:color="000000" w:sz="4" w:space="0"/>
              <w:bottom w:val="single" w:color="000000" w:sz="4" w:space="0"/>
              <w:right w:val="single" w:color="000000" w:sz="4" w:space="0"/>
            </w:tcBorders>
            <w:vAlign w:val="center"/>
          </w:tcPr>
          <w:p w14:paraId="59CED818">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（如已接受过身体评估，请填写评估时间、评估单位、评估等级）</w:t>
            </w:r>
          </w:p>
        </w:tc>
      </w:tr>
      <w:tr w14:paraId="48236AEF">
        <w:tblPrEx>
          <w:tblCellMar>
            <w:top w:w="0" w:type="dxa"/>
            <w:left w:w="108" w:type="dxa"/>
            <w:bottom w:w="0" w:type="dxa"/>
            <w:right w:w="108" w:type="dxa"/>
          </w:tblCellMar>
        </w:tblPrEx>
        <w:trPr>
          <w:trHeight w:val="1447"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793CAA5D">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申请项目</w:t>
            </w:r>
          </w:p>
        </w:tc>
        <w:tc>
          <w:tcPr>
            <w:tcW w:w="7084" w:type="dxa"/>
            <w:gridSpan w:val="5"/>
            <w:tcBorders>
              <w:top w:val="single" w:color="000000" w:sz="4" w:space="0"/>
              <w:left w:val="single" w:color="000000" w:sz="4" w:space="0"/>
              <w:bottom w:val="single" w:color="000000" w:sz="4" w:space="0"/>
              <w:right w:val="single" w:color="000000" w:sz="4" w:space="0"/>
            </w:tcBorders>
            <w:vAlign w:val="center"/>
          </w:tcPr>
          <w:p w14:paraId="1261DDAD">
            <w:pPr>
              <w:widowControl/>
              <w:spacing w:line="300" w:lineRule="exact"/>
              <w:jc w:val="left"/>
              <w:textAlignment w:val="center"/>
              <w:rPr>
                <w:rFonts w:eastAsia="方正仿宋_GB2312"/>
                <w:color w:val="auto"/>
                <w:kern w:val="0"/>
                <w:sz w:val="24"/>
                <w:highlight w:val="none"/>
                <w:lang w:bidi="ar"/>
              </w:rPr>
            </w:pPr>
          </w:p>
          <w:p w14:paraId="5FCCED83">
            <w:pPr>
              <w:widowControl/>
              <w:spacing w:line="300" w:lineRule="exact"/>
              <w:jc w:val="left"/>
              <w:textAlignment w:val="center"/>
              <w:rPr>
                <w:rFonts w:eastAsia="方正仿宋_GB2312"/>
                <w:color w:val="auto"/>
                <w:kern w:val="0"/>
                <w:sz w:val="24"/>
                <w:highlight w:val="none"/>
                <w:lang w:bidi="ar"/>
              </w:rPr>
            </w:pPr>
            <w:r>
              <w:rPr>
                <w:rFonts w:eastAsia="方正仿宋_GB2312"/>
                <w:color w:val="auto"/>
                <w:kern w:val="0"/>
                <w:sz w:val="24"/>
                <w:highlight w:val="none"/>
                <w:lang w:bidi="ar"/>
              </w:rPr>
              <w:t>1.□家庭养老床位建设（□适老化改造□智能化改造）</w:t>
            </w:r>
          </w:p>
          <w:p w14:paraId="3AA7F391">
            <w:pPr>
              <w:pStyle w:val="30"/>
              <w:rPr>
                <w:color w:val="auto"/>
                <w:highlight w:val="none"/>
              </w:rPr>
            </w:pPr>
          </w:p>
          <w:p w14:paraId="308C8A1D">
            <w:pPr>
              <w:widowControl/>
              <w:spacing w:line="300" w:lineRule="exact"/>
              <w:ind w:left="3112" w:leftChars="1482"/>
              <w:jc w:val="left"/>
              <w:textAlignment w:val="center"/>
              <w:rPr>
                <w:rFonts w:eastAsia="方正仿宋_GB2312"/>
                <w:color w:val="auto"/>
                <w:sz w:val="24"/>
                <w:highlight w:val="none"/>
              </w:rPr>
            </w:pPr>
            <w:r>
              <w:rPr>
                <w:rFonts w:eastAsia="方正仿宋_GB2312"/>
                <w:color w:val="auto"/>
                <w:kern w:val="0"/>
                <w:sz w:val="24"/>
                <w:highlight w:val="none"/>
                <w:lang w:bidi="ar"/>
              </w:rPr>
              <w:t>申请人签字：</w:t>
            </w:r>
            <w:r>
              <w:rPr>
                <w:rFonts w:hint="eastAsia" w:eastAsia="方正仿宋_GB2312"/>
                <w:color w:val="auto"/>
                <w:kern w:val="0"/>
                <w:sz w:val="24"/>
                <w:highlight w:val="none"/>
                <w:lang w:bidi="ar"/>
              </w:rPr>
              <w:t xml:space="preserve">                                               </w:t>
            </w:r>
            <w:r>
              <w:rPr>
                <w:rFonts w:eastAsia="方正仿宋_GB2312"/>
                <w:color w:val="auto"/>
                <w:kern w:val="0"/>
                <w:sz w:val="24"/>
                <w:highlight w:val="none"/>
                <w:lang w:bidi="ar"/>
              </w:rPr>
              <w:t>年</w:t>
            </w:r>
            <w:r>
              <w:rPr>
                <w:rFonts w:hint="eastAsia" w:eastAsia="方正仿宋_GB2312"/>
                <w:color w:val="auto"/>
                <w:kern w:val="0"/>
                <w:sz w:val="24"/>
                <w:highlight w:val="none"/>
                <w:lang w:bidi="ar"/>
              </w:rPr>
              <w:t xml:space="preserve">         </w:t>
            </w:r>
            <w:r>
              <w:rPr>
                <w:rFonts w:eastAsia="方正仿宋_GB2312"/>
                <w:color w:val="auto"/>
                <w:kern w:val="0"/>
                <w:sz w:val="24"/>
                <w:highlight w:val="none"/>
                <w:lang w:bidi="ar"/>
              </w:rPr>
              <w:t>月</w:t>
            </w:r>
            <w:r>
              <w:rPr>
                <w:rFonts w:hint="eastAsia" w:eastAsia="方正仿宋_GB2312"/>
                <w:color w:val="auto"/>
                <w:kern w:val="0"/>
                <w:sz w:val="24"/>
                <w:highlight w:val="none"/>
                <w:lang w:bidi="ar"/>
              </w:rPr>
              <w:t xml:space="preserve">         </w:t>
            </w:r>
            <w:r>
              <w:rPr>
                <w:rFonts w:eastAsia="方正仿宋_GB2312"/>
                <w:color w:val="auto"/>
                <w:kern w:val="0"/>
                <w:sz w:val="24"/>
                <w:highlight w:val="none"/>
                <w:lang w:bidi="ar"/>
              </w:rPr>
              <w:t>日</w:t>
            </w:r>
          </w:p>
        </w:tc>
      </w:tr>
      <w:tr w14:paraId="6A4B2955">
        <w:tblPrEx>
          <w:tblCellMar>
            <w:top w:w="0" w:type="dxa"/>
            <w:left w:w="108" w:type="dxa"/>
            <w:bottom w:w="0" w:type="dxa"/>
            <w:right w:w="108" w:type="dxa"/>
          </w:tblCellMar>
        </w:tblPrEx>
        <w:trPr>
          <w:trHeight w:val="1330"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01B4E201">
            <w:pPr>
              <w:widowControl/>
              <w:spacing w:line="300" w:lineRule="exact"/>
              <w:jc w:val="center"/>
              <w:textAlignment w:val="center"/>
              <w:rPr>
                <w:rFonts w:eastAsia="方正仿宋_GB2312"/>
                <w:color w:val="auto"/>
                <w:kern w:val="0"/>
                <w:sz w:val="24"/>
                <w:highlight w:val="none"/>
                <w:lang w:bidi="ar"/>
              </w:rPr>
            </w:pPr>
            <w:r>
              <w:rPr>
                <w:rFonts w:eastAsia="方正仿宋_GB2312"/>
                <w:color w:val="auto"/>
                <w:kern w:val="0"/>
                <w:sz w:val="24"/>
                <w:highlight w:val="none"/>
                <w:lang w:bidi="ar"/>
              </w:rPr>
              <w:t>乡镇</w:t>
            </w:r>
          </w:p>
          <w:p w14:paraId="3594F1EB">
            <w:pPr>
              <w:widowControl/>
              <w:spacing w:line="300" w:lineRule="exact"/>
              <w:jc w:val="center"/>
              <w:textAlignment w:val="center"/>
              <w:rPr>
                <w:rFonts w:eastAsia="方正仿宋_GB2312"/>
                <w:color w:val="auto"/>
                <w:sz w:val="24"/>
                <w:highlight w:val="none"/>
              </w:rPr>
            </w:pPr>
            <w:r>
              <w:rPr>
                <w:rFonts w:eastAsia="方正仿宋_GB2312"/>
                <w:color w:val="auto"/>
                <w:kern w:val="0"/>
                <w:sz w:val="24"/>
                <w:highlight w:val="none"/>
                <w:lang w:bidi="ar"/>
              </w:rPr>
              <w:t>意见</w:t>
            </w:r>
          </w:p>
        </w:tc>
        <w:tc>
          <w:tcPr>
            <w:tcW w:w="7084" w:type="dxa"/>
            <w:gridSpan w:val="5"/>
            <w:tcBorders>
              <w:top w:val="single" w:color="000000" w:sz="4" w:space="0"/>
              <w:left w:val="single" w:color="000000" w:sz="4" w:space="0"/>
              <w:bottom w:val="single" w:color="000000" w:sz="4" w:space="0"/>
              <w:right w:val="single" w:color="000000" w:sz="4" w:space="0"/>
            </w:tcBorders>
            <w:vAlign w:val="center"/>
          </w:tcPr>
          <w:p w14:paraId="032982F9">
            <w:pPr>
              <w:widowControl/>
              <w:spacing w:line="300" w:lineRule="exact"/>
              <w:jc w:val="left"/>
              <w:textAlignment w:val="center"/>
              <w:rPr>
                <w:rFonts w:eastAsia="方正仿宋_GB2312"/>
                <w:color w:val="auto"/>
                <w:kern w:val="0"/>
                <w:sz w:val="24"/>
                <w:highlight w:val="none"/>
                <w:lang w:bidi="ar"/>
              </w:rPr>
            </w:pPr>
          </w:p>
          <w:p w14:paraId="2AFFF54F">
            <w:pPr>
              <w:pStyle w:val="30"/>
              <w:rPr>
                <w:color w:val="auto"/>
                <w:highlight w:val="none"/>
              </w:rPr>
            </w:pPr>
          </w:p>
          <w:p w14:paraId="2D77E4CB">
            <w:pPr>
              <w:pStyle w:val="30"/>
              <w:rPr>
                <w:color w:val="auto"/>
                <w:highlight w:val="none"/>
              </w:rPr>
            </w:pPr>
          </w:p>
          <w:p w14:paraId="3F6BFF6D">
            <w:pPr>
              <w:widowControl/>
              <w:spacing w:line="300" w:lineRule="exact"/>
              <w:ind w:left="3112" w:leftChars="1482"/>
              <w:jc w:val="left"/>
              <w:textAlignment w:val="center"/>
              <w:rPr>
                <w:rFonts w:eastAsia="方正仿宋_GB2312"/>
                <w:color w:val="auto"/>
                <w:kern w:val="0"/>
                <w:sz w:val="24"/>
                <w:highlight w:val="none"/>
                <w:lang w:bidi="ar"/>
              </w:rPr>
            </w:pPr>
            <w:r>
              <w:rPr>
                <w:rFonts w:eastAsia="方正仿宋_GB2312"/>
                <w:color w:val="auto"/>
                <w:kern w:val="0"/>
                <w:sz w:val="24"/>
                <w:highlight w:val="none"/>
                <w:lang w:bidi="ar"/>
              </w:rPr>
              <w:t>审核人签字：</w:t>
            </w:r>
            <w:r>
              <w:rPr>
                <w:rFonts w:hint="eastAsia" w:eastAsia="方正仿宋_GB2312"/>
                <w:color w:val="auto"/>
                <w:kern w:val="0"/>
                <w:sz w:val="24"/>
                <w:highlight w:val="none"/>
                <w:lang w:bidi="ar"/>
              </w:rPr>
              <w:t xml:space="preserve">                                                </w:t>
            </w:r>
            <w:r>
              <w:rPr>
                <w:rFonts w:eastAsia="方正仿宋_GB2312"/>
                <w:color w:val="auto"/>
                <w:kern w:val="0"/>
                <w:sz w:val="24"/>
                <w:highlight w:val="none"/>
                <w:lang w:bidi="ar"/>
              </w:rPr>
              <w:t>审核单位（盖章）</w:t>
            </w:r>
          </w:p>
          <w:p w14:paraId="37CD83B2">
            <w:pPr>
              <w:widowControl/>
              <w:spacing w:line="300" w:lineRule="exact"/>
              <w:ind w:firstLine="3120" w:firstLineChars="1300"/>
              <w:jc w:val="left"/>
              <w:textAlignment w:val="center"/>
              <w:rPr>
                <w:rFonts w:eastAsia="方正仿宋_GB2312"/>
                <w:color w:val="auto"/>
                <w:sz w:val="24"/>
                <w:highlight w:val="none"/>
              </w:rPr>
            </w:pPr>
            <w:r>
              <w:rPr>
                <w:rFonts w:eastAsia="方正仿宋_GB2312"/>
                <w:color w:val="auto"/>
                <w:kern w:val="0"/>
                <w:sz w:val="24"/>
                <w:highlight w:val="none"/>
                <w:lang w:bidi="ar"/>
              </w:rPr>
              <w:t>年</w:t>
            </w:r>
            <w:r>
              <w:rPr>
                <w:rFonts w:hint="eastAsia" w:eastAsia="方正仿宋_GB2312"/>
                <w:color w:val="auto"/>
                <w:kern w:val="0"/>
                <w:sz w:val="24"/>
                <w:highlight w:val="none"/>
                <w:lang w:bidi="ar"/>
              </w:rPr>
              <w:t xml:space="preserve">         </w:t>
            </w:r>
            <w:r>
              <w:rPr>
                <w:rFonts w:eastAsia="方正仿宋_GB2312"/>
                <w:color w:val="auto"/>
                <w:kern w:val="0"/>
                <w:sz w:val="24"/>
                <w:highlight w:val="none"/>
                <w:lang w:bidi="ar"/>
              </w:rPr>
              <w:t>月</w:t>
            </w:r>
            <w:r>
              <w:rPr>
                <w:rFonts w:hint="eastAsia" w:eastAsia="方正仿宋_GB2312"/>
                <w:color w:val="auto"/>
                <w:kern w:val="0"/>
                <w:sz w:val="24"/>
                <w:highlight w:val="none"/>
                <w:lang w:bidi="ar"/>
              </w:rPr>
              <w:t xml:space="preserve">         </w:t>
            </w:r>
            <w:r>
              <w:rPr>
                <w:rFonts w:eastAsia="方正仿宋_GB2312"/>
                <w:color w:val="auto"/>
                <w:kern w:val="0"/>
                <w:sz w:val="24"/>
                <w:highlight w:val="none"/>
                <w:lang w:bidi="ar"/>
              </w:rPr>
              <w:t>日</w:t>
            </w:r>
          </w:p>
        </w:tc>
      </w:tr>
      <w:tr w14:paraId="17BDD27F">
        <w:tblPrEx>
          <w:tblCellMar>
            <w:top w:w="0" w:type="dxa"/>
            <w:left w:w="108" w:type="dxa"/>
            <w:bottom w:w="0" w:type="dxa"/>
            <w:right w:w="108" w:type="dxa"/>
          </w:tblCellMar>
        </w:tblPrEx>
        <w:trPr>
          <w:trHeight w:val="90" w:hRule="atLeast"/>
          <w:jc w:val="center"/>
        </w:trPr>
        <w:tc>
          <w:tcPr>
            <w:tcW w:w="1673" w:type="dxa"/>
            <w:tcBorders>
              <w:top w:val="single" w:color="000000" w:sz="4" w:space="0"/>
              <w:left w:val="single" w:color="000000" w:sz="4" w:space="0"/>
              <w:bottom w:val="single" w:color="000000" w:sz="4" w:space="0"/>
              <w:right w:val="single" w:color="000000" w:sz="4" w:space="0"/>
            </w:tcBorders>
            <w:vAlign w:val="center"/>
          </w:tcPr>
          <w:p w14:paraId="6E5ED589">
            <w:pPr>
              <w:widowControl/>
              <w:spacing w:line="300" w:lineRule="exact"/>
              <w:jc w:val="center"/>
              <w:textAlignment w:val="center"/>
              <w:rPr>
                <w:rFonts w:eastAsia="方正仿宋_GB2312"/>
                <w:color w:val="auto"/>
                <w:sz w:val="24"/>
                <w:highlight w:val="none"/>
              </w:rPr>
            </w:pPr>
            <w:r>
              <w:rPr>
                <w:rFonts w:hint="eastAsia" w:eastAsia="方正仿宋_GB2312"/>
                <w:color w:val="auto"/>
                <w:kern w:val="0"/>
                <w:sz w:val="24"/>
                <w:highlight w:val="none"/>
                <w:lang w:bidi="ar"/>
              </w:rPr>
              <w:t>桂平市</w:t>
            </w:r>
            <w:r>
              <w:rPr>
                <w:rFonts w:eastAsia="方正仿宋_GB2312"/>
                <w:color w:val="auto"/>
                <w:kern w:val="0"/>
                <w:sz w:val="24"/>
                <w:highlight w:val="none"/>
                <w:lang w:bidi="ar"/>
              </w:rPr>
              <w:t>民政</w:t>
            </w:r>
            <w:r>
              <w:rPr>
                <w:rFonts w:hint="eastAsia" w:eastAsia="方正仿宋_GB2312"/>
                <w:color w:val="auto"/>
                <w:kern w:val="0"/>
                <w:sz w:val="24"/>
                <w:highlight w:val="none"/>
                <w:lang w:bidi="ar"/>
              </w:rPr>
              <w:t>局</w:t>
            </w:r>
            <w:r>
              <w:rPr>
                <w:rFonts w:eastAsia="方正仿宋_GB2312"/>
                <w:color w:val="auto"/>
                <w:kern w:val="0"/>
                <w:sz w:val="24"/>
                <w:highlight w:val="none"/>
                <w:lang w:bidi="ar"/>
              </w:rPr>
              <w:t>意见</w:t>
            </w:r>
          </w:p>
        </w:tc>
        <w:tc>
          <w:tcPr>
            <w:tcW w:w="7084" w:type="dxa"/>
            <w:gridSpan w:val="5"/>
            <w:tcBorders>
              <w:top w:val="single" w:color="000000" w:sz="4" w:space="0"/>
              <w:left w:val="single" w:color="000000" w:sz="4" w:space="0"/>
              <w:bottom w:val="single" w:color="000000" w:sz="4" w:space="0"/>
              <w:right w:val="single" w:color="000000" w:sz="4" w:space="0"/>
            </w:tcBorders>
            <w:vAlign w:val="center"/>
          </w:tcPr>
          <w:p w14:paraId="4DAD3613">
            <w:pPr>
              <w:widowControl/>
              <w:spacing w:line="300" w:lineRule="exact"/>
              <w:jc w:val="left"/>
              <w:textAlignment w:val="center"/>
              <w:rPr>
                <w:rFonts w:eastAsia="方正仿宋_GB2312"/>
                <w:color w:val="auto"/>
                <w:kern w:val="0"/>
                <w:sz w:val="24"/>
                <w:highlight w:val="none"/>
                <w:lang w:bidi="ar"/>
              </w:rPr>
            </w:pPr>
          </w:p>
          <w:p w14:paraId="729639B7">
            <w:pPr>
              <w:pStyle w:val="30"/>
              <w:rPr>
                <w:color w:val="auto"/>
                <w:highlight w:val="none"/>
              </w:rPr>
            </w:pPr>
          </w:p>
          <w:p w14:paraId="5C0B9754">
            <w:pPr>
              <w:widowControl/>
              <w:spacing w:line="300" w:lineRule="exact"/>
              <w:ind w:left="3112" w:leftChars="1482"/>
              <w:jc w:val="left"/>
              <w:textAlignment w:val="center"/>
              <w:rPr>
                <w:rFonts w:eastAsia="方正仿宋_GB2312"/>
                <w:color w:val="auto"/>
                <w:kern w:val="0"/>
                <w:sz w:val="24"/>
                <w:highlight w:val="none"/>
                <w:lang w:bidi="ar"/>
              </w:rPr>
            </w:pPr>
            <w:r>
              <w:rPr>
                <w:rFonts w:eastAsia="方正仿宋_GB2312"/>
                <w:color w:val="auto"/>
                <w:kern w:val="0"/>
                <w:sz w:val="24"/>
                <w:highlight w:val="none"/>
                <w:lang w:bidi="ar"/>
              </w:rPr>
              <w:t>审批人签字：</w:t>
            </w:r>
            <w:r>
              <w:rPr>
                <w:rFonts w:hint="eastAsia" w:eastAsia="方正仿宋_GB2312"/>
                <w:color w:val="auto"/>
                <w:kern w:val="0"/>
                <w:sz w:val="24"/>
                <w:highlight w:val="none"/>
                <w:lang w:bidi="ar"/>
              </w:rPr>
              <w:t xml:space="preserve">                                               </w:t>
            </w:r>
            <w:r>
              <w:rPr>
                <w:rFonts w:eastAsia="方正仿宋_GB2312"/>
                <w:color w:val="auto"/>
                <w:kern w:val="0"/>
                <w:sz w:val="24"/>
                <w:highlight w:val="none"/>
                <w:lang w:bidi="ar"/>
              </w:rPr>
              <w:t>审批单位（盖章）</w:t>
            </w:r>
          </w:p>
          <w:p w14:paraId="78290B44">
            <w:pPr>
              <w:widowControl/>
              <w:spacing w:line="300" w:lineRule="exact"/>
              <w:ind w:firstLine="2880" w:firstLineChars="1200"/>
              <w:jc w:val="left"/>
              <w:textAlignment w:val="center"/>
              <w:rPr>
                <w:rFonts w:eastAsia="方正仿宋_GB2312"/>
                <w:color w:val="auto"/>
                <w:sz w:val="24"/>
                <w:highlight w:val="none"/>
              </w:rPr>
            </w:pPr>
            <w:r>
              <w:rPr>
                <w:rFonts w:eastAsia="方正仿宋_GB2312"/>
                <w:color w:val="auto"/>
                <w:kern w:val="0"/>
                <w:sz w:val="24"/>
                <w:highlight w:val="none"/>
                <w:lang w:bidi="ar"/>
              </w:rPr>
              <w:t>年</w:t>
            </w:r>
            <w:r>
              <w:rPr>
                <w:rFonts w:hint="eastAsia" w:eastAsia="方正仿宋_GB2312"/>
                <w:color w:val="auto"/>
                <w:kern w:val="0"/>
                <w:sz w:val="24"/>
                <w:highlight w:val="none"/>
                <w:lang w:bidi="ar"/>
              </w:rPr>
              <w:t xml:space="preserve">           </w:t>
            </w:r>
            <w:r>
              <w:rPr>
                <w:rFonts w:eastAsia="方正仿宋_GB2312"/>
                <w:color w:val="auto"/>
                <w:kern w:val="0"/>
                <w:sz w:val="24"/>
                <w:highlight w:val="none"/>
                <w:lang w:bidi="ar"/>
              </w:rPr>
              <w:t>月</w:t>
            </w:r>
            <w:r>
              <w:rPr>
                <w:rFonts w:hint="eastAsia" w:eastAsia="方正仿宋_GB2312"/>
                <w:color w:val="auto"/>
                <w:kern w:val="0"/>
                <w:sz w:val="24"/>
                <w:highlight w:val="none"/>
                <w:lang w:bidi="ar"/>
              </w:rPr>
              <w:t xml:space="preserve">         </w:t>
            </w:r>
            <w:r>
              <w:rPr>
                <w:rFonts w:eastAsia="方正仿宋_GB2312"/>
                <w:color w:val="auto"/>
                <w:kern w:val="0"/>
                <w:sz w:val="24"/>
                <w:highlight w:val="none"/>
                <w:lang w:bidi="ar"/>
              </w:rPr>
              <w:t>日</w:t>
            </w:r>
          </w:p>
        </w:tc>
      </w:tr>
    </w:tbl>
    <w:p w14:paraId="685F6CF3">
      <w:pPr>
        <w:rPr>
          <w:color w:val="auto"/>
          <w:highlight w:val="none"/>
        </w:rPr>
      </w:pPr>
    </w:p>
    <w:p w14:paraId="5CF48B99">
      <w:pPr>
        <w:pStyle w:val="3"/>
        <w:spacing w:line="560" w:lineRule="exact"/>
        <w:rPr>
          <w:rFonts w:ascii="仿宋_GB2312" w:hAnsi="仿宋_GB2312" w:eastAsia="仿宋_GB2312" w:cs="仿宋_GB2312"/>
          <w:b w:val="0"/>
          <w:color w:val="auto"/>
          <w:sz w:val="32"/>
          <w:highlight w:val="none"/>
        </w:rPr>
      </w:pPr>
      <w:bookmarkStart w:id="42" w:name="_Toc19632"/>
    </w:p>
    <w:p w14:paraId="4F2D8242">
      <w:pPr>
        <w:pStyle w:val="3"/>
        <w:spacing w:line="560" w:lineRule="exact"/>
        <w:rPr>
          <w:rFonts w:ascii="黑体" w:hAnsi="黑体" w:eastAsia="黑体" w:cs="黑体"/>
          <w:b w:val="0"/>
          <w:color w:val="auto"/>
          <w:sz w:val="32"/>
          <w:highlight w:val="none"/>
        </w:rPr>
      </w:pPr>
      <w:r>
        <w:rPr>
          <w:rFonts w:hint="eastAsia" w:ascii="黑体" w:hAnsi="黑体" w:eastAsia="黑体" w:cs="黑体"/>
          <w:bCs w:val="0"/>
          <w:color w:val="auto"/>
          <w:sz w:val="32"/>
          <w:highlight w:val="none"/>
        </w:rPr>
        <w:t>附</w:t>
      </w:r>
      <w:r>
        <w:rPr>
          <w:rFonts w:hint="eastAsia" w:ascii="黑体" w:hAnsi="黑体" w:eastAsia="黑体" w:cs="黑体"/>
          <w:b w:val="0"/>
          <w:color w:val="auto"/>
          <w:sz w:val="32"/>
          <w:highlight w:val="none"/>
        </w:rPr>
        <w:t>件</w:t>
      </w:r>
      <w:bookmarkEnd w:id="42"/>
      <w:r>
        <w:rPr>
          <w:rFonts w:hint="eastAsia" w:ascii="黑体" w:hAnsi="黑体" w:eastAsia="黑体" w:cs="黑体"/>
          <w:b w:val="0"/>
          <w:color w:val="auto"/>
          <w:sz w:val="32"/>
          <w:highlight w:val="none"/>
        </w:rPr>
        <w:t>6</w:t>
      </w:r>
    </w:p>
    <w:p w14:paraId="1D53DA75">
      <w:pPr>
        <w:pStyle w:val="30"/>
        <w:spacing w:line="560" w:lineRule="exact"/>
        <w:ind w:left="0" w:leftChars="0"/>
        <w:jc w:val="center"/>
        <w:rPr>
          <w:rFonts w:ascii="方正小标宋简体" w:hAnsi="方正小标宋简体" w:eastAsia="方正小标宋简体" w:cs="方正小标宋简体"/>
          <w:color w:val="auto"/>
          <w:sz w:val="32"/>
          <w:szCs w:val="32"/>
          <w:highlight w:val="none"/>
        </w:rPr>
      </w:pPr>
    </w:p>
    <w:p w14:paraId="29D3E29C">
      <w:pPr>
        <w:pStyle w:val="30"/>
        <w:spacing w:line="560" w:lineRule="exact"/>
        <w:ind w:left="0" w:leftChars="0"/>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桂平市居家和社区基本养老服务提升行动项目居家养老上门服务</w:t>
      </w:r>
    </w:p>
    <w:p w14:paraId="4F3F7590">
      <w:pPr>
        <w:pStyle w:val="30"/>
        <w:spacing w:line="560" w:lineRule="exact"/>
        <w:ind w:left="0" w:leftChars="0"/>
        <w:jc w:val="cente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申请表</w:t>
      </w:r>
    </w:p>
    <w:p w14:paraId="7283CD32">
      <w:pPr>
        <w:pStyle w:val="30"/>
        <w:spacing w:line="560" w:lineRule="exact"/>
        <w:ind w:left="0" w:leftChars="0"/>
        <w:jc w:val="center"/>
        <w:rPr>
          <w:rFonts w:ascii="方正小标宋简体" w:hAnsi="方正小标宋简体" w:eastAsia="方正小标宋简体" w:cs="方正小标宋简体"/>
          <w:color w:val="auto"/>
          <w:sz w:val="32"/>
          <w:szCs w:val="32"/>
          <w:highlight w:val="none"/>
        </w:rPr>
      </w:pPr>
    </w:p>
    <w:tbl>
      <w:tblPr>
        <w:tblStyle w:val="49"/>
        <w:tblW w:w="8825" w:type="dxa"/>
        <w:jc w:val="center"/>
        <w:tblLayout w:type="fixed"/>
        <w:tblCellMar>
          <w:top w:w="0" w:type="dxa"/>
          <w:left w:w="108" w:type="dxa"/>
          <w:bottom w:w="0" w:type="dxa"/>
          <w:right w:w="108" w:type="dxa"/>
        </w:tblCellMar>
      </w:tblPr>
      <w:tblGrid>
        <w:gridCol w:w="1686"/>
        <w:gridCol w:w="1374"/>
        <w:gridCol w:w="1080"/>
        <w:gridCol w:w="1185"/>
        <w:gridCol w:w="1350"/>
        <w:gridCol w:w="2150"/>
      </w:tblGrid>
      <w:tr w14:paraId="4F3E9F49">
        <w:tblPrEx>
          <w:tblCellMar>
            <w:top w:w="0" w:type="dxa"/>
            <w:left w:w="108" w:type="dxa"/>
            <w:bottom w:w="0" w:type="dxa"/>
            <w:right w:w="108" w:type="dxa"/>
          </w:tblCellMar>
        </w:tblPrEx>
        <w:trPr>
          <w:trHeight w:val="520" w:hRule="atLeast"/>
          <w:jc w:val="center"/>
        </w:trPr>
        <w:tc>
          <w:tcPr>
            <w:tcW w:w="1686" w:type="dxa"/>
            <w:tcBorders>
              <w:top w:val="single" w:color="000000" w:sz="4" w:space="0"/>
              <w:left w:val="single" w:color="000000" w:sz="4" w:space="0"/>
              <w:bottom w:val="single" w:color="000000" w:sz="4" w:space="0"/>
              <w:right w:val="single" w:color="000000" w:sz="4" w:space="0"/>
            </w:tcBorders>
            <w:vAlign w:val="center"/>
          </w:tcPr>
          <w:p w14:paraId="5A81D181">
            <w:pPr>
              <w:widowControl/>
              <w:spacing w:line="560" w:lineRule="exact"/>
              <w:textAlignment w:val="center"/>
              <w:rPr>
                <w:rFonts w:eastAsia="仿宋"/>
                <w:color w:val="auto"/>
                <w:sz w:val="24"/>
                <w:highlight w:val="none"/>
              </w:rPr>
            </w:pPr>
            <w:r>
              <w:rPr>
                <w:rFonts w:eastAsia="仿宋"/>
                <w:color w:val="auto"/>
                <w:kern w:val="0"/>
                <w:sz w:val="24"/>
                <w:highlight w:val="none"/>
                <w:lang w:bidi="ar"/>
              </w:rPr>
              <w:t>老年人姓名</w:t>
            </w:r>
          </w:p>
        </w:tc>
        <w:tc>
          <w:tcPr>
            <w:tcW w:w="1374" w:type="dxa"/>
            <w:tcBorders>
              <w:top w:val="single" w:color="000000" w:sz="4" w:space="0"/>
              <w:left w:val="single" w:color="000000" w:sz="4" w:space="0"/>
              <w:bottom w:val="single" w:color="000000" w:sz="4" w:space="0"/>
              <w:right w:val="single" w:color="000000" w:sz="4" w:space="0"/>
            </w:tcBorders>
            <w:vAlign w:val="center"/>
          </w:tcPr>
          <w:p w14:paraId="2F96A588">
            <w:pPr>
              <w:widowControl/>
              <w:spacing w:line="560" w:lineRule="exact"/>
              <w:rPr>
                <w:rFonts w:eastAsia="仿宋"/>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E87D7F1">
            <w:pPr>
              <w:widowControl/>
              <w:spacing w:line="560" w:lineRule="exact"/>
              <w:textAlignment w:val="center"/>
              <w:rPr>
                <w:rFonts w:eastAsia="仿宋"/>
                <w:color w:val="auto"/>
                <w:sz w:val="24"/>
                <w:highlight w:val="none"/>
              </w:rPr>
            </w:pPr>
            <w:r>
              <w:rPr>
                <w:rFonts w:eastAsia="仿宋"/>
                <w:color w:val="auto"/>
                <w:kern w:val="0"/>
                <w:sz w:val="24"/>
                <w:highlight w:val="none"/>
                <w:lang w:bidi="ar"/>
              </w:rPr>
              <w:t>性别</w:t>
            </w:r>
          </w:p>
        </w:tc>
        <w:tc>
          <w:tcPr>
            <w:tcW w:w="1185" w:type="dxa"/>
            <w:tcBorders>
              <w:top w:val="single" w:color="000000" w:sz="4" w:space="0"/>
              <w:left w:val="single" w:color="000000" w:sz="4" w:space="0"/>
              <w:bottom w:val="single" w:color="000000" w:sz="4" w:space="0"/>
              <w:right w:val="single" w:color="000000" w:sz="4" w:space="0"/>
            </w:tcBorders>
            <w:vAlign w:val="center"/>
          </w:tcPr>
          <w:p w14:paraId="7CBD7B38">
            <w:pPr>
              <w:widowControl/>
              <w:spacing w:line="560" w:lineRule="exact"/>
              <w:rPr>
                <w:rFonts w:eastAsia="仿宋"/>
                <w:color w:val="auto"/>
                <w:sz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69A9FA20">
            <w:pPr>
              <w:widowControl/>
              <w:spacing w:line="560" w:lineRule="exact"/>
              <w:textAlignment w:val="center"/>
              <w:rPr>
                <w:rFonts w:eastAsia="仿宋"/>
                <w:color w:val="auto"/>
                <w:sz w:val="24"/>
                <w:highlight w:val="none"/>
              </w:rPr>
            </w:pPr>
            <w:r>
              <w:rPr>
                <w:rFonts w:eastAsia="仿宋"/>
                <w:color w:val="auto"/>
                <w:kern w:val="0"/>
                <w:sz w:val="24"/>
                <w:highlight w:val="none"/>
                <w:lang w:bidi="ar"/>
              </w:rPr>
              <w:t>身份证号</w:t>
            </w:r>
          </w:p>
        </w:tc>
        <w:tc>
          <w:tcPr>
            <w:tcW w:w="2150" w:type="dxa"/>
            <w:tcBorders>
              <w:top w:val="single" w:color="000000" w:sz="4" w:space="0"/>
              <w:left w:val="single" w:color="000000" w:sz="4" w:space="0"/>
              <w:bottom w:val="single" w:color="000000" w:sz="4" w:space="0"/>
              <w:right w:val="single" w:color="000000" w:sz="4" w:space="0"/>
            </w:tcBorders>
            <w:vAlign w:val="center"/>
          </w:tcPr>
          <w:p w14:paraId="7E968C6D">
            <w:pPr>
              <w:widowControl/>
              <w:spacing w:line="560" w:lineRule="exact"/>
              <w:rPr>
                <w:rFonts w:eastAsia="仿宋"/>
                <w:color w:val="auto"/>
                <w:sz w:val="24"/>
                <w:highlight w:val="none"/>
              </w:rPr>
            </w:pPr>
          </w:p>
        </w:tc>
      </w:tr>
      <w:tr w14:paraId="3A297E4A">
        <w:tblPrEx>
          <w:tblCellMar>
            <w:top w:w="0" w:type="dxa"/>
            <w:left w:w="108" w:type="dxa"/>
            <w:bottom w:w="0" w:type="dxa"/>
            <w:right w:w="108" w:type="dxa"/>
          </w:tblCellMar>
        </w:tblPrEx>
        <w:trPr>
          <w:trHeight w:val="423" w:hRule="atLeast"/>
          <w:jc w:val="center"/>
        </w:trPr>
        <w:tc>
          <w:tcPr>
            <w:tcW w:w="1686" w:type="dxa"/>
            <w:tcBorders>
              <w:top w:val="single" w:color="000000" w:sz="4" w:space="0"/>
              <w:left w:val="single" w:color="000000" w:sz="4" w:space="0"/>
              <w:bottom w:val="single" w:color="000000" w:sz="4" w:space="0"/>
              <w:right w:val="single" w:color="000000" w:sz="4" w:space="0"/>
            </w:tcBorders>
            <w:vAlign w:val="center"/>
          </w:tcPr>
          <w:p w14:paraId="666B4386">
            <w:pPr>
              <w:widowControl/>
              <w:spacing w:line="560" w:lineRule="exact"/>
              <w:textAlignment w:val="center"/>
              <w:rPr>
                <w:rFonts w:eastAsia="仿宋"/>
                <w:color w:val="auto"/>
                <w:sz w:val="24"/>
                <w:highlight w:val="none"/>
              </w:rPr>
            </w:pPr>
            <w:r>
              <w:rPr>
                <w:rFonts w:eastAsia="仿宋"/>
                <w:color w:val="auto"/>
                <w:kern w:val="0"/>
                <w:sz w:val="24"/>
                <w:highlight w:val="none"/>
                <w:lang w:bidi="ar"/>
              </w:rPr>
              <w:t>户籍所在地</w:t>
            </w:r>
          </w:p>
        </w:tc>
        <w:tc>
          <w:tcPr>
            <w:tcW w:w="7139" w:type="dxa"/>
            <w:gridSpan w:val="5"/>
            <w:tcBorders>
              <w:top w:val="single" w:color="000000" w:sz="4" w:space="0"/>
              <w:left w:val="single" w:color="000000" w:sz="4" w:space="0"/>
              <w:bottom w:val="single" w:color="000000" w:sz="4" w:space="0"/>
              <w:right w:val="single" w:color="000000" w:sz="4" w:space="0"/>
            </w:tcBorders>
            <w:vAlign w:val="center"/>
          </w:tcPr>
          <w:p w14:paraId="42727AA9">
            <w:pPr>
              <w:widowControl/>
              <w:spacing w:line="560" w:lineRule="exact"/>
              <w:rPr>
                <w:rFonts w:eastAsia="仿宋"/>
                <w:color w:val="auto"/>
                <w:sz w:val="24"/>
                <w:highlight w:val="none"/>
              </w:rPr>
            </w:pPr>
          </w:p>
        </w:tc>
      </w:tr>
      <w:tr w14:paraId="255B44FC">
        <w:tblPrEx>
          <w:tblCellMar>
            <w:top w:w="0" w:type="dxa"/>
            <w:left w:w="108" w:type="dxa"/>
            <w:bottom w:w="0" w:type="dxa"/>
            <w:right w:w="108" w:type="dxa"/>
          </w:tblCellMar>
        </w:tblPrEx>
        <w:trPr>
          <w:trHeight w:val="480" w:hRule="atLeast"/>
          <w:jc w:val="center"/>
        </w:trPr>
        <w:tc>
          <w:tcPr>
            <w:tcW w:w="1686" w:type="dxa"/>
            <w:tcBorders>
              <w:top w:val="single" w:color="000000" w:sz="4" w:space="0"/>
              <w:left w:val="single" w:color="000000" w:sz="4" w:space="0"/>
              <w:bottom w:val="single" w:color="000000" w:sz="4" w:space="0"/>
              <w:right w:val="single" w:color="000000" w:sz="4" w:space="0"/>
            </w:tcBorders>
            <w:vAlign w:val="center"/>
          </w:tcPr>
          <w:p w14:paraId="2528AF6F">
            <w:pPr>
              <w:widowControl/>
              <w:spacing w:line="560" w:lineRule="exact"/>
              <w:textAlignment w:val="center"/>
              <w:rPr>
                <w:rFonts w:eastAsia="仿宋"/>
                <w:color w:val="auto"/>
                <w:sz w:val="24"/>
                <w:highlight w:val="none"/>
              </w:rPr>
            </w:pPr>
            <w:r>
              <w:rPr>
                <w:rFonts w:eastAsia="仿宋"/>
                <w:color w:val="auto"/>
                <w:kern w:val="0"/>
                <w:sz w:val="24"/>
                <w:highlight w:val="none"/>
                <w:lang w:bidi="ar"/>
              </w:rPr>
              <w:t>家庭住址</w:t>
            </w:r>
          </w:p>
        </w:tc>
        <w:tc>
          <w:tcPr>
            <w:tcW w:w="7139" w:type="dxa"/>
            <w:gridSpan w:val="5"/>
            <w:tcBorders>
              <w:top w:val="single" w:color="000000" w:sz="4" w:space="0"/>
              <w:left w:val="single" w:color="000000" w:sz="4" w:space="0"/>
              <w:bottom w:val="single" w:color="000000" w:sz="4" w:space="0"/>
              <w:right w:val="single" w:color="000000" w:sz="4" w:space="0"/>
            </w:tcBorders>
            <w:vAlign w:val="center"/>
          </w:tcPr>
          <w:p w14:paraId="3F30D644">
            <w:pPr>
              <w:widowControl/>
              <w:spacing w:line="560" w:lineRule="exact"/>
              <w:textAlignment w:val="center"/>
              <w:rPr>
                <w:rFonts w:eastAsia="仿宋"/>
                <w:color w:val="auto"/>
                <w:sz w:val="24"/>
                <w:highlight w:val="none"/>
              </w:rPr>
            </w:pPr>
            <w:r>
              <w:rPr>
                <w:rFonts w:eastAsia="仿宋"/>
                <w:color w:val="auto"/>
                <w:kern w:val="0"/>
                <w:sz w:val="24"/>
                <w:highlight w:val="none"/>
                <w:lang w:bidi="ar"/>
              </w:rPr>
              <w:t>（详细地址）</w:t>
            </w:r>
          </w:p>
        </w:tc>
      </w:tr>
      <w:tr w14:paraId="7382E500">
        <w:tblPrEx>
          <w:tblCellMar>
            <w:top w:w="0" w:type="dxa"/>
            <w:left w:w="108" w:type="dxa"/>
            <w:bottom w:w="0" w:type="dxa"/>
            <w:right w:w="108" w:type="dxa"/>
          </w:tblCellMar>
        </w:tblPrEx>
        <w:trPr>
          <w:trHeight w:val="480" w:hRule="atLeast"/>
          <w:jc w:val="center"/>
        </w:trPr>
        <w:tc>
          <w:tcPr>
            <w:tcW w:w="1686" w:type="dxa"/>
            <w:tcBorders>
              <w:top w:val="single" w:color="000000" w:sz="4" w:space="0"/>
              <w:left w:val="single" w:color="000000" w:sz="4" w:space="0"/>
              <w:bottom w:val="single" w:color="000000" w:sz="4" w:space="0"/>
              <w:right w:val="single" w:color="000000" w:sz="4" w:space="0"/>
            </w:tcBorders>
            <w:vAlign w:val="center"/>
          </w:tcPr>
          <w:p w14:paraId="1B2EB73E">
            <w:pPr>
              <w:widowControl/>
              <w:spacing w:line="560" w:lineRule="exact"/>
              <w:textAlignment w:val="center"/>
              <w:rPr>
                <w:rFonts w:eastAsia="仿宋"/>
                <w:color w:val="auto"/>
                <w:sz w:val="24"/>
                <w:highlight w:val="none"/>
              </w:rPr>
            </w:pPr>
            <w:r>
              <w:rPr>
                <w:rFonts w:eastAsia="仿宋"/>
                <w:color w:val="auto"/>
                <w:kern w:val="0"/>
                <w:sz w:val="24"/>
                <w:highlight w:val="none"/>
                <w:lang w:bidi="ar"/>
              </w:rPr>
              <w:t>住宅情况</w:t>
            </w:r>
          </w:p>
        </w:tc>
        <w:tc>
          <w:tcPr>
            <w:tcW w:w="3639" w:type="dxa"/>
            <w:gridSpan w:val="3"/>
            <w:tcBorders>
              <w:top w:val="single" w:color="000000" w:sz="4" w:space="0"/>
              <w:left w:val="single" w:color="000000" w:sz="4" w:space="0"/>
              <w:bottom w:val="single" w:color="000000" w:sz="4" w:space="0"/>
              <w:right w:val="nil"/>
            </w:tcBorders>
            <w:vAlign w:val="center"/>
          </w:tcPr>
          <w:p w14:paraId="16E2CAC3">
            <w:pPr>
              <w:widowControl/>
              <w:spacing w:line="560" w:lineRule="exact"/>
              <w:ind w:firstLine="480" w:firstLineChars="200"/>
              <w:textAlignment w:val="center"/>
              <w:rPr>
                <w:rFonts w:eastAsia="仿宋"/>
                <w:color w:val="auto"/>
                <w:sz w:val="24"/>
                <w:highlight w:val="none"/>
              </w:rPr>
            </w:pPr>
            <w:r>
              <w:rPr>
                <w:rFonts w:eastAsia="仿宋"/>
                <w:color w:val="auto"/>
                <w:kern w:val="0"/>
                <w:sz w:val="24"/>
                <w:highlight w:val="none"/>
                <w:lang w:bidi="ar"/>
              </w:rPr>
              <w:t>□自有   □非自有</w:t>
            </w:r>
          </w:p>
        </w:tc>
        <w:tc>
          <w:tcPr>
            <w:tcW w:w="1350" w:type="dxa"/>
            <w:tcBorders>
              <w:top w:val="single" w:color="000000" w:sz="4" w:space="0"/>
              <w:left w:val="single" w:color="000000" w:sz="4" w:space="0"/>
              <w:bottom w:val="single" w:color="000000" w:sz="4" w:space="0"/>
              <w:right w:val="single" w:color="000000" w:sz="4" w:space="0"/>
            </w:tcBorders>
            <w:vAlign w:val="center"/>
          </w:tcPr>
          <w:p w14:paraId="59F77A8C">
            <w:pPr>
              <w:widowControl/>
              <w:spacing w:line="560" w:lineRule="exact"/>
              <w:textAlignment w:val="center"/>
              <w:rPr>
                <w:rFonts w:eastAsia="仿宋"/>
                <w:color w:val="auto"/>
                <w:sz w:val="24"/>
                <w:highlight w:val="none"/>
              </w:rPr>
            </w:pPr>
            <w:r>
              <w:rPr>
                <w:rFonts w:eastAsia="仿宋"/>
                <w:color w:val="auto"/>
                <w:kern w:val="0"/>
                <w:sz w:val="24"/>
                <w:highlight w:val="none"/>
                <w:lang w:bidi="ar"/>
              </w:rPr>
              <w:t>家庭人数</w:t>
            </w:r>
          </w:p>
        </w:tc>
        <w:tc>
          <w:tcPr>
            <w:tcW w:w="2150" w:type="dxa"/>
            <w:tcBorders>
              <w:top w:val="single" w:color="000000" w:sz="4" w:space="0"/>
              <w:left w:val="single" w:color="000000" w:sz="4" w:space="0"/>
              <w:bottom w:val="single" w:color="000000" w:sz="4" w:space="0"/>
              <w:right w:val="single" w:color="000000" w:sz="4" w:space="0"/>
            </w:tcBorders>
            <w:vAlign w:val="center"/>
          </w:tcPr>
          <w:p w14:paraId="2D1074D1">
            <w:pPr>
              <w:widowControl/>
              <w:spacing w:line="560" w:lineRule="exact"/>
              <w:rPr>
                <w:rFonts w:eastAsia="仿宋"/>
                <w:color w:val="auto"/>
                <w:sz w:val="24"/>
                <w:highlight w:val="none"/>
              </w:rPr>
            </w:pPr>
          </w:p>
        </w:tc>
      </w:tr>
      <w:tr w14:paraId="4648A063">
        <w:tblPrEx>
          <w:tblCellMar>
            <w:top w:w="0" w:type="dxa"/>
            <w:left w:w="108" w:type="dxa"/>
            <w:bottom w:w="0" w:type="dxa"/>
            <w:right w:w="108" w:type="dxa"/>
          </w:tblCellMar>
        </w:tblPrEx>
        <w:trPr>
          <w:trHeight w:val="480" w:hRule="atLeast"/>
          <w:jc w:val="center"/>
        </w:trPr>
        <w:tc>
          <w:tcPr>
            <w:tcW w:w="1686" w:type="dxa"/>
            <w:tcBorders>
              <w:top w:val="single" w:color="000000" w:sz="4" w:space="0"/>
              <w:left w:val="single" w:color="000000" w:sz="4" w:space="0"/>
              <w:bottom w:val="single" w:color="000000" w:sz="4" w:space="0"/>
              <w:right w:val="single" w:color="000000" w:sz="4" w:space="0"/>
            </w:tcBorders>
            <w:vAlign w:val="center"/>
          </w:tcPr>
          <w:p w14:paraId="55C02B47">
            <w:pPr>
              <w:widowControl/>
              <w:spacing w:line="560" w:lineRule="exact"/>
              <w:textAlignment w:val="center"/>
              <w:rPr>
                <w:rFonts w:eastAsia="仿宋"/>
                <w:color w:val="auto"/>
                <w:sz w:val="24"/>
                <w:highlight w:val="none"/>
              </w:rPr>
            </w:pPr>
            <w:r>
              <w:rPr>
                <w:rFonts w:eastAsia="仿宋"/>
                <w:color w:val="auto"/>
                <w:kern w:val="0"/>
                <w:sz w:val="24"/>
                <w:highlight w:val="none"/>
                <w:lang w:bidi="ar"/>
              </w:rPr>
              <w:t>家庭联系人</w:t>
            </w:r>
          </w:p>
        </w:tc>
        <w:tc>
          <w:tcPr>
            <w:tcW w:w="3639" w:type="dxa"/>
            <w:gridSpan w:val="3"/>
            <w:tcBorders>
              <w:top w:val="single" w:color="000000" w:sz="4" w:space="0"/>
              <w:left w:val="single" w:color="000000" w:sz="4" w:space="0"/>
              <w:bottom w:val="single" w:color="000000" w:sz="4" w:space="0"/>
              <w:right w:val="nil"/>
            </w:tcBorders>
            <w:vAlign w:val="center"/>
          </w:tcPr>
          <w:p w14:paraId="6258C06A">
            <w:pPr>
              <w:widowControl/>
              <w:spacing w:line="560" w:lineRule="exact"/>
              <w:rPr>
                <w:rFonts w:eastAsia="仿宋"/>
                <w:color w:val="auto"/>
                <w:sz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1A7B4268">
            <w:pPr>
              <w:widowControl/>
              <w:spacing w:line="560" w:lineRule="exact"/>
              <w:textAlignment w:val="center"/>
              <w:rPr>
                <w:rFonts w:eastAsia="仿宋"/>
                <w:color w:val="auto"/>
                <w:sz w:val="24"/>
                <w:highlight w:val="none"/>
              </w:rPr>
            </w:pPr>
            <w:r>
              <w:rPr>
                <w:rFonts w:eastAsia="仿宋"/>
                <w:color w:val="auto"/>
                <w:kern w:val="0"/>
                <w:sz w:val="24"/>
                <w:highlight w:val="none"/>
                <w:lang w:bidi="ar"/>
              </w:rPr>
              <w:t>联系电话</w:t>
            </w:r>
          </w:p>
        </w:tc>
        <w:tc>
          <w:tcPr>
            <w:tcW w:w="2150" w:type="dxa"/>
            <w:tcBorders>
              <w:top w:val="single" w:color="000000" w:sz="4" w:space="0"/>
              <w:left w:val="nil"/>
              <w:bottom w:val="single" w:color="000000" w:sz="4" w:space="0"/>
              <w:right w:val="single" w:color="000000" w:sz="4" w:space="0"/>
            </w:tcBorders>
            <w:vAlign w:val="center"/>
          </w:tcPr>
          <w:p w14:paraId="17F2BA83">
            <w:pPr>
              <w:widowControl/>
              <w:spacing w:line="560" w:lineRule="exact"/>
              <w:rPr>
                <w:rFonts w:eastAsia="仿宋"/>
                <w:color w:val="auto"/>
                <w:sz w:val="24"/>
                <w:highlight w:val="none"/>
              </w:rPr>
            </w:pPr>
          </w:p>
        </w:tc>
      </w:tr>
      <w:tr w14:paraId="07DCAFA5">
        <w:tblPrEx>
          <w:tblCellMar>
            <w:top w:w="0" w:type="dxa"/>
            <w:left w:w="108" w:type="dxa"/>
            <w:bottom w:w="0" w:type="dxa"/>
            <w:right w:w="108" w:type="dxa"/>
          </w:tblCellMar>
        </w:tblPrEx>
        <w:trPr>
          <w:trHeight w:val="1947" w:hRule="atLeast"/>
          <w:jc w:val="center"/>
        </w:trPr>
        <w:tc>
          <w:tcPr>
            <w:tcW w:w="1686" w:type="dxa"/>
            <w:tcBorders>
              <w:top w:val="single" w:color="000000" w:sz="4" w:space="0"/>
              <w:left w:val="single" w:color="000000" w:sz="4" w:space="0"/>
              <w:bottom w:val="single" w:color="000000" w:sz="4" w:space="0"/>
              <w:right w:val="single" w:color="000000" w:sz="4" w:space="0"/>
            </w:tcBorders>
            <w:vAlign w:val="center"/>
          </w:tcPr>
          <w:p w14:paraId="43922D48">
            <w:pPr>
              <w:widowControl/>
              <w:spacing w:line="560" w:lineRule="exact"/>
              <w:textAlignment w:val="center"/>
              <w:rPr>
                <w:rFonts w:eastAsia="仿宋"/>
                <w:color w:val="auto"/>
                <w:sz w:val="24"/>
                <w:highlight w:val="none"/>
              </w:rPr>
            </w:pPr>
            <w:r>
              <w:rPr>
                <w:rFonts w:eastAsia="仿宋"/>
                <w:color w:val="auto"/>
                <w:kern w:val="0"/>
                <w:sz w:val="24"/>
                <w:highlight w:val="none"/>
                <w:lang w:bidi="ar"/>
              </w:rPr>
              <w:t>身份特征</w:t>
            </w:r>
          </w:p>
        </w:tc>
        <w:tc>
          <w:tcPr>
            <w:tcW w:w="7139" w:type="dxa"/>
            <w:gridSpan w:val="5"/>
            <w:tcBorders>
              <w:top w:val="single" w:color="000000" w:sz="4" w:space="0"/>
              <w:left w:val="single" w:color="000000" w:sz="4" w:space="0"/>
              <w:bottom w:val="single" w:color="000000" w:sz="4" w:space="0"/>
              <w:right w:val="single" w:color="000000" w:sz="4" w:space="0"/>
            </w:tcBorders>
            <w:vAlign w:val="center"/>
          </w:tcPr>
          <w:p w14:paraId="71B3AA6F">
            <w:pPr>
              <w:widowControl/>
              <w:spacing w:line="560" w:lineRule="exact"/>
              <w:textAlignment w:val="center"/>
              <w:rPr>
                <w:rFonts w:eastAsia="仿宋"/>
                <w:color w:val="auto"/>
                <w:kern w:val="0"/>
                <w:sz w:val="24"/>
                <w:highlight w:val="none"/>
                <w:lang w:bidi="ar"/>
              </w:rPr>
            </w:pPr>
            <w:r>
              <w:rPr>
                <w:rFonts w:eastAsia="仿宋"/>
                <w:color w:val="auto"/>
                <w:kern w:val="0"/>
                <w:sz w:val="24"/>
                <w:highlight w:val="none"/>
                <w:lang w:bidi="ar"/>
              </w:rPr>
              <w:t>□分散供养中特困人员；</w:t>
            </w:r>
          </w:p>
          <w:p w14:paraId="45D7E78D">
            <w:pPr>
              <w:widowControl/>
              <w:spacing w:line="560" w:lineRule="exact"/>
              <w:textAlignment w:val="center"/>
              <w:rPr>
                <w:rFonts w:eastAsia="仿宋"/>
                <w:color w:val="auto"/>
                <w:kern w:val="0"/>
                <w:sz w:val="24"/>
                <w:highlight w:val="none"/>
                <w:lang w:bidi="ar"/>
              </w:rPr>
            </w:pPr>
            <w:r>
              <w:rPr>
                <w:rFonts w:eastAsia="仿宋"/>
                <w:color w:val="auto"/>
                <w:kern w:val="0"/>
                <w:sz w:val="24"/>
                <w:highlight w:val="none"/>
                <w:lang w:bidi="ar"/>
              </w:rPr>
              <w:t>□城乡低保对象；</w:t>
            </w:r>
          </w:p>
          <w:p w14:paraId="08037A33">
            <w:pPr>
              <w:widowControl/>
              <w:spacing w:line="560" w:lineRule="exact"/>
              <w:textAlignment w:val="center"/>
              <w:rPr>
                <w:rFonts w:eastAsia="仿宋"/>
                <w:color w:val="auto"/>
                <w:kern w:val="0"/>
                <w:sz w:val="24"/>
                <w:highlight w:val="none"/>
                <w:lang w:bidi="ar"/>
              </w:rPr>
            </w:pPr>
            <w:r>
              <w:rPr>
                <w:rFonts w:eastAsia="仿宋"/>
                <w:color w:val="auto"/>
                <w:kern w:val="0"/>
                <w:sz w:val="24"/>
                <w:highlight w:val="none"/>
                <w:lang w:bidi="ar"/>
              </w:rPr>
              <w:t>□低收入家庭；</w:t>
            </w:r>
          </w:p>
          <w:p w14:paraId="04AD9F56">
            <w:pPr>
              <w:widowControl/>
              <w:spacing w:line="560" w:lineRule="exact"/>
              <w:textAlignment w:val="center"/>
              <w:rPr>
                <w:rFonts w:eastAsia="仿宋"/>
                <w:color w:val="auto"/>
                <w:kern w:val="0"/>
                <w:sz w:val="24"/>
                <w:highlight w:val="none"/>
                <w:lang w:bidi="ar"/>
              </w:rPr>
            </w:pPr>
            <w:r>
              <w:rPr>
                <w:rFonts w:eastAsia="仿宋"/>
                <w:color w:val="auto"/>
                <w:kern w:val="0"/>
                <w:sz w:val="24"/>
                <w:highlight w:val="none"/>
                <w:lang w:bidi="ar"/>
              </w:rPr>
              <w:t>□根据自治区统计部门公布的年度经济和社会发展统计公报确定的人均可支配收入低收入组、中间偏下组的老年人（城镇居民人均可支配收入低于</w:t>
            </w:r>
            <w:r>
              <w:rPr>
                <w:rFonts w:hint="eastAsia" w:ascii="仿宋_GB2312" w:hAnsi="仿宋_GB2312" w:eastAsia="仿宋_GB2312" w:cs="仿宋_GB2312"/>
                <w:color w:val="auto"/>
                <w:kern w:val="0"/>
                <w:sz w:val="24"/>
                <w:highlight w:val="none"/>
                <w:lang w:bidi="ar"/>
              </w:rPr>
              <w:t>2073元/月、农村居民人均可支配收入低于963元/月可纳入实施对象</w:t>
            </w:r>
            <w:r>
              <w:rPr>
                <w:rFonts w:eastAsia="仿宋"/>
                <w:color w:val="auto"/>
                <w:kern w:val="0"/>
                <w:sz w:val="24"/>
                <w:highlight w:val="none"/>
                <w:lang w:bidi="ar"/>
              </w:rPr>
              <w:t>）。</w:t>
            </w:r>
          </w:p>
          <w:p w14:paraId="00FC81CB">
            <w:pPr>
              <w:widowControl/>
              <w:spacing w:line="560" w:lineRule="exact"/>
              <w:textAlignment w:val="center"/>
              <w:rPr>
                <w:rFonts w:eastAsia="仿宋"/>
                <w:color w:val="auto"/>
                <w:kern w:val="0"/>
                <w:sz w:val="24"/>
                <w:highlight w:val="none"/>
                <w:lang w:bidi="ar"/>
              </w:rPr>
            </w:pPr>
            <w:r>
              <w:rPr>
                <w:rFonts w:hint="eastAsia" w:ascii="仿宋_GB2312" w:hAnsi="仿宋_GB2312" w:eastAsia="仿宋_GB2312" w:cs="仿宋_GB2312"/>
                <w:color w:val="auto"/>
                <w:kern w:val="0"/>
                <w:sz w:val="24"/>
                <w:highlight w:val="none"/>
                <w:lang w:bidi="ar"/>
              </w:rPr>
              <w:t>□其他</w:t>
            </w:r>
            <w:r>
              <w:rPr>
                <w:rFonts w:hint="eastAsia" w:ascii="仿宋_GB2312" w:hAnsi="仿宋_GB2312" w:eastAsia="仿宋_GB2312" w:cs="仿宋_GB2312"/>
                <w:color w:val="auto"/>
                <w:kern w:val="0"/>
                <w:sz w:val="24"/>
                <w:highlight w:val="none"/>
                <w:u w:val="single"/>
                <w:lang w:bidi="ar"/>
              </w:rPr>
              <w:t xml:space="preserve">                        </w:t>
            </w:r>
          </w:p>
        </w:tc>
      </w:tr>
      <w:tr w14:paraId="033B82D3">
        <w:tblPrEx>
          <w:tblCellMar>
            <w:top w:w="0" w:type="dxa"/>
            <w:left w:w="108" w:type="dxa"/>
            <w:bottom w:w="0" w:type="dxa"/>
            <w:right w:w="108" w:type="dxa"/>
          </w:tblCellMar>
        </w:tblPrEx>
        <w:trPr>
          <w:trHeight w:val="817" w:hRule="atLeast"/>
          <w:jc w:val="center"/>
        </w:trPr>
        <w:tc>
          <w:tcPr>
            <w:tcW w:w="1686" w:type="dxa"/>
            <w:tcBorders>
              <w:top w:val="single" w:color="000000" w:sz="4" w:space="0"/>
              <w:left w:val="single" w:color="000000" w:sz="4" w:space="0"/>
              <w:bottom w:val="single" w:color="000000" w:sz="4" w:space="0"/>
              <w:right w:val="single" w:color="000000" w:sz="4" w:space="0"/>
            </w:tcBorders>
            <w:vAlign w:val="center"/>
          </w:tcPr>
          <w:p w14:paraId="086536F8">
            <w:pPr>
              <w:widowControl/>
              <w:spacing w:line="560" w:lineRule="exact"/>
              <w:textAlignment w:val="center"/>
              <w:rPr>
                <w:rFonts w:eastAsia="仿宋"/>
                <w:color w:val="auto"/>
                <w:sz w:val="24"/>
                <w:highlight w:val="none"/>
              </w:rPr>
            </w:pPr>
            <w:r>
              <w:rPr>
                <w:rFonts w:eastAsia="仿宋"/>
                <w:color w:val="auto"/>
                <w:kern w:val="0"/>
                <w:sz w:val="24"/>
                <w:highlight w:val="none"/>
                <w:lang w:bidi="ar"/>
              </w:rPr>
              <w:t>老年人家庭经济收入情况</w:t>
            </w:r>
          </w:p>
        </w:tc>
        <w:tc>
          <w:tcPr>
            <w:tcW w:w="7139" w:type="dxa"/>
            <w:gridSpan w:val="5"/>
            <w:tcBorders>
              <w:top w:val="single" w:color="000000" w:sz="4" w:space="0"/>
              <w:left w:val="single" w:color="000000" w:sz="4" w:space="0"/>
              <w:bottom w:val="single" w:color="000000" w:sz="4" w:space="0"/>
              <w:right w:val="single" w:color="000000" w:sz="4" w:space="0"/>
            </w:tcBorders>
            <w:vAlign w:val="center"/>
          </w:tcPr>
          <w:p w14:paraId="01880406">
            <w:pPr>
              <w:widowControl/>
              <w:spacing w:line="560" w:lineRule="exact"/>
              <w:rPr>
                <w:rFonts w:eastAsia="仿宋"/>
                <w:color w:val="auto"/>
                <w:sz w:val="24"/>
                <w:highlight w:val="none"/>
              </w:rPr>
            </w:pPr>
          </w:p>
        </w:tc>
      </w:tr>
      <w:tr w14:paraId="7794ED95">
        <w:tblPrEx>
          <w:tblCellMar>
            <w:top w:w="0" w:type="dxa"/>
            <w:left w:w="108" w:type="dxa"/>
            <w:bottom w:w="0" w:type="dxa"/>
            <w:right w:w="108" w:type="dxa"/>
          </w:tblCellMar>
        </w:tblPrEx>
        <w:trPr>
          <w:trHeight w:val="977" w:hRule="atLeast"/>
          <w:jc w:val="center"/>
        </w:trPr>
        <w:tc>
          <w:tcPr>
            <w:tcW w:w="1686" w:type="dxa"/>
            <w:tcBorders>
              <w:top w:val="single" w:color="000000" w:sz="4" w:space="0"/>
              <w:left w:val="single" w:color="000000" w:sz="4" w:space="0"/>
              <w:bottom w:val="single" w:color="000000" w:sz="4" w:space="0"/>
              <w:right w:val="single" w:color="000000" w:sz="4" w:space="0"/>
            </w:tcBorders>
            <w:vAlign w:val="center"/>
          </w:tcPr>
          <w:p w14:paraId="07898875">
            <w:pPr>
              <w:widowControl/>
              <w:spacing w:line="560" w:lineRule="exact"/>
              <w:textAlignment w:val="center"/>
              <w:rPr>
                <w:rFonts w:eastAsia="仿宋"/>
                <w:color w:val="auto"/>
                <w:sz w:val="24"/>
                <w:highlight w:val="none"/>
              </w:rPr>
            </w:pPr>
            <w:r>
              <w:rPr>
                <w:rFonts w:eastAsia="仿宋"/>
                <w:color w:val="auto"/>
                <w:kern w:val="0"/>
                <w:sz w:val="24"/>
                <w:highlight w:val="none"/>
                <w:lang w:bidi="ar"/>
              </w:rPr>
              <w:t>老年人身体状况评估情况</w:t>
            </w:r>
          </w:p>
        </w:tc>
        <w:tc>
          <w:tcPr>
            <w:tcW w:w="7139" w:type="dxa"/>
            <w:gridSpan w:val="5"/>
            <w:tcBorders>
              <w:top w:val="single" w:color="000000" w:sz="4" w:space="0"/>
              <w:left w:val="single" w:color="000000" w:sz="4" w:space="0"/>
              <w:bottom w:val="single" w:color="000000" w:sz="4" w:space="0"/>
              <w:right w:val="single" w:color="000000" w:sz="4" w:space="0"/>
            </w:tcBorders>
            <w:vAlign w:val="center"/>
          </w:tcPr>
          <w:p w14:paraId="2EF128BB">
            <w:pPr>
              <w:widowControl/>
              <w:spacing w:line="560" w:lineRule="exact"/>
              <w:textAlignment w:val="center"/>
              <w:rPr>
                <w:rFonts w:eastAsia="仿宋"/>
                <w:color w:val="auto"/>
                <w:sz w:val="24"/>
                <w:highlight w:val="none"/>
              </w:rPr>
            </w:pPr>
          </w:p>
        </w:tc>
      </w:tr>
    </w:tbl>
    <w:p w14:paraId="599BF186">
      <w:pPr>
        <w:spacing w:before="101" w:line="226" w:lineRule="auto"/>
        <w:rPr>
          <w:rFonts w:ascii="宋体" w:hAnsi="宋体" w:cs="宋体"/>
          <w:color w:val="auto"/>
          <w:spacing w:val="-6"/>
          <w:sz w:val="32"/>
          <w:szCs w:val="32"/>
          <w:highlight w:val="none"/>
        </w:rPr>
      </w:pPr>
    </w:p>
    <w:p w14:paraId="226DA3BF">
      <w:pPr>
        <w:rPr>
          <w:rFonts w:ascii="宋体" w:hAnsi="宋体" w:cs="宋体"/>
          <w:color w:val="auto"/>
          <w:highlight w:val="none"/>
        </w:rPr>
        <w:sectPr>
          <w:pgSz w:w="11906" w:h="16838"/>
          <w:pgMar w:top="1020" w:right="1134" w:bottom="1440" w:left="1134" w:header="851" w:footer="992" w:gutter="0"/>
          <w:cols w:space="720" w:num="1"/>
          <w:titlePg/>
          <w:docGrid w:type="lines" w:linePitch="312" w:charSpace="0"/>
        </w:sectPr>
      </w:pPr>
    </w:p>
    <w:p w14:paraId="24EABA6D">
      <w:pPr>
        <w:pStyle w:val="2"/>
        <w:spacing w:line="360" w:lineRule="auto"/>
        <w:ind w:firstLine="2249" w:firstLineChars="700"/>
        <w:jc w:val="both"/>
        <w:rPr>
          <w:rFonts w:ascii="宋体" w:hAnsi="宋体" w:cs="宋体"/>
          <w:color w:val="auto"/>
          <w:sz w:val="32"/>
          <w:szCs w:val="32"/>
          <w:highlight w:val="none"/>
        </w:rPr>
      </w:pPr>
      <w:bookmarkStart w:id="43" w:name="_Toc3312"/>
      <w:r>
        <w:rPr>
          <w:rFonts w:hint="eastAsia" w:ascii="宋体" w:hAnsi="宋体" w:cs="宋体"/>
          <w:color w:val="auto"/>
          <w:sz w:val="32"/>
          <w:szCs w:val="32"/>
          <w:highlight w:val="none"/>
        </w:rPr>
        <w:t>第四章 竞争性磋商响应文件格式</w:t>
      </w:r>
      <w:bookmarkEnd w:id="43"/>
    </w:p>
    <w:p w14:paraId="52242C0D">
      <w:pPr>
        <w:tabs>
          <w:tab w:val="left" w:pos="180"/>
          <w:tab w:val="left" w:pos="1620"/>
        </w:tabs>
        <w:spacing w:line="360" w:lineRule="auto"/>
        <w:textAlignment w:val="baseline"/>
        <w:rPr>
          <w:rFonts w:ascii="宋体" w:hAnsi="宋体" w:cs="宋体"/>
          <w:color w:val="auto"/>
          <w:sz w:val="24"/>
          <w:highlight w:val="none"/>
        </w:rPr>
      </w:pPr>
    </w:p>
    <w:p w14:paraId="5AEC0556">
      <w:pPr>
        <w:pStyle w:val="3"/>
        <w:spacing w:line="360" w:lineRule="auto"/>
        <w:rPr>
          <w:rFonts w:ascii="宋体" w:hAnsi="宋体" w:cs="宋体"/>
          <w:b w:val="0"/>
          <w:color w:val="auto"/>
          <w:sz w:val="32"/>
          <w:highlight w:val="none"/>
        </w:rPr>
      </w:pPr>
    </w:p>
    <w:p w14:paraId="6E3FE94D">
      <w:pPr>
        <w:pStyle w:val="3"/>
        <w:spacing w:line="360" w:lineRule="auto"/>
        <w:rPr>
          <w:rFonts w:ascii="宋体" w:hAnsi="宋体" w:cs="宋体"/>
          <w:b w:val="0"/>
          <w:color w:val="auto"/>
          <w:sz w:val="32"/>
          <w:highlight w:val="none"/>
          <w:u w:val="single"/>
        </w:rPr>
      </w:pPr>
      <w:r>
        <w:rPr>
          <w:rFonts w:hint="eastAsia" w:ascii="宋体" w:hAnsi="宋体" w:cs="宋体"/>
          <w:b w:val="0"/>
          <w:color w:val="auto"/>
          <w:sz w:val="32"/>
          <w:highlight w:val="none"/>
        </w:rPr>
        <w:t xml:space="preserve">响应文件封面格式：                              </w:t>
      </w:r>
    </w:p>
    <w:p w14:paraId="74EA2A63">
      <w:pPr>
        <w:tabs>
          <w:tab w:val="left" w:pos="180"/>
          <w:tab w:val="left" w:pos="1620"/>
        </w:tabs>
        <w:spacing w:line="360" w:lineRule="auto"/>
        <w:textAlignment w:val="baseline"/>
        <w:rPr>
          <w:rFonts w:ascii="宋体" w:hAnsi="宋体" w:cs="宋体"/>
          <w:color w:val="auto"/>
          <w:sz w:val="24"/>
          <w:highlight w:val="none"/>
        </w:rPr>
      </w:pPr>
    </w:p>
    <w:p w14:paraId="3F680939">
      <w:pPr>
        <w:spacing w:line="360" w:lineRule="auto"/>
        <w:ind w:firstLine="2650" w:firstLineChars="600"/>
        <w:textAlignment w:val="baseline"/>
        <w:rPr>
          <w:rFonts w:ascii="宋体" w:hAnsi="宋体" w:cs="宋体"/>
          <w:b/>
          <w:color w:val="auto"/>
          <w:sz w:val="44"/>
          <w:szCs w:val="44"/>
          <w:highlight w:val="none"/>
        </w:rPr>
      </w:pPr>
      <w:r>
        <w:rPr>
          <w:rFonts w:hint="eastAsia" w:ascii="宋体" w:hAnsi="宋体" w:cs="宋体"/>
          <w:b/>
          <w:color w:val="auto"/>
          <w:sz w:val="44"/>
          <w:szCs w:val="44"/>
          <w:highlight w:val="none"/>
        </w:rPr>
        <w:t>竞争性磋商响应文件</w:t>
      </w:r>
    </w:p>
    <w:p w14:paraId="2E5F7035">
      <w:pPr>
        <w:spacing w:line="360" w:lineRule="auto"/>
        <w:jc w:val="center"/>
        <w:textAlignment w:val="baseline"/>
        <w:rPr>
          <w:rFonts w:ascii="宋体" w:hAnsi="宋体" w:cs="宋体"/>
          <w:b/>
          <w:color w:val="auto"/>
          <w:sz w:val="44"/>
          <w:szCs w:val="44"/>
          <w:highlight w:val="none"/>
        </w:rPr>
      </w:pPr>
    </w:p>
    <w:p w14:paraId="5011DA21">
      <w:pPr>
        <w:spacing w:line="360" w:lineRule="auto"/>
        <w:jc w:val="center"/>
        <w:textAlignment w:val="baseline"/>
        <w:rPr>
          <w:rFonts w:ascii="宋体" w:hAnsi="宋体" w:cs="宋体"/>
          <w:color w:val="auto"/>
          <w:sz w:val="24"/>
          <w:highlight w:val="none"/>
        </w:rPr>
      </w:pPr>
    </w:p>
    <w:p w14:paraId="032FE814">
      <w:pPr>
        <w:spacing w:line="360" w:lineRule="auto"/>
        <w:jc w:val="center"/>
        <w:textAlignment w:val="baseline"/>
        <w:rPr>
          <w:rFonts w:ascii="宋体" w:hAnsi="宋体" w:cs="宋体"/>
          <w:color w:val="auto"/>
          <w:sz w:val="24"/>
          <w:highlight w:val="none"/>
        </w:rPr>
      </w:pPr>
    </w:p>
    <w:p w14:paraId="6DDBCEC3">
      <w:pPr>
        <w:spacing w:line="360" w:lineRule="auto"/>
        <w:jc w:val="center"/>
        <w:textAlignment w:val="baseline"/>
        <w:rPr>
          <w:rFonts w:ascii="宋体" w:hAnsi="宋体" w:cs="宋体"/>
          <w:color w:val="auto"/>
          <w:sz w:val="32"/>
          <w:szCs w:val="32"/>
          <w:highlight w:val="none"/>
        </w:rPr>
      </w:pPr>
    </w:p>
    <w:p w14:paraId="3BF9E000">
      <w:pPr>
        <w:spacing w:line="360" w:lineRule="auto"/>
        <w:ind w:firstLine="800" w:firstLineChars="250"/>
        <w:textAlignment w:val="baseline"/>
        <w:rPr>
          <w:rFonts w:ascii="宋体" w:hAnsi="宋体" w:cs="宋体"/>
          <w:color w:val="auto"/>
          <w:sz w:val="32"/>
          <w:szCs w:val="32"/>
          <w:highlight w:val="none"/>
          <w:u w:val="single"/>
        </w:rPr>
      </w:pPr>
      <w:r>
        <w:rPr>
          <w:rFonts w:hint="eastAsia" w:ascii="宋体" w:hAnsi="宋体" w:cs="宋体"/>
          <w:color w:val="auto"/>
          <w:sz w:val="32"/>
          <w:szCs w:val="32"/>
          <w:highlight w:val="none"/>
        </w:rPr>
        <w:t>采购项目名称：</w:t>
      </w:r>
    </w:p>
    <w:p w14:paraId="2563C5FE">
      <w:pPr>
        <w:tabs>
          <w:tab w:val="left" w:pos="3240"/>
        </w:tabs>
        <w:spacing w:line="360" w:lineRule="auto"/>
        <w:ind w:firstLine="800" w:firstLineChars="250"/>
        <w:textAlignment w:val="baseline"/>
        <w:rPr>
          <w:rFonts w:ascii="宋体" w:hAnsi="宋体" w:cs="宋体"/>
          <w:color w:val="auto"/>
          <w:sz w:val="32"/>
          <w:szCs w:val="32"/>
          <w:highlight w:val="none"/>
        </w:rPr>
      </w:pPr>
    </w:p>
    <w:p w14:paraId="55723A9D">
      <w:pPr>
        <w:tabs>
          <w:tab w:val="left" w:pos="3240"/>
        </w:tabs>
        <w:spacing w:line="360" w:lineRule="auto"/>
        <w:ind w:firstLine="800" w:firstLineChars="250"/>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t>采购项目编号：</w:t>
      </w:r>
    </w:p>
    <w:p w14:paraId="790DC878">
      <w:pPr>
        <w:pStyle w:val="32"/>
        <w:spacing w:line="360" w:lineRule="auto"/>
        <w:rPr>
          <w:rFonts w:ascii="宋体" w:hAnsi="宋体" w:cs="宋体"/>
          <w:color w:val="auto"/>
          <w:sz w:val="32"/>
          <w:szCs w:val="32"/>
          <w:highlight w:val="none"/>
        </w:rPr>
      </w:pPr>
    </w:p>
    <w:p w14:paraId="41686B1C">
      <w:pPr>
        <w:pStyle w:val="27"/>
        <w:spacing w:line="360" w:lineRule="auto"/>
        <w:ind w:firstLine="960" w:firstLineChars="300"/>
        <w:rPr>
          <w:rFonts w:hAnsi="宋体" w:cs="宋体"/>
          <w:color w:val="auto"/>
          <w:sz w:val="32"/>
          <w:szCs w:val="32"/>
          <w:highlight w:val="none"/>
        </w:rPr>
      </w:pPr>
      <w:r>
        <w:rPr>
          <w:rFonts w:hint="eastAsia" w:hAnsi="宋体" w:cs="宋体"/>
          <w:color w:val="auto"/>
          <w:sz w:val="32"/>
          <w:szCs w:val="32"/>
          <w:highlight w:val="none"/>
        </w:rPr>
        <w:t>分 标 号：</w:t>
      </w:r>
    </w:p>
    <w:p w14:paraId="6FA2EFD2">
      <w:pPr>
        <w:pStyle w:val="69"/>
        <w:spacing w:line="360" w:lineRule="auto"/>
        <w:rPr>
          <w:rFonts w:cs="宋体"/>
          <w:color w:val="auto"/>
          <w:highlight w:val="none"/>
        </w:rPr>
      </w:pPr>
    </w:p>
    <w:p w14:paraId="0F02AE1A">
      <w:pPr>
        <w:tabs>
          <w:tab w:val="left" w:pos="3240"/>
        </w:tabs>
        <w:spacing w:line="360" w:lineRule="auto"/>
        <w:ind w:firstLine="5280" w:firstLineChars="1650"/>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t>供应商单位名称：</w:t>
      </w:r>
    </w:p>
    <w:p w14:paraId="76669132">
      <w:pPr>
        <w:spacing w:line="360" w:lineRule="auto"/>
        <w:jc w:val="center"/>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t xml:space="preserve">                         年   月    日</w:t>
      </w:r>
    </w:p>
    <w:p w14:paraId="2F996CE5">
      <w:pPr>
        <w:pStyle w:val="27"/>
        <w:spacing w:line="500" w:lineRule="exact"/>
        <w:textAlignment w:val="baseline"/>
        <w:rPr>
          <w:rFonts w:hAnsi="宋体" w:cs="宋体"/>
          <w:b/>
          <w:bCs/>
          <w:color w:val="auto"/>
          <w:sz w:val="30"/>
          <w:szCs w:val="30"/>
          <w:highlight w:val="none"/>
        </w:rPr>
      </w:pPr>
    </w:p>
    <w:p w14:paraId="32F47266">
      <w:pPr>
        <w:pStyle w:val="69"/>
        <w:rPr>
          <w:rFonts w:cs="宋体"/>
          <w:b/>
          <w:bCs/>
          <w:color w:val="auto"/>
          <w:sz w:val="30"/>
          <w:szCs w:val="30"/>
          <w:highlight w:val="none"/>
        </w:rPr>
      </w:pPr>
    </w:p>
    <w:p w14:paraId="559EEFDF">
      <w:pPr>
        <w:rPr>
          <w:rFonts w:ascii="宋体" w:hAnsi="宋体" w:cs="宋体"/>
          <w:color w:val="auto"/>
          <w:highlight w:val="none"/>
        </w:rPr>
      </w:pPr>
      <w:r>
        <w:rPr>
          <w:rFonts w:hint="eastAsia" w:ascii="宋体" w:hAnsi="宋体" w:cs="宋体"/>
          <w:color w:val="auto"/>
          <w:highlight w:val="none"/>
        </w:rPr>
        <w:br w:type="page"/>
      </w:r>
    </w:p>
    <w:p w14:paraId="1F686BD5">
      <w:pPr>
        <w:pStyle w:val="20"/>
        <w:rPr>
          <w:rFonts w:ascii="宋体" w:hAnsi="宋体" w:cs="宋体"/>
          <w:color w:val="auto"/>
          <w:highlight w:val="none"/>
        </w:rPr>
      </w:pPr>
    </w:p>
    <w:p w14:paraId="44417FC4">
      <w:pPr>
        <w:snapToGrid w:val="0"/>
        <w:spacing w:before="156" w:beforeLines="50" w:after="50" w:line="360" w:lineRule="auto"/>
        <w:ind w:left="142"/>
        <w:jc w:val="center"/>
        <w:rPr>
          <w:rFonts w:ascii="宋体" w:hAnsi="宋体" w:cs="宋体"/>
          <w:b/>
          <w:bCs/>
          <w:color w:val="auto"/>
          <w:sz w:val="40"/>
          <w:szCs w:val="40"/>
          <w:highlight w:val="none"/>
        </w:rPr>
      </w:pPr>
    </w:p>
    <w:p w14:paraId="191BFBBA">
      <w:pPr>
        <w:snapToGrid w:val="0"/>
        <w:spacing w:before="156" w:beforeLines="50" w:after="50" w:line="360" w:lineRule="auto"/>
        <w:ind w:left="142"/>
        <w:jc w:val="center"/>
        <w:rPr>
          <w:rFonts w:ascii="宋体" w:hAnsi="宋体" w:cs="宋体"/>
          <w:b/>
          <w:bCs/>
          <w:color w:val="auto"/>
          <w:sz w:val="40"/>
          <w:szCs w:val="40"/>
          <w:highlight w:val="none"/>
        </w:rPr>
      </w:pPr>
      <w:r>
        <w:rPr>
          <w:rFonts w:hint="eastAsia" w:ascii="宋体" w:hAnsi="宋体" w:cs="宋体"/>
          <w:b/>
          <w:bCs/>
          <w:color w:val="auto"/>
          <w:sz w:val="40"/>
          <w:szCs w:val="40"/>
          <w:highlight w:val="none"/>
        </w:rPr>
        <w:t>目录</w:t>
      </w:r>
    </w:p>
    <w:p w14:paraId="4CD2B581">
      <w:pPr>
        <w:snapToGrid w:val="0"/>
        <w:spacing w:before="156" w:beforeLines="50" w:after="50" w:line="360" w:lineRule="auto"/>
        <w:ind w:left="142"/>
        <w:jc w:val="center"/>
        <w:rPr>
          <w:rFonts w:ascii="宋体" w:hAnsi="宋体" w:cs="宋体"/>
          <w:color w:val="auto"/>
          <w:sz w:val="32"/>
          <w:szCs w:val="32"/>
          <w:highlight w:val="none"/>
        </w:rPr>
      </w:pPr>
      <w:r>
        <w:rPr>
          <w:rFonts w:hint="eastAsia" w:ascii="宋体" w:hAnsi="宋体" w:cs="宋体"/>
          <w:color w:val="auto"/>
          <w:sz w:val="32"/>
          <w:szCs w:val="32"/>
          <w:highlight w:val="none"/>
        </w:rPr>
        <w:t>根据采购文件规定及供应商提供的材料自行编写目录</w:t>
      </w:r>
    </w:p>
    <w:p w14:paraId="4CDAC3E6">
      <w:pPr>
        <w:snapToGrid w:val="0"/>
        <w:spacing w:before="156" w:beforeLines="50" w:after="50" w:line="300" w:lineRule="exact"/>
        <w:ind w:firstLine="640" w:firstLineChars="200"/>
        <w:jc w:val="center"/>
        <w:rPr>
          <w:rFonts w:ascii="宋体" w:hAnsi="宋体" w:cs="宋体"/>
          <w:color w:val="auto"/>
          <w:sz w:val="32"/>
          <w:szCs w:val="32"/>
          <w:highlight w:val="none"/>
        </w:rPr>
      </w:pPr>
      <w:r>
        <w:rPr>
          <w:rFonts w:hint="eastAsia" w:ascii="宋体" w:hAnsi="宋体" w:cs="宋体"/>
          <w:color w:val="auto"/>
          <w:sz w:val="32"/>
          <w:szCs w:val="32"/>
          <w:highlight w:val="none"/>
        </w:rPr>
        <w:t>（部分格式后附）</w:t>
      </w:r>
    </w:p>
    <w:p w14:paraId="3E7D0793">
      <w:pPr>
        <w:pStyle w:val="5"/>
        <w:numPr>
          <w:ilvl w:val="3"/>
          <w:numId w:val="0"/>
        </w:numPr>
        <w:rPr>
          <w:rFonts w:ascii="宋体" w:hAnsi="宋体" w:eastAsia="宋体" w:cs="宋体"/>
          <w:color w:val="auto"/>
          <w:sz w:val="32"/>
          <w:szCs w:val="32"/>
          <w:highlight w:val="none"/>
        </w:rPr>
      </w:pPr>
    </w:p>
    <w:p w14:paraId="5705F3E3">
      <w:pPr>
        <w:rPr>
          <w:rFonts w:ascii="宋体" w:hAnsi="宋体" w:cs="宋体"/>
          <w:color w:val="auto"/>
          <w:highlight w:val="none"/>
        </w:rPr>
      </w:pPr>
    </w:p>
    <w:p w14:paraId="4051FE65">
      <w:pPr>
        <w:spacing w:line="360" w:lineRule="auto"/>
        <w:ind w:firstLine="562" w:firstLineChars="200"/>
        <w:rPr>
          <w:rFonts w:ascii="宋体" w:hAnsi="宋体" w:cs="宋体"/>
          <w:color w:val="auto"/>
          <w:sz w:val="24"/>
          <w:highlight w:val="none"/>
        </w:rPr>
      </w:pPr>
      <w:r>
        <w:rPr>
          <w:rFonts w:hint="eastAsia" w:ascii="宋体" w:hAnsi="宋体" w:cs="宋体"/>
          <w:b/>
          <w:bCs/>
          <w:color w:val="auto"/>
          <w:sz w:val="28"/>
          <w:szCs w:val="28"/>
          <w:highlight w:val="none"/>
        </w:rPr>
        <w:t>注：有格式要求的请按格式编写，无格式要求的请磋商供应商自拟</w:t>
      </w:r>
    </w:p>
    <w:p w14:paraId="22E4B0A0">
      <w:pPr>
        <w:pStyle w:val="27"/>
        <w:spacing w:line="500" w:lineRule="exact"/>
        <w:textAlignment w:val="baseline"/>
        <w:rPr>
          <w:rFonts w:hAnsi="宋体" w:cs="宋体"/>
          <w:b/>
          <w:bCs/>
          <w:color w:val="auto"/>
          <w:sz w:val="30"/>
          <w:szCs w:val="30"/>
          <w:highlight w:val="none"/>
        </w:rPr>
      </w:pPr>
    </w:p>
    <w:p w14:paraId="249C5ACD">
      <w:pPr>
        <w:pStyle w:val="29"/>
        <w:ind w:left="5250"/>
        <w:rPr>
          <w:rFonts w:ascii="宋体" w:hAnsi="宋体" w:cs="宋体"/>
          <w:b/>
          <w:bCs/>
          <w:color w:val="auto"/>
          <w:sz w:val="30"/>
          <w:szCs w:val="30"/>
          <w:highlight w:val="none"/>
        </w:rPr>
      </w:pPr>
    </w:p>
    <w:p w14:paraId="35755908">
      <w:pPr>
        <w:rPr>
          <w:rFonts w:ascii="宋体" w:hAnsi="宋体" w:cs="宋体"/>
          <w:b/>
          <w:bCs/>
          <w:color w:val="auto"/>
          <w:sz w:val="30"/>
          <w:szCs w:val="30"/>
          <w:highlight w:val="none"/>
        </w:rPr>
      </w:pPr>
    </w:p>
    <w:p w14:paraId="719F5FFF">
      <w:pPr>
        <w:pStyle w:val="71"/>
        <w:rPr>
          <w:rFonts w:ascii="宋体" w:hAnsi="宋体" w:cs="宋体"/>
          <w:b/>
          <w:bCs/>
          <w:color w:val="auto"/>
          <w:sz w:val="30"/>
          <w:szCs w:val="30"/>
          <w:highlight w:val="none"/>
        </w:rPr>
      </w:pPr>
    </w:p>
    <w:p w14:paraId="414C1224">
      <w:pPr>
        <w:spacing w:line="360" w:lineRule="auto"/>
        <w:jc w:val="center"/>
        <w:rPr>
          <w:rFonts w:ascii="宋体" w:hAnsi="宋体" w:cs="宋体"/>
          <w:b/>
          <w:color w:val="auto"/>
          <w:sz w:val="36"/>
          <w:highlight w:val="none"/>
        </w:rPr>
      </w:pPr>
    </w:p>
    <w:p w14:paraId="013BEE34">
      <w:pPr>
        <w:spacing w:line="360" w:lineRule="auto"/>
        <w:jc w:val="center"/>
        <w:rPr>
          <w:rFonts w:ascii="宋体" w:hAnsi="宋体" w:cs="宋体"/>
          <w:b/>
          <w:color w:val="auto"/>
          <w:sz w:val="36"/>
          <w:highlight w:val="none"/>
        </w:rPr>
      </w:pPr>
    </w:p>
    <w:p w14:paraId="04984E49">
      <w:pPr>
        <w:spacing w:line="360" w:lineRule="auto"/>
        <w:jc w:val="center"/>
        <w:rPr>
          <w:rFonts w:ascii="宋体" w:hAnsi="宋体" w:cs="宋体"/>
          <w:b/>
          <w:color w:val="auto"/>
          <w:sz w:val="36"/>
          <w:highlight w:val="none"/>
        </w:rPr>
      </w:pPr>
    </w:p>
    <w:p w14:paraId="25F2E500">
      <w:pPr>
        <w:spacing w:line="360" w:lineRule="auto"/>
        <w:jc w:val="center"/>
        <w:rPr>
          <w:rFonts w:ascii="宋体" w:hAnsi="宋体" w:cs="宋体"/>
          <w:b/>
          <w:color w:val="auto"/>
          <w:sz w:val="36"/>
          <w:highlight w:val="none"/>
        </w:rPr>
      </w:pPr>
    </w:p>
    <w:p w14:paraId="23E4B9D7">
      <w:pPr>
        <w:spacing w:line="360" w:lineRule="auto"/>
        <w:jc w:val="center"/>
        <w:rPr>
          <w:rFonts w:ascii="宋体" w:hAnsi="宋体" w:cs="宋体"/>
          <w:b/>
          <w:color w:val="auto"/>
          <w:sz w:val="36"/>
          <w:highlight w:val="none"/>
        </w:rPr>
      </w:pPr>
    </w:p>
    <w:p w14:paraId="357C6C09">
      <w:pPr>
        <w:spacing w:line="360" w:lineRule="auto"/>
        <w:jc w:val="center"/>
        <w:rPr>
          <w:rFonts w:ascii="宋体" w:hAnsi="宋体" w:cs="宋体"/>
          <w:b/>
          <w:color w:val="auto"/>
          <w:sz w:val="36"/>
          <w:highlight w:val="none"/>
        </w:rPr>
      </w:pPr>
    </w:p>
    <w:p w14:paraId="2EBFEAC6">
      <w:pPr>
        <w:spacing w:line="360" w:lineRule="auto"/>
        <w:jc w:val="center"/>
        <w:rPr>
          <w:rFonts w:ascii="宋体" w:hAnsi="宋体" w:cs="宋体"/>
          <w:b/>
          <w:color w:val="auto"/>
          <w:sz w:val="36"/>
          <w:highlight w:val="none"/>
        </w:rPr>
      </w:pPr>
    </w:p>
    <w:p w14:paraId="75FACC7D">
      <w:pPr>
        <w:spacing w:line="360" w:lineRule="auto"/>
        <w:jc w:val="center"/>
        <w:rPr>
          <w:rFonts w:ascii="宋体" w:hAnsi="宋体" w:cs="宋体"/>
          <w:b/>
          <w:color w:val="auto"/>
          <w:sz w:val="36"/>
          <w:highlight w:val="none"/>
        </w:rPr>
      </w:pPr>
    </w:p>
    <w:p w14:paraId="0438A6F2">
      <w:pPr>
        <w:spacing w:line="360" w:lineRule="auto"/>
        <w:jc w:val="center"/>
        <w:rPr>
          <w:rFonts w:ascii="宋体" w:hAnsi="宋体" w:cs="宋体"/>
          <w:b/>
          <w:color w:val="auto"/>
          <w:sz w:val="36"/>
          <w:highlight w:val="none"/>
        </w:rPr>
      </w:pPr>
    </w:p>
    <w:p w14:paraId="03B505F1">
      <w:pPr>
        <w:pStyle w:val="48"/>
        <w:ind w:firstLine="640"/>
        <w:rPr>
          <w:rFonts w:ascii="宋体" w:hAnsi="宋体" w:eastAsia="宋体" w:cs="宋体"/>
          <w:color w:val="auto"/>
          <w:highlight w:val="none"/>
        </w:rPr>
      </w:pPr>
    </w:p>
    <w:p w14:paraId="51DFFA48">
      <w:pPr>
        <w:rPr>
          <w:rFonts w:ascii="宋体" w:hAnsi="宋体" w:cs="宋体"/>
          <w:color w:val="auto"/>
          <w:highlight w:val="none"/>
        </w:rPr>
      </w:pPr>
    </w:p>
    <w:p w14:paraId="758D7229">
      <w:pPr>
        <w:jc w:val="center"/>
        <w:rPr>
          <w:rFonts w:ascii="宋体" w:hAnsi="宋体" w:cs="宋体"/>
          <w:b/>
          <w:color w:val="auto"/>
          <w:sz w:val="30"/>
          <w:szCs w:val="30"/>
          <w:highlight w:val="none"/>
        </w:rPr>
      </w:pPr>
    </w:p>
    <w:p w14:paraId="363680B9">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法定代表人身份证明书（格式）</w:t>
      </w:r>
    </w:p>
    <w:p w14:paraId="646B02AA">
      <w:pPr>
        <w:tabs>
          <w:tab w:val="left" w:pos="2880"/>
        </w:tabs>
        <w:rPr>
          <w:rFonts w:ascii="宋体" w:hAnsi="宋体" w:cs="宋体"/>
          <w:b/>
          <w:color w:val="auto"/>
          <w:highlight w:val="none"/>
        </w:rPr>
      </w:pPr>
    </w:p>
    <w:p w14:paraId="43D27C91">
      <w:pPr>
        <w:tabs>
          <w:tab w:val="left" w:pos="2880"/>
        </w:tabs>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51B1EF2E">
      <w:pPr>
        <w:tabs>
          <w:tab w:val="left" w:pos="2880"/>
        </w:tabs>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617AE865">
      <w:pPr>
        <w:tabs>
          <w:tab w:val="left" w:pos="2880"/>
        </w:tabs>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074CB966">
      <w:pPr>
        <w:tabs>
          <w:tab w:val="left" w:pos="2880"/>
        </w:tabs>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83E37B3">
      <w:pPr>
        <w:tabs>
          <w:tab w:val="left" w:pos="2880"/>
        </w:tabs>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4838368D">
      <w:pPr>
        <w:tabs>
          <w:tab w:val="left" w:pos="2880"/>
        </w:tabs>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0414D59A">
      <w:pPr>
        <w:spacing w:line="52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F187CDE">
      <w:pPr>
        <w:tabs>
          <w:tab w:val="left" w:pos="2880"/>
        </w:tabs>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（磋商供应商单位名称）</w:t>
      </w:r>
      <w:r>
        <w:rPr>
          <w:rFonts w:hint="eastAsia" w:ascii="宋体" w:hAnsi="宋体" w:cs="宋体"/>
          <w:color w:val="auto"/>
          <w:sz w:val="24"/>
          <w:highlight w:val="none"/>
        </w:rPr>
        <w:t>的法定代表人。</w:t>
      </w:r>
    </w:p>
    <w:p w14:paraId="726843AF">
      <w:pPr>
        <w:tabs>
          <w:tab w:val="left" w:pos="2880"/>
        </w:tabs>
        <w:spacing w:line="360" w:lineRule="auto"/>
        <w:ind w:firstLine="610"/>
        <w:rPr>
          <w:rFonts w:ascii="宋体" w:hAnsi="宋体" w:cs="宋体"/>
          <w:color w:val="auto"/>
          <w:sz w:val="24"/>
          <w:highlight w:val="none"/>
        </w:rPr>
      </w:pPr>
    </w:p>
    <w:p w14:paraId="1E193D5F">
      <w:pPr>
        <w:tabs>
          <w:tab w:val="left" w:pos="2880"/>
        </w:tabs>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14:paraId="00B9260A">
      <w:pPr>
        <w:tabs>
          <w:tab w:val="left" w:pos="720"/>
          <w:tab w:val="left" w:pos="900"/>
          <w:tab w:val="left" w:pos="2880"/>
        </w:tabs>
        <w:spacing w:line="360" w:lineRule="auto"/>
        <w:ind w:firstLine="480" w:firstLineChars="200"/>
        <w:rPr>
          <w:rFonts w:ascii="宋体" w:hAnsi="宋体" w:cs="宋体"/>
          <w:color w:val="auto"/>
          <w:sz w:val="24"/>
          <w:highlight w:val="none"/>
        </w:rPr>
      </w:pPr>
    </w:p>
    <w:p w14:paraId="6BE6DC4A">
      <w:pPr>
        <w:tabs>
          <w:tab w:val="left" w:pos="720"/>
          <w:tab w:val="left" w:pos="900"/>
          <w:tab w:val="left" w:pos="2880"/>
        </w:tabs>
        <w:spacing w:line="360" w:lineRule="auto"/>
        <w:ind w:firstLine="4560" w:firstLineChars="1900"/>
        <w:rPr>
          <w:rFonts w:ascii="宋体" w:hAnsi="宋体" w:cs="宋体"/>
          <w:color w:val="auto"/>
          <w:sz w:val="24"/>
          <w:highlight w:val="none"/>
        </w:rPr>
      </w:pPr>
    </w:p>
    <w:p w14:paraId="5D7DCDB8">
      <w:pPr>
        <w:tabs>
          <w:tab w:val="left" w:pos="720"/>
          <w:tab w:val="left" w:pos="900"/>
          <w:tab w:val="left" w:pos="2880"/>
        </w:tabs>
        <w:spacing w:line="360" w:lineRule="auto"/>
        <w:ind w:firstLine="4080" w:firstLineChars="1700"/>
        <w:rPr>
          <w:rFonts w:ascii="宋体" w:hAnsi="宋体" w:cs="宋体"/>
          <w:color w:val="auto"/>
          <w:sz w:val="24"/>
          <w:highlight w:val="none"/>
        </w:rPr>
      </w:pPr>
      <w:r>
        <w:rPr>
          <w:rFonts w:hint="eastAsia" w:ascii="宋体" w:hAnsi="宋体" w:cs="宋体"/>
          <w:color w:val="auto"/>
          <w:sz w:val="24"/>
          <w:highlight w:val="none"/>
        </w:rPr>
        <w:t>磋商供应商：</w:t>
      </w:r>
      <w:r>
        <w:rPr>
          <w:rFonts w:hint="eastAsia" w:ascii="宋体" w:hAnsi="宋体" w:cs="宋体"/>
          <w:color w:val="auto"/>
          <w:sz w:val="24"/>
          <w:highlight w:val="none"/>
          <w:u w:val="single"/>
        </w:rPr>
        <w:t xml:space="preserve">             （电子签章）</w:t>
      </w:r>
    </w:p>
    <w:p w14:paraId="73EAF703">
      <w:pPr>
        <w:pStyle w:val="32"/>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C878996">
      <w:pPr>
        <w:pStyle w:val="66"/>
        <w:rPr>
          <w:color w:val="auto"/>
          <w:highlight w:val="none"/>
        </w:rPr>
      </w:pPr>
    </w:p>
    <w:p w14:paraId="26BA634E">
      <w:pPr>
        <w:spacing w:line="360" w:lineRule="auto"/>
        <w:ind w:firstLine="360" w:firstLineChars="150"/>
        <w:rPr>
          <w:rFonts w:ascii="宋体" w:hAnsi="宋体" w:cs="宋体"/>
          <w:color w:val="auto"/>
          <w:sz w:val="28"/>
          <w:szCs w:val="28"/>
          <w:highlight w:val="none"/>
        </w:rPr>
      </w:pPr>
      <w:r>
        <w:rPr>
          <w:rFonts w:hint="eastAsia" w:ascii="宋体" w:hAnsi="宋体" w:cs="宋体"/>
          <w:bCs/>
          <w:color w:val="auto"/>
          <w:sz w:val="24"/>
          <w:highlight w:val="none"/>
        </w:rPr>
        <w:t>附：法定代表人身份证正反面复印件</w:t>
      </w:r>
    </w:p>
    <w:p w14:paraId="207B083D">
      <w:pPr>
        <w:spacing w:line="360" w:lineRule="auto"/>
        <w:rPr>
          <w:rFonts w:ascii="宋体" w:hAnsi="宋体" w:cs="宋体"/>
          <w:color w:val="auto"/>
          <w:sz w:val="28"/>
          <w:szCs w:val="28"/>
          <w:highlight w:val="none"/>
        </w:rPr>
      </w:pPr>
    </w:p>
    <w:p w14:paraId="14E975AE">
      <w:pPr>
        <w:spacing w:line="360" w:lineRule="auto"/>
        <w:ind w:firstLine="420" w:firstLineChars="150"/>
        <w:rPr>
          <w:rFonts w:ascii="宋体" w:hAnsi="宋体" w:cs="宋体"/>
          <w:color w:val="auto"/>
          <w:sz w:val="28"/>
          <w:szCs w:val="28"/>
          <w:highlight w:val="none"/>
        </w:rPr>
      </w:pPr>
    </w:p>
    <w:p w14:paraId="5709E6D2">
      <w:pPr>
        <w:rPr>
          <w:rFonts w:ascii="宋体" w:hAnsi="宋体" w:cs="宋体"/>
          <w:color w:val="auto"/>
          <w:highlight w:val="none"/>
        </w:rPr>
      </w:pPr>
      <w:r>
        <w:rPr>
          <w:rFonts w:hint="eastAsia" w:ascii="宋体" w:hAnsi="宋体" w:cs="宋体"/>
          <w:color w:val="auto"/>
          <w:highlight w:val="none"/>
        </w:rPr>
        <w:br w:type="page"/>
      </w:r>
    </w:p>
    <w:p w14:paraId="7DB3E51B">
      <w:pPr>
        <w:adjustRightInd w:val="0"/>
        <w:snapToGrid w:val="0"/>
        <w:spacing w:line="300" w:lineRule="auto"/>
        <w:jc w:val="center"/>
        <w:rPr>
          <w:rFonts w:ascii="宋体" w:hAnsi="宋体" w:cs="宋体"/>
          <w:b/>
          <w:color w:val="auto"/>
          <w:sz w:val="36"/>
          <w:szCs w:val="36"/>
          <w:highlight w:val="none"/>
        </w:rPr>
      </w:pPr>
    </w:p>
    <w:p w14:paraId="6D82FF8A">
      <w:pPr>
        <w:adjustRightInd w:val="0"/>
        <w:snapToGrid w:val="0"/>
        <w:spacing w:line="30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法定代表人授权委托书（格式）</w:t>
      </w:r>
    </w:p>
    <w:p w14:paraId="3B304BFB">
      <w:pPr>
        <w:adjustRightInd w:val="0"/>
        <w:snapToGrid w:val="0"/>
        <w:spacing w:line="520" w:lineRule="exact"/>
        <w:rPr>
          <w:rFonts w:ascii="宋体" w:hAnsi="宋体" w:cs="宋体"/>
          <w:color w:val="auto"/>
          <w:sz w:val="24"/>
          <w:highlight w:val="none"/>
        </w:rPr>
      </w:pPr>
    </w:p>
    <w:p w14:paraId="4E721986">
      <w:pPr>
        <w:spacing w:line="520" w:lineRule="exact"/>
        <w:rPr>
          <w:rFonts w:ascii="宋体" w:hAnsi="宋体" w:cs="宋体"/>
          <w:color w:val="auto"/>
          <w:sz w:val="24"/>
          <w:highlight w:val="none"/>
        </w:rPr>
      </w:pPr>
      <w:r>
        <w:rPr>
          <w:rFonts w:hint="eastAsia" w:ascii="宋体" w:hAnsi="宋体" w:cs="宋体"/>
          <w:color w:val="auto"/>
          <w:sz w:val="24"/>
          <w:highlight w:val="none"/>
          <w:lang w:eastAsia="zh-CN"/>
        </w:rPr>
        <w:t>广西创佳项目管理</w:t>
      </w:r>
      <w:r>
        <w:rPr>
          <w:rFonts w:hint="eastAsia" w:ascii="宋体" w:hAnsi="宋体" w:cs="宋体"/>
          <w:color w:val="auto"/>
          <w:sz w:val="24"/>
          <w:highlight w:val="none"/>
        </w:rPr>
        <w:t>有限公司：</w:t>
      </w:r>
    </w:p>
    <w:p w14:paraId="7EBB21E4">
      <w:pPr>
        <w:spacing w:line="520" w:lineRule="exact"/>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同志为我公司参加贵单位组织的</w:t>
      </w:r>
      <w:r>
        <w:rPr>
          <w:rFonts w:hint="eastAsia" w:ascii="宋体" w:hAnsi="宋体" w:cs="宋体"/>
          <w:color w:val="auto"/>
          <w:sz w:val="24"/>
          <w:highlight w:val="none"/>
          <w:u w:val="single"/>
        </w:rPr>
        <w:t>（项目名称及项目编号）x 分标</w:t>
      </w:r>
      <w:r>
        <w:rPr>
          <w:rFonts w:hint="eastAsia" w:ascii="宋体" w:hAnsi="宋体" w:cs="宋体"/>
          <w:color w:val="auto"/>
          <w:sz w:val="24"/>
          <w:highlight w:val="none"/>
        </w:rPr>
        <w:t>项目政府采购活动的磋商代表人，全权代表我公司处理在该项目活动中的一切事宜。代理期限从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日起至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日止。 </w:t>
      </w:r>
    </w:p>
    <w:p w14:paraId="0632C852">
      <w:pPr>
        <w:spacing w:line="520" w:lineRule="exact"/>
        <w:rPr>
          <w:rFonts w:ascii="宋体" w:hAnsi="宋体" w:cs="宋体"/>
          <w:color w:val="auto"/>
          <w:sz w:val="24"/>
          <w:highlight w:val="none"/>
        </w:rPr>
      </w:pPr>
    </w:p>
    <w:p w14:paraId="3706133C">
      <w:pPr>
        <w:spacing w:line="520" w:lineRule="exact"/>
        <w:ind w:left="475" w:leftChars="226"/>
        <w:rPr>
          <w:rFonts w:ascii="宋体" w:hAnsi="宋体" w:cs="宋体"/>
          <w:color w:val="auto"/>
          <w:sz w:val="24"/>
          <w:highlight w:val="none"/>
        </w:rPr>
      </w:pPr>
      <w:r>
        <w:rPr>
          <w:rFonts w:hint="eastAsia" w:ascii="宋体" w:hAnsi="宋体" w:cs="宋体"/>
          <w:color w:val="auto"/>
          <w:sz w:val="24"/>
          <w:highlight w:val="none"/>
        </w:rPr>
        <w:t>授权单位（电子签章）：</w:t>
      </w:r>
      <w:r>
        <w:rPr>
          <w:rFonts w:hint="eastAsia" w:ascii="宋体" w:hAnsi="宋体" w:cs="宋体"/>
          <w:color w:val="auto"/>
          <w:sz w:val="24"/>
          <w:highlight w:val="none"/>
          <w:u w:val="single"/>
        </w:rPr>
        <w:t xml:space="preserve">                       </w:t>
      </w:r>
    </w:p>
    <w:p w14:paraId="7C875022">
      <w:pPr>
        <w:spacing w:line="520" w:lineRule="exact"/>
        <w:ind w:left="475" w:leftChars="226"/>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p>
    <w:p w14:paraId="01FFC15A">
      <w:pPr>
        <w:spacing w:line="520" w:lineRule="exact"/>
        <w:ind w:left="475" w:leftChars="226"/>
        <w:rPr>
          <w:rFonts w:ascii="宋体" w:hAnsi="宋体" w:cs="宋体"/>
          <w:color w:val="auto"/>
          <w:sz w:val="24"/>
          <w:highlight w:val="none"/>
        </w:rPr>
      </w:pPr>
      <w:r>
        <w:rPr>
          <w:rFonts w:hint="eastAsia" w:ascii="宋体" w:hAnsi="宋体" w:cs="宋体"/>
          <w:color w:val="auto"/>
          <w:sz w:val="24"/>
          <w:highlight w:val="none"/>
        </w:rPr>
        <w:t>签发日期：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64579F5">
      <w:pPr>
        <w:spacing w:line="520" w:lineRule="exact"/>
        <w:rPr>
          <w:rFonts w:ascii="宋体" w:hAnsi="宋体" w:cs="宋体"/>
          <w:color w:val="auto"/>
          <w:sz w:val="24"/>
          <w:highlight w:val="none"/>
        </w:rPr>
      </w:pPr>
    </w:p>
    <w:p w14:paraId="2BE8E072">
      <w:pPr>
        <w:spacing w:line="520" w:lineRule="exact"/>
        <w:rPr>
          <w:rFonts w:ascii="宋体" w:hAnsi="宋体" w:cs="宋体"/>
          <w:color w:val="auto"/>
          <w:sz w:val="24"/>
          <w:highlight w:val="none"/>
        </w:rPr>
      </w:pPr>
      <w:r>
        <w:rPr>
          <w:rFonts w:hint="eastAsia" w:ascii="宋体" w:hAnsi="宋体" w:cs="宋体"/>
          <w:color w:val="auto"/>
          <w:sz w:val="24"/>
          <w:highlight w:val="none"/>
        </w:rPr>
        <w:t>附：代理人工作单位：</w:t>
      </w:r>
      <w:r>
        <w:rPr>
          <w:rFonts w:hint="eastAsia" w:ascii="宋体" w:hAnsi="宋体" w:cs="宋体"/>
          <w:color w:val="auto"/>
          <w:sz w:val="24"/>
          <w:highlight w:val="none"/>
          <w:u w:val="single"/>
        </w:rPr>
        <w:t xml:space="preserve">                       </w:t>
      </w:r>
    </w:p>
    <w:p w14:paraId="66246708">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p>
    <w:p w14:paraId="4240F6E7">
      <w:pPr>
        <w:adjustRightInd w:val="0"/>
        <w:snapToGrid w:val="0"/>
        <w:spacing w:line="520" w:lineRule="exact"/>
        <w:ind w:firstLine="480" w:firstLineChars="200"/>
        <w:rPr>
          <w:rFonts w:ascii="宋体" w:hAnsi="宋体" w:cs="宋体"/>
          <w:color w:val="auto"/>
          <w:szCs w:val="21"/>
          <w:highlight w:val="none"/>
          <w:u w:val="single"/>
        </w:rPr>
      </w:pPr>
      <w:r>
        <w:rPr>
          <w:rFonts w:hint="eastAsia" w:ascii="宋体" w:hAnsi="宋体" w:cs="宋体"/>
          <w:color w:val="auto"/>
          <w:sz w:val="24"/>
          <w:highlight w:val="none"/>
        </w:rPr>
        <w:t>身份证号码：</w:t>
      </w:r>
      <w:r>
        <w:rPr>
          <w:rFonts w:hint="eastAsia" w:ascii="宋体" w:hAnsi="宋体" w:cs="宋体"/>
          <w:color w:val="auto"/>
          <w:szCs w:val="21"/>
          <w:highlight w:val="none"/>
          <w:u w:val="single"/>
        </w:rPr>
        <w:t xml:space="preserve">                                                   </w:t>
      </w:r>
    </w:p>
    <w:p w14:paraId="37F01D8B">
      <w:pPr>
        <w:adjustRightInd w:val="0"/>
        <w:snapToGrid w:val="0"/>
        <w:spacing w:line="520" w:lineRule="exact"/>
        <w:ind w:firstLine="420" w:firstLineChars="200"/>
        <w:rPr>
          <w:rFonts w:ascii="宋体" w:hAnsi="宋体" w:cs="宋体"/>
          <w:color w:val="auto"/>
          <w:szCs w:val="21"/>
          <w:highlight w:val="none"/>
          <w:u w:val="single"/>
        </w:rPr>
      </w:pPr>
    </w:p>
    <w:tbl>
      <w:tblPr>
        <w:tblStyle w:val="49"/>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717C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0" w:hRule="atLeast"/>
        </w:trPr>
        <w:tc>
          <w:tcPr>
            <w:tcW w:w="8861" w:type="dxa"/>
          </w:tcPr>
          <w:p w14:paraId="12D761D3">
            <w:pPr>
              <w:spacing w:line="300" w:lineRule="auto"/>
              <w:rPr>
                <w:rFonts w:ascii="宋体" w:hAnsi="宋体" w:cs="宋体"/>
                <w:color w:val="auto"/>
                <w:szCs w:val="21"/>
                <w:highlight w:val="none"/>
              </w:rPr>
            </w:pPr>
            <w:r>
              <w:rPr>
                <w:rFonts w:hint="eastAsia" w:ascii="宋体" w:hAnsi="宋体" w:cs="宋体"/>
                <w:color w:val="auto"/>
                <w:sz w:val="22"/>
                <w:szCs w:val="22"/>
                <w:highlight w:val="none"/>
              </w:rPr>
              <w:t>粘贴法定代表人及被授权人身份证（复印件，可另页）</w:t>
            </w:r>
          </w:p>
        </w:tc>
      </w:tr>
    </w:tbl>
    <w:p w14:paraId="6E10B8E4">
      <w:pPr>
        <w:pStyle w:val="48"/>
        <w:ind w:firstLine="0" w:firstLineChars="0"/>
        <w:rPr>
          <w:rFonts w:ascii="宋体" w:hAnsi="宋体" w:eastAsia="宋体" w:cs="宋体"/>
          <w:color w:val="auto"/>
          <w:sz w:val="28"/>
          <w:szCs w:val="28"/>
          <w:highlight w:val="none"/>
        </w:rPr>
      </w:pPr>
    </w:p>
    <w:p w14:paraId="17A6209F">
      <w:pPr>
        <w:spacing w:line="600" w:lineRule="exact"/>
        <w:jc w:val="left"/>
        <w:rPr>
          <w:rFonts w:ascii="宋体" w:hAnsi="宋体" w:cs="宋体"/>
          <w:color w:val="auto"/>
          <w:sz w:val="28"/>
          <w:szCs w:val="28"/>
          <w:highlight w:val="none"/>
        </w:rPr>
      </w:pPr>
    </w:p>
    <w:p w14:paraId="3D6C9BFA">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CD73053">
      <w:pPr>
        <w:spacing w:line="600" w:lineRule="exact"/>
        <w:jc w:val="center"/>
        <w:rPr>
          <w:rFonts w:ascii="宋体" w:hAnsi="宋体" w:cs="宋体"/>
          <w:b/>
          <w:color w:val="auto"/>
          <w:sz w:val="28"/>
          <w:szCs w:val="28"/>
          <w:highlight w:val="none"/>
        </w:rPr>
      </w:pPr>
    </w:p>
    <w:p w14:paraId="4FDB8D9B">
      <w:pPr>
        <w:spacing w:line="6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桂平市政府采购项目投标资格承诺函（格式）</w:t>
      </w:r>
    </w:p>
    <w:p w14:paraId="01C54575">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本公司郑重承诺，根据《中华人民共和国政府采购法》第二十二条的规定，本公司为参加政府采购活动的合格供应商。即本公司同时满足以下条件：</w:t>
      </w:r>
    </w:p>
    <w:p w14:paraId="599A4D35">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53F4CF0">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CE9F2CF">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3B08B3A">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CD98806">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5.提交投标文件截止日期前三年内，在经营活动中没有重大违法记录。</w:t>
      </w:r>
    </w:p>
    <w:p w14:paraId="4697A053">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17C73D59">
      <w:pPr>
        <w:spacing w:line="600" w:lineRule="exact"/>
        <w:ind w:firstLine="480" w:firstLineChars="200"/>
        <w:jc w:val="left"/>
        <w:rPr>
          <w:rFonts w:ascii="宋体" w:hAnsi="宋体" w:cs="宋体"/>
          <w:color w:val="auto"/>
          <w:sz w:val="24"/>
          <w:highlight w:val="none"/>
        </w:rPr>
      </w:pPr>
    </w:p>
    <w:p w14:paraId="3D676AED">
      <w:pPr>
        <w:snapToGrid w:val="0"/>
        <w:jc w:val="left"/>
        <w:rPr>
          <w:rFonts w:ascii="宋体" w:hAnsi="宋体" w:cs="宋体"/>
          <w:color w:val="auto"/>
          <w:kern w:val="0"/>
          <w:sz w:val="24"/>
          <w:highlight w:val="none"/>
        </w:rPr>
      </w:pPr>
    </w:p>
    <w:p w14:paraId="5AAA25BA">
      <w:pPr>
        <w:spacing w:line="600" w:lineRule="exact"/>
        <w:ind w:left="479" w:leftChars="228"/>
        <w:jc w:val="left"/>
        <w:rPr>
          <w:rFonts w:ascii="宋体" w:hAnsi="宋体" w:cs="宋体"/>
          <w:color w:val="auto"/>
          <w:sz w:val="24"/>
          <w:highlight w:val="none"/>
        </w:rPr>
      </w:pPr>
      <w:r>
        <w:rPr>
          <w:rFonts w:hint="eastAsia" w:ascii="宋体" w:hAnsi="宋体" w:cs="宋体"/>
          <w:color w:val="auto"/>
          <w:sz w:val="24"/>
          <w:highlight w:val="none"/>
        </w:rPr>
        <w:t xml:space="preserve">企业名称（电子签章）： </w:t>
      </w:r>
    </w:p>
    <w:p w14:paraId="76BB5E98">
      <w:pPr>
        <w:spacing w:line="600" w:lineRule="exact"/>
        <w:ind w:left="479" w:leftChars="228"/>
        <w:jc w:val="left"/>
        <w:rPr>
          <w:rFonts w:ascii="宋体" w:hAnsi="宋体" w:cs="宋体"/>
          <w:color w:val="auto"/>
          <w:sz w:val="24"/>
          <w:highlight w:val="none"/>
        </w:rPr>
      </w:pPr>
      <w:r>
        <w:rPr>
          <w:rFonts w:hint="eastAsia" w:ascii="宋体" w:hAnsi="宋体" w:cs="宋体"/>
          <w:color w:val="auto"/>
          <w:sz w:val="24"/>
          <w:highlight w:val="none"/>
        </w:rPr>
        <w:t>法定代表人（签名）：</w:t>
      </w:r>
    </w:p>
    <w:p w14:paraId="02B30759">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日期：   年  月  日</w:t>
      </w:r>
    </w:p>
    <w:p w14:paraId="7FB9DA1C">
      <w:pPr>
        <w:pStyle w:val="32"/>
        <w:ind w:firstLine="560" w:firstLineChars="200"/>
        <w:rPr>
          <w:rFonts w:ascii="宋体" w:hAnsi="宋体" w:cs="宋体"/>
          <w:color w:val="auto"/>
          <w:sz w:val="28"/>
          <w:szCs w:val="28"/>
          <w:highlight w:val="none"/>
        </w:rPr>
      </w:pPr>
    </w:p>
    <w:p w14:paraId="4AC4DDD2">
      <w:pPr>
        <w:pStyle w:val="32"/>
        <w:rPr>
          <w:rFonts w:ascii="宋体" w:hAnsi="宋体" w:cs="宋体"/>
          <w:color w:val="auto"/>
          <w:highlight w:val="none"/>
        </w:rPr>
      </w:pPr>
    </w:p>
    <w:p w14:paraId="4AF47BAA">
      <w:pPr>
        <w:pStyle w:val="32"/>
        <w:rPr>
          <w:rFonts w:ascii="宋体" w:hAnsi="宋体" w:cs="宋体"/>
          <w:color w:val="auto"/>
          <w:highlight w:val="none"/>
        </w:rPr>
      </w:pPr>
    </w:p>
    <w:p w14:paraId="43BBBFA2">
      <w:pPr>
        <w:pStyle w:val="66"/>
        <w:rPr>
          <w:color w:val="auto"/>
          <w:highlight w:val="none"/>
        </w:rPr>
      </w:pPr>
    </w:p>
    <w:p w14:paraId="69F9F455">
      <w:pPr>
        <w:pStyle w:val="32"/>
        <w:ind w:firstLine="560" w:firstLineChars="200"/>
        <w:rPr>
          <w:rFonts w:ascii="宋体" w:hAnsi="宋体" w:cs="宋体"/>
          <w:color w:val="auto"/>
          <w:sz w:val="28"/>
          <w:szCs w:val="28"/>
          <w:highlight w:val="none"/>
        </w:rPr>
      </w:pPr>
    </w:p>
    <w:p w14:paraId="1F686954">
      <w:pPr>
        <w:pStyle w:val="32"/>
        <w:ind w:firstLine="560" w:firstLineChars="200"/>
        <w:rPr>
          <w:rFonts w:ascii="宋体" w:hAnsi="宋体" w:cs="宋体"/>
          <w:color w:val="auto"/>
          <w:sz w:val="28"/>
          <w:szCs w:val="28"/>
          <w:highlight w:val="none"/>
        </w:rPr>
      </w:pPr>
    </w:p>
    <w:p w14:paraId="359A3F58">
      <w:pPr>
        <w:pStyle w:val="66"/>
        <w:rPr>
          <w:color w:val="auto"/>
          <w:kern w:val="2"/>
          <w:sz w:val="28"/>
          <w:szCs w:val="28"/>
          <w:highlight w:val="none"/>
        </w:rPr>
      </w:pPr>
    </w:p>
    <w:p w14:paraId="5FF3E0B3">
      <w:pPr>
        <w:pStyle w:val="66"/>
        <w:rPr>
          <w:color w:val="auto"/>
          <w:kern w:val="2"/>
          <w:sz w:val="28"/>
          <w:szCs w:val="28"/>
          <w:highlight w:val="none"/>
        </w:rPr>
      </w:pPr>
    </w:p>
    <w:p w14:paraId="29DEEAAA">
      <w:pPr>
        <w:pStyle w:val="66"/>
        <w:rPr>
          <w:color w:val="auto"/>
          <w:highlight w:val="none"/>
        </w:rPr>
      </w:pPr>
      <w:r>
        <w:rPr>
          <w:rFonts w:hint="eastAsia"/>
          <w:color w:val="auto"/>
          <w:kern w:val="2"/>
          <w:sz w:val="28"/>
          <w:szCs w:val="28"/>
          <w:highlight w:val="none"/>
        </w:rPr>
        <w:t>供应商参加政府采购活动前3年内在经营活动中没有重大违法记录及有关信用信息的书面声明（必须提供，否则磋商响应无效）；</w:t>
      </w:r>
    </w:p>
    <w:p w14:paraId="7D33C2EE">
      <w:pPr>
        <w:pStyle w:val="27"/>
        <w:spacing w:line="400" w:lineRule="exact"/>
        <w:jc w:val="center"/>
        <w:rPr>
          <w:rFonts w:hAnsi="宋体" w:cs="宋体"/>
          <w:b/>
          <w:color w:val="auto"/>
          <w:sz w:val="36"/>
          <w:szCs w:val="36"/>
          <w:highlight w:val="none"/>
        </w:rPr>
      </w:pPr>
      <w:r>
        <w:rPr>
          <w:rFonts w:hint="eastAsia" w:hAnsi="宋体" w:cs="宋体"/>
          <w:b/>
          <w:color w:val="auto"/>
          <w:sz w:val="36"/>
          <w:szCs w:val="36"/>
          <w:highlight w:val="none"/>
        </w:rPr>
        <w:t>声  明（格式）</w:t>
      </w:r>
    </w:p>
    <w:p w14:paraId="34121E01">
      <w:pPr>
        <w:snapToGrid w:val="0"/>
        <w:spacing w:line="480" w:lineRule="auto"/>
        <w:outlineLvl w:val="4"/>
        <w:rPr>
          <w:rFonts w:ascii="宋体" w:hAnsi="宋体" w:cs="宋体"/>
          <w:b/>
          <w:color w:val="auto"/>
          <w:sz w:val="24"/>
          <w:highlight w:val="none"/>
        </w:rPr>
      </w:pPr>
    </w:p>
    <w:p w14:paraId="566B2D76">
      <w:pPr>
        <w:snapToGrid w:val="0"/>
        <w:spacing w:line="480" w:lineRule="auto"/>
        <w:outlineLvl w:val="4"/>
        <w:rPr>
          <w:rFonts w:ascii="宋体" w:hAnsi="宋体" w:cs="宋体"/>
          <w:color w:val="auto"/>
          <w:sz w:val="24"/>
          <w:highlight w:val="none"/>
          <w:u w:val="single"/>
        </w:rPr>
      </w:pPr>
      <w:r>
        <w:rPr>
          <w:rFonts w:hint="eastAsia" w:ascii="宋体" w:hAnsi="宋体" w:cs="宋体"/>
          <w:b/>
          <w:color w:val="auto"/>
          <w:sz w:val="24"/>
          <w:highlight w:val="none"/>
        </w:rPr>
        <w:t>致</w:t>
      </w:r>
      <w:r>
        <w:rPr>
          <w:rFonts w:hint="eastAsia" w:ascii="宋体" w:hAnsi="宋体" w:cs="宋体"/>
          <w:color w:val="auto"/>
          <w:sz w:val="24"/>
          <w:highlight w:val="none"/>
        </w:rPr>
        <w:t>：（采购单位名称）</w:t>
      </w:r>
    </w:p>
    <w:p w14:paraId="5E502570">
      <w:pPr>
        <w:pStyle w:val="27"/>
        <w:spacing w:line="48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99CB67F">
      <w:pPr>
        <w:snapToGrid w:val="0"/>
        <w:spacing w:line="480" w:lineRule="auto"/>
        <w:ind w:firstLine="5160" w:firstLineChars="2150"/>
        <w:outlineLvl w:val="4"/>
        <w:rPr>
          <w:rFonts w:ascii="宋体" w:hAnsi="宋体" w:cs="宋体"/>
          <w:color w:val="auto"/>
          <w:sz w:val="24"/>
          <w:highlight w:val="none"/>
        </w:rPr>
      </w:pPr>
    </w:p>
    <w:p w14:paraId="311B398F">
      <w:pPr>
        <w:snapToGrid w:val="0"/>
        <w:spacing w:line="480" w:lineRule="auto"/>
        <w:ind w:firstLine="2160" w:firstLineChars="900"/>
        <w:outlineLvl w:val="4"/>
        <w:rPr>
          <w:rFonts w:ascii="宋体" w:hAnsi="宋体" w:cs="宋体"/>
          <w:color w:val="auto"/>
          <w:sz w:val="24"/>
          <w:highlight w:val="none"/>
          <w:u w:val="single"/>
        </w:rPr>
      </w:pPr>
      <w:r>
        <w:rPr>
          <w:rFonts w:hint="eastAsia" w:ascii="宋体" w:hAnsi="宋体" w:cs="宋体"/>
          <w:color w:val="auto"/>
          <w:sz w:val="24"/>
          <w:highlight w:val="none"/>
        </w:rPr>
        <w:t>供应商名称（公章）：</w:t>
      </w:r>
      <w:r>
        <w:rPr>
          <w:rFonts w:hint="eastAsia" w:ascii="宋体" w:hAnsi="宋体" w:cs="宋体"/>
          <w:color w:val="auto"/>
          <w:sz w:val="24"/>
          <w:highlight w:val="none"/>
          <w:u w:val="single"/>
        </w:rPr>
        <w:t xml:space="preserve">                      </w:t>
      </w:r>
    </w:p>
    <w:p w14:paraId="56A59652">
      <w:pPr>
        <w:spacing w:line="480" w:lineRule="auto"/>
        <w:ind w:firstLine="2160" w:firstLineChars="900"/>
        <w:rPr>
          <w:rFonts w:ascii="宋体" w:hAnsi="宋体" w:cs="宋体"/>
          <w:color w:val="auto"/>
          <w:sz w:val="24"/>
          <w:highlight w:val="none"/>
          <w:u w:val="single"/>
        </w:rPr>
      </w:pPr>
      <w:r>
        <w:rPr>
          <w:rFonts w:hint="eastAsia" w:ascii="宋体" w:hAnsi="宋体" w:cs="宋体"/>
          <w:color w:val="auto"/>
          <w:sz w:val="24"/>
          <w:highlight w:val="none"/>
        </w:rPr>
        <w:t>法定代表人或相应的委托代理人签字（或盖章）：</w:t>
      </w:r>
      <w:r>
        <w:rPr>
          <w:rFonts w:hint="eastAsia" w:ascii="宋体" w:hAnsi="宋体" w:cs="宋体"/>
          <w:color w:val="auto"/>
          <w:sz w:val="24"/>
          <w:highlight w:val="none"/>
          <w:u w:val="single"/>
        </w:rPr>
        <w:t xml:space="preserve">          </w:t>
      </w:r>
    </w:p>
    <w:p w14:paraId="3BB95C47">
      <w:pPr>
        <w:pStyle w:val="27"/>
        <w:spacing w:line="400" w:lineRule="exact"/>
        <w:rPr>
          <w:rFonts w:hAnsi="宋体" w:cs="宋体"/>
          <w:color w:val="auto"/>
          <w:sz w:val="24"/>
          <w:szCs w:val="24"/>
          <w:highlight w:val="none"/>
        </w:rPr>
      </w:pPr>
      <w:r>
        <w:rPr>
          <w:rFonts w:hint="eastAsia" w:hAnsi="宋体" w:cs="宋体"/>
          <w:color w:val="auto"/>
          <w:sz w:val="24"/>
          <w:highlight w:val="none"/>
        </w:rPr>
        <w:t xml:space="preserve">                  日  期：</w:t>
      </w:r>
      <w:r>
        <w:rPr>
          <w:rFonts w:hint="eastAsia" w:hAnsi="宋体" w:cs="宋体"/>
          <w:color w:val="auto"/>
          <w:sz w:val="24"/>
          <w:highlight w:val="none"/>
          <w:u w:val="single"/>
        </w:rPr>
        <w:t xml:space="preserve">                   </w:t>
      </w:r>
    </w:p>
    <w:p w14:paraId="73EE60F1">
      <w:pPr>
        <w:spacing w:line="276" w:lineRule="auto"/>
        <w:jc w:val="center"/>
        <w:rPr>
          <w:rFonts w:ascii="宋体" w:hAnsi="宋体" w:cs="宋体"/>
          <w:b/>
          <w:color w:val="auto"/>
          <w:sz w:val="36"/>
          <w:highlight w:val="none"/>
        </w:rPr>
      </w:pPr>
    </w:p>
    <w:p w14:paraId="48E40EDC">
      <w:pPr>
        <w:spacing w:line="276" w:lineRule="auto"/>
        <w:jc w:val="center"/>
        <w:rPr>
          <w:rFonts w:ascii="宋体" w:hAnsi="宋体" w:cs="宋体"/>
          <w:b/>
          <w:color w:val="auto"/>
          <w:sz w:val="36"/>
          <w:highlight w:val="none"/>
        </w:rPr>
      </w:pPr>
    </w:p>
    <w:p w14:paraId="56342C93">
      <w:pPr>
        <w:spacing w:line="276" w:lineRule="auto"/>
        <w:jc w:val="center"/>
        <w:rPr>
          <w:rFonts w:ascii="宋体" w:hAnsi="宋体" w:cs="宋体"/>
          <w:b/>
          <w:color w:val="auto"/>
          <w:sz w:val="36"/>
          <w:highlight w:val="none"/>
        </w:rPr>
      </w:pPr>
    </w:p>
    <w:p w14:paraId="4C636CCD">
      <w:pPr>
        <w:spacing w:line="276" w:lineRule="auto"/>
        <w:jc w:val="center"/>
        <w:rPr>
          <w:rFonts w:ascii="宋体" w:hAnsi="宋体" w:cs="宋体"/>
          <w:b/>
          <w:color w:val="auto"/>
          <w:sz w:val="36"/>
          <w:highlight w:val="none"/>
        </w:rPr>
      </w:pPr>
    </w:p>
    <w:p w14:paraId="407C443C">
      <w:pPr>
        <w:spacing w:line="276" w:lineRule="auto"/>
        <w:jc w:val="center"/>
        <w:rPr>
          <w:rFonts w:ascii="宋体" w:hAnsi="宋体" w:cs="宋体"/>
          <w:b/>
          <w:color w:val="auto"/>
          <w:sz w:val="36"/>
          <w:highlight w:val="none"/>
        </w:rPr>
      </w:pPr>
    </w:p>
    <w:p w14:paraId="7954AC60">
      <w:pPr>
        <w:spacing w:line="276" w:lineRule="auto"/>
        <w:jc w:val="center"/>
        <w:rPr>
          <w:rFonts w:ascii="宋体" w:hAnsi="宋体" w:cs="宋体"/>
          <w:b/>
          <w:color w:val="auto"/>
          <w:sz w:val="36"/>
          <w:highlight w:val="none"/>
        </w:rPr>
      </w:pPr>
    </w:p>
    <w:p w14:paraId="0152AB22">
      <w:pPr>
        <w:spacing w:line="276" w:lineRule="auto"/>
        <w:jc w:val="center"/>
        <w:rPr>
          <w:rFonts w:ascii="宋体" w:hAnsi="宋体" w:cs="宋体"/>
          <w:b/>
          <w:color w:val="auto"/>
          <w:sz w:val="36"/>
          <w:highlight w:val="none"/>
        </w:rPr>
      </w:pPr>
    </w:p>
    <w:p w14:paraId="02C43975">
      <w:pPr>
        <w:spacing w:line="276" w:lineRule="auto"/>
        <w:jc w:val="center"/>
        <w:rPr>
          <w:rFonts w:ascii="宋体" w:hAnsi="宋体" w:cs="宋体"/>
          <w:b/>
          <w:color w:val="auto"/>
          <w:sz w:val="36"/>
          <w:highlight w:val="none"/>
        </w:rPr>
      </w:pPr>
    </w:p>
    <w:p w14:paraId="257B15AF">
      <w:pPr>
        <w:spacing w:line="276" w:lineRule="auto"/>
        <w:jc w:val="center"/>
        <w:rPr>
          <w:rFonts w:ascii="宋体" w:hAnsi="宋体" w:cs="宋体"/>
          <w:b/>
          <w:color w:val="auto"/>
          <w:sz w:val="36"/>
          <w:highlight w:val="none"/>
        </w:rPr>
      </w:pPr>
    </w:p>
    <w:p w14:paraId="20E884B5">
      <w:pPr>
        <w:spacing w:line="500" w:lineRule="exact"/>
        <w:jc w:val="center"/>
        <w:rPr>
          <w:rFonts w:ascii="宋体" w:hAnsi="宋体" w:cs="宋体"/>
          <w:b/>
          <w:bCs/>
          <w:color w:val="auto"/>
          <w:spacing w:val="6"/>
          <w:sz w:val="36"/>
          <w:szCs w:val="36"/>
          <w:highlight w:val="none"/>
        </w:rPr>
      </w:pPr>
    </w:p>
    <w:p w14:paraId="1847A542">
      <w:pPr>
        <w:spacing w:line="500" w:lineRule="exact"/>
        <w:jc w:val="center"/>
        <w:rPr>
          <w:rFonts w:ascii="宋体" w:hAnsi="宋体" w:cs="宋体"/>
          <w:b/>
          <w:bCs/>
          <w:color w:val="auto"/>
          <w:spacing w:val="6"/>
          <w:sz w:val="36"/>
          <w:szCs w:val="36"/>
          <w:highlight w:val="none"/>
        </w:rPr>
      </w:pPr>
      <w:r>
        <w:rPr>
          <w:rFonts w:hint="eastAsia" w:ascii="宋体" w:hAnsi="宋体" w:cs="宋体"/>
          <w:b/>
          <w:bCs/>
          <w:color w:val="auto"/>
          <w:spacing w:val="6"/>
          <w:sz w:val="36"/>
          <w:szCs w:val="36"/>
          <w:highlight w:val="none"/>
        </w:rPr>
        <w:t>中小企业声明函（工程、服务）</w:t>
      </w:r>
    </w:p>
    <w:p w14:paraId="19922620">
      <w:pPr>
        <w:spacing w:line="5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7EFF4D04">
      <w:pPr>
        <w:widowControl/>
        <w:shd w:val="clear" w:color="auto" w:fill="FFFFFF"/>
        <w:spacing w:after="240" w:line="312" w:lineRule="auto"/>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本公司（联合体）郑重声明，根据《政府采购促进中小企业发展管理办法》（财库﹝2020﹞46号）的规定，本公司（联合体）参加</w:t>
      </w:r>
      <w:r>
        <w:rPr>
          <w:rFonts w:hint="eastAsia" w:ascii="宋体" w:hAnsi="宋体" w:cs="宋体"/>
          <w:color w:val="auto"/>
          <w:kern w:val="0"/>
          <w:sz w:val="24"/>
          <w:highlight w:val="none"/>
          <w:u w:val="single"/>
        </w:rPr>
        <w:t xml:space="preserve"> （单位名称） </w:t>
      </w:r>
      <w:r>
        <w:rPr>
          <w:rFonts w:hint="eastAsia" w:ascii="宋体" w:hAnsi="宋体" w:cs="宋体"/>
          <w:color w:val="auto"/>
          <w:kern w:val="0"/>
          <w:sz w:val="24"/>
          <w:highlight w:val="none"/>
        </w:rPr>
        <w:t xml:space="preserve">的 </w:t>
      </w:r>
      <w:r>
        <w:rPr>
          <w:rFonts w:hint="eastAsia" w:ascii="宋体" w:hAnsi="宋体" w:cs="宋体"/>
          <w:color w:val="auto"/>
          <w:kern w:val="0"/>
          <w:sz w:val="24"/>
          <w:highlight w:val="none"/>
          <w:u w:val="single"/>
        </w:rPr>
        <w:t xml:space="preserve">（项目名称） </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E81E40B">
      <w:pPr>
        <w:widowControl/>
        <w:shd w:val="clear" w:color="auto" w:fill="FFFFFF"/>
        <w:spacing w:after="240" w:line="360" w:lineRule="atLeast"/>
        <w:ind w:firstLine="48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 xml:space="preserve">（标的名称）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（采购文件中明确的所属行业） </w:t>
      </w:r>
      <w:r>
        <w:rPr>
          <w:rFonts w:hint="eastAsia" w:ascii="宋体" w:hAnsi="宋体" w:cs="宋体"/>
          <w:color w:val="auto"/>
          <w:kern w:val="0"/>
          <w:sz w:val="24"/>
          <w:highlight w:val="none"/>
        </w:rPr>
        <w:t>；承建（承接）企业为</w:t>
      </w:r>
      <w:r>
        <w:rPr>
          <w:rFonts w:hint="eastAsia" w:ascii="宋体" w:hAnsi="宋体" w:cs="宋体"/>
          <w:color w:val="auto"/>
          <w:kern w:val="0"/>
          <w:sz w:val="24"/>
          <w:highlight w:val="none"/>
          <w:u w:val="single"/>
        </w:rPr>
        <w:t xml:space="preserve"> （企业名称） </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万元¹，资产总额为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 xml:space="preserve"> （中型企业、小型企业、微型企业）；</w:t>
      </w:r>
    </w:p>
    <w:p w14:paraId="4795A1E0">
      <w:pPr>
        <w:widowControl/>
        <w:shd w:val="clear" w:color="auto" w:fill="FFFFFF"/>
        <w:spacing w:after="240" w:line="36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rPr>
        <w:t xml:space="preserve"> （标的名称）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（采购文件中明确的所属行业）</w:t>
      </w:r>
      <w:r>
        <w:rPr>
          <w:rFonts w:hint="eastAsia" w:ascii="宋体" w:hAnsi="宋体" w:cs="宋体"/>
          <w:color w:val="auto"/>
          <w:kern w:val="0"/>
          <w:sz w:val="24"/>
          <w:highlight w:val="none"/>
        </w:rPr>
        <w:t xml:space="preserve"> ；承建（承接）企业为</w:t>
      </w:r>
      <w:r>
        <w:rPr>
          <w:rFonts w:hint="eastAsia" w:ascii="宋体" w:hAnsi="宋体" w:cs="宋体"/>
          <w:color w:val="auto"/>
          <w:kern w:val="0"/>
          <w:sz w:val="24"/>
          <w:highlight w:val="none"/>
          <w:u w:val="single"/>
        </w:rPr>
        <w:t xml:space="preserve"> （企业名称） </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 xml:space="preserve"> （中型企业、小型企业、微型企业） </w:t>
      </w:r>
      <w:r>
        <w:rPr>
          <w:rFonts w:hint="eastAsia" w:ascii="宋体" w:hAnsi="宋体" w:cs="宋体"/>
          <w:color w:val="auto"/>
          <w:kern w:val="0"/>
          <w:sz w:val="24"/>
          <w:highlight w:val="none"/>
        </w:rPr>
        <w:t>；</w:t>
      </w:r>
    </w:p>
    <w:p w14:paraId="517FD4EF">
      <w:pPr>
        <w:widowControl/>
        <w:shd w:val="clear" w:color="auto" w:fill="FFFFFF"/>
        <w:spacing w:after="240" w:line="36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14:paraId="2F5A4458">
      <w:pPr>
        <w:widowControl/>
        <w:shd w:val="clear" w:color="auto" w:fill="FFFFFF"/>
        <w:spacing w:after="240" w:line="312" w:lineRule="auto"/>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　　　　　　　　　　　　</w:t>
      </w:r>
    </w:p>
    <w:p w14:paraId="1EBD681B">
      <w:pPr>
        <w:widowControl/>
        <w:shd w:val="clear" w:color="auto" w:fill="FFFFFF"/>
        <w:spacing w:after="240" w:line="3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　　　　　　　　　　　</w:t>
      </w:r>
    </w:p>
    <w:p w14:paraId="55199864">
      <w:pPr>
        <w:widowControl/>
        <w:shd w:val="clear" w:color="auto" w:fill="FFFFFF"/>
        <w:spacing w:after="240" w:line="360" w:lineRule="atLeast"/>
        <w:ind w:firstLine="6000" w:firstLineChars="2500"/>
        <w:jc w:val="left"/>
        <w:rPr>
          <w:rFonts w:ascii="宋体" w:hAnsi="宋体" w:cs="宋体"/>
          <w:color w:val="auto"/>
          <w:kern w:val="0"/>
          <w:sz w:val="24"/>
          <w:highlight w:val="none"/>
        </w:rPr>
      </w:pPr>
      <w:r>
        <w:rPr>
          <w:rFonts w:hint="eastAsia" w:ascii="宋体" w:hAnsi="宋体" w:cs="宋体"/>
          <w:color w:val="auto"/>
          <w:kern w:val="0"/>
          <w:sz w:val="24"/>
          <w:highlight w:val="none"/>
        </w:rPr>
        <w:t>企业名称（</w:t>
      </w:r>
      <w:r>
        <w:rPr>
          <w:rFonts w:hint="eastAsia" w:ascii="宋体" w:hAnsi="宋体" w:cs="宋体"/>
          <w:color w:val="auto"/>
          <w:sz w:val="24"/>
          <w:highlight w:val="none"/>
        </w:rPr>
        <w:t>电子签章</w:t>
      </w:r>
      <w:r>
        <w:rPr>
          <w:rFonts w:hint="eastAsia" w:ascii="宋体" w:hAnsi="宋体" w:cs="宋体"/>
          <w:color w:val="auto"/>
          <w:kern w:val="0"/>
          <w:sz w:val="24"/>
          <w:highlight w:val="none"/>
        </w:rPr>
        <w:t>）：</w:t>
      </w:r>
    </w:p>
    <w:p w14:paraId="40179089">
      <w:pPr>
        <w:widowControl/>
        <w:shd w:val="clear" w:color="auto" w:fill="FFFFFF"/>
        <w:spacing w:after="240" w:line="36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     年   月   日</w:t>
      </w:r>
    </w:p>
    <w:p w14:paraId="3FC22048">
      <w:pPr>
        <w:snapToGrid w:val="0"/>
        <w:spacing w:line="400" w:lineRule="exact"/>
        <w:jc w:val="left"/>
        <w:rPr>
          <w:rFonts w:ascii="宋体" w:hAnsi="宋体" w:cs="宋体"/>
          <w:color w:val="auto"/>
          <w:sz w:val="22"/>
          <w:szCs w:val="22"/>
          <w:highlight w:val="none"/>
        </w:rPr>
      </w:pPr>
    </w:p>
    <w:p w14:paraId="39A914A5">
      <w:pPr>
        <w:snapToGrid w:val="0"/>
        <w:spacing w:line="400" w:lineRule="exact"/>
        <w:jc w:val="left"/>
        <w:rPr>
          <w:rFonts w:ascii="宋体" w:hAnsi="宋体" w:cs="宋体"/>
          <w:color w:val="auto"/>
          <w:sz w:val="22"/>
          <w:szCs w:val="22"/>
          <w:highlight w:val="none"/>
        </w:rPr>
      </w:pP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167640</wp:posOffset>
                </wp:positionV>
                <wp:extent cx="1854200" cy="19050"/>
                <wp:effectExtent l="0" t="4445" r="12700" b="5080"/>
                <wp:wrapNone/>
                <wp:docPr id="1" name="直接连接符 1"/>
                <wp:cNvGraphicFramePr/>
                <a:graphic xmlns:a="http://schemas.openxmlformats.org/drawingml/2006/main">
                  <a:graphicData uri="http://schemas.microsoft.com/office/word/2010/wordprocessingShape">
                    <wps:wsp>
                      <wps:cNvCnPr/>
                      <wps:spPr>
                        <a:xfrm>
                          <a:off x="0" y="0"/>
                          <a:ext cx="185420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5pt;margin-top:13.2pt;height:1.5pt;width:146pt;z-index:251663360;mso-width-relative:page;mso-height-relative:page;" filled="f" stroked="t" coordsize="21600,21600" o:gfxdata="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WdUsjVAAAABwEAAA8AAAAAAAAAAQAgAAAAIgAAAGRycy9kb3ducmV2LnhtbFBLAQIUABQAAAAI&#10;AIdO4kA2KXgv8AEAANwDAAAOAAAAAAAAAAEAIAAAACQBAABkcnMvZTJvRG9jLnhtbFBLBQYAAAAA&#10;BgAGAFkBAACGBQAAAAA=&#10;">
                <v:fill on="f" focussize="0,0"/>
                <v:stroke color="#000000" joinstyle="round"/>
                <v:imagedata o:title=""/>
                <o:lock v:ext="edit" aspectratio="f"/>
              </v:line>
            </w:pict>
          </mc:Fallback>
        </mc:AlternateContent>
      </w:r>
    </w:p>
    <w:p w14:paraId="37184967">
      <w:pPr>
        <w:spacing w:line="360" w:lineRule="auto"/>
        <w:rPr>
          <w:rFonts w:ascii="宋体" w:hAnsi="宋体" w:cs="宋体"/>
          <w:color w:val="auto"/>
          <w:sz w:val="24"/>
          <w:highlight w:val="none"/>
        </w:rPr>
      </w:pPr>
      <w:r>
        <w:rPr>
          <w:rFonts w:hint="eastAsia" w:ascii="宋体" w:hAnsi="宋体" w:cs="宋体"/>
          <w:color w:val="auto"/>
          <w:sz w:val="22"/>
          <w:szCs w:val="22"/>
          <w:highlight w:val="none"/>
        </w:rPr>
        <w:t>¹</w:t>
      </w:r>
      <w:r>
        <w:rPr>
          <w:rFonts w:hint="eastAsia" w:ascii="宋体" w:hAnsi="宋体" w:cs="宋体"/>
          <w:color w:val="auto"/>
          <w:szCs w:val="21"/>
          <w:highlight w:val="none"/>
        </w:rPr>
        <w:t>从业人员、营业收入、资产总额填报上一年度数据，无上一年度数据的新成立企业可不填报。</w:t>
      </w:r>
    </w:p>
    <w:p w14:paraId="7A26B4AA">
      <w:pPr>
        <w:rPr>
          <w:rFonts w:ascii="宋体" w:hAnsi="宋体" w:cs="宋体"/>
          <w:color w:val="auto"/>
          <w:sz w:val="22"/>
          <w:szCs w:val="22"/>
          <w:highlight w:val="none"/>
        </w:rPr>
      </w:pPr>
      <w:r>
        <w:rPr>
          <w:rFonts w:hint="eastAsia" w:ascii="宋体" w:hAnsi="宋体" w:cs="宋体"/>
          <w:color w:val="auto"/>
          <w:highlight w:val="none"/>
          <w:vertAlign w:val="superscript"/>
        </w:rPr>
        <w:t>2</w:t>
      </w:r>
      <w:r>
        <w:rPr>
          <w:rFonts w:hint="eastAsia" w:ascii="宋体" w:hAnsi="宋体" w:cs="宋体"/>
          <w:color w:val="auto"/>
          <w:szCs w:val="21"/>
          <w:highlight w:val="none"/>
        </w:rPr>
        <w:t>本项目服务所属行业为：其他未列明行业。</w:t>
      </w:r>
    </w:p>
    <w:p w14:paraId="5F64F731">
      <w:pPr>
        <w:rPr>
          <w:rFonts w:ascii="宋体" w:hAnsi="宋体" w:cs="宋体"/>
          <w:color w:val="auto"/>
          <w:highlight w:val="none"/>
        </w:rPr>
      </w:pPr>
      <w:r>
        <w:rPr>
          <w:rFonts w:hint="eastAsia" w:ascii="宋体" w:hAnsi="宋体" w:cs="宋体"/>
          <w:color w:val="auto"/>
          <w:highlight w:val="none"/>
          <w:vertAlign w:val="superscript"/>
        </w:rPr>
        <w:t>3</w:t>
      </w:r>
      <w:r>
        <w:rPr>
          <w:rFonts w:hint="eastAsia" w:ascii="宋体" w:hAnsi="宋体" w:cs="宋体"/>
          <w:color w:val="auto"/>
          <w:highlight w:val="none"/>
        </w:rPr>
        <w:t>中标人依法享受中小企业扶持政策的，采购代理机构将在成交结果公告中公告其《中小企业声明函》。</w:t>
      </w:r>
    </w:p>
    <w:p w14:paraId="25BC9A5C">
      <w:pPr>
        <w:rPr>
          <w:rFonts w:ascii="宋体" w:hAnsi="宋体" w:cs="宋体"/>
          <w:b/>
          <w:color w:val="auto"/>
          <w:sz w:val="36"/>
          <w:highlight w:val="none"/>
        </w:rPr>
      </w:pPr>
      <w:r>
        <w:rPr>
          <w:rFonts w:hint="eastAsia" w:ascii="宋体" w:hAnsi="宋体" w:cs="宋体"/>
          <w:b/>
          <w:color w:val="auto"/>
          <w:sz w:val="36"/>
          <w:highlight w:val="none"/>
        </w:rPr>
        <w:br w:type="page"/>
      </w:r>
    </w:p>
    <w:p w14:paraId="2D0380CF">
      <w:pPr>
        <w:pStyle w:val="27"/>
        <w:jc w:val="left"/>
        <w:rPr>
          <w:rFonts w:hAnsi="宋体" w:cs="宋体"/>
          <w:color w:val="auto"/>
          <w:sz w:val="32"/>
          <w:szCs w:val="32"/>
          <w:highlight w:val="none"/>
        </w:rPr>
      </w:pPr>
      <w:r>
        <w:rPr>
          <w:rFonts w:hint="eastAsia" w:hAnsi="宋体" w:cs="宋体"/>
          <w:color w:val="auto"/>
          <w:sz w:val="32"/>
          <w:szCs w:val="32"/>
          <w:highlight w:val="none"/>
        </w:rPr>
        <w:t>附：</w:t>
      </w:r>
    </w:p>
    <w:p w14:paraId="0679E054">
      <w:pPr>
        <w:jc w:val="center"/>
        <w:rPr>
          <w:rFonts w:ascii="宋体" w:hAnsi="宋体" w:cs="宋体"/>
          <w:color w:val="auto"/>
          <w:sz w:val="44"/>
          <w:szCs w:val="44"/>
          <w:highlight w:val="none"/>
        </w:rPr>
      </w:pPr>
      <w:r>
        <w:rPr>
          <w:rFonts w:hint="eastAsia" w:ascii="宋体" w:hAnsi="宋体" w:cs="宋体"/>
          <w:color w:val="auto"/>
          <w:sz w:val="44"/>
          <w:szCs w:val="44"/>
          <w:highlight w:val="none"/>
        </w:rPr>
        <w:t>中小微企业划型标准</w:t>
      </w:r>
    </w:p>
    <w:p w14:paraId="77764F48">
      <w:pPr>
        <w:ind w:left="1871"/>
        <w:rPr>
          <w:rFonts w:ascii="宋体" w:hAnsi="宋体" w:cs="宋体"/>
          <w:color w:val="auto"/>
          <w:szCs w:val="21"/>
          <w:highlight w:val="none"/>
        </w:rPr>
      </w:pPr>
    </w:p>
    <w:tbl>
      <w:tblPr>
        <w:tblStyle w:val="49"/>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45A832C3">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E6F6506">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0CE29B0A">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4C157293">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74C1B93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523969B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71387ACF">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064DD61">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956CCE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499216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78BCF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4F9D71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E36D3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193A93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2A022D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491D68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57FA43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EFF3E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AF9F5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905B9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D4FC0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85996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1D33534">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7A130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0B127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DC999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3EA05D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64EE4E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3996F1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10B03F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2A92FF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B415E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F59DB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7302EF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07E54D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6A1B71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7B1B181">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5DE87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F1A54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5914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7A52EF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013493F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B93133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2847DC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354770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D3E8D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30131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01EFB2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5B09F7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50955C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A67BEB">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F7A92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D37DA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82408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3F5469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420DBD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09B391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FC23A2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101CCE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C0098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7847B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23B68D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0EBF2A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B13B4A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DB4829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6DF68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406C3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7EEC3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46A86F2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32B627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CEE0AE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95829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29DF09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C83FF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3A795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5F905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A7ECB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16394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D1D1A20">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53F5D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EC7C0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1D1E9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1C7449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7D885A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58AC3B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88586B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58E7C5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8EC97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5B5C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6B18F37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5F96A7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B64D6F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0B3B8D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3446F9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498C0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7AE99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44FB7A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FAAAD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C15DB5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C20FD2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6520A5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0B8AD4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9C2B0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6BC27C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F9EA3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CFFF2E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9C27F54">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2DBFC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83BC0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0EB2D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28D8EA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020C2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43388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80904A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2862F2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F35F6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CF577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40983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F8F1F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2637FD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02062D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193DF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9FBE8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0ACBF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4CC0FB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E0BF5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AB90E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95E625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106C58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34F0D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017C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174DC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96C9F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C13E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2C6174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3A511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1B427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BD541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74888A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BFF1A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28CA8A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DDA59D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0AADDB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E18200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EBF75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6D31D5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B4925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B66738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9377B5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18C63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A513D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4583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1363C5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04EBAE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AC3B9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32EA20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62224E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843F1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B964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E7134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6F511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FFA94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CC5D92B">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44D9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6AF5D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85E7F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0D88CF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14A114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C47396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4684F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5900C4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6E6C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D95BE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58BCA2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551EBE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D6CDAC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E307E05">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C7D4C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35559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98E63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34F423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1B25E3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3F6973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907F3A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66B7F8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25A5A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DFA1C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4FE95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339266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FB8B98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B2168E">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607B8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16C1B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D936C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3335FD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04BF2A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61147C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B14479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4AA3F1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E27FF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74D9A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ED4E5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B7403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058309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036A0DB">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DCE58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82AF6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2DB3E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673E0C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03817E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D263148">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CA6AD3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2B3BBB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EBB0B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847CC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53851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65DB9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7DF8541">
      <w:pPr>
        <w:spacing w:line="360" w:lineRule="auto"/>
        <w:ind w:firstLine="525" w:firstLineChars="250"/>
        <w:rPr>
          <w:rFonts w:ascii="宋体" w:hAnsi="宋体" w:cs="宋体"/>
          <w:color w:val="auto"/>
          <w:szCs w:val="21"/>
          <w:highlight w:val="none"/>
        </w:rPr>
      </w:pPr>
    </w:p>
    <w:p w14:paraId="411E3F10">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996FD03">
      <w:pPr>
        <w:spacing w:line="588" w:lineRule="exact"/>
        <w:jc w:val="center"/>
        <w:rPr>
          <w:rFonts w:ascii="宋体" w:hAnsi="宋体" w:cs="宋体"/>
          <w:b/>
          <w:color w:val="auto"/>
          <w:spacing w:val="6"/>
          <w:sz w:val="36"/>
          <w:szCs w:val="36"/>
          <w:highlight w:val="none"/>
        </w:rPr>
      </w:pPr>
    </w:p>
    <w:p w14:paraId="0194112A">
      <w:pPr>
        <w:pStyle w:val="70"/>
        <w:numPr>
          <w:ilvl w:val="0"/>
          <w:numId w:val="0"/>
        </w:numPr>
        <w:tabs>
          <w:tab w:val="clear" w:pos="562"/>
        </w:tabs>
        <w:ind w:left="142"/>
        <w:rPr>
          <w:rFonts w:hint="default" w:cs="宋体"/>
          <w:color w:val="auto"/>
          <w:highlight w:val="none"/>
        </w:rPr>
      </w:pPr>
    </w:p>
    <w:p w14:paraId="0B21A879">
      <w:pPr>
        <w:spacing w:line="588" w:lineRule="exact"/>
        <w:jc w:val="center"/>
        <w:rPr>
          <w:rFonts w:ascii="宋体" w:hAnsi="宋体" w:cs="宋体"/>
          <w:b/>
          <w:color w:val="auto"/>
          <w:spacing w:val="6"/>
          <w:sz w:val="36"/>
          <w:szCs w:val="36"/>
          <w:highlight w:val="none"/>
        </w:rPr>
      </w:pPr>
    </w:p>
    <w:p w14:paraId="6CFC3226">
      <w:pPr>
        <w:spacing w:line="588" w:lineRule="exact"/>
        <w:jc w:val="center"/>
        <w:rPr>
          <w:rFonts w:ascii="宋体" w:hAnsi="宋体" w:cs="宋体"/>
          <w:b/>
          <w:color w:val="auto"/>
          <w:spacing w:val="6"/>
          <w:sz w:val="36"/>
          <w:szCs w:val="36"/>
          <w:highlight w:val="none"/>
        </w:rPr>
      </w:pPr>
      <w:r>
        <w:rPr>
          <w:rFonts w:hint="eastAsia" w:ascii="宋体" w:hAnsi="宋体" w:cs="宋体"/>
          <w:b/>
          <w:color w:val="auto"/>
          <w:spacing w:val="6"/>
          <w:sz w:val="36"/>
          <w:szCs w:val="36"/>
          <w:highlight w:val="none"/>
        </w:rPr>
        <w:t>残疾人福利性单位声明函</w:t>
      </w:r>
      <w:r>
        <w:rPr>
          <w:rFonts w:hint="eastAsia" w:ascii="宋体" w:hAnsi="宋体" w:cs="宋体"/>
          <w:b/>
          <w:color w:val="auto"/>
          <w:sz w:val="36"/>
          <w:szCs w:val="36"/>
          <w:highlight w:val="none"/>
        </w:rPr>
        <w:t>（格式）</w:t>
      </w:r>
    </w:p>
    <w:p w14:paraId="4C220A05">
      <w:pPr>
        <w:spacing w:line="588" w:lineRule="exact"/>
        <w:rPr>
          <w:rFonts w:ascii="宋体" w:hAnsi="宋体" w:cs="宋体"/>
          <w:b/>
          <w:color w:val="auto"/>
          <w:spacing w:val="6"/>
          <w:sz w:val="24"/>
          <w:highlight w:val="none"/>
        </w:rPr>
      </w:pPr>
    </w:p>
    <w:p w14:paraId="1CA31A82">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63FE11">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08387A4C">
      <w:pPr>
        <w:spacing w:line="588" w:lineRule="exact"/>
        <w:ind w:firstLine="504" w:firstLineChars="200"/>
        <w:rPr>
          <w:rFonts w:ascii="宋体" w:hAnsi="宋体" w:cs="宋体"/>
          <w:color w:val="auto"/>
          <w:spacing w:val="6"/>
          <w:sz w:val="24"/>
          <w:highlight w:val="none"/>
        </w:rPr>
      </w:pPr>
    </w:p>
    <w:p w14:paraId="7C6DAB5D">
      <w:pPr>
        <w:spacing w:line="588" w:lineRule="exact"/>
        <w:ind w:firstLine="504" w:firstLineChars="200"/>
        <w:rPr>
          <w:rFonts w:ascii="宋体" w:hAnsi="宋体" w:cs="宋体"/>
          <w:color w:val="auto"/>
          <w:spacing w:val="6"/>
          <w:sz w:val="24"/>
          <w:highlight w:val="none"/>
        </w:rPr>
      </w:pPr>
    </w:p>
    <w:p w14:paraId="2C554BE6">
      <w:pPr>
        <w:pStyle w:val="27"/>
        <w:spacing w:before="120" w:line="360" w:lineRule="auto"/>
        <w:ind w:firstLine="2520" w:firstLineChars="1000"/>
        <w:rPr>
          <w:rFonts w:hAnsi="宋体" w:cs="宋体"/>
          <w:color w:val="auto"/>
          <w:sz w:val="24"/>
          <w:szCs w:val="24"/>
          <w:highlight w:val="none"/>
          <w:u w:val="single"/>
        </w:rPr>
      </w:pPr>
      <w:r>
        <w:rPr>
          <w:rFonts w:hint="eastAsia" w:hAnsi="宋体" w:cs="宋体"/>
          <w:color w:val="auto"/>
          <w:spacing w:val="6"/>
          <w:sz w:val="24"/>
          <w:highlight w:val="none"/>
        </w:rPr>
        <w:t xml:space="preserve"> </w:t>
      </w:r>
      <w:r>
        <w:rPr>
          <w:rFonts w:hint="eastAsia" w:hAnsi="宋体" w:cs="宋体"/>
          <w:color w:val="auto"/>
          <w:sz w:val="24"/>
          <w:szCs w:val="24"/>
          <w:highlight w:val="none"/>
        </w:rPr>
        <w:t>法定代表人或委托代理人（签字）：</w:t>
      </w:r>
      <w:r>
        <w:rPr>
          <w:rFonts w:hint="eastAsia" w:hAnsi="宋体" w:cs="宋体"/>
          <w:color w:val="auto"/>
          <w:sz w:val="24"/>
          <w:szCs w:val="24"/>
          <w:highlight w:val="none"/>
          <w:u w:val="single"/>
        </w:rPr>
        <w:t xml:space="preserve">              </w:t>
      </w:r>
    </w:p>
    <w:p w14:paraId="6B2AD079">
      <w:pPr>
        <w:pStyle w:val="27"/>
        <w:spacing w:before="120"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磋商供应商名称（</w:t>
      </w:r>
      <w:r>
        <w:rPr>
          <w:rFonts w:hint="eastAsia" w:hAnsi="宋体" w:cs="宋体"/>
          <w:color w:val="auto"/>
          <w:sz w:val="24"/>
          <w:highlight w:val="none"/>
        </w:rPr>
        <w:t>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1A6B3B2B">
      <w:pPr>
        <w:pStyle w:val="27"/>
        <w:spacing w:before="120"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3D21221D">
      <w:pPr>
        <w:pStyle w:val="20"/>
        <w:rPr>
          <w:rFonts w:ascii="宋体" w:hAnsi="宋体" w:cs="宋体"/>
          <w:color w:val="auto"/>
          <w:highlight w:val="none"/>
        </w:rPr>
      </w:pPr>
    </w:p>
    <w:p w14:paraId="5541CA0D">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E72C3EE">
      <w:pPr>
        <w:spacing w:line="520" w:lineRule="exact"/>
        <w:jc w:val="center"/>
        <w:rPr>
          <w:rFonts w:ascii="宋体" w:hAnsi="宋体" w:cs="宋体"/>
          <w:b/>
          <w:color w:val="auto"/>
          <w:sz w:val="36"/>
          <w:szCs w:val="36"/>
          <w:highlight w:val="none"/>
        </w:rPr>
      </w:pPr>
    </w:p>
    <w:p w14:paraId="41A7B0A4">
      <w:pPr>
        <w:spacing w:line="52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磋  商  书（格式）</w:t>
      </w:r>
    </w:p>
    <w:p w14:paraId="16561E0D">
      <w:pPr>
        <w:spacing w:line="400" w:lineRule="exact"/>
        <w:jc w:val="center"/>
        <w:rPr>
          <w:rFonts w:ascii="宋体" w:hAnsi="宋体" w:cs="宋体"/>
          <w:b/>
          <w:color w:val="auto"/>
          <w:szCs w:val="21"/>
          <w:highlight w:val="none"/>
        </w:rPr>
      </w:pPr>
    </w:p>
    <w:p w14:paraId="2A6EC4A0">
      <w:pPr>
        <w:pStyle w:val="27"/>
        <w:spacing w:line="440" w:lineRule="exact"/>
        <w:rPr>
          <w:rFonts w:hAnsi="宋体" w:cs="宋体"/>
          <w:color w:val="auto"/>
          <w:sz w:val="24"/>
          <w:szCs w:val="24"/>
          <w:highlight w:val="none"/>
        </w:rPr>
      </w:pPr>
      <w:r>
        <w:rPr>
          <w:rFonts w:hint="eastAsia" w:hAnsi="宋体" w:cs="宋体"/>
          <w:color w:val="auto"/>
          <w:sz w:val="24"/>
          <w:szCs w:val="24"/>
          <w:highlight w:val="none"/>
          <w:u w:val="single"/>
          <w:lang w:eastAsia="zh-CN"/>
        </w:rPr>
        <w:t>广西创佳项目管理</w:t>
      </w:r>
      <w:r>
        <w:rPr>
          <w:rFonts w:hint="eastAsia" w:hAnsi="宋体" w:cs="宋体"/>
          <w:color w:val="auto"/>
          <w:sz w:val="24"/>
          <w:szCs w:val="24"/>
          <w:highlight w:val="none"/>
          <w:u w:val="single"/>
        </w:rPr>
        <w:t>有限公司</w:t>
      </w:r>
      <w:r>
        <w:rPr>
          <w:rFonts w:hint="eastAsia" w:hAnsi="宋体" w:cs="宋体"/>
          <w:color w:val="auto"/>
          <w:sz w:val="24"/>
          <w:szCs w:val="24"/>
          <w:highlight w:val="none"/>
        </w:rPr>
        <w:t>：</w:t>
      </w:r>
    </w:p>
    <w:p w14:paraId="445BD4AB">
      <w:pPr>
        <w:pStyle w:val="2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依据贵方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w:t>
      </w:r>
      <w:r>
        <w:rPr>
          <w:rFonts w:hint="eastAsia" w:hAnsi="宋体" w:cs="宋体"/>
          <w:color w:val="auto"/>
          <w:sz w:val="24"/>
          <w:szCs w:val="24"/>
          <w:highlight w:val="none"/>
          <w:u w:val="single"/>
        </w:rPr>
        <w:t xml:space="preserve">    </w:t>
      </w:r>
      <w:r>
        <w:rPr>
          <w:rFonts w:hint="eastAsia" w:hAnsi="宋体" w:cs="宋体"/>
          <w:color w:val="auto"/>
          <w:sz w:val="24"/>
          <w:highlight w:val="none"/>
        </w:rPr>
        <w:t>分标</w:t>
      </w:r>
      <w:r>
        <w:rPr>
          <w:rFonts w:hint="eastAsia" w:hAnsi="宋体" w:cs="宋体"/>
          <w:color w:val="auto"/>
          <w:sz w:val="24"/>
          <w:szCs w:val="24"/>
          <w:highlight w:val="none"/>
        </w:rPr>
        <w:t>政府采购的磋商邀请，我方</w:t>
      </w:r>
      <w:r>
        <w:rPr>
          <w:rFonts w:hint="eastAsia" w:hAnsi="宋体" w:cs="宋体"/>
          <w:color w:val="auto"/>
          <w:sz w:val="24"/>
          <w:szCs w:val="24"/>
          <w:highlight w:val="none"/>
          <w:u w:val="single"/>
        </w:rPr>
        <w:t>（姓名和职务）</w:t>
      </w:r>
      <w:r>
        <w:rPr>
          <w:rFonts w:hint="eastAsia" w:hAnsi="宋体" w:cs="宋体"/>
          <w:color w:val="auto"/>
          <w:sz w:val="24"/>
          <w:szCs w:val="24"/>
          <w:highlight w:val="none"/>
        </w:rPr>
        <w:t>经正式授权并代表供应商</w:t>
      </w:r>
      <w:r>
        <w:rPr>
          <w:rFonts w:hint="eastAsia" w:hAnsi="宋体" w:cs="宋体"/>
          <w:color w:val="auto"/>
          <w:sz w:val="24"/>
          <w:szCs w:val="24"/>
          <w:highlight w:val="none"/>
          <w:u w:val="single"/>
        </w:rPr>
        <w:t xml:space="preserve">       （供应商名称、地址）         </w:t>
      </w:r>
      <w:r>
        <w:rPr>
          <w:rFonts w:hint="eastAsia" w:hAnsi="宋体" w:cs="宋体"/>
          <w:color w:val="auto"/>
          <w:sz w:val="24"/>
          <w:szCs w:val="24"/>
          <w:highlight w:val="none"/>
        </w:rPr>
        <w:t>，遵照《政府采购法》的规定，我单位经考察和研究上述采购文件的竞标须知、合同条件和其他有关文件后，我方愿以综合总报价人民币</w:t>
      </w:r>
      <w:r>
        <w:rPr>
          <w:rFonts w:hint="eastAsia" w:hAnsi="宋体" w:cs="宋体"/>
          <w:color w:val="auto"/>
          <w:sz w:val="24"/>
          <w:szCs w:val="24"/>
          <w:highlight w:val="none"/>
          <w:u w:val="single"/>
        </w:rPr>
        <w:t>（大写）                   (￥         元)</w:t>
      </w:r>
      <w:r>
        <w:rPr>
          <w:rFonts w:hint="eastAsia" w:hAnsi="宋体" w:cs="宋体"/>
          <w:color w:val="auto"/>
          <w:sz w:val="24"/>
          <w:szCs w:val="24"/>
          <w:highlight w:val="none"/>
        </w:rPr>
        <w:t>进行报价，按上述合同条件承包本项目的采购服务工作。服务期限：</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05126B42">
      <w:pPr>
        <w:pStyle w:val="27"/>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在此，授权代表宣布同意如下：</w:t>
      </w:r>
    </w:p>
    <w:p w14:paraId="44A5B801">
      <w:pPr>
        <w:pStyle w:val="27"/>
        <w:spacing w:line="440" w:lineRule="exact"/>
        <w:ind w:firstLine="480"/>
        <w:rPr>
          <w:rFonts w:hAnsi="宋体" w:cs="宋体"/>
          <w:color w:val="auto"/>
          <w:sz w:val="24"/>
          <w:szCs w:val="24"/>
          <w:highlight w:val="none"/>
        </w:rPr>
      </w:pPr>
      <w:r>
        <w:rPr>
          <w:rFonts w:hint="eastAsia" w:hAnsi="宋体" w:cs="宋体"/>
          <w:color w:val="auto"/>
          <w:sz w:val="24"/>
          <w:szCs w:val="24"/>
          <w:highlight w:val="none"/>
        </w:rPr>
        <w:t>1. 将按竞争性磋商文件的约定履行合同责任和义务；</w:t>
      </w:r>
    </w:p>
    <w:p w14:paraId="33899693">
      <w:pPr>
        <w:pStyle w:val="27"/>
        <w:spacing w:line="440" w:lineRule="exact"/>
        <w:ind w:left="839" w:leftChars="228" w:hanging="360" w:hangingChars="150"/>
        <w:rPr>
          <w:rFonts w:hAnsi="宋体" w:cs="宋体"/>
          <w:color w:val="auto"/>
          <w:sz w:val="24"/>
          <w:szCs w:val="24"/>
          <w:highlight w:val="none"/>
        </w:rPr>
      </w:pPr>
      <w:r>
        <w:rPr>
          <w:rFonts w:hint="eastAsia" w:hAnsi="宋体" w:cs="宋体"/>
          <w:color w:val="auto"/>
          <w:sz w:val="24"/>
          <w:szCs w:val="24"/>
          <w:highlight w:val="none"/>
        </w:rPr>
        <w:t>2. 已详细审查全部竞争性磋商文件，包括</w:t>
      </w:r>
      <w:r>
        <w:rPr>
          <w:rFonts w:hint="eastAsia" w:hAnsi="宋体" w:cs="宋体"/>
          <w:color w:val="auto"/>
          <w:sz w:val="24"/>
          <w:szCs w:val="24"/>
          <w:highlight w:val="none"/>
          <w:u w:val="single"/>
        </w:rPr>
        <w:t>（补遗书）（如有）</w:t>
      </w:r>
      <w:r>
        <w:rPr>
          <w:rFonts w:hint="eastAsia" w:hAnsi="宋体" w:cs="宋体"/>
          <w:color w:val="auto"/>
          <w:sz w:val="24"/>
          <w:szCs w:val="24"/>
          <w:highlight w:val="none"/>
        </w:rPr>
        <w:t>；我们完全理解并同意放弃对这方面有不明及误解的权力；</w:t>
      </w:r>
    </w:p>
    <w:p w14:paraId="7FF36167">
      <w:pPr>
        <w:pStyle w:val="27"/>
        <w:spacing w:line="440" w:lineRule="exact"/>
        <w:ind w:left="840" w:hanging="360"/>
        <w:rPr>
          <w:rFonts w:hAnsi="宋体" w:cs="宋体"/>
          <w:color w:val="auto"/>
          <w:sz w:val="24"/>
          <w:szCs w:val="24"/>
          <w:highlight w:val="none"/>
        </w:rPr>
      </w:pPr>
      <w:r>
        <w:rPr>
          <w:rFonts w:hint="eastAsia" w:hAnsi="宋体" w:cs="宋体"/>
          <w:color w:val="auto"/>
          <w:sz w:val="24"/>
          <w:szCs w:val="24"/>
          <w:highlight w:val="none"/>
        </w:rPr>
        <w:t>3. 同意提供按照贵方可能要求的与其磋商有关的一切数据或资料；</w:t>
      </w:r>
    </w:p>
    <w:p w14:paraId="5EF0CAC1">
      <w:pPr>
        <w:pStyle w:val="27"/>
        <w:spacing w:line="440" w:lineRule="exact"/>
        <w:ind w:firstLine="480"/>
        <w:rPr>
          <w:rFonts w:hAnsi="宋体" w:cs="宋体"/>
          <w:color w:val="auto"/>
          <w:sz w:val="24"/>
          <w:szCs w:val="24"/>
          <w:highlight w:val="none"/>
          <w:u w:val="single"/>
        </w:rPr>
      </w:pPr>
      <w:r>
        <w:rPr>
          <w:rFonts w:hint="eastAsia" w:hAnsi="宋体" w:cs="宋体"/>
          <w:color w:val="auto"/>
          <w:sz w:val="24"/>
          <w:szCs w:val="24"/>
          <w:highlight w:val="none"/>
        </w:rPr>
        <w:t>4. 与本磋商有关的一切正式往来信函请寄：</w:t>
      </w:r>
      <w:r>
        <w:rPr>
          <w:rFonts w:hint="eastAsia" w:hAnsi="宋体" w:cs="宋体"/>
          <w:color w:val="auto"/>
          <w:sz w:val="24"/>
          <w:szCs w:val="24"/>
          <w:highlight w:val="none"/>
          <w:u w:val="single"/>
        </w:rPr>
        <w:t xml:space="preserve">                       </w:t>
      </w:r>
    </w:p>
    <w:p w14:paraId="60CBD88D">
      <w:pPr>
        <w:pStyle w:val="27"/>
        <w:spacing w:line="520" w:lineRule="exact"/>
        <w:ind w:firstLine="84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邮政编码：</w:t>
      </w:r>
      <w:r>
        <w:rPr>
          <w:rFonts w:hint="eastAsia" w:hAnsi="宋体" w:cs="宋体"/>
          <w:color w:val="auto"/>
          <w:sz w:val="24"/>
          <w:szCs w:val="24"/>
          <w:highlight w:val="none"/>
          <w:u w:val="single"/>
        </w:rPr>
        <w:t xml:space="preserve">         </w:t>
      </w:r>
    </w:p>
    <w:p w14:paraId="76EC2479">
      <w:pPr>
        <w:pStyle w:val="27"/>
        <w:spacing w:line="520" w:lineRule="exact"/>
        <w:ind w:firstLine="840"/>
        <w:rPr>
          <w:rFonts w:hAnsi="宋体" w:cs="宋体"/>
          <w:color w:val="auto"/>
          <w:sz w:val="24"/>
          <w:szCs w:val="24"/>
          <w:highlight w:val="none"/>
          <w:u w:val="singl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p>
    <w:p w14:paraId="032D06EF">
      <w:pPr>
        <w:pStyle w:val="27"/>
        <w:spacing w:line="520" w:lineRule="exact"/>
        <w:ind w:firstLine="84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2C130F72">
      <w:pPr>
        <w:pStyle w:val="27"/>
        <w:spacing w:line="520" w:lineRule="exact"/>
        <w:ind w:firstLine="84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5A0676B0">
      <w:pPr>
        <w:pStyle w:val="27"/>
        <w:spacing w:line="520" w:lineRule="exact"/>
        <w:ind w:firstLine="840"/>
        <w:rPr>
          <w:rFonts w:hAnsi="宋体" w:cs="宋体"/>
          <w:color w:val="auto"/>
          <w:sz w:val="24"/>
          <w:szCs w:val="24"/>
          <w:highlight w:val="none"/>
          <w:u w:val="single"/>
        </w:rPr>
      </w:pPr>
      <w:r>
        <w:rPr>
          <w:rFonts w:hint="eastAsia" w:hAnsi="宋体" w:cs="宋体"/>
          <w:color w:val="auto"/>
          <w:sz w:val="24"/>
          <w:szCs w:val="24"/>
          <w:highlight w:val="none"/>
        </w:rPr>
        <w:t>开户帐号：</w:t>
      </w:r>
      <w:r>
        <w:rPr>
          <w:rFonts w:hint="eastAsia" w:hAnsi="宋体" w:cs="宋体"/>
          <w:color w:val="auto"/>
          <w:sz w:val="24"/>
          <w:szCs w:val="24"/>
          <w:highlight w:val="none"/>
          <w:u w:val="single"/>
        </w:rPr>
        <w:t xml:space="preserve">                                                    </w:t>
      </w:r>
    </w:p>
    <w:p w14:paraId="39CC999B">
      <w:pPr>
        <w:pStyle w:val="27"/>
        <w:spacing w:line="520" w:lineRule="exact"/>
        <w:ind w:firstLine="840"/>
        <w:rPr>
          <w:rFonts w:hAnsi="宋体" w:cs="宋体"/>
          <w:color w:val="auto"/>
          <w:sz w:val="24"/>
          <w:szCs w:val="24"/>
          <w:highlight w:val="none"/>
          <w:u w:val="single"/>
        </w:rPr>
      </w:pPr>
      <w:r>
        <w:rPr>
          <w:rFonts w:hint="eastAsia" w:hAnsi="宋体" w:cs="宋体"/>
          <w:color w:val="auto"/>
          <w:sz w:val="24"/>
          <w:szCs w:val="24"/>
          <w:highlight w:val="none"/>
        </w:rPr>
        <w:t>法定代表人或委托代理人签名：</w:t>
      </w:r>
      <w:r>
        <w:rPr>
          <w:rFonts w:hint="eastAsia" w:hAnsi="宋体" w:cs="宋体"/>
          <w:color w:val="auto"/>
          <w:sz w:val="24"/>
          <w:szCs w:val="24"/>
          <w:highlight w:val="none"/>
          <w:u w:val="single"/>
        </w:rPr>
        <w:t xml:space="preserve">                      </w:t>
      </w:r>
    </w:p>
    <w:p w14:paraId="770436FB">
      <w:pPr>
        <w:pStyle w:val="27"/>
        <w:spacing w:line="520" w:lineRule="exact"/>
        <w:ind w:firstLine="840"/>
        <w:rPr>
          <w:rFonts w:hAnsi="宋体" w:cs="宋体"/>
          <w:color w:val="auto"/>
          <w:sz w:val="24"/>
          <w:szCs w:val="24"/>
          <w:highlight w:val="none"/>
        </w:rPr>
      </w:pPr>
      <w:r>
        <w:rPr>
          <w:rFonts w:hint="eastAsia" w:hAnsi="宋体" w:cs="宋体"/>
          <w:color w:val="auto"/>
          <w:sz w:val="24"/>
          <w:szCs w:val="24"/>
          <w:highlight w:val="none"/>
        </w:rPr>
        <w:t>磋商供应商名称（盖章）：</w:t>
      </w:r>
      <w:r>
        <w:rPr>
          <w:rFonts w:hint="eastAsia" w:hAnsi="宋体" w:cs="宋体"/>
          <w:color w:val="auto"/>
          <w:sz w:val="24"/>
          <w:szCs w:val="24"/>
          <w:highlight w:val="none"/>
          <w:u w:val="single"/>
        </w:rPr>
        <w:t xml:space="preserve">                            </w:t>
      </w:r>
    </w:p>
    <w:p w14:paraId="34C09404">
      <w:pPr>
        <w:pStyle w:val="27"/>
        <w:spacing w:line="520" w:lineRule="exact"/>
        <w:ind w:firstLine="840"/>
        <w:rPr>
          <w:rFonts w:hAnsi="宋体" w:cs="宋体"/>
          <w:color w:val="auto"/>
          <w:sz w:val="24"/>
          <w:szCs w:val="24"/>
          <w:highlight w:val="none"/>
        </w:r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w:t>
      </w:r>
    </w:p>
    <w:p w14:paraId="074C4546">
      <w:pPr>
        <w:pStyle w:val="7"/>
        <w:rPr>
          <w:rFonts w:ascii="宋体" w:hAnsi="宋体" w:cs="宋体"/>
          <w:color w:val="auto"/>
          <w:highlight w:val="none"/>
        </w:rPr>
      </w:pPr>
    </w:p>
    <w:p w14:paraId="2C47E11E">
      <w:pPr>
        <w:spacing w:line="300" w:lineRule="auto"/>
        <w:rPr>
          <w:rFonts w:ascii="宋体" w:hAnsi="宋体" w:cs="宋体"/>
          <w:color w:val="auto"/>
          <w:szCs w:val="21"/>
          <w:highlight w:val="none"/>
        </w:rPr>
      </w:pPr>
    </w:p>
    <w:p w14:paraId="3687BAAC">
      <w:pPr>
        <w:pStyle w:val="48"/>
        <w:ind w:firstLine="640"/>
        <w:rPr>
          <w:rFonts w:ascii="宋体" w:hAnsi="宋体" w:eastAsia="宋体" w:cs="宋体"/>
          <w:color w:val="auto"/>
          <w:szCs w:val="21"/>
          <w:highlight w:val="none"/>
        </w:rPr>
      </w:pPr>
    </w:p>
    <w:p w14:paraId="200E74F2">
      <w:pPr>
        <w:rPr>
          <w:rFonts w:ascii="宋体" w:hAnsi="宋体" w:cs="宋体"/>
          <w:color w:val="auto"/>
          <w:szCs w:val="21"/>
          <w:highlight w:val="none"/>
        </w:rPr>
      </w:pPr>
    </w:p>
    <w:p w14:paraId="30680469">
      <w:pPr>
        <w:pStyle w:val="48"/>
        <w:ind w:firstLine="640"/>
        <w:rPr>
          <w:rFonts w:ascii="宋体" w:hAnsi="宋体" w:eastAsia="宋体" w:cs="宋体"/>
          <w:color w:val="auto"/>
          <w:szCs w:val="21"/>
          <w:highlight w:val="none"/>
        </w:rPr>
      </w:pPr>
    </w:p>
    <w:p w14:paraId="0B91A5C9">
      <w:pPr>
        <w:rPr>
          <w:rFonts w:ascii="宋体" w:hAnsi="宋体" w:cs="宋体"/>
          <w:color w:val="auto"/>
          <w:highlight w:val="none"/>
        </w:rPr>
      </w:pPr>
    </w:p>
    <w:p w14:paraId="7C68A4FF">
      <w:pPr>
        <w:spacing w:line="500" w:lineRule="exact"/>
        <w:rPr>
          <w:rFonts w:ascii="宋体" w:hAnsi="宋体" w:cs="宋体"/>
          <w:color w:val="auto"/>
          <w:sz w:val="28"/>
          <w:szCs w:val="28"/>
          <w:highlight w:val="none"/>
        </w:rPr>
        <w:sectPr>
          <w:footerReference r:id="rId10" w:type="default"/>
          <w:pgSz w:w="11906" w:h="16838"/>
          <w:pgMar w:top="1134" w:right="851" w:bottom="1134" w:left="1134" w:header="851" w:footer="992" w:gutter="0"/>
          <w:cols w:space="720" w:num="1"/>
          <w:docGrid w:type="lines" w:linePitch="312" w:charSpace="0"/>
        </w:sectPr>
      </w:pPr>
    </w:p>
    <w:p w14:paraId="1A087A5F">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磋 商 报 价 表</w:t>
      </w:r>
    </w:p>
    <w:p w14:paraId="386BC7C8">
      <w:pPr>
        <w:pStyle w:val="27"/>
        <w:spacing w:before="120" w:line="360" w:lineRule="auto"/>
        <w:rPr>
          <w:rFonts w:hAnsi="宋体" w:cs="宋体"/>
          <w:b/>
          <w:color w:val="auto"/>
          <w:highlight w:val="none"/>
        </w:rPr>
      </w:pPr>
    </w:p>
    <w:p w14:paraId="4F9FCAE0">
      <w:pPr>
        <w:pStyle w:val="27"/>
        <w:spacing w:before="120" w:line="360" w:lineRule="auto"/>
        <w:rPr>
          <w:rFonts w:hAnsi="宋体" w:cs="宋体"/>
          <w:bCs/>
          <w:color w:val="auto"/>
          <w:sz w:val="24"/>
          <w:szCs w:val="24"/>
          <w:highlight w:val="none"/>
          <w:u w:val="single"/>
        </w:rPr>
      </w:pPr>
      <w:r>
        <w:rPr>
          <w:rFonts w:hint="eastAsia" w:hAnsi="宋体" w:cs="宋体"/>
          <w:bCs/>
          <w:color w:val="auto"/>
          <w:sz w:val="24"/>
          <w:szCs w:val="24"/>
          <w:highlight w:val="none"/>
        </w:rPr>
        <w:t>项目编号：</w:t>
      </w:r>
      <w:r>
        <w:rPr>
          <w:rFonts w:hint="eastAsia" w:hAnsi="宋体" w:cs="宋体"/>
          <w:bCs/>
          <w:color w:val="auto"/>
          <w:sz w:val="24"/>
          <w:highlight w:val="none"/>
          <w:u w:val="single"/>
        </w:rPr>
        <w:t xml:space="preserve">                    </w:t>
      </w:r>
      <w:r>
        <w:rPr>
          <w:rFonts w:hint="eastAsia" w:hAnsi="宋体" w:cs="宋体"/>
          <w:bCs/>
          <w:color w:val="auto"/>
          <w:sz w:val="24"/>
          <w:szCs w:val="24"/>
          <w:highlight w:val="none"/>
          <w:u w:val="single"/>
        </w:rPr>
        <w:t xml:space="preserve">     </w:t>
      </w:r>
    </w:p>
    <w:p w14:paraId="21D70271">
      <w:pPr>
        <w:pStyle w:val="27"/>
        <w:spacing w:before="120" w:line="360" w:lineRule="auto"/>
        <w:rPr>
          <w:rFonts w:hAnsi="宋体" w:cs="宋体"/>
          <w:bCs/>
          <w:color w:val="auto"/>
          <w:sz w:val="24"/>
          <w:szCs w:val="24"/>
          <w:highlight w:val="none"/>
          <w:u w:val="single"/>
        </w:rPr>
      </w:pPr>
      <w:r>
        <w:rPr>
          <w:rFonts w:hint="eastAsia" w:hAnsi="宋体" w:cs="宋体"/>
          <w:bCs/>
          <w:color w:val="auto"/>
          <w:sz w:val="24"/>
          <w:szCs w:val="24"/>
          <w:highlight w:val="none"/>
        </w:rPr>
        <w:t>项目名称：</w:t>
      </w:r>
      <w:r>
        <w:rPr>
          <w:rFonts w:hint="eastAsia" w:hAnsi="宋体" w:cs="宋体"/>
          <w:bCs/>
          <w:color w:val="auto"/>
          <w:sz w:val="24"/>
          <w:szCs w:val="24"/>
          <w:highlight w:val="none"/>
          <w:u w:val="single"/>
        </w:rPr>
        <w:t xml:space="preserve">                         </w:t>
      </w:r>
    </w:p>
    <w:p w14:paraId="3D65559A">
      <w:pPr>
        <w:pStyle w:val="27"/>
        <w:spacing w:before="120" w:line="360" w:lineRule="auto"/>
        <w:rPr>
          <w:rFonts w:hAnsi="宋体" w:cs="宋体"/>
          <w:bCs/>
          <w:color w:val="auto"/>
          <w:sz w:val="24"/>
          <w:szCs w:val="24"/>
          <w:highlight w:val="none"/>
          <w:u w:val="single"/>
        </w:rPr>
      </w:pPr>
      <w:r>
        <w:rPr>
          <w:rFonts w:hint="eastAsia" w:hAnsi="宋体" w:cs="宋体"/>
          <w:bCs/>
          <w:color w:val="auto"/>
          <w:sz w:val="24"/>
          <w:szCs w:val="24"/>
          <w:highlight w:val="none"/>
        </w:rPr>
        <w:t>分标号：</w:t>
      </w:r>
      <w:r>
        <w:rPr>
          <w:rFonts w:hint="eastAsia" w:hAnsi="宋体" w:cs="宋体"/>
          <w:bCs/>
          <w:color w:val="auto"/>
          <w:sz w:val="24"/>
          <w:szCs w:val="24"/>
          <w:highlight w:val="none"/>
          <w:u w:val="single"/>
        </w:rPr>
        <w:t xml:space="preserve">                         </w:t>
      </w:r>
    </w:p>
    <w:p w14:paraId="11BBD653">
      <w:pPr>
        <w:pStyle w:val="48"/>
        <w:ind w:firstLine="640"/>
        <w:rPr>
          <w:rFonts w:ascii="宋体" w:hAnsi="宋体" w:eastAsia="宋体" w:cs="宋体"/>
          <w:color w:val="auto"/>
          <w:highlight w:val="none"/>
        </w:rPr>
      </w:pPr>
    </w:p>
    <w:tbl>
      <w:tblPr>
        <w:tblStyle w:val="49"/>
        <w:tblW w:w="10218" w:type="dxa"/>
        <w:jc w:val="center"/>
        <w:tblLayout w:type="fixed"/>
        <w:tblCellMar>
          <w:top w:w="0" w:type="dxa"/>
          <w:left w:w="108" w:type="dxa"/>
          <w:bottom w:w="0" w:type="dxa"/>
          <w:right w:w="108" w:type="dxa"/>
        </w:tblCellMar>
      </w:tblPr>
      <w:tblGrid>
        <w:gridCol w:w="764"/>
        <w:gridCol w:w="2440"/>
        <w:gridCol w:w="1580"/>
        <w:gridCol w:w="1580"/>
        <w:gridCol w:w="1915"/>
        <w:gridCol w:w="1939"/>
      </w:tblGrid>
      <w:tr w14:paraId="2A994F89">
        <w:tblPrEx>
          <w:tblCellMar>
            <w:top w:w="0" w:type="dxa"/>
            <w:left w:w="108" w:type="dxa"/>
            <w:bottom w:w="0" w:type="dxa"/>
            <w:right w:w="108" w:type="dxa"/>
          </w:tblCellMar>
        </w:tblPrEx>
        <w:trPr>
          <w:trHeight w:val="898"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14:paraId="305F0DD0">
            <w:pP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440" w:type="dxa"/>
            <w:tcBorders>
              <w:top w:val="single" w:color="auto" w:sz="4" w:space="0"/>
              <w:left w:val="single" w:color="auto" w:sz="4" w:space="0"/>
              <w:bottom w:val="single" w:color="auto" w:sz="4" w:space="0"/>
              <w:right w:val="single" w:color="auto" w:sz="4" w:space="0"/>
            </w:tcBorders>
            <w:noWrap/>
            <w:vAlign w:val="center"/>
          </w:tcPr>
          <w:p w14:paraId="6445A3BE">
            <w:pPr>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580" w:type="dxa"/>
            <w:tcBorders>
              <w:top w:val="single" w:color="auto" w:sz="4" w:space="0"/>
              <w:left w:val="single" w:color="auto" w:sz="4" w:space="0"/>
              <w:bottom w:val="single" w:color="auto" w:sz="4" w:space="0"/>
              <w:right w:val="single" w:color="auto" w:sz="4" w:space="0"/>
            </w:tcBorders>
            <w:noWrap/>
            <w:vAlign w:val="center"/>
          </w:tcPr>
          <w:p w14:paraId="1E4343E7">
            <w:pPr>
              <w:pStyle w:val="32"/>
              <w:jc w:val="center"/>
              <w:rPr>
                <w:rFonts w:ascii="宋体" w:hAnsi="宋体" w:cs="宋体"/>
                <w:color w:val="auto"/>
                <w:sz w:val="21"/>
                <w:szCs w:val="22"/>
                <w:highlight w:val="none"/>
              </w:rPr>
            </w:pPr>
            <w:r>
              <w:rPr>
                <w:rFonts w:hint="eastAsia" w:ascii="宋体" w:hAnsi="宋体" w:cs="宋体"/>
                <w:color w:val="auto"/>
                <w:kern w:val="0"/>
                <w:sz w:val="24"/>
                <w:highlight w:val="none"/>
              </w:rPr>
              <w:t>服务内容</w:t>
            </w:r>
          </w:p>
        </w:tc>
        <w:tc>
          <w:tcPr>
            <w:tcW w:w="1580" w:type="dxa"/>
            <w:tcBorders>
              <w:top w:val="single" w:color="auto" w:sz="4" w:space="0"/>
              <w:left w:val="single" w:color="auto" w:sz="4" w:space="0"/>
              <w:bottom w:val="single" w:color="auto" w:sz="4" w:space="0"/>
              <w:right w:val="single" w:color="auto" w:sz="4" w:space="0"/>
            </w:tcBorders>
            <w:noWrap/>
            <w:vAlign w:val="center"/>
          </w:tcPr>
          <w:p w14:paraId="77DDF5F8">
            <w:pPr>
              <w:pStyle w:val="32"/>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p w14:paraId="597B7327">
            <w:pPr>
              <w:pStyle w:val="32"/>
              <w:jc w:val="center"/>
              <w:rPr>
                <w:rFonts w:ascii="宋体" w:hAnsi="宋体" w:cs="宋体"/>
                <w:color w:val="auto"/>
                <w:kern w:val="0"/>
                <w:sz w:val="24"/>
                <w:highlight w:val="none"/>
              </w:rPr>
            </w:pPr>
            <w:r>
              <w:rPr>
                <w:rFonts w:hint="eastAsia" w:ascii="宋体" w:hAnsi="宋体" w:cs="宋体"/>
                <w:color w:val="auto"/>
                <w:kern w:val="0"/>
                <w:sz w:val="24"/>
                <w:highlight w:val="none"/>
              </w:rPr>
              <w:t>①</w:t>
            </w:r>
          </w:p>
        </w:tc>
        <w:tc>
          <w:tcPr>
            <w:tcW w:w="1915" w:type="dxa"/>
            <w:tcBorders>
              <w:top w:val="single" w:color="auto" w:sz="4" w:space="0"/>
              <w:left w:val="single" w:color="auto" w:sz="4" w:space="0"/>
              <w:bottom w:val="single" w:color="auto" w:sz="4" w:space="0"/>
              <w:right w:val="single" w:color="auto" w:sz="4" w:space="0"/>
            </w:tcBorders>
            <w:noWrap/>
            <w:vAlign w:val="center"/>
          </w:tcPr>
          <w:p w14:paraId="0FC30FCE">
            <w:pPr>
              <w:pStyle w:val="32"/>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p w14:paraId="59A0919F">
            <w:pPr>
              <w:pStyle w:val="32"/>
              <w:jc w:val="center"/>
              <w:rPr>
                <w:rFonts w:ascii="宋体" w:hAnsi="宋体" w:cs="宋体"/>
                <w:color w:val="auto"/>
                <w:kern w:val="0"/>
                <w:sz w:val="24"/>
                <w:highlight w:val="none"/>
              </w:rPr>
            </w:pPr>
            <w:r>
              <w:rPr>
                <w:rFonts w:hint="eastAsia" w:ascii="宋体" w:hAnsi="宋体" w:cs="宋体"/>
                <w:color w:val="auto"/>
                <w:kern w:val="0"/>
                <w:sz w:val="24"/>
                <w:highlight w:val="none"/>
              </w:rPr>
              <w:t>②</w:t>
            </w:r>
          </w:p>
        </w:tc>
        <w:tc>
          <w:tcPr>
            <w:tcW w:w="1939" w:type="dxa"/>
            <w:tcBorders>
              <w:top w:val="single" w:color="auto" w:sz="4" w:space="0"/>
              <w:left w:val="single" w:color="auto" w:sz="4" w:space="0"/>
              <w:bottom w:val="single" w:color="auto" w:sz="4" w:space="0"/>
              <w:right w:val="single" w:color="auto" w:sz="4" w:space="0"/>
            </w:tcBorders>
            <w:noWrap/>
            <w:vAlign w:val="center"/>
          </w:tcPr>
          <w:p w14:paraId="65368741">
            <w:pPr>
              <w:pStyle w:val="32"/>
              <w:jc w:val="center"/>
              <w:rPr>
                <w:rFonts w:ascii="宋体" w:hAnsi="宋体" w:cs="宋体"/>
                <w:color w:val="auto"/>
                <w:kern w:val="0"/>
                <w:sz w:val="24"/>
                <w:highlight w:val="none"/>
              </w:rPr>
            </w:pPr>
            <w:r>
              <w:rPr>
                <w:rFonts w:hint="eastAsia" w:ascii="宋体" w:hAnsi="宋体" w:cs="宋体"/>
                <w:color w:val="auto"/>
                <w:kern w:val="0"/>
                <w:sz w:val="24"/>
                <w:highlight w:val="none"/>
              </w:rPr>
              <w:t>合计金额</w:t>
            </w:r>
          </w:p>
          <w:p w14:paraId="17F7D211">
            <w:pPr>
              <w:pStyle w:val="32"/>
              <w:jc w:val="center"/>
              <w:rPr>
                <w:rFonts w:ascii="宋体" w:hAnsi="宋体" w:cs="宋体"/>
                <w:color w:val="auto"/>
                <w:kern w:val="0"/>
                <w:sz w:val="24"/>
                <w:highlight w:val="none"/>
              </w:rPr>
            </w:pPr>
            <w:r>
              <w:rPr>
                <w:rFonts w:hint="eastAsia" w:ascii="宋体" w:hAnsi="宋体" w:cs="宋体"/>
                <w:color w:val="auto"/>
                <w:kern w:val="0"/>
                <w:sz w:val="24"/>
                <w:highlight w:val="none"/>
              </w:rPr>
              <w:t>①×②=③（元）</w:t>
            </w:r>
          </w:p>
        </w:tc>
      </w:tr>
      <w:tr w14:paraId="031359A2">
        <w:tblPrEx>
          <w:tblCellMar>
            <w:top w:w="0" w:type="dxa"/>
            <w:left w:w="108" w:type="dxa"/>
            <w:bottom w:w="0" w:type="dxa"/>
            <w:right w:w="108" w:type="dxa"/>
          </w:tblCellMar>
        </w:tblPrEx>
        <w:trPr>
          <w:trHeight w:val="1430" w:hRule="atLeast"/>
          <w:jc w:val="center"/>
        </w:trPr>
        <w:tc>
          <w:tcPr>
            <w:tcW w:w="764" w:type="dxa"/>
            <w:tcBorders>
              <w:top w:val="single" w:color="auto" w:sz="4" w:space="0"/>
              <w:left w:val="single" w:color="auto" w:sz="4" w:space="0"/>
              <w:bottom w:val="single" w:color="auto" w:sz="4" w:space="0"/>
              <w:right w:val="single" w:color="auto" w:sz="4" w:space="0"/>
            </w:tcBorders>
            <w:noWrap/>
            <w:vAlign w:val="center"/>
          </w:tcPr>
          <w:p w14:paraId="0DB17E5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440" w:type="dxa"/>
            <w:tcBorders>
              <w:top w:val="single" w:color="auto" w:sz="4" w:space="0"/>
              <w:left w:val="single" w:color="auto" w:sz="4" w:space="0"/>
              <w:bottom w:val="single" w:color="auto" w:sz="4" w:space="0"/>
              <w:right w:val="single" w:color="auto" w:sz="4" w:space="0"/>
            </w:tcBorders>
            <w:vAlign w:val="center"/>
          </w:tcPr>
          <w:p w14:paraId="24284545">
            <w:pPr>
              <w:jc w:val="center"/>
              <w:rPr>
                <w:rFonts w:ascii="宋体" w:hAnsi="宋体" w:cs="宋体"/>
                <w:color w:val="auto"/>
                <w:kern w:val="0"/>
                <w:sz w:val="24"/>
                <w:highlight w:val="none"/>
              </w:rPr>
            </w:pPr>
          </w:p>
        </w:tc>
        <w:tc>
          <w:tcPr>
            <w:tcW w:w="1580" w:type="dxa"/>
            <w:tcBorders>
              <w:top w:val="single" w:color="auto" w:sz="4" w:space="0"/>
              <w:left w:val="single" w:color="auto" w:sz="4" w:space="0"/>
              <w:bottom w:val="single" w:color="auto" w:sz="4" w:space="0"/>
              <w:right w:val="single" w:color="auto" w:sz="4" w:space="0"/>
            </w:tcBorders>
            <w:vAlign w:val="center"/>
          </w:tcPr>
          <w:p w14:paraId="76901C33">
            <w:pPr>
              <w:jc w:val="center"/>
              <w:rPr>
                <w:rFonts w:ascii="宋体" w:hAnsi="宋体" w:cs="宋体"/>
                <w:color w:val="auto"/>
                <w:kern w:val="0"/>
                <w:sz w:val="24"/>
                <w:highlight w:val="none"/>
              </w:rPr>
            </w:pPr>
          </w:p>
        </w:tc>
        <w:tc>
          <w:tcPr>
            <w:tcW w:w="1580" w:type="dxa"/>
            <w:tcBorders>
              <w:top w:val="single" w:color="auto" w:sz="4" w:space="0"/>
              <w:left w:val="single" w:color="auto" w:sz="4" w:space="0"/>
              <w:bottom w:val="single" w:color="auto" w:sz="4" w:space="0"/>
              <w:right w:val="single" w:color="auto" w:sz="4" w:space="0"/>
            </w:tcBorders>
            <w:vAlign w:val="center"/>
          </w:tcPr>
          <w:p w14:paraId="7F74E987">
            <w:pPr>
              <w:jc w:val="center"/>
              <w:rPr>
                <w:rFonts w:ascii="宋体" w:hAnsi="宋体" w:cs="宋体"/>
                <w:color w:val="auto"/>
                <w:kern w:val="0"/>
                <w:sz w:val="24"/>
                <w:highlight w:val="none"/>
              </w:rPr>
            </w:pPr>
          </w:p>
        </w:tc>
        <w:tc>
          <w:tcPr>
            <w:tcW w:w="1915" w:type="dxa"/>
            <w:tcBorders>
              <w:top w:val="single" w:color="auto" w:sz="4" w:space="0"/>
              <w:left w:val="single" w:color="auto" w:sz="4" w:space="0"/>
              <w:bottom w:val="single" w:color="auto" w:sz="4" w:space="0"/>
              <w:right w:val="single" w:color="auto" w:sz="4" w:space="0"/>
            </w:tcBorders>
            <w:vAlign w:val="center"/>
          </w:tcPr>
          <w:p w14:paraId="43940221">
            <w:pPr>
              <w:jc w:val="center"/>
              <w:rPr>
                <w:rFonts w:ascii="宋体" w:hAnsi="宋体" w:cs="宋体"/>
                <w:color w:val="auto"/>
                <w:kern w:val="0"/>
                <w:sz w:val="24"/>
                <w:highlight w:val="none"/>
              </w:rPr>
            </w:pPr>
          </w:p>
        </w:tc>
        <w:tc>
          <w:tcPr>
            <w:tcW w:w="1939" w:type="dxa"/>
            <w:tcBorders>
              <w:top w:val="single" w:color="auto" w:sz="4" w:space="0"/>
              <w:left w:val="single" w:color="auto" w:sz="4" w:space="0"/>
              <w:bottom w:val="single" w:color="auto" w:sz="4" w:space="0"/>
              <w:right w:val="single" w:color="auto" w:sz="4" w:space="0"/>
            </w:tcBorders>
            <w:vAlign w:val="center"/>
          </w:tcPr>
          <w:p w14:paraId="4661A0DE">
            <w:pPr>
              <w:jc w:val="center"/>
              <w:rPr>
                <w:rFonts w:ascii="宋体" w:hAnsi="宋体" w:cs="宋体"/>
                <w:color w:val="auto"/>
                <w:kern w:val="0"/>
                <w:sz w:val="24"/>
                <w:highlight w:val="none"/>
              </w:rPr>
            </w:pPr>
          </w:p>
        </w:tc>
      </w:tr>
      <w:tr w14:paraId="4295007B">
        <w:tblPrEx>
          <w:tblCellMar>
            <w:top w:w="0" w:type="dxa"/>
            <w:left w:w="108" w:type="dxa"/>
            <w:bottom w:w="0" w:type="dxa"/>
            <w:right w:w="108" w:type="dxa"/>
          </w:tblCellMar>
        </w:tblPrEx>
        <w:trPr>
          <w:trHeight w:val="1496" w:hRule="atLeast"/>
          <w:jc w:val="center"/>
        </w:trPr>
        <w:tc>
          <w:tcPr>
            <w:tcW w:w="10218" w:type="dxa"/>
            <w:gridSpan w:val="6"/>
            <w:tcBorders>
              <w:top w:val="single" w:color="auto" w:sz="4" w:space="0"/>
              <w:left w:val="single" w:color="auto" w:sz="4" w:space="0"/>
              <w:bottom w:val="single" w:color="auto" w:sz="4" w:space="0"/>
              <w:right w:val="single" w:color="auto" w:sz="4" w:space="0"/>
            </w:tcBorders>
            <w:noWrap/>
            <w:vAlign w:val="center"/>
          </w:tcPr>
          <w:p w14:paraId="59E887A1">
            <w:pPr>
              <w:spacing w:line="360" w:lineRule="auto"/>
              <w:jc w:val="left"/>
              <w:rPr>
                <w:rFonts w:ascii="宋体" w:hAnsi="宋体" w:cs="宋体"/>
                <w:bCs/>
                <w:color w:val="auto"/>
                <w:kern w:val="0"/>
                <w:sz w:val="24"/>
                <w:highlight w:val="none"/>
                <w:u w:val="single"/>
              </w:rPr>
            </w:pPr>
            <w:bookmarkStart w:id="44" w:name="_Toc271534438"/>
            <w:bookmarkStart w:id="45" w:name="_Toc224308400"/>
            <w:bookmarkStart w:id="46" w:name="_Toc248340240"/>
            <w:bookmarkStart w:id="47" w:name="_Toc271277266"/>
            <w:bookmarkStart w:id="48" w:name="_Toc224308538"/>
            <w:bookmarkStart w:id="49" w:name="_Toc224307577"/>
            <w:bookmarkStart w:id="50" w:name="_Toc248561122"/>
            <w:r>
              <w:rPr>
                <w:rFonts w:hint="eastAsia" w:ascii="宋体" w:hAnsi="宋体" w:cs="宋体"/>
                <w:bCs/>
                <w:color w:val="auto"/>
                <w:kern w:val="0"/>
                <w:sz w:val="24"/>
                <w:highlight w:val="none"/>
              </w:rPr>
              <w:t>总报价（人民币大写）：</w:t>
            </w:r>
            <w:r>
              <w:rPr>
                <w:rFonts w:hint="eastAsia" w:ascii="宋体" w:hAnsi="宋体" w:cs="宋体"/>
                <w:bCs/>
                <w:color w:val="auto"/>
                <w:kern w:val="0"/>
                <w:sz w:val="24"/>
                <w:highlight w:val="none"/>
                <w:u w:val="single"/>
              </w:rPr>
              <w:t xml:space="preserve">                                     </w:t>
            </w:r>
          </w:p>
          <w:p w14:paraId="0F980A85">
            <w:pPr>
              <w:spacing w:line="36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小写（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w:t>
            </w:r>
            <w:bookmarkEnd w:id="44"/>
            <w:bookmarkEnd w:id="45"/>
            <w:bookmarkEnd w:id="46"/>
            <w:bookmarkEnd w:id="47"/>
            <w:bookmarkEnd w:id="48"/>
            <w:bookmarkEnd w:id="49"/>
            <w:bookmarkEnd w:id="50"/>
          </w:p>
          <w:p w14:paraId="2A30458B">
            <w:pPr>
              <w:spacing w:line="360" w:lineRule="auto"/>
              <w:jc w:val="left"/>
              <w:rPr>
                <w:rFonts w:ascii="宋体" w:hAnsi="宋体" w:cs="宋体"/>
                <w:color w:val="auto"/>
                <w:kern w:val="0"/>
                <w:sz w:val="24"/>
                <w:highlight w:val="none"/>
              </w:rPr>
            </w:pPr>
            <w:r>
              <w:rPr>
                <w:rFonts w:hint="eastAsia" w:ascii="宋体" w:hAnsi="宋体" w:cs="宋体"/>
                <w:bCs/>
                <w:color w:val="auto"/>
                <w:kern w:val="0"/>
                <w:sz w:val="24"/>
                <w:highlight w:val="none"/>
              </w:rPr>
              <w:t>服务期限：</w:t>
            </w:r>
            <w:r>
              <w:rPr>
                <w:rFonts w:hint="eastAsia" w:ascii="宋体" w:hAnsi="宋体" w:cs="宋体"/>
                <w:bCs/>
                <w:color w:val="auto"/>
                <w:kern w:val="0"/>
                <w:sz w:val="24"/>
                <w:highlight w:val="none"/>
                <w:u w:val="single"/>
              </w:rPr>
              <w:t xml:space="preserve">                 </w:t>
            </w:r>
          </w:p>
        </w:tc>
      </w:tr>
    </w:tbl>
    <w:p w14:paraId="3F212C5A">
      <w:pPr>
        <w:pStyle w:val="27"/>
        <w:spacing w:before="120" w:line="360" w:lineRule="auto"/>
        <w:ind w:firstLine="420"/>
        <w:rPr>
          <w:rFonts w:hAnsi="宋体" w:cs="宋体"/>
          <w:color w:val="auto"/>
          <w:sz w:val="24"/>
          <w:szCs w:val="24"/>
          <w:highlight w:val="none"/>
        </w:rPr>
      </w:pPr>
    </w:p>
    <w:p w14:paraId="7CE94488">
      <w:pPr>
        <w:pStyle w:val="27"/>
        <w:spacing w:before="120"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法定代表人或委托代理人（签字）：</w:t>
      </w:r>
      <w:r>
        <w:rPr>
          <w:rFonts w:hint="eastAsia" w:hAnsi="宋体" w:cs="宋体"/>
          <w:color w:val="auto"/>
          <w:sz w:val="24"/>
          <w:szCs w:val="24"/>
          <w:highlight w:val="none"/>
          <w:u w:val="single"/>
        </w:rPr>
        <w:t xml:space="preserve">                         </w:t>
      </w:r>
    </w:p>
    <w:p w14:paraId="4BDF21D5">
      <w:pPr>
        <w:pStyle w:val="27"/>
        <w:spacing w:before="120" w:line="360" w:lineRule="auto"/>
        <w:ind w:firstLine="420"/>
        <w:rPr>
          <w:rFonts w:hAnsi="宋体" w:cs="宋体"/>
          <w:color w:val="auto"/>
          <w:sz w:val="24"/>
          <w:szCs w:val="24"/>
          <w:highlight w:val="none"/>
        </w:rPr>
      </w:pPr>
      <w:r>
        <w:rPr>
          <w:rFonts w:hint="eastAsia" w:hAnsi="宋体" w:cs="宋体"/>
          <w:color w:val="auto"/>
          <w:sz w:val="24"/>
          <w:szCs w:val="24"/>
          <w:highlight w:val="none"/>
        </w:rPr>
        <w:t>磋商供应商名称（</w:t>
      </w:r>
      <w:r>
        <w:rPr>
          <w:rFonts w:hint="eastAsia" w:hAnsi="宋体" w:cs="宋体"/>
          <w:color w:val="auto"/>
          <w:sz w:val="24"/>
          <w:highlight w:val="none"/>
        </w:rPr>
        <w:t>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6612D073">
      <w:pPr>
        <w:pStyle w:val="27"/>
        <w:spacing w:before="120" w:line="360" w:lineRule="auto"/>
        <w:ind w:firstLine="420"/>
        <w:rPr>
          <w:rFonts w:hAnsi="宋体" w:cs="宋体"/>
          <w:color w:val="auto"/>
          <w:sz w:val="24"/>
          <w:szCs w:val="24"/>
          <w:highlight w:val="none"/>
        </w:r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02D711B1">
      <w:pPr>
        <w:pStyle w:val="27"/>
        <w:spacing w:before="120" w:line="360" w:lineRule="auto"/>
        <w:rPr>
          <w:rFonts w:hAnsi="宋体" w:cs="宋体"/>
          <w:color w:val="auto"/>
          <w:sz w:val="24"/>
          <w:szCs w:val="24"/>
          <w:highlight w:val="none"/>
        </w:rPr>
      </w:pPr>
    </w:p>
    <w:p w14:paraId="085EC719">
      <w:pPr>
        <w:pStyle w:val="27"/>
        <w:spacing w:before="120" w:line="360" w:lineRule="auto"/>
        <w:rPr>
          <w:rFonts w:hAnsi="宋体" w:cs="宋体"/>
          <w:color w:val="auto"/>
          <w:sz w:val="24"/>
          <w:szCs w:val="24"/>
          <w:highlight w:val="none"/>
        </w:rPr>
      </w:pPr>
    </w:p>
    <w:p w14:paraId="1A09A982">
      <w:pPr>
        <w:spacing w:line="300" w:lineRule="auto"/>
        <w:rPr>
          <w:rFonts w:ascii="宋体" w:hAnsi="宋体" w:cs="宋体"/>
          <w:color w:val="auto"/>
          <w:sz w:val="28"/>
          <w:szCs w:val="28"/>
          <w:highlight w:val="none"/>
        </w:rPr>
      </w:pPr>
    </w:p>
    <w:p w14:paraId="501B9734">
      <w:pPr>
        <w:spacing w:line="300" w:lineRule="auto"/>
        <w:rPr>
          <w:rFonts w:ascii="宋体" w:hAnsi="宋体" w:cs="宋体"/>
          <w:color w:val="auto"/>
          <w:sz w:val="28"/>
          <w:szCs w:val="28"/>
          <w:highlight w:val="none"/>
        </w:rPr>
      </w:pPr>
    </w:p>
    <w:p w14:paraId="566A2C20">
      <w:pPr>
        <w:snapToGrid w:val="0"/>
        <w:jc w:val="center"/>
        <w:rPr>
          <w:rFonts w:ascii="宋体" w:hAnsi="宋体" w:cs="宋体"/>
          <w:b/>
          <w:color w:val="auto"/>
          <w:sz w:val="32"/>
          <w:szCs w:val="32"/>
          <w:highlight w:val="none"/>
        </w:rPr>
      </w:pPr>
    </w:p>
    <w:p w14:paraId="2D15326A">
      <w:pPr>
        <w:snapToGrid w:val="0"/>
        <w:jc w:val="center"/>
        <w:rPr>
          <w:rFonts w:ascii="宋体" w:hAnsi="宋体" w:cs="宋体"/>
          <w:b/>
          <w:color w:val="auto"/>
          <w:sz w:val="32"/>
          <w:szCs w:val="32"/>
          <w:highlight w:val="none"/>
        </w:rPr>
      </w:pPr>
    </w:p>
    <w:p w14:paraId="2C4083D7">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2303ED7D">
      <w:pPr>
        <w:snapToGrid w:val="0"/>
        <w:jc w:val="center"/>
        <w:rPr>
          <w:rFonts w:ascii="宋体" w:hAnsi="宋体" w:cs="宋体"/>
          <w:b/>
          <w:color w:val="auto"/>
          <w:sz w:val="32"/>
          <w:szCs w:val="32"/>
          <w:highlight w:val="none"/>
        </w:rPr>
      </w:pPr>
    </w:p>
    <w:p w14:paraId="4124F33A">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磋商声明书</w:t>
      </w:r>
    </w:p>
    <w:p w14:paraId="3FA27DA9">
      <w:pPr>
        <w:snapToGrid w:val="0"/>
        <w:rPr>
          <w:rFonts w:ascii="宋体" w:hAnsi="宋体" w:cs="宋体"/>
          <w:color w:val="auto"/>
          <w:sz w:val="24"/>
          <w:highlight w:val="none"/>
        </w:rPr>
      </w:pPr>
    </w:p>
    <w:p w14:paraId="3C257CEA">
      <w:pPr>
        <w:snapToGrid w:val="0"/>
        <w:rPr>
          <w:rFonts w:ascii="宋体" w:hAnsi="宋体" w:cs="宋体"/>
          <w:color w:val="auto"/>
          <w:sz w:val="24"/>
          <w:highlight w:val="none"/>
        </w:rPr>
      </w:pPr>
    </w:p>
    <w:p w14:paraId="399125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（采购单位名称）：</w:t>
      </w:r>
    </w:p>
    <w:p w14:paraId="4E77A608">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______（供应商名称）系中华人民共和国合法企业，经营地址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D5523B">
      <w:pPr>
        <w:snapToGrid w:val="0"/>
        <w:spacing w:line="360" w:lineRule="auto"/>
        <w:ind w:left="479" w:leftChars="228" w:firstLine="254" w:firstLineChars="106"/>
        <w:rPr>
          <w:rFonts w:ascii="宋体" w:hAnsi="宋体" w:cs="宋体"/>
          <w:color w:val="auto"/>
          <w:sz w:val="24"/>
          <w:highlight w:val="none"/>
        </w:rPr>
      </w:pPr>
      <w:r>
        <w:rPr>
          <w:rFonts w:hint="eastAsia" w:ascii="宋体" w:hAnsi="宋体" w:cs="宋体"/>
          <w:color w:val="auto"/>
          <w:sz w:val="24"/>
          <w:highlight w:val="none"/>
        </w:rPr>
        <w:t>我___（姓名）系______（供应商名称）的法定代表人，我方愿意参加贵方组织的</w:t>
      </w:r>
      <w:r>
        <w:rPr>
          <w:rFonts w:hint="eastAsia" w:ascii="宋体" w:hAnsi="宋体" w:cs="宋体"/>
          <w:color w:val="auto"/>
          <w:sz w:val="24"/>
          <w:highlight w:val="none"/>
          <w:u w:val="single"/>
        </w:rPr>
        <w:t xml:space="preserve">（项目名称）x分标 </w:t>
      </w:r>
      <w:r>
        <w:rPr>
          <w:rFonts w:hint="eastAsia" w:ascii="宋体" w:hAnsi="宋体" w:cs="宋体"/>
          <w:color w:val="auto"/>
          <w:sz w:val="24"/>
          <w:highlight w:val="none"/>
        </w:rPr>
        <w:t>项目的竞标，为便于贵方公正、择优地确定成交人及其竞标产品和服务，我方就本次竞标有关事项郑重声明如下：</w:t>
      </w:r>
    </w:p>
    <w:p w14:paraId="0D0F4F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29E366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2AFDFE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3.我方及由本人担任法定代表人的其他机构最近三年内被通报或者被处罚的违法行为有：</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0C0752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4．我方在“信用中国”或“中国政府采购网”的被列为失信被执行人、重大税收违法案件当事人名单、政府采购严重违法失信行为记录名单情况：</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w:t>
      </w:r>
    </w:p>
    <w:p w14:paraId="55BB9B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77EFC031">
      <w:pPr>
        <w:pStyle w:val="24"/>
        <w:tabs>
          <w:tab w:val="left" w:pos="939"/>
        </w:tabs>
        <w:snapToGrid w:val="0"/>
        <w:spacing w:line="360" w:lineRule="auto"/>
        <w:ind w:left="0" w:leftChars="0" w:firstLine="0" w:firstLineChars="0"/>
        <w:rPr>
          <w:rFonts w:ascii="宋体" w:hAnsi="宋体" w:cs="宋体"/>
          <w:color w:val="auto"/>
          <w:sz w:val="24"/>
          <w:highlight w:val="none"/>
        </w:rPr>
      </w:pPr>
    </w:p>
    <w:p w14:paraId="26568C08">
      <w:pPr>
        <w:pStyle w:val="145"/>
        <w:snapToGrid w:val="0"/>
        <w:spacing w:line="360" w:lineRule="auto"/>
        <w:rPr>
          <w:rFonts w:ascii="宋体" w:hAnsi="宋体" w:cs="宋体"/>
          <w:color w:val="auto"/>
          <w:szCs w:val="24"/>
          <w:highlight w:val="none"/>
        </w:rPr>
      </w:pPr>
    </w:p>
    <w:p w14:paraId="5AE4E534">
      <w:pPr>
        <w:pStyle w:val="27"/>
        <w:spacing w:before="120"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法定代表人或委托代理人（签字）：</w:t>
      </w:r>
      <w:r>
        <w:rPr>
          <w:rFonts w:hint="eastAsia" w:hAnsi="宋体" w:cs="宋体"/>
          <w:color w:val="auto"/>
          <w:sz w:val="24"/>
          <w:highlight w:val="none"/>
          <w:u w:val="singl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p>
    <w:p w14:paraId="749D88A2">
      <w:pPr>
        <w:pStyle w:val="27"/>
        <w:spacing w:before="120" w:line="360" w:lineRule="auto"/>
        <w:ind w:firstLine="420"/>
        <w:rPr>
          <w:rFonts w:hAnsi="宋体" w:cs="宋体"/>
          <w:color w:val="auto"/>
          <w:sz w:val="24"/>
          <w:szCs w:val="24"/>
          <w:highlight w:val="none"/>
        </w:rPr>
      </w:pPr>
      <w:r>
        <w:rPr>
          <w:rFonts w:hint="eastAsia" w:hAnsi="宋体" w:cs="宋体"/>
          <w:color w:val="auto"/>
          <w:sz w:val="24"/>
          <w:szCs w:val="24"/>
          <w:highlight w:val="none"/>
        </w:rPr>
        <w:t>磋商供应商名称（</w:t>
      </w:r>
      <w:r>
        <w:rPr>
          <w:rFonts w:hint="eastAsia" w:hAnsi="宋体" w:cs="宋体"/>
          <w:color w:val="auto"/>
          <w:sz w:val="24"/>
          <w:highlight w:val="none"/>
        </w:rPr>
        <w:t>电子签章</w:t>
      </w:r>
      <w:r>
        <w:rPr>
          <w:rFonts w:hint="eastAsia" w:hAnsi="宋体" w:cs="宋体"/>
          <w:color w:val="auto"/>
          <w:sz w:val="24"/>
          <w:szCs w:val="24"/>
          <w:highlight w:val="none"/>
        </w:rPr>
        <w:t>）：</w:t>
      </w:r>
      <w:r>
        <w:rPr>
          <w:rFonts w:hint="eastAsia" w:hAnsi="宋体" w:cs="宋体"/>
          <w:color w:val="auto"/>
          <w:sz w:val="24"/>
          <w:highlight w:val="none"/>
          <w:u w:val="singl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p>
    <w:p w14:paraId="2DE335FA">
      <w:pPr>
        <w:pStyle w:val="27"/>
        <w:spacing w:before="120" w:line="360" w:lineRule="auto"/>
        <w:ind w:firstLine="420"/>
        <w:rPr>
          <w:rFonts w:hAnsi="宋体" w:cs="宋体"/>
          <w:color w:val="auto"/>
          <w:sz w:val="24"/>
          <w:szCs w:val="24"/>
          <w:highlight w:val="none"/>
        </w:r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01822EB2">
      <w:pPr>
        <w:spacing w:line="500" w:lineRule="exact"/>
        <w:rPr>
          <w:rFonts w:ascii="宋体" w:hAnsi="宋体" w:cs="宋体"/>
          <w:color w:val="auto"/>
          <w:sz w:val="28"/>
          <w:szCs w:val="28"/>
          <w:highlight w:val="none"/>
        </w:rPr>
      </w:pPr>
    </w:p>
    <w:p w14:paraId="6FAE3FE7">
      <w:pPr>
        <w:spacing w:line="500" w:lineRule="exact"/>
        <w:rPr>
          <w:rFonts w:ascii="宋体" w:hAnsi="宋体" w:cs="宋体"/>
          <w:color w:val="auto"/>
          <w:sz w:val="28"/>
          <w:szCs w:val="28"/>
          <w:highlight w:val="none"/>
        </w:rPr>
      </w:pPr>
    </w:p>
    <w:p w14:paraId="09D61368">
      <w:pPr>
        <w:tabs>
          <w:tab w:val="left" w:pos="602"/>
        </w:tabs>
        <w:spacing w:line="500" w:lineRule="exact"/>
        <w:rPr>
          <w:rFonts w:ascii="宋体" w:hAnsi="宋体" w:cs="宋体"/>
          <w:color w:val="auto"/>
          <w:sz w:val="28"/>
          <w:szCs w:val="28"/>
          <w:highlight w:val="none"/>
        </w:rPr>
      </w:pPr>
    </w:p>
    <w:p w14:paraId="46FC6EBD">
      <w:pPr>
        <w:spacing w:line="360" w:lineRule="auto"/>
        <w:ind w:firstLine="420" w:firstLineChars="150"/>
        <w:rPr>
          <w:rFonts w:ascii="宋体" w:hAnsi="宋体" w:cs="宋体"/>
          <w:color w:val="auto"/>
          <w:sz w:val="28"/>
          <w:szCs w:val="28"/>
          <w:highlight w:val="none"/>
        </w:rPr>
      </w:pPr>
    </w:p>
    <w:p w14:paraId="1B761F07">
      <w:pPr>
        <w:spacing w:line="360" w:lineRule="auto"/>
        <w:ind w:firstLine="420" w:firstLineChars="150"/>
        <w:rPr>
          <w:rFonts w:ascii="宋体" w:hAnsi="宋体" w:cs="宋体"/>
          <w:color w:val="auto"/>
          <w:sz w:val="28"/>
          <w:szCs w:val="28"/>
          <w:highlight w:val="none"/>
        </w:rPr>
      </w:pPr>
    </w:p>
    <w:p w14:paraId="4119D625">
      <w:pPr>
        <w:pStyle w:val="28"/>
        <w:ind w:left="0"/>
        <w:rPr>
          <w:rFonts w:ascii="宋体" w:hAnsi="宋体" w:cs="宋体"/>
          <w:color w:val="auto"/>
          <w:highlight w:val="none"/>
        </w:rPr>
      </w:pPr>
    </w:p>
    <w:p w14:paraId="003C0CF8">
      <w:pPr>
        <w:adjustRightInd w:val="0"/>
        <w:snapToGrid w:val="0"/>
        <w:spacing w:line="300" w:lineRule="auto"/>
        <w:jc w:val="center"/>
        <w:rPr>
          <w:rFonts w:ascii="宋体" w:hAnsi="宋体" w:cs="宋体"/>
          <w:b/>
          <w:color w:val="auto"/>
          <w:sz w:val="36"/>
          <w:szCs w:val="36"/>
          <w:highlight w:val="none"/>
        </w:rPr>
      </w:pPr>
    </w:p>
    <w:p w14:paraId="672A95D2">
      <w:pPr>
        <w:adjustRightInd w:val="0"/>
        <w:snapToGrid w:val="0"/>
        <w:spacing w:line="30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服务条款偏离表（格式）</w:t>
      </w:r>
    </w:p>
    <w:p w14:paraId="70FDC506">
      <w:pPr>
        <w:pStyle w:val="27"/>
        <w:spacing w:before="120" w:line="360" w:lineRule="auto"/>
        <w:rPr>
          <w:rFonts w:hAnsi="宋体" w:cs="宋体"/>
          <w:bCs/>
          <w:color w:val="auto"/>
          <w:sz w:val="24"/>
          <w:szCs w:val="24"/>
          <w:highlight w:val="none"/>
          <w:u w:val="single"/>
        </w:rPr>
      </w:pPr>
      <w:r>
        <w:rPr>
          <w:rFonts w:hint="eastAsia" w:hAnsi="宋体" w:cs="宋体"/>
          <w:bCs/>
          <w:color w:val="auto"/>
          <w:sz w:val="24"/>
          <w:szCs w:val="24"/>
          <w:highlight w:val="none"/>
        </w:rPr>
        <w:t>项目编号：</w:t>
      </w:r>
      <w:r>
        <w:rPr>
          <w:rFonts w:hint="eastAsia" w:hAnsi="宋体" w:cs="宋体"/>
          <w:bCs/>
          <w:color w:val="auto"/>
          <w:sz w:val="24"/>
          <w:highlight w:val="none"/>
          <w:u w:val="single"/>
        </w:rPr>
        <w:t xml:space="preserve">                    </w:t>
      </w:r>
      <w:r>
        <w:rPr>
          <w:rFonts w:hint="eastAsia" w:hAnsi="宋体" w:cs="宋体"/>
          <w:bCs/>
          <w:color w:val="auto"/>
          <w:sz w:val="24"/>
          <w:szCs w:val="24"/>
          <w:highlight w:val="none"/>
          <w:u w:val="single"/>
        </w:rPr>
        <w:t xml:space="preserve">     </w:t>
      </w:r>
    </w:p>
    <w:p w14:paraId="2FAE7C09">
      <w:pPr>
        <w:pStyle w:val="27"/>
        <w:spacing w:before="120" w:line="360" w:lineRule="auto"/>
        <w:rPr>
          <w:rFonts w:hAnsi="宋体" w:cs="宋体"/>
          <w:bCs/>
          <w:color w:val="auto"/>
          <w:sz w:val="24"/>
          <w:szCs w:val="24"/>
          <w:highlight w:val="none"/>
          <w:u w:val="single"/>
        </w:rPr>
      </w:pPr>
      <w:r>
        <w:rPr>
          <w:rFonts w:hint="eastAsia" w:hAnsi="宋体" w:cs="宋体"/>
          <w:bCs/>
          <w:color w:val="auto"/>
          <w:sz w:val="24"/>
          <w:szCs w:val="24"/>
          <w:highlight w:val="none"/>
        </w:rPr>
        <w:t>项目名称：</w:t>
      </w:r>
      <w:r>
        <w:rPr>
          <w:rFonts w:hint="eastAsia" w:hAnsi="宋体" w:cs="宋体"/>
          <w:bCs/>
          <w:color w:val="auto"/>
          <w:sz w:val="24"/>
          <w:szCs w:val="24"/>
          <w:highlight w:val="none"/>
          <w:u w:val="single"/>
        </w:rPr>
        <w:t xml:space="preserve">                         </w:t>
      </w:r>
    </w:p>
    <w:p w14:paraId="55AFCBD4">
      <w:pPr>
        <w:pStyle w:val="27"/>
        <w:spacing w:before="120" w:line="360" w:lineRule="auto"/>
        <w:rPr>
          <w:rFonts w:hAnsi="宋体" w:cs="宋体"/>
          <w:bCs/>
          <w:color w:val="auto"/>
          <w:sz w:val="24"/>
          <w:szCs w:val="24"/>
          <w:highlight w:val="none"/>
          <w:u w:val="single"/>
        </w:rPr>
      </w:pPr>
      <w:r>
        <w:rPr>
          <w:rFonts w:hint="eastAsia" w:hAnsi="宋体" w:cs="宋体"/>
          <w:bCs/>
          <w:color w:val="auto"/>
          <w:sz w:val="24"/>
          <w:szCs w:val="24"/>
          <w:highlight w:val="none"/>
        </w:rPr>
        <w:t>分标号：</w:t>
      </w:r>
      <w:r>
        <w:rPr>
          <w:rFonts w:hint="eastAsia" w:hAnsi="宋体" w:cs="宋体"/>
          <w:bCs/>
          <w:color w:val="auto"/>
          <w:sz w:val="24"/>
          <w:szCs w:val="24"/>
          <w:highlight w:val="none"/>
          <w:u w:val="single"/>
        </w:rPr>
        <w:t xml:space="preserve">                         </w:t>
      </w:r>
    </w:p>
    <w:p w14:paraId="7A0A5450">
      <w:pPr>
        <w:spacing w:line="520" w:lineRule="exact"/>
        <w:rPr>
          <w:rFonts w:ascii="宋体" w:hAnsi="宋体" w:cs="宋体"/>
          <w:color w:val="auto"/>
          <w:sz w:val="28"/>
          <w:szCs w:val="28"/>
          <w:highlight w:val="none"/>
        </w:rPr>
      </w:pPr>
    </w:p>
    <w:tbl>
      <w:tblPr>
        <w:tblStyle w:val="49"/>
        <w:tblpPr w:leftFromText="180" w:rightFromText="180" w:vertAnchor="text" w:horzAnchor="page" w:tblpX="1588"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367"/>
        <w:gridCol w:w="3260"/>
        <w:gridCol w:w="1843"/>
      </w:tblGrid>
      <w:tr w14:paraId="5A80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vAlign w:val="center"/>
          </w:tcPr>
          <w:p w14:paraId="262C500D">
            <w:pPr>
              <w:pStyle w:val="27"/>
              <w:spacing w:line="400" w:lineRule="exact"/>
              <w:rPr>
                <w:rFonts w:hAnsi="宋体" w:cs="宋体"/>
                <w:color w:val="auto"/>
                <w:sz w:val="24"/>
                <w:szCs w:val="24"/>
                <w:highlight w:val="none"/>
              </w:rPr>
            </w:pPr>
            <w:r>
              <w:rPr>
                <w:rFonts w:hint="eastAsia" w:hAnsi="宋体" w:cs="宋体"/>
                <w:color w:val="auto"/>
                <w:sz w:val="24"/>
                <w:szCs w:val="24"/>
                <w:highlight w:val="none"/>
              </w:rPr>
              <w:t>项号</w:t>
            </w:r>
          </w:p>
        </w:tc>
        <w:tc>
          <w:tcPr>
            <w:tcW w:w="3367" w:type="dxa"/>
            <w:vAlign w:val="center"/>
          </w:tcPr>
          <w:p w14:paraId="2AB1EE83">
            <w:pPr>
              <w:pStyle w:val="27"/>
              <w:spacing w:line="400" w:lineRule="exact"/>
              <w:jc w:val="center"/>
              <w:rPr>
                <w:rFonts w:hAnsi="宋体" w:cs="宋体"/>
                <w:color w:val="auto"/>
                <w:sz w:val="24"/>
                <w:szCs w:val="24"/>
                <w:highlight w:val="none"/>
              </w:rPr>
            </w:pPr>
            <w:r>
              <w:rPr>
                <w:rFonts w:hint="eastAsia" w:hAnsi="宋体" w:cs="宋体"/>
                <w:color w:val="auto"/>
                <w:sz w:val="24"/>
                <w:szCs w:val="24"/>
                <w:highlight w:val="none"/>
              </w:rPr>
              <w:t>竞争性磋商文件服务要求</w:t>
            </w:r>
          </w:p>
        </w:tc>
        <w:tc>
          <w:tcPr>
            <w:tcW w:w="3260" w:type="dxa"/>
            <w:vAlign w:val="center"/>
          </w:tcPr>
          <w:p w14:paraId="3B3408E9">
            <w:pPr>
              <w:pStyle w:val="27"/>
              <w:spacing w:line="400" w:lineRule="exact"/>
              <w:jc w:val="center"/>
              <w:rPr>
                <w:rFonts w:hAnsi="宋体" w:cs="宋体"/>
                <w:color w:val="auto"/>
                <w:sz w:val="24"/>
                <w:szCs w:val="24"/>
                <w:highlight w:val="none"/>
              </w:rPr>
            </w:pPr>
            <w:r>
              <w:rPr>
                <w:rFonts w:hint="eastAsia" w:hAnsi="宋体" w:cs="宋体"/>
                <w:color w:val="auto"/>
                <w:sz w:val="24"/>
                <w:szCs w:val="24"/>
                <w:highlight w:val="none"/>
              </w:rPr>
              <w:t>投标文件响应情况</w:t>
            </w:r>
          </w:p>
        </w:tc>
        <w:tc>
          <w:tcPr>
            <w:tcW w:w="1843" w:type="dxa"/>
            <w:vAlign w:val="center"/>
          </w:tcPr>
          <w:p w14:paraId="347C5F3B">
            <w:pPr>
              <w:pStyle w:val="27"/>
              <w:spacing w:line="400" w:lineRule="exact"/>
              <w:jc w:val="center"/>
              <w:rPr>
                <w:rFonts w:hAnsi="宋体" w:cs="宋体"/>
                <w:color w:val="auto"/>
                <w:sz w:val="24"/>
                <w:szCs w:val="24"/>
                <w:highlight w:val="none"/>
              </w:rPr>
            </w:pPr>
            <w:r>
              <w:rPr>
                <w:rFonts w:hint="eastAsia" w:hAnsi="宋体" w:cs="宋体"/>
                <w:color w:val="auto"/>
                <w:sz w:val="24"/>
                <w:szCs w:val="24"/>
                <w:highlight w:val="none"/>
              </w:rPr>
              <w:t>偏离说明</w:t>
            </w:r>
          </w:p>
        </w:tc>
      </w:tr>
      <w:tr w14:paraId="269E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88AF689">
            <w:pPr>
              <w:pStyle w:val="27"/>
              <w:jc w:val="center"/>
              <w:rPr>
                <w:rFonts w:hAnsi="宋体" w:cs="宋体"/>
                <w:color w:val="auto"/>
                <w:sz w:val="24"/>
                <w:szCs w:val="24"/>
                <w:highlight w:val="none"/>
              </w:rPr>
            </w:pPr>
            <w:r>
              <w:rPr>
                <w:rFonts w:hint="eastAsia" w:hAnsi="宋体" w:cs="宋体"/>
                <w:color w:val="auto"/>
                <w:sz w:val="24"/>
                <w:szCs w:val="24"/>
                <w:highlight w:val="none"/>
              </w:rPr>
              <w:t>1</w:t>
            </w:r>
          </w:p>
        </w:tc>
        <w:tc>
          <w:tcPr>
            <w:tcW w:w="3367" w:type="dxa"/>
            <w:vAlign w:val="center"/>
          </w:tcPr>
          <w:p w14:paraId="1BCF939D">
            <w:pPr>
              <w:pStyle w:val="27"/>
              <w:spacing w:line="600" w:lineRule="exact"/>
              <w:jc w:val="center"/>
              <w:rPr>
                <w:rFonts w:hAnsi="宋体" w:cs="宋体"/>
                <w:color w:val="auto"/>
                <w:sz w:val="24"/>
                <w:szCs w:val="24"/>
                <w:highlight w:val="none"/>
              </w:rPr>
            </w:pPr>
          </w:p>
        </w:tc>
        <w:tc>
          <w:tcPr>
            <w:tcW w:w="3260" w:type="dxa"/>
            <w:vAlign w:val="center"/>
          </w:tcPr>
          <w:p w14:paraId="13D55479">
            <w:pPr>
              <w:pStyle w:val="27"/>
              <w:spacing w:line="600" w:lineRule="exact"/>
              <w:jc w:val="center"/>
              <w:rPr>
                <w:rFonts w:hAnsi="宋体" w:cs="宋体"/>
                <w:color w:val="auto"/>
                <w:sz w:val="24"/>
                <w:szCs w:val="24"/>
                <w:highlight w:val="none"/>
              </w:rPr>
            </w:pPr>
          </w:p>
        </w:tc>
        <w:tc>
          <w:tcPr>
            <w:tcW w:w="1843" w:type="dxa"/>
            <w:vAlign w:val="center"/>
          </w:tcPr>
          <w:p w14:paraId="3FB0580B">
            <w:pPr>
              <w:pStyle w:val="27"/>
              <w:spacing w:line="600" w:lineRule="exact"/>
              <w:jc w:val="center"/>
              <w:rPr>
                <w:rFonts w:hAnsi="宋体" w:cs="宋体"/>
                <w:color w:val="auto"/>
                <w:sz w:val="24"/>
                <w:szCs w:val="24"/>
                <w:highlight w:val="none"/>
              </w:rPr>
            </w:pPr>
          </w:p>
        </w:tc>
      </w:tr>
      <w:tr w14:paraId="1491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176600B">
            <w:pPr>
              <w:pStyle w:val="27"/>
              <w:jc w:val="center"/>
              <w:rPr>
                <w:rFonts w:hAnsi="宋体" w:cs="宋体"/>
                <w:color w:val="auto"/>
                <w:sz w:val="24"/>
                <w:szCs w:val="24"/>
                <w:highlight w:val="none"/>
              </w:rPr>
            </w:pPr>
            <w:r>
              <w:rPr>
                <w:rFonts w:hint="eastAsia" w:hAnsi="宋体" w:cs="宋体"/>
                <w:color w:val="auto"/>
                <w:sz w:val="24"/>
                <w:szCs w:val="24"/>
                <w:highlight w:val="none"/>
              </w:rPr>
              <w:t>2</w:t>
            </w:r>
          </w:p>
        </w:tc>
        <w:tc>
          <w:tcPr>
            <w:tcW w:w="3367" w:type="dxa"/>
            <w:vAlign w:val="center"/>
          </w:tcPr>
          <w:p w14:paraId="4E0CFDDA">
            <w:pPr>
              <w:pStyle w:val="27"/>
              <w:spacing w:line="600" w:lineRule="exact"/>
              <w:jc w:val="center"/>
              <w:rPr>
                <w:rFonts w:hAnsi="宋体" w:cs="宋体"/>
                <w:color w:val="auto"/>
                <w:sz w:val="24"/>
                <w:szCs w:val="24"/>
                <w:highlight w:val="none"/>
              </w:rPr>
            </w:pPr>
          </w:p>
        </w:tc>
        <w:tc>
          <w:tcPr>
            <w:tcW w:w="3260" w:type="dxa"/>
            <w:vAlign w:val="center"/>
          </w:tcPr>
          <w:p w14:paraId="0E73311D">
            <w:pPr>
              <w:pStyle w:val="27"/>
              <w:spacing w:line="600" w:lineRule="exact"/>
              <w:jc w:val="center"/>
              <w:rPr>
                <w:rFonts w:hAnsi="宋体" w:cs="宋体"/>
                <w:color w:val="auto"/>
                <w:sz w:val="24"/>
                <w:szCs w:val="24"/>
                <w:highlight w:val="none"/>
              </w:rPr>
            </w:pPr>
          </w:p>
        </w:tc>
        <w:tc>
          <w:tcPr>
            <w:tcW w:w="1843" w:type="dxa"/>
            <w:vAlign w:val="center"/>
          </w:tcPr>
          <w:p w14:paraId="620D02BE">
            <w:pPr>
              <w:pStyle w:val="27"/>
              <w:spacing w:line="600" w:lineRule="exact"/>
              <w:jc w:val="center"/>
              <w:rPr>
                <w:rFonts w:hAnsi="宋体" w:cs="宋体"/>
                <w:color w:val="auto"/>
                <w:sz w:val="24"/>
                <w:szCs w:val="24"/>
                <w:highlight w:val="none"/>
              </w:rPr>
            </w:pPr>
          </w:p>
        </w:tc>
      </w:tr>
      <w:tr w14:paraId="19CC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48429CF">
            <w:pPr>
              <w:pStyle w:val="27"/>
              <w:jc w:val="center"/>
              <w:rPr>
                <w:rFonts w:hAnsi="宋体" w:cs="宋体"/>
                <w:color w:val="auto"/>
                <w:sz w:val="24"/>
                <w:szCs w:val="24"/>
                <w:highlight w:val="none"/>
              </w:rPr>
            </w:pPr>
            <w:r>
              <w:rPr>
                <w:rFonts w:hint="eastAsia" w:hAnsi="宋体" w:cs="宋体"/>
                <w:color w:val="auto"/>
                <w:sz w:val="24"/>
                <w:szCs w:val="24"/>
                <w:highlight w:val="none"/>
              </w:rPr>
              <w:t>3</w:t>
            </w:r>
          </w:p>
        </w:tc>
        <w:tc>
          <w:tcPr>
            <w:tcW w:w="3367" w:type="dxa"/>
            <w:vAlign w:val="center"/>
          </w:tcPr>
          <w:p w14:paraId="45730BC8">
            <w:pPr>
              <w:pStyle w:val="27"/>
              <w:spacing w:line="600" w:lineRule="exact"/>
              <w:jc w:val="center"/>
              <w:rPr>
                <w:rFonts w:hAnsi="宋体" w:cs="宋体"/>
                <w:color w:val="auto"/>
                <w:sz w:val="24"/>
                <w:szCs w:val="24"/>
                <w:highlight w:val="none"/>
              </w:rPr>
            </w:pPr>
          </w:p>
        </w:tc>
        <w:tc>
          <w:tcPr>
            <w:tcW w:w="3260" w:type="dxa"/>
            <w:vAlign w:val="center"/>
          </w:tcPr>
          <w:p w14:paraId="3BE62F06">
            <w:pPr>
              <w:pStyle w:val="27"/>
              <w:spacing w:line="600" w:lineRule="exact"/>
              <w:jc w:val="center"/>
              <w:rPr>
                <w:rFonts w:hAnsi="宋体" w:cs="宋体"/>
                <w:color w:val="auto"/>
                <w:sz w:val="24"/>
                <w:szCs w:val="24"/>
                <w:highlight w:val="none"/>
              </w:rPr>
            </w:pPr>
          </w:p>
        </w:tc>
        <w:tc>
          <w:tcPr>
            <w:tcW w:w="1843" w:type="dxa"/>
            <w:vAlign w:val="center"/>
          </w:tcPr>
          <w:p w14:paraId="4E96B523">
            <w:pPr>
              <w:pStyle w:val="27"/>
              <w:spacing w:line="600" w:lineRule="exact"/>
              <w:jc w:val="center"/>
              <w:rPr>
                <w:rFonts w:hAnsi="宋体" w:cs="宋体"/>
                <w:color w:val="auto"/>
                <w:sz w:val="24"/>
                <w:szCs w:val="24"/>
                <w:highlight w:val="none"/>
              </w:rPr>
            </w:pPr>
          </w:p>
        </w:tc>
      </w:tr>
      <w:tr w14:paraId="45B2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8E85FA8">
            <w:pPr>
              <w:pStyle w:val="27"/>
              <w:jc w:val="center"/>
              <w:rPr>
                <w:rFonts w:hAnsi="宋体" w:cs="宋体"/>
                <w:color w:val="auto"/>
                <w:sz w:val="24"/>
                <w:szCs w:val="24"/>
                <w:highlight w:val="none"/>
              </w:rPr>
            </w:pPr>
            <w:r>
              <w:rPr>
                <w:rFonts w:hint="eastAsia" w:hAnsi="宋体" w:cs="宋体"/>
                <w:color w:val="auto"/>
                <w:sz w:val="24"/>
                <w:szCs w:val="24"/>
                <w:highlight w:val="none"/>
              </w:rPr>
              <w:t>N</w:t>
            </w:r>
          </w:p>
        </w:tc>
        <w:tc>
          <w:tcPr>
            <w:tcW w:w="3367" w:type="dxa"/>
            <w:vAlign w:val="center"/>
          </w:tcPr>
          <w:p w14:paraId="5E35996C">
            <w:pPr>
              <w:pStyle w:val="27"/>
              <w:spacing w:line="600" w:lineRule="exact"/>
              <w:jc w:val="center"/>
              <w:rPr>
                <w:rFonts w:hAnsi="宋体" w:cs="宋体"/>
                <w:color w:val="auto"/>
                <w:sz w:val="24"/>
                <w:szCs w:val="24"/>
                <w:highlight w:val="none"/>
              </w:rPr>
            </w:pPr>
          </w:p>
        </w:tc>
        <w:tc>
          <w:tcPr>
            <w:tcW w:w="3260" w:type="dxa"/>
            <w:vAlign w:val="center"/>
          </w:tcPr>
          <w:p w14:paraId="6009DDCE">
            <w:pPr>
              <w:pStyle w:val="27"/>
              <w:spacing w:line="600" w:lineRule="exact"/>
              <w:jc w:val="center"/>
              <w:rPr>
                <w:rFonts w:hAnsi="宋体" w:cs="宋体"/>
                <w:color w:val="auto"/>
                <w:sz w:val="24"/>
                <w:szCs w:val="24"/>
                <w:highlight w:val="none"/>
              </w:rPr>
            </w:pPr>
          </w:p>
        </w:tc>
        <w:tc>
          <w:tcPr>
            <w:tcW w:w="1843" w:type="dxa"/>
            <w:vAlign w:val="center"/>
          </w:tcPr>
          <w:p w14:paraId="537FAF6E">
            <w:pPr>
              <w:pStyle w:val="27"/>
              <w:spacing w:line="600" w:lineRule="exact"/>
              <w:jc w:val="center"/>
              <w:rPr>
                <w:rFonts w:hAnsi="宋体" w:cs="宋体"/>
                <w:color w:val="auto"/>
                <w:sz w:val="24"/>
                <w:szCs w:val="24"/>
                <w:highlight w:val="none"/>
              </w:rPr>
            </w:pPr>
          </w:p>
        </w:tc>
      </w:tr>
    </w:tbl>
    <w:p w14:paraId="13D3AD9A">
      <w:pPr>
        <w:adjustRightInd w:val="0"/>
        <w:snapToGrid w:val="0"/>
        <w:spacing w:line="520" w:lineRule="exact"/>
        <w:rPr>
          <w:rFonts w:ascii="宋体" w:hAnsi="宋体" w:cs="宋体"/>
          <w:color w:val="auto"/>
          <w:sz w:val="24"/>
          <w:highlight w:val="none"/>
        </w:rPr>
      </w:pPr>
    </w:p>
    <w:p w14:paraId="5A80AD1F">
      <w:pPr>
        <w:pStyle w:val="67"/>
        <w:rPr>
          <w:rFonts w:cs="宋体"/>
          <w:color w:val="auto"/>
          <w:highlight w:val="none"/>
        </w:rPr>
      </w:pPr>
    </w:p>
    <w:p w14:paraId="38D2AB18">
      <w:pPr>
        <w:pStyle w:val="21"/>
        <w:spacing w:line="52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说明：应对照竞争性磋商文件“第三章 项目需求”，说明所提供服务已对竞争性磋商文件的需求做出了实质性的响应，并申明与服务需求条文的响应和偏离。</w:t>
      </w:r>
    </w:p>
    <w:p w14:paraId="2A5F932B">
      <w:pPr>
        <w:pStyle w:val="27"/>
        <w:spacing w:line="520" w:lineRule="exact"/>
        <w:rPr>
          <w:rFonts w:hAnsi="宋体" w:cs="宋体"/>
          <w:color w:val="auto"/>
          <w:sz w:val="24"/>
          <w:szCs w:val="24"/>
          <w:highlight w:val="none"/>
        </w:rPr>
      </w:pPr>
    </w:p>
    <w:p w14:paraId="79FB366D">
      <w:pPr>
        <w:snapToGrid w:val="0"/>
        <w:spacing w:before="50" w:after="50" w:line="520" w:lineRule="exact"/>
        <w:ind w:right="-817" w:rightChars="-389"/>
        <w:rPr>
          <w:rFonts w:ascii="宋体" w:hAnsi="宋体" w:cs="宋体"/>
          <w:color w:val="auto"/>
          <w:sz w:val="24"/>
          <w:highlight w:val="none"/>
        </w:rPr>
      </w:pPr>
    </w:p>
    <w:p w14:paraId="561AE4AB">
      <w:pPr>
        <w:spacing w:line="480" w:lineRule="auto"/>
        <w:ind w:firstLine="2160" w:firstLineChars="900"/>
        <w:rPr>
          <w:rFonts w:ascii="宋体" w:hAnsi="宋体" w:cs="宋体"/>
          <w:color w:val="auto"/>
          <w:sz w:val="24"/>
          <w:highlight w:val="none"/>
        </w:rPr>
      </w:pPr>
      <w:r>
        <w:rPr>
          <w:rFonts w:hint="eastAsia" w:ascii="宋体" w:hAnsi="宋体" w:cs="宋体"/>
          <w:color w:val="auto"/>
          <w:sz w:val="24"/>
          <w:highlight w:val="none"/>
        </w:rPr>
        <w:t xml:space="preserve">供应商名称（电子签章）：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A70F976">
      <w:pPr>
        <w:spacing w:line="480" w:lineRule="auto"/>
        <w:ind w:firstLine="2160" w:firstLineChars="900"/>
        <w:rPr>
          <w:rFonts w:ascii="宋体" w:hAnsi="宋体" w:cs="宋体"/>
          <w:color w:val="auto"/>
          <w:sz w:val="24"/>
          <w:highlight w:val="none"/>
          <w:u w:val="single"/>
        </w:rPr>
      </w:pPr>
      <w:r>
        <w:rPr>
          <w:rFonts w:hint="eastAsia" w:ascii="宋体" w:hAnsi="宋体" w:cs="宋体"/>
          <w:color w:val="auto"/>
          <w:sz w:val="24"/>
          <w:highlight w:val="none"/>
        </w:rPr>
        <w:t>法定代表人或相应的委托代理人签字（或盖章）：</w:t>
      </w:r>
      <w:r>
        <w:rPr>
          <w:rFonts w:hint="eastAsia" w:ascii="宋体" w:hAnsi="宋体" w:cs="宋体"/>
          <w:color w:val="auto"/>
          <w:sz w:val="24"/>
          <w:highlight w:val="none"/>
          <w:u w:val="single"/>
        </w:rPr>
        <w:t xml:space="preserve">          </w:t>
      </w:r>
    </w:p>
    <w:p w14:paraId="18268420">
      <w:pPr>
        <w:pStyle w:val="27"/>
        <w:spacing w:line="400" w:lineRule="exact"/>
        <w:rPr>
          <w:rFonts w:hAnsi="宋体" w:cs="宋体"/>
          <w:color w:val="auto"/>
          <w:sz w:val="24"/>
          <w:szCs w:val="24"/>
          <w:highlight w:val="none"/>
        </w:rPr>
      </w:pPr>
      <w:r>
        <w:rPr>
          <w:rFonts w:hint="eastAsia" w:hAnsi="宋体" w:cs="宋体"/>
          <w:color w:val="auto"/>
          <w:sz w:val="24"/>
          <w:highlight w:val="none"/>
        </w:rPr>
        <w:t xml:space="preserve">                  日  期：</w:t>
      </w:r>
      <w:r>
        <w:rPr>
          <w:rFonts w:hint="eastAsia" w:hAnsi="宋体" w:cs="宋体"/>
          <w:color w:val="auto"/>
          <w:sz w:val="24"/>
          <w:highlight w:val="none"/>
          <w:u w:val="single"/>
        </w:rPr>
        <w:t xml:space="preserve">                   </w:t>
      </w:r>
    </w:p>
    <w:p w14:paraId="2CFEA09A">
      <w:pPr>
        <w:spacing w:line="360" w:lineRule="auto"/>
        <w:jc w:val="left"/>
        <w:rPr>
          <w:rFonts w:ascii="宋体" w:hAnsi="宋体" w:cs="宋体"/>
          <w:b/>
          <w:bCs/>
          <w:color w:val="auto"/>
          <w:sz w:val="24"/>
          <w:highlight w:val="none"/>
        </w:rPr>
      </w:pPr>
    </w:p>
    <w:p w14:paraId="6123064C">
      <w:pPr>
        <w:pStyle w:val="27"/>
        <w:spacing w:line="500" w:lineRule="exact"/>
        <w:rPr>
          <w:rFonts w:hAnsi="宋体" w:cs="宋体"/>
          <w:color w:val="auto"/>
          <w:highlight w:val="none"/>
          <w:u w:val="single"/>
        </w:rPr>
      </w:pPr>
      <w:r>
        <w:rPr>
          <w:rFonts w:hint="eastAsia" w:hAnsi="宋体" w:cs="宋体"/>
          <w:color w:val="auto"/>
          <w:highlight w:val="none"/>
        </w:rPr>
        <w:t xml:space="preserve"> </w:t>
      </w:r>
    </w:p>
    <w:p w14:paraId="4223AE93">
      <w:pPr>
        <w:pStyle w:val="32"/>
        <w:rPr>
          <w:rFonts w:ascii="宋体" w:hAnsi="宋体" w:cs="宋体"/>
          <w:color w:val="auto"/>
          <w:sz w:val="28"/>
          <w:highlight w:val="none"/>
        </w:rPr>
      </w:pPr>
    </w:p>
    <w:p w14:paraId="4E5C8C27">
      <w:pPr>
        <w:pStyle w:val="2"/>
        <w:numPr>
          <w:ilvl w:val="0"/>
          <w:numId w:val="7"/>
        </w:numPr>
        <w:rPr>
          <w:rFonts w:ascii="宋体" w:hAnsi="宋体" w:cs="宋体"/>
          <w:color w:val="auto"/>
          <w:highlight w:val="none"/>
        </w:rPr>
      </w:pPr>
      <w:bookmarkStart w:id="51" w:name="_Toc23911"/>
      <w:r>
        <w:rPr>
          <w:rFonts w:hint="eastAsia" w:ascii="宋体" w:hAnsi="宋体" w:cs="宋体"/>
          <w:color w:val="auto"/>
          <w:highlight w:val="none"/>
        </w:rPr>
        <w:t>合同主要条款</w:t>
      </w:r>
      <w:bookmarkEnd w:id="51"/>
    </w:p>
    <w:p w14:paraId="59EBC738">
      <w:pPr>
        <w:rPr>
          <w:rFonts w:ascii="宋体" w:hAnsi="宋体" w:cs="宋体"/>
          <w:color w:val="auto"/>
          <w:highlight w:val="none"/>
        </w:rPr>
      </w:pPr>
    </w:p>
    <w:p w14:paraId="4A3DF672">
      <w:pPr>
        <w:pStyle w:val="20"/>
        <w:rPr>
          <w:rFonts w:ascii="宋体" w:hAnsi="宋体" w:cs="宋体"/>
          <w:color w:val="auto"/>
          <w:highlight w:val="none"/>
        </w:rPr>
      </w:pPr>
    </w:p>
    <w:p w14:paraId="68D3FF9E">
      <w:pPr>
        <w:pStyle w:val="39"/>
        <w:rPr>
          <w:rFonts w:ascii="宋体" w:hAnsi="宋体" w:cs="宋体"/>
          <w:color w:val="auto"/>
          <w:highlight w:val="none"/>
        </w:rPr>
      </w:pPr>
    </w:p>
    <w:p w14:paraId="38E86C49">
      <w:pPr>
        <w:spacing w:line="360" w:lineRule="auto"/>
        <w:ind w:firstLine="361" w:firstLineChars="100"/>
        <w:jc w:val="center"/>
        <w:rPr>
          <w:rFonts w:ascii="宋体" w:hAnsi="宋体" w:cs="宋体"/>
          <w:b/>
          <w:bCs/>
          <w:color w:val="auto"/>
          <w:sz w:val="36"/>
          <w:szCs w:val="36"/>
          <w:highlight w:val="none"/>
        </w:rPr>
      </w:pPr>
    </w:p>
    <w:p w14:paraId="6A78C46E">
      <w:pPr>
        <w:spacing w:line="360" w:lineRule="auto"/>
        <w:ind w:firstLine="361" w:firstLineChars="100"/>
        <w:jc w:val="center"/>
        <w:rPr>
          <w:rFonts w:ascii="宋体" w:hAnsi="宋体" w:cs="宋体"/>
          <w:b/>
          <w:bCs/>
          <w:color w:val="auto"/>
          <w:sz w:val="36"/>
          <w:szCs w:val="36"/>
          <w:highlight w:val="none"/>
        </w:rPr>
      </w:pPr>
    </w:p>
    <w:p w14:paraId="2D2A3CF1">
      <w:pPr>
        <w:spacing w:line="360" w:lineRule="auto"/>
        <w:ind w:firstLine="361" w:firstLineChars="100"/>
        <w:jc w:val="center"/>
        <w:rPr>
          <w:rFonts w:ascii="宋体" w:hAnsi="宋体" w:cs="宋体"/>
          <w:b/>
          <w:bCs/>
          <w:color w:val="auto"/>
          <w:sz w:val="36"/>
          <w:szCs w:val="36"/>
          <w:highlight w:val="none"/>
        </w:rPr>
      </w:pPr>
    </w:p>
    <w:p w14:paraId="723FB08F">
      <w:pPr>
        <w:spacing w:line="360" w:lineRule="auto"/>
        <w:ind w:firstLine="361" w:firstLineChars="100"/>
        <w:jc w:val="center"/>
        <w:rPr>
          <w:rFonts w:ascii="宋体" w:hAnsi="宋体" w:cs="宋体"/>
          <w:b/>
          <w:bCs/>
          <w:color w:val="auto"/>
          <w:sz w:val="36"/>
          <w:szCs w:val="36"/>
          <w:highlight w:val="none"/>
        </w:rPr>
      </w:pPr>
    </w:p>
    <w:p w14:paraId="33575C9A">
      <w:pPr>
        <w:spacing w:line="360" w:lineRule="auto"/>
        <w:ind w:firstLine="361" w:firstLineChars="100"/>
        <w:jc w:val="center"/>
        <w:rPr>
          <w:rFonts w:ascii="宋体" w:hAnsi="宋体" w:cs="宋体"/>
          <w:b/>
          <w:bCs/>
          <w:color w:val="auto"/>
          <w:sz w:val="36"/>
          <w:szCs w:val="36"/>
          <w:highlight w:val="none"/>
        </w:rPr>
      </w:pPr>
    </w:p>
    <w:p w14:paraId="5120B432">
      <w:pPr>
        <w:spacing w:line="360" w:lineRule="auto"/>
        <w:ind w:firstLine="361" w:firstLineChars="100"/>
        <w:jc w:val="center"/>
        <w:rPr>
          <w:rFonts w:ascii="宋体" w:hAnsi="宋体" w:cs="宋体"/>
          <w:b/>
          <w:bCs/>
          <w:color w:val="auto"/>
          <w:sz w:val="36"/>
          <w:szCs w:val="36"/>
          <w:highlight w:val="none"/>
        </w:rPr>
      </w:pPr>
    </w:p>
    <w:p w14:paraId="19C24D1A">
      <w:pPr>
        <w:spacing w:line="360" w:lineRule="auto"/>
        <w:ind w:firstLine="361" w:firstLineChars="100"/>
        <w:jc w:val="center"/>
        <w:rPr>
          <w:rFonts w:ascii="宋体" w:hAnsi="宋体" w:cs="宋体"/>
          <w:b/>
          <w:bCs/>
          <w:color w:val="auto"/>
          <w:sz w:val="36"/>
          <w:szCs w:val="36"/>
          <w:highlight w:val="none"/>
        </w:rPr>
      </w:pPr>
    </w:p>
    <w:p w14:paraId="610BDDD3">
      <w:pPr>
        <w:spacing w:line="360" w:lineRule="auto"/>
        <w:ind w:firstLine="361" w:firstLineChars="100"/>
        <w:jc w:val="center"/>
        <w:rPr>
          <w:rFonts w:ascii="宋体" w:hAnsi="宋体" w:cs="宋体"/>
          <w:b/>
          <w:bCs/>
          <w:color w:val="auto"/>
          <w:sz w:val="36"/>
          <w:szCs w:val="36"/>
          <w:highlight w:val="none"/>
        </w:rPr>
      </w:pPr>
    </w:p>
    <w:p w14:paraId="73E00767">
      <w:pPr>
        <w:spacing w:line="360" w:lineRule="auto"/>
        <w:ind w:firstLine="361" w:firstLineChars="100"/>
        <w:jc w:val="center"/>
        <w:rPr>
          <w:rFonts w:ascii="宋体" w:hAnsi="宋体" w:cs="宋体"/>
          <w:b/>
          <w:bCs/>
          <w:color w:val="auto"/>
          <w:sz w:val="36"/>
          <w:szCs w:val="36"/>
          <w:highlight w:val="none"/>
        </w:rPr>
      </w:pPr>
    </w:p>
    <w:p w14:paraId="077DC291">
      <w:pPr>
        <w:spacing w:line="360" w:lineRule="auto"/>
        <w:ind w:firstLine="361" w:firstLineChars="100"/>
        <w:jc w:val="center"/>
        <w:rPr>
          <w:rFonts w:ascii="宋体" w:hAnsi="宋体" w:cs="宋体"/>
          <w:b/>
          <w:bCs/>
          <w:color w:val="auto"/>
          <w:sz w:val="36"/>
          <w:szCs w:val="36"/>
          <w:highlight w:val="none"/>
        </w:rPr>
      </w:pPr>
    </w:p>
    <w:p w14:paraId="69A2C92C">
      <w:pPr>
        <w:spacing w:line="360" w:lineRule="auto"/>
        <w:ind w:firstLine="361" w:firstLineChars="100"/>
        <w:jc w:val="center"/>
        <w:rPr>
          <w:rFonts w:ascii="宋体" w:hAnsi="宋体" w:cs="宋体"/>
          <w:b/>
          <w:bCs/>
          <w:color w:val="auto"/>
          <w:sz w:val="36"/>
          <w:szCs w:val="36"/>
          <w:highlight w:val="none"/>
        </w:rPr>
      </w:pPr>
    </w:p>
    <w:p w14:paraId="212F798F">
      <w:pPr>
        <w:spacing w:line="360" w:lineRule="auto"/>
        <w:ind w:firstLine="361" w:firstLineChars="100"/>
        <w:jc w:val="center"/>
        <w:rPr>
          <w:rFonts w:ascii="宋体" w:hAnsi="宋体" w:cs="宋体"/>
          <w:b/>
          <w:bCs/>
          <w:color w:val="auto"/>
          <w:sz w:val="36"/>
          <w:szCs w:val="36"/>
          <w:highlight w:val="none"/>
        </w:rPr>
      </w:pPr>
    </w:p>
    <w:p w14:paraId="1BAA7662">
      <w:pPr>
        <w:spacing w:line="360" w:lineRule="auto"/>
        <w:ind w:firstLine="361" w:firstLineChars="100"/>
        <w:jc w:val="center"/>
        <w:rPr>
          <w:rFonts w:ascii="宋体" w:hAnsi="宋体" w:cs="宋体"/>
          <w:b/>
          <w:bCs/>
          <w:color w:val="auto"/>
          <w:sz w:val="36"/>
          <w:szCs w:val="36"/>
          <w:highlight w:val="none"/>
        </w:rPr>
      </w:pPr>
    </w:p>
    <w:p w14:paraId="487B4C07">
      <w:pPr>
        <w:spacing w:line="360" w:lineRule="auto"/>
        <w:ind w:firstLine="361" w:firstLineChars="100"/>
        <w:jc w:val="center"/>
        <w:rPr>
          <w:rFonts w:ascii="宋体" w:hAnsi="宋体" w:cs="宋体"/>
          <w:b/>
          <w:bCs/>
          <w:color w:val="auto"/>
          <w:sz w:val="36"/>
          <w:szCs w:val="36"/>
          <w:highlight w:val="none"/>
        </w:rPr>
      </w:pPr>
    </w:p>
    <w:p w14:paraId="537EF311">
      <w:pPr>
        <w:spacing w:line="360" w:lineRule="auto"/>
        <w:ind w:firstLine="361" w:firstLineChars="100"/>
        <w:jc w:val="center"/>
        <w:rPr>
          <w:rFonts w:ascii="宋体" w:hAnsi="宋体" w:cs="宋体"/>
          <w:b/>
          <w:bCs/>
          <w:color w:val="auto"/>
          <w:sz w:val="36"/>
          <w:szCs w:val="36"/>
          <w:highlight w:val="none"/>
        </w:rPr>
      </w:pPr>
    </w:p>
    <w:p w14:paraId="75670CEF">
      <w:pPr>
        <w:spacing w:line="360" w:lineRule="auto"/>
        <w:ind w:firstLine="361" w:firstLineChars="100"/>
        <w:jc w:val="center"/>
        <w:rPr>
          <w:rFonts w:ascii="宋体" w:hAnsi="宋体" w:cs="宋体"/>
          <w:b/>
          <w:bCs/>
          <w:color w:val="auto"/>
          <w:sz w:val="36"/>
          <w:szCs w:val="36"/>
          <w:highlight w:val="none"/>
        </w:rPr>
      </w:pPr>
    </w:p>
    <w:p w14:paraId="6F94BD60">
      <w:pPr>
        <w:spacing w:line="360" w:lineRule="auto"/>
        <w:ind w:firstLine="361" w:firstLineChars="100"/>
        <w:jc w:val="center"/>
        <w:rPr>
          <w:rFonts w:ascii="宋体" w:hAnsi="宋体" w:cs="宋体"/>
          <w:b/>
          <w:bCs/>
          <w:color w:val="auto"/>
          <w:sz w:val="36"/>
          <w:szCs w:val="36"/>
          <w:highlight w:val="none"/>
        </w:rPr>
      </w:pPr>
    </w:p>
    <w:p w14:paraId="71E874B7">
      <w:pPr>
        <w:spacing w:line="360" w:lineRule="auto"/>
        <w:ind w:firstLine="361" w:firstLineChars="100"/>
        <w:jc w:val="center"/>
        <w:rPr>
          <w:rFonts w:ascii="宋体" w:hAnsi="宋体" w:cs="宋体"/>
          <w:b/>
          <w:bCs/>
          <w:color w:val="auto"/>
          <w:sz w:val="36"/>
          <w:szCs w:val="36"/>
          <w:highlight w:val="none"/>
        </w:rPr>
      </w:pPr>
    </w:p>
    <w:p w14:paraId="62FE7C27">
      <w:pPr>
        <w:spacing w:line="360" w:lineRule="auto"/>
        <w:ind w:firstLine="361" w:firstLineChars="100"/>
        <w:jc w:val="center"/>
        <w:rPr>
          <w:rFonts w:ascii="宋体" w:hAnsi="宋体" w:cs="宋体"/>
          <w:b/>
          <w:bCs/>
          <w:color w:val="auto"/>
          <w:sz w:val="36"/>
          <w:szCs w:val="36"/>
          <w:highlight w:val="none"/>
        </w:rPr>
      </w:pPr>
    </w:p>
    <w:p w14:paraId="2B7A4B3D">
      <w:pPr>
        <w:spacing w:line="360" w:lineRule="auto"/>
        <w:ind w:firstLine="361" w:firstLineChars="100"/>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2025年桂平市居家和社区基本养老服务提升行动项目</w:t>
      </w:r>
    </w:p>
    <w:p w14:paraId="71C49521">
      <w:pPr>
        <w:spacing w:line="360" w:lineRule="auto"/>
        <w:ind w:firstLine="361" w:firstLineChars="100"/>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采购合同</w:t>
      </w:r>
    </w:p>
    <w:p w14:paraId="3C39ADDD">
      <w:pPr>
        <w:snapToGrid w:val="0"/>
        <w:spacing w:line="400" w:lineRule="exact"/>
        <w:ind w:firstLine="560" w:firstLineChars="200"/>
        <w:rPr>
          <w:rFonts w:ascii="宋体" w:hAnsi="宋体" w:cs="宋体"/>
          <w:color w:val="auto"/>
          <w:kern w:val="0"/>
          <w:sz w:val="28"/>
          <w:szCs w:val="28"/>
          <w:highlight w:val="none"/>
        </w:rPr>
      </w:pPr>
    </w:p>
    <w:p w14:paraId="5B66348C">
      <w:pPr>
        <w:snapToGrid w:val="0"/>
        <w:spacing w:line="400" w:lineRule="exact"/>
        <w:ind w:firstLine="560" w:firstLineChars="200"/>
        <w:rPr>
          <w:rFonts w:ascii="宋体" w:hAnsi="宋体" w:cs="宋体"/>
          <w:color w:val="auto"/>
          <w:kern w:val="0"/>
          <w:sz w:val="28"/>
          <w:szCs w:val="28"/>
          <w:highlight w:val="none"/>
        </w:rPr>
      </w:pPr>
    </w:p>
    <w:p w14:paraId="704D1941">
      <w:pPr>
        <w:snapToGrid w:val="0"/>
        <w:spacing w:line="400" w:lineRule="exact"/>
        <w:ind w:firstLine="560" w:firstLineChars="200"/>
        <w:rPr>
          <w:rFonts w:ascii="宋体" w:hAnsi="宋体" w:cs="宋体"/>
          <w:color w:val="auto"/>
          <w:kern w:val="0"/>
          <w:sz w:val="28"/>
          <w:szCs w:val="28"/>
          <w:highlight w:val="none"/>
        </w:rPr>
      </w:pPr>
    </w:p>
    <w:p w14:paraId="6E0BA363">
      <w:pPr>
        <w:snapToGrid w:val="0"/>
        <w:spacing w:line="400" w:lineRule="exact"/>
        <w:ind w:firstLine="560" w:firstLineChars="200"/>
        <w:rPr>
          <w:rFonts w:ascii="宋体" w:hAnsi="宋体" w:cs="宋体"/>
          <w:color w:val="auto"/>
          <w:kern w:val="0"/>
          <w:sz w:val="28"/>
          <w:szCs w:val="28"/>
          <w:highlight w:val="none"/>
        </w:rPr>
      </w:pPr>
    </w:p>
    <w:p w14:paraId="5998F998">
      <w:pPr>
        <w:spacing w:line="360" w:lineRule="auto"/>
        <w:ind w:left="1964" w:leftChars="266" w:hanging="1405" w:hangingChars="500"/>
        <w:rPr>
          <w:rFonts w:ascii="宋体" w:hAnsi="宋体" w:cs="宋体"/>
          <w:b/>
          <w:bCs/>
          <w:color w:val="auto"/>
          <w:kern w:val="0"/>
          <w:sz w:val="28"/>
          <w:szCs w:val="28"/>
          <w:highlight w:val="none"/>
          <w:u w:val="single"/>
        </w:rPr>
      </w:pPr>
      <w:r>
        <w:rPr>
          <w:rFonts w:hint="eastAsia" w:ascii="宋体" w:hAnsi="宋体" w:cs="宋体"/>
          <w:b/>
          <w:bCs/>
          <w:color w:val="auto"/>
          <w:kern w:val="0"/>
          <w:sz w:val="28"/>
          <w:szCs w:val="28"/>
          <w:highlight w:val="none"/>
        </w:rPr>
        <w:t>合同名称：</w:t>
      </w:r>
      <w:r>
        <w:rPr>
          <w:rFonts w:hint="eastAsia" w:ascii="宋体" w:hAnsi="宋体" w:cs="宋体"/>
          <w:b/>
          <w:bCs/>
          <w:color w:val="auto"/>
          <w:kern w:val="0"/>
          <w:sz w:val="28"/>
          <w:szCs w:val="28"/>
          <w:highlight w:val="none"/>
          <w:u w:val="single"/>
        </w:rPr>
        <w:t xml:space="preserve">                                   </w:t>
      </w:r>
    </w:p>
    <w:p w14:paraId="4275696E">
      <w:pPr>
        <w:pStyle w:val="20"/>
        <w:rPr>
          <w:rFonts w:ascii="宋体" w:hAnsi="宋体" w:cs="宋体"/>
          <w:b/>
          <w:bCs/>
          <w:color w:val="auto"/>
          <w:sz w:val="28"/>
          <w:szCs w:val="28"/>
          <w:highlight w:val="none"/>
        </w:rPr>
      </w:pPr>
    </w:p>
    <w:p w14:paraId="3A720EB5">
      <w:pPr>
        <w:spacing w:line="360" w:lineRule="auto"/>
        <w:ind w:firstLine="562" w:firstLineChars="200"/>
        <w:rPr>
          <w:rFonts w:ascii="宋体" w:hAnsi="宋体" w:cs="宋体"/>
          <w:b/>
          <w:bCs/>
          <w:color w:val="auto"/>
          <w:sz w:val="28"/>
          <w:szCs w:val="28"/>
          <w:highlight w:val="none"/>
        </w:rPr>
      </w:pPr>
      <w:r>
        <w:rPr>
          <w:rFonts w:hint="eastAsia" w:ascii="宋体" w:hAnsi="宋体" w:cs="宋体"/>
          <w:b/>
          <w:bCs/>
          <w:color w:val="auto"/>
          <w:kern w:val="0"/>
          <w:sz w:val="28"/>
          <w:szCs w:val="28"/>
          <w:highlight w:val="none"/>
        </w:rPr>
        <w:t>合同编号：</w:t>
      </w:r>
      <w:r>
        <w:rPr>
          <w:rFonts w:hint="eastAsia" w:ascii="宋体" w:hAnsi="宋体" w:cs="宋体"/>
          <w:b/>
          <w:bCs/>
          <w:color w:val="auto"/>
          <w:kern w:val="0"/>
          <w:sz w:val="28"/>
          <w:szCs w:val="28"/>
          <w:highlight w:val="none"/>
          <w:u w:val="single"/>
        </w:rPr>
        <w:t xml:space="preserve">                                            </w:t>
      </w:r>
    </w:p>
    <w:p w14:paraId="285C4D27">
      <w:pPr>
        <w:pStyle w:val="39"/>
        <w:tabs>
          <w:tab w:val="right" w:leader="dot" w:pos="9061"/>
        </w:tabs>
        <w:ind w:left="0" w:firstLine="562" w:firstLineChars="200"/>
        <w:jc w:val="both"/>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 xml:space="preserve">分标号： </w:t>
      </w:r>
      <w:r>
        <w:rPr>
          <w:rFonts w:hint="eastAsia" w:ascii="宋体" w:hAnsi="宋体" w:cs="宋体"/>
          <w:b/>
          <w:bCs/>
          <w:color w:val="auto"/>
          <w:sz w:val="28"/>
          <w:szCs w:val="28"/>
          <w:highlight w:val="none"/>
          <w:u w:val="single"/>
        </w:rPr>
        <w:t xml:space="preserve">                                              </w:t>
      </w:r>
    </w:p>
    <w:p w14:paraId="086A8360">
      <w:pPr>
        <w:snapToGrid w:val="0"/>
        <w:spacing w:line="400" w:lineRule="exact"/>
        <w:ind w:firstLine="562" w:firstLineChars="200"/>
        <w:rPr>
          <w:rFonts w:ascii="宋体" w:hAnsi="宋体" w:cs="宋体"/>
          <w:b/>
          <w:bCs/>
          <w:color w:val="auto"/>
          <w:kern w:val="0"/>
          <w:sz w:val="28"/>
          <w:szCs w:val="28"/>
          <w:highlight w:val="none"/>
          <w:u w:val="single"/>
        </w:rPr>
      </w:pPr>
      <w:r>
        <w:rPr>
          <w:rFonts w:hint="eastAsia" w:ascii="宋体" w:hAnsi="宋体" w:cs="宋体"/>
          <w:b/>
          <w:bCs/>
          <w:color w:val="auto"/>
          <w:kern w:val="0"/>
          <w:sz w:val="28"/>
          <w:szCs w:val="28"/>
          <w:highlight w:val="none"/>
        </w:rPr>
        <w:t>采购单位（甲方）：</w:t>
      </w:r>
      <w:r>
        <w:rPr>
          <w:rFonts w:hint="eastAsia" w:ascii="宋体" w:hAnsi="宋体" w:cs="宋体"/>
          <w:b/>
          <w:bCs/>
          <w:color w:val="auto"/>
          <w:kern w:val="0"/>
          <w:sz w:val="28"/>
          <w:szCs w:val="28"/>
          <w:highlight w:val="none"/>
          <w:u w:val="single"/>
        </w:rPr>
        <w:t xml:space="preserve">                                    </w:t>
      </w:r>
    </w:p>
    <w:p w14:paraId="38EB300B">
      <w:pPr>
        <w:snapToGrid w:val="0"/>
        <w:spacing w:line="400" w:lineRule="exact"/>
        <w:ind w:firstLine="562" w:firstLineChars="200"/>
        <w:rPr>
          <w:rFonts w:ascii="宋体" w:hAnsi="宋体" w:cs="宋体"/>
          <w:b/>
          <w:bCs/>
          <w:color w:val="auto"/>
          <w:kern w:val="0"/>
          <w:sz w:val="28"/>
          <w:szCs w:val="28"/>
          <w:highlight w:val="none"/>
        </w:rPr>
      </w:pPr>
    </w:p>
    <w:p w14:paraId="1D4F649D">
      <w:pPr>
        <w:snapToGrid w:val="0"/>
        <w:spacing w:line="40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供 应 商（乙方）： </w:t>
      </w:r>
      <w:r>
        <w:rPr>
          <w:rFonts w:hint="eastAsia" w:ascii="宋体" w:hAnsi="宋体" w:cs="宋体"/>
          <w:b/>
          <w:bCs/>
          <w:color w:val="auto"/>
          <w:kern w:val="0"/>
          <w:sz w:val="28"/>
          <w:szCs w:val="28"/>
          <w:highlight w:val="none"/>
          <w:u w:val="single"/>
        </w:rPr>
        <w:t xml:space="preserve">                                   </w:t>
      </w:r>
      <w:r>
        <w:rPr>
          <w:rFonts w:hint="eastAsia" w:ascii="宋体" w:hAnsi="宋体" w:cs="宋体"/>
          <w:b/>
          <w:bCs/>
          <w:color w:val="auto"/>
          <w:kern w:val="0"/>
          <w:sz w:val="28"/>
          <w:szCs w:val="28"/>
          <w:highlight w:val="none"/>
        </w:rPr>
        <w:t xml:space="preserve">                </w:t>
      </w:r>
    </w:p>
    <w:p w14:paraId="16E83E41">
      <w:pPr>
        <w:snapToGrid w:val="0"/>
        <w:spacing w:line="40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 </w:t>
      </w:r>
    </w:p>
    <w:p w14:paraId="47699933">
      <w:pPr>
        <w:snapToGrid w:val="0"/>
        <w:spacing w:line="40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签订合同地点：</w:t>
      </w:r>
      <w:r>
        <w:rPr>
          <w:rFonts w:hint="eastAsia" w:ascii="宋体" w:hAnsi="宋体" w:cs="宋体"/>
          <w:b/>
          <w:bCs/>
          <w:color w:val="auto"/>
          <w:kern w:val="0"/>
          <w:sz w:val="28"/>
          <w:szCs w:val="28"/>
          <w:highlight w:val="none"/>
          <w:u w:val="single"/>
        </w:rPr>
        <w:t xml:space="preserve">                                       </w:t>
      </w:r>
      <w:r>
        <w:rPr>
          <w:rFonts w:hint="eastAsia" w:ascii="宋体" w:hAnsi="宋体" w:cs="宋体"/>
          <w:b/>
          <w:bCs/>
          <w:color w:val="auto"/>
          <w:kern w:val="0"/>
          <w:sz w:val="28"/>
          <w:szCs w:val="28"/>
          <w:highlight w:val="none"/>
        </w:rPr>
        <w:t xml:space="preserve">        </w:t>
      </w:r>
    </w:p>
    <w:p w14:paraId="14E601A5">
      <w:pPr>
        <w:snapToGrid w:val="0"/>
        <w:spacing w:line="400" w:lineRule="exact"/>
        <w:ind w:firstLine="562" w:firstLineChars="200"/>
        <w:rPr>
          <w:rFonts w:ascii="宋体" w:hAnsi="宋体" w:cs="宋体"/>
          <w:b/>
          <w:bCs/>
          <w:color w:val="auto"/>
          <w:kern w:val="0"/>
          <w:sz w:val="28"/>
          <w:szCs w:val="28"/>
          <w:highlight w:val="none"/>
        </w:rPr>
      </w:pPr>
    </w:p>
    <w:p w14:paraId="7C1622D6">
      <w:pPr>
        <w:snapToGrid w:val="0"/>
        <w:spacing w:line="400" w:lineRule="exact"/>
        <w:ind w:firstLine="562" w:firstLineChars="200"/>
        <w:rPr>
          <w:rFonts w:ascii="宋体" w:hAnsi="宋体" w:cs="宋体"/>
          <w:b/>
          <w:bCs/>
          <w:color w:val="auto"/>
          <w:kern w:val="0"/>
          <w:sz w:val="28"/>
          <w:szCs w:val="28"/>
          <w:highlight w:val="none"/>
          <w:u w:val="single"/>
        </w:rPr>
      </w:pPr>
      <w:r>
        <w:rPr>
          <w:rFonts w:hint="eastAsia" w:ascii="宋体" w:hAnsi="宋体" w:cs="宋体"/>
          <w:b/>
          <w:bCs/>
          <w:color w:val="auto"/>
          <w:kern w:val="0"/>
          <w:sz w:val="28"/>
          <w:szCs w:val="28"/>
          <w:highlight w:val="none"/>
        </w:rPr>
        <w:t>签订合同时间：</w:t>
      </w:r>
      <w:r>
        <w:rPr>
          <w:rFonts w:hint="eastAsia" w:ascii="宋体" w:hAnsi="宋体" w:cs="宋体"/>
          <w:b/>
          <w:bCs/>
          <w:color w:val="auto"/>
          <w:kern w:val="0"/>
          <w:sz w:val="28"/>
          <w:szCs w:val="28"/>
          <w:highlight w:val="none"/>
          <w:u w:val="single"/>
        </w:rPr>
        <w:t xml:space="preserve">                                       </w:t>
      </w:r>
    </w:p>
    <w:p w14:paraId="782D5566">
      <w:pPr>
        <w:snapToGrid w:val="0"/>
        <w:spacing w:line="360" w:lineRule="auto"/>
        <w:jc w:val="center"/>
        <w:rPr>
          <w:rFonts w:ascii="宋体" w:hAnsi="宋体" w:cs="宋体"/>
          <w:b/>
          <w:bCs/>
          <w:color w:val="auto"/>
          <w:kern w:val="0"/>
          <w:sz w:val="28"/>
          <w:szCs w:val="28"/>
          <w:highlight w:val="none"/>
        </w:rPr>
      </w:pPr>
    </w:p>
    <w:p w14:paraId="54EE2BEE">
      <w:pPr>
        <w:snapToGrid w:val="0"/>
        <w:spacing w:line="360" w:lineRule="auto"/>
        <w:jc w:val="center"/>
        <w:rPr>
          <w:rFonts w:ascii="宋体" w:hAnsi="宋体" w:cs="宋体"/>
          <w:b/>
          <w:bCs/>
          <w:color w:val="auto"/>
          <w:kern w:val="0"/>
          <w:sz w:val="28"/>
          <w:szCs w:val="28"/>
          <w:highlight w:val="none"/>
        </w:rPr>
      </w:pPr>
    </w:p>
    <w:p w14:paraId="68EE6415">
      <w:pPr>
        <w:pStyle w:val="67"/>
        <w:rPr>
          <w:rFonts w:cs="宋体"/>
          <w:color w:val="auto"/>
          <w:kern w:val="0"/>
          <w:sz w:val="28"/>
          <w:szCs w:val="28"/>
          <w:highlight w:val="none"/>
        </w:rPr>
      </w:pPr>
    </w:p>
    <w:p w14:paraId="7C224474">
      <w:pPr>
        <w:pStyle w:val="67"/>
        <w:rPr>
          <w:rFonts w:cs="宋体"/>
          <w:color w:val="auto"/>
          <w:kern w:val="0"/>
          <w:sz w:val="28"/>
          <w:szCs w:val="28"/>
          <w:highlight w:val="none"/>
        </w:rPr>
      </w:pPr>
    </w:p>
    <w:p w14:paraId="4647A828">
      <w:pPr>
        <w:pStyle w:val="67"/>
        <w:rPr>
          <w:rFonts w:cs="宋体"/>
          <w:color w:val="auto"/>
          <w:kern w:val="0"/>
          <w:sz w:val="28"/>
          <w:szCs w:val="28"/>
          <w:highlight w:val="none"/>
        </w:rPr>
      </w:pPr>
    </w:p>
    <w:p w14:paraId="025238B7">
      <w:pPr>
        <w:pStyle w:val="67"/>
        <w:rPr>
          <w:rFonts w:cs="宋体"/>
          <w:color w:val="auto"/>
          <w:kern w:val="0"/>
          <w:sz w:val="28"/>
          <w:szCs w:val="28"/>
          <w:highlight w:val="none"/>
        </w:rPr>
      </w:pPr>
    </w:p>
    <w:p w14:paraId="58E9AEA0">
      <w:pPr>
        <w:snapToGrid w:val="0"/>
        <w:spacing w:line="360" w:lineRule="auto"/>
        <w:ind w:firstLine="3373" w:firstLineChars="1200"/>
        <w:rPr>
          <w:rFonts w:ascii="宋体" w:hAnsi="宋体" w:cs="宋体"/>
          <w:b/>
          <w:bCs/>
          <w:color w:val="auto"/>
          <w:kern w:val="0"/>
          <w:sz w:val="28"/>
          <w:szCs w:val="28"/>
          <w:highlight w:val="none"/>
        </w:rPr>
      </w:pPr>
    </w:p>
    <w:p w14:paraId="47B347D5">
      <w:pPr>
        <w:pStyle w:val="67"/>
        <w:rPr>
          <w:rFonts w:cs="宋体"/>
          <w:color w:val="auto"/>
          <w:highlight w:val="none"/>
        </w:rPr>
      </w:pPr>
    </w:p>
    <w:p w14:paraId="71A8EB83">
      <w:pPr>
        <w:snapToGrid w:val="0"/>
        <w:spacing w:line="360" w:lineRule="auto"/>
        <w:ind w:firstLine="3373" w:firstLineChars="1200"/>
        <w:rPr>
          <w:rFonts w:ascii="宋体" w:hAnsi="宋体" w:cs="宋体"/>
          <w:b/>
          <w:bCs/>
          <w:color w:val="auto"/>
          <w:kern w:val="0"/>
          <w:sz w:val="28"/>
          <w:szCs w:val="28"/>
          <w:highlight w:val="none"/>
        </w:rPr>
      </w:pPr>
    </w:p>
    <w:p w14:paraId="0612E05A">
      <w:pPr>
        <w:snapToGrid w:val="0"/>
        <w:spacing w:line="360" w:lineRule="auto"/>
        <w:ind w:firstLine="3373" w:firstLineChars="1200"/>
        <w:rPr>
          <w:rFonts w:ascii="宋体" w:hAnsi="宋体" w:cs="宋体"/>
          <w:b/>
          <w:bCs/>
          <w:color w:val="auto"/>
          <w:kern w:val="0"/>
          <w:sz w:val="28"/>
          <w:szCs w:val="28"/>
          <w:highlight w:val="none"/>
        </w:rPr>
      </w:pPr>
    </w:p>
    <w:p w14:paraId="70005528">
      <w:pPr>
        <w:jc w:val="center"/>
        <w:rPr>
          <w:rFonts w:ascii="宋体" w:hAnsi="宋体" w:cs="宋体"/>
          <w:color w:val="auto"/>
          <w:sz w:val="24"/>
          <w:highlight w:val="none"/>
        </w:rPr>
      </w:pPr>
      <w:r>
        <w:rPr>
          <w:rStyle w:val="207"/>
          <w:rFonts w:hint="eastAsia" w:ascii="宋体" w:hAnsi="宋体" w:cs="宋体"/>
          <w:color w:val="auto"/>
          <w:highlight w:val="none"/>
        </w:rPr>
        <w:t>合同主要条款（格式）</w:t>
      </w:r>
    </w:p>
    <w:p w14:paraId="560D7A71">
      <w:pPr>
        <w:jc w:val="center"/>
        <w:rPr>
          <w:rFonts w:ascii="宋体" w:hAnsi="宋体" w:cs="宋体"/>
          <w:color w:val="auto"/>
          <w:sz w:val="24"/>
          <w:highlight w:val="none"/>
        </w:rPr>
      </w:pPr>
    </w:p>
    <w:p w14:paraId="7CD556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（注：本合同格式仅为合同的参考文本，合同签订双方可根据项目的具体要求进行修订。）</w:t>
      </w:r>
    </w:p>
    <w:p w14:paraId="295191DF">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项目名称：</w:t>
      </w:r>
      <w:r>
        <w:rPr>
          <w:rFonts w:hint="eastAsia" w:ascii="宋体" w:hAnsi="宋体" w:cs="宋体"/>
          <w:color w:val="auto"/>
          <w:spacing w:val="4"/>
          <w:sz w:val="24"/>
          <w:highlight w:val="none"/>
          <w:u w:val="single"/>
        </w:rPr>
        <w:t xml:space="preserve">                     </w:t>
      </w:r>
      <w:r>
        <w:rPr>
          <w:rFonts w:hint="eastAsia" w:ascii="宋体" w:hAnsi="宋体" w:cs="宋体"/>
          <w:color w:val="auto"/>
          <w:kern w:val="0"/>
          <w:sz w:val="24"/>
          <w:highlight w:val="none"/>
        </w:rPr>
        <w:t xml:space="preserve">               项目编号：</w:t>
      </w:r>
      <w:r>
        <w:rPr>
          <w:rFonts w:hint="eastAsia" w:ascii="宋体" w:hAnsi="宋体" w:cs="宋体"/>
          <w:color w:val="auto"/>
          <w:spacing w:val="4"/>
          <w:sz w:val="24"/>
          <w:highlight w:val="none"/>
          <w:u w:val="single"/>
        </w:rPr>
        <w:t xml:space="preserve">                     </w:t>
      </w:r>
    </w:p>
    <w:p w14:paraId="78AE0074">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甲方：（采购人）</w:t>
      </w:r>
      <w:r>
        <w:rPr>
          <w:rFonts w:hint="eastAsia" w:ascii="宋体" w:hAnsi="宋体" w:cs="宋体"/>
          <w:color w:val="auto"/>
          <w:spacing w:val="4"/>
          <w:sz w:val="24"/>
          <w:highlight w:val="none"/>
          <w:u w:val="single"/>
        </w:rPr>
        <w:t xml:space="preserve">                  </w:t>
      </w:r>
      <w:r>
        <w:rPr>
          <w:rFonts w:hint="eastAsia" w:ascii="宋体" w:hAnsi="宋体" w:cs="宋体"/>
          <w:color w:val="auto"/>
          <w:kern w:val="0"/>
          <w:sz w:val="24"/>
          <w:highlight w:val="none"/>
        </w:rPr>
        <w:t xml:space="preserve">            乙方：（</w:t>
      </w:r>
      <w:r>
        <w:rPr>
          <w:rFonts w:hint="eastAsia" w:ascii="宋体" w:hAnsi="宋体" w:cs="宋体"/>
          <w:color w:val="auto"/>
          <w:spacing w:val="-20"/>
          <w:sz w:val="24"/>
          <w:highlight w:val="none"/>
        </w:rPr>
        <w:t>供应商</w:t>
      </w:r>
      <w:r>
        <w:rPr>
          <w:rFonts w:hint="eastAsia" w:ascii="宋体" w:hAnsi="宋体" w:cs="宋体"/>
          <w:color w:val="auto"/>
          <w:kern w:val="0"/>
          <w:sz w:val="24"/>
          <w:highlight w:val="none"/>
        </w:rPr>
        <w:t>）</w:t>
      </w:r>
      <w:r>
        <w:rPr>
          <w:rFonts w:hint="eastAsia" w:ascii="宋体" w:hAnsi="宋体" w:cs="宋体"/>
          <w:color w:val="auto"/>
          <w:spacing w:val="4"/>
          <w:sz w:val="24"/>
          <w:highlight w:val="none"/>
          <w:u w:val="single"/>
        </w:rPr>
        <w:t xml:space="preserve">                     </w:t>
      </w:r>
    </w:p>
    <w:p w14:paraId="00AE028C">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根据《中华人民共和国政府采购法》、《中华人民共和国民法典》等法律、法规规定，按照招投标文件规定条款和成交投标人承诺、甲乙双方签订本合同。</w:t>
      </w:r>
    </w:p>
    <w:p w14:paraId="453A22B1">
      <w:pPr>
        <w:pStyle w:val="20"/>
        <w:numPr>
          <w:ilvl w:val="0"/>
          <w:numId w:val="8"/>
        </w:numPr>
        <w:spacing w:line="360" w:lineRule="auto"/>
        <w:ind w:firstLine="468" w:firstLineChars="200"/>
        <w:rPr>
          <w:rFonts w:ascii="宋体" w:hAnsi="宋体" w:cs="宋体"/>
          <w:color w:val="auto"/>
          <w:spacing w:val="-3"/>
          <w:highlight w:val="none"/>
        </w:rPr>
      </w:pPr>
      <w:r>
        <w:rPr>
          <w:rFonts w:hint="eastAsia" w:ascii="宋体" w:hAnsi="宋体" w:cs="宋体"/>
          <w:color w:val="auto"/>
          <w:spacing w:val="-3"/>
          <w:highlight w:val="none"/>
        </w:rPr>
        <w:t>合同标的</w:t>
      </w:r>
    </w:p>
    <w:p w14:paraId="4E71965C">
      <w:pPr>
        <w:spacing w:line="360" w:lineRule="auto"/>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1、服务内容一览表</w:t>
      </w:r>
    </w:p>
    <w:tbl>
      <w:tblPr>
        <w:tblStyle w:val="49"/>
        <w:tblW w:w="9696" w:type="dxa"/>
        <w:jc w:val="center"/>
        <w:tblLayout w:type="fixed"/>
        <w:tblCellMar>
          <w:top w:w="0" w:type="dxa"/>
          <w:left w:w="108" w:type="dxa"/>
          <w:bottom w:w="0" w:type="dxa"/>
          <w:right w:w="108" w:type="dxa"/>
        </w:tblCellMar>
      </w:tblPr>
      <w:tblGrid>
        <w:gridCol w:w="936"/>
        <w:gridCol w:w="4182"/>
        <w:gridCol w:w="1116"/>
        <w:gridCol w:w="684"/>
        <w:gridCol w:w="1200"/>
        <w:gridCol w:w="1578"/>
      </w:tblGrid>
      <w:tr w14:paraId="4B754FE6">
        <w:tblPrEx>
          <w:tblCellMar>
            <w:top w:w="0" w:type="dxa"/>
            <w:left w:w="108" w:type="dxa"/>
            <w:bottom w:w="0" w:type="dxa"/>
            <w:right w:w="108" w:type="dxa"/>
          </w:tblCellMar>
        </w:tblPrEx>
        <w:trPr>
          <w:trHeight w:val="439" w:hRule="atLeast"/>
          <w:jc w:val="center"/>
        </w:trPr>
        <w:tc>
          <w:tcPr>
            <w:tcW w:w="936" w:type="dxa"/>
            <w:tcBorders>
              <w:top w:val="single" w:color="auto" w:sz="4" w:space="0"/>
              <w:left w:val="single" w:color="auto" w:sz="4" w:space="0"/>
              <w:bottom w:val="single" w:color="auto" w:sz="4" w:space="0"/>
              <w:right w:val="single" w:color="auto" w:sz="4" w:space="0"/>
            </w:tcBorders>
            <w:noWrap/>
            <w:vAlign w:val="center"/>
          </w:tcPr>
          <w:p w14:paraId="39D0FD1C">
            <w:pPr>
              <w:jc w:val="center"/>
              <w:rPr>
                <w:rFonts w:ascii="宋体" w:hAnsi="宋体" w:cs="宋体"/>
                <w:color w:val="auto"/>
                <w:highlight w:val="none"/>
              </w:rPr>
            </w:pPr>
            <w:r>
              <w:rPr>
                <w:rFonts w:hint="eastAsia" w:ascii="宋体" w:hAnsi="宋体" w:cs="宋体"/>
                <w:color w:val="auto"/>
                <w:kern w:val="0"/>
                <w:sz w:val="24"/>
                <w:highlight w:val="none"/>
              </w:rPr>
              <w:t>序号</w:t>
            </w:r>
          </w:p>
        </w:tc>
        <w:tc>
          <w:tcPr>
            <w:tcW w:w="4182" w:type="dxa"/>
            <w:tcBorders>
              <w:top w:val="single" w:color="auto" w:sz="4" w:space="0"/>
              <w:left w:val="single" w:color="auto" w:sz="4" w:space="0"/>
              <w:bottom w:val="single" w:color="auto" w:sz="4" w:space="0"/>
              <w:right w:val="single" w:color="auto" w:sz="4" w:space="0"/>
            </w:tcBorders>
            <w:noWrap/>
            <w:vAlign w:val="center"/>
          </w:tcPr>
          <w:p w14:paraId="3AED71C1">
            <w:pPr>
              <w:jc w:val="center"/>
              <w:rPr>
                <w:rFonts w:ascii="宋体" w:hAnsi="宋体" w:cs="宋体"/>
                <w:color w:val="auto"/>
                <w:kern w:val="0"/>
                <w:sz w:val="24"/>
                <w:highlight w:val="none"/>
              </w:rPr>
            </w:pPr>
            <w:r>
              <w:rPr>
                <w:rFonts w:hint="eastAsia" w:ascii="宋体" w:hAnsi="宋体" w:cs="宋体"/>
                <w:color w:val="auto"/>
                <w:kern w:val="0"/>
                <w:sz w:val="24"/>
                <w:highlight w:val="none"/>
              </w:rPr>
              <w:t>服务内容</w:t>
            </w:r>
          </w:p>
        </w:tc>
        <w:tc>
          <w:tcPr>
            <w:tcW w:w="1116" w:type="dxa"/>
            <w:tcBorders>
              <w:top w:val="single" w:color="auto" w:sz="4" w:space="0"/>
              <w:left w:val="single" w:color="auto" w:sz="4" w:space="0"/>
              <w:bottom w:val="single" w:color="auto" w:sz="4" w:space="0"/>
              <w:right w:val="single" w:color="auto" w:sz="4" w:space="0"/>
            </w:tcBorders>
            <w:noWrap/>
            <w:vAlign w:val="center"/>
          </w:tcPr>
          <w:p w14:paraId="28A5DB34">
            <w:pPr>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684" w:type="dxa"/>
            <w:tcBorders>
              <w:top w:val="single" w:color="auto" w:sz="4" w:space="0"/>
              <w:left w:val="single" w:color="auto" w:sz="4" w:space="0"/>
              <w:bottom w:val="single" w:color="auto" w:sz="4" w:space="0"/>
              <w:right w:val="single" w:color="auto" w:sz="4" w:space="0"/>
            </w:tcBorders>
            <w:noWrap/>
            <w:vAlign w:val="center"/>
          </w:tcPr>
          <w:p w14:paraId="6D742B6F">
            <w:pPr>
              <w:jc w:val="center"/>
              <w:rPr>
                <w:rFonts w:ascii="宋体" w:hAnsi="宋体" w:cs="宋体"/>
                <w:color w:val="auto"/>
                <w:highlight w:val="none"/>
              </w:rPr>
            </w:pPr>
            <w:r>
              <w:rPr>
                <w:rFonts w:hint="eastAsia" w:ascii="宋体" w:hAnsi="宋体" w:cs="宋体"/>
                <w:color w:val="auto"/>
                <w:highlight w:val="none"/>
              </w:rPr>
              <w:t>数量</w:t>
            </w:r>
            <w:r>
              <w:rPr>
                <w:rFonts w:hint="eastAsia" w:ascii="宋体" w:hAnsi="宋体" w:cs="宋体"/>
                <w:color w:val="auto"/>
                <w:szCs w:val="22"/>
                <w:highlight w:val="none"/>
              </w:rPr>
              <w:t>①</w:t>
            </w:r>
          </w:p>
        </w:tc>
        <w:tc>
          <w:tcPr>
            <w:tcW w:w="1200" w:type="dxa"/>
            <w:tcBorders>
              <w:top w:val="single" w:color="auto" w:sz="4" w:space="0"/>
              <w:left w:val="single" w:color="auto" w:sz="4" w:space="0"/>
              <w:bottom w:val="single" w:color="auto" w:sz="4" w:space="0"/>
              <w:right w:val="single" w:color="auto" w:sz="4" w:space="0"/>
            </w:tcBorders>
            <w:noWrap/>
            <w:vAlign w:val="center"/>
          </w:tcPr>
          <w:p w14:paraId="33D4BE87">
            <w:pPr>
              <w:jc w:val="center"/>
              <w:rPr>
                <w:rFonts w:ascii="宋体" w:hAnsi="宋体" w:cs="宋体"/>
                <w:color w:val="auto"/>
                <w:highlight w:val="none"/>
              </w:rPr>
            </w:pPr>
            <w:r>
              <w:rPr>
                <w:rFonts w:hint="eastAsia" w:ascii="宋体" w:hAnsi="宋体" w:cs="宋体"/>
                <w:color w:val="auto"/>
                <w:highlight w:val="none"/>
              </w:rPr>
              <w:t>单价（元）</w:t>
            </w:r>
            <w:r>
              <w:rPr>
                <w:rFonts w:hint="eastAsia" w:ascii="宋体" w:hAnsi="宋体" w:cs="宋体"/>
                <w:color w:val="auto"/>
                <w:szCs w:val="22"/>
                <w:highlight w:val="none"/>
              </w:rPr>
              <w:t>②</w:t>
            </w:r>
          </w:p>
        </w:tc>
        <w:tc>
          <w:tcPr>
            <w:tcW w:w="1578" w:type="dxa"/>
            <w:tcBorders>
              <w:top w:val="single" w:color="auto" w:sz="4" w:space="0"/>
              <w:left w:val="single" w:color="auto" w:sz="4" w:space="0"/>
              <w:bottom w:val="single" w:color="auto" w:sz="4" w:space="0"/>
              <w:right w:val="single" w:color="auto" w:sz="4" w:space="0"/>
            </w:tcBorders>
            <w:noWrap/>
            <w:vAlign w:val="center"/>
          </w:tcPr>
          <w:p w14:paraId="7FEAB985">
            <w:pPr>
              <w:pStyle w:val="27"/>
              <w:jc w:val="center"/>
              <w:rPr>
                <w:rFonts w:hAnsi="宋体" w:cs="宋体"/>
                <w:color w:val="auto"/>
                <w:highlight w:val="none"/>
              </w:rPr>
            </w:pPr>
            <w:r>
              <w:rPr>
                <w:rFonts w:hint="eastAsia" w:hAnsi="宋体" w:cs="宋体"/>
                <w:color w:val="auto"/>
                <w:highlight w:val="none"/>
              </w:rPr>
              <w:t>单项合价（元）</w:t>
            </w:r>
          </w:p>
          <w:p w14:paraId="2BCC8A0D">
            <w:pPr>
              <w:jc w:val="center"/>
              <w:rPr>
                <w:rFonts w:ascii="宋体" w:hAnsi="宋体" w:cs="宋体"/>
                <w:color w:val="auto"/>
                <w:kern w:val="0"/>
                <w:sz w:val="24"/>
                <w:highlight w:val="none"/>
              </w:rPr>
            </w:pPr>
            <w:r>
              <w:rPr>
                <w:rFonts w:hint="eastAsia" w:ascii="宋体" w:hAnsi="宋体" w:cs="宋体"/>
                <w:color w:val="auto"/>
                <w:highlight w:val="none"/>
              </w:rPr>
              <w:t>③=①×②</w:t>
            </w:r>
          </w:p>
        </w:tc>
      </w:tr>
      <w:tr w14:paraId="7E67F3E7">
        <w:tblPrEx>
          <w:tblCellMar>
            <w:top w:w="0" w:type="dxa"/>
            <w:left w:w="108" w:type="dxa"/>
            <w:bottom w:w="0" w:type="dxa"/>
            <w:right w:w="108" w:type="dxa"/>
          </w:tblCellMar>
        </w:tblPrEx>
        <w:trPr>
          <w:trHeight w:val="455" w:hRule="atLeast"/>
          <w:jc w:val="center"/>
        </w:trPr>
        <w:tc>
          <w:tcPr>
            <w:tcW w:w="936" w:type="dxa"/>
            <w:tcBorders>
              <w:top w:val="single" w:color="auto" w:sz="4" w:space="0"/>
              <w:left w:val="single" w:color="auto" w:sz="4" w:space="0"/>
              <w:bottom w:val="single" w:color="auto" w:sz="4" w:space="0"/>
              <w:right w:val="single" w:color="auto" w:sz="4" w:space="0"/>
            </w:tcBorders>
            <w:noWrap/>
            <w:vAlign w:val="center"/>
          </w:tcPr>
          <w:p w14:paraId="64F4FCA7">
            <w:pPr>
              <w:jc w:val="center"/>
              <w:rPr>
                <w:rFonts w:ascii="宋体" w:hAnsi="宋体" w:cs="宋体"/>
                <w:color w:val="auto"/>
                <w:kern w:val="0"/>
                <w:sz w:val="24"/>
                <w:highlight w:val="none"/>
              </w:rPr>
            </w:pPr>
          </w:p>
        </w:tc>
        <w:tc>
          <w:tcPr>
            <w:tcW w:w="4182" w:type="dxa"/>
            <w:tcBorders>
              <w:top w:val="single" w:color="auto" w:sz="4" w:space="0"/>
              <w:left w:val="single" w:color="auto" w:sz="4" w:space="0"/>
              <w:bottom w:val="single" w:color="auto" w:sz="4" w:space="0"/>
              <w:right w:val="single" w:color="auto" w:sz="4" w:space="0"/>
            </w:tcBorders>
            <w:vAlign w:val="center"/>
          </w:tcPr>
          <w:p w14:paraId="62B9A05F">
            <w:pPr>
              <w:rPr>
                <w:rFonts w:ascii="宋体" w:hAnsi="宋体" w:cs="宋体"/>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693774BC">
            <w:pPr>
              <w:jc w:val="center"/>
              <w:rPr>
                <w:rFonts w:ascii="宋体" w:hAnsi="宋体" w:cs="宋体"/>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6E22F661">
            <w:pPr>
              <w:jc w:val="center"/>
              <w:rPr>
                <w:rFonts w:ascii="宋体" w:hAnsi="宋体" w:cs="宋体"/>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3DE8414">
            <w:pPr>
              <w:jc w:val="center"/>
              <w:rPr>
                <w:rFonts w:ascii="宋体" w:hAnsi="宋体" w:cs="宋体"/>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2587B22F">
            <w:pPr>
              <w:jc w:val="center"/>
              <w:rPr>
                <w:rFonts w:ascii="宋体" w:hAnsi="宋体" w:cs="宋体"/>
                <w:color w:val="auto"/>
                <w:kern w:val="0"/>
                <w:sz w:val="24"/>
                <w:highlight w:val="none"/>
              </w:rPr>
            </w:pPr>
          </w:p>
        </w:tc>
      </w:tr>
      <w:tr w14:paraId="504ED8E3">
        <w:tblPrEx>
          <w:tblCellMar>
            <w:top w:w="0" w:type="dxa"/>
            <w:left w:w="108" w:type="dxa"/>
            <w:bottom w:w="0" w:type="dxa"/>
            <w:right w:w="108" w:type="dxa"/>
          </w:tblCellMar>
        </w:tblPrEx>
        <w:trPr>
          <w:trHeight w:val="384"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3D6A4E23">
            <w:pPr>
              <w:pStyle w:val="32"/>
              <w:jc w:val="center"/>
              <w:rPr>
                <w:rFonts w:ascii="宋体" w:hAnsi="宋体" w:cs="宋体"/>
                <w:color w:val="auto"/>
                <w:sz w:val="24"/>
                <w:szCs w:val="24"/>
                <w:highlight w:val="none"/>
              </w:rPr>
            </w:pPr>
          </w:p>
        </w:tc>
        <w:tc>
          <w:tcPr>
            <w:tcW w:w="4182" w:type="dxa"/>
            <w:tcBorders>
              <w:top w:val="single" w:color="auto" w:sz="4" w:space="0"/>
              <w:left w:val="single" w:color="auto" w:sz="4" w:space="0"/>
              <w:bottom w:val="single" w:color="auto" w:sz="4" w:space="0"/>
              <w:right w:val="single" w:color="auto" w:sz="4" w:space="0"/>
            </w:tcBorders>
            <w:vAlign w:val="center"/>
          </w:tcPr>
          <w:p w14:paraId="4AA12EE8">
            <w:pPr>
              <w:jc w:val="center"/>
              <w:rPr>
                <w:rFonts w:ascii="宋体" w:hAnsi="宋体" w:cs="宋体"/>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0084652D">
            <w:pPr>
              <w:jc w:val="center"/>
              <w:rPr>
                <w:rFonts w:ascii="宋体" w:hAnsi="宋体" w:cs="宋体"/>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14:paraId="02E12AAD">
            <w:pPr>
              <w:jc w:val="center"/>
              <w:rPr>
                <w:rFonts w:ascii="宋体" w:hAnsi="宋体" w:cs="宋体"/>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C3456C2">
            <w:pPr>
              <w:jc w:val="center"/>
              <w:rPr>
                <w:rFonts w:ascii="宋体" w:hAnsi="宋体" w:cs="宋体"/>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vAlign w:val="center"/>
          </w:tcPr>
          <w:p w14:paraId="2E28947E">
            <w:pPr>
              <w:jc w:val="center"/>
              <w:rPr>
                <w:rFonts w:ascii="宋体" w:hAnsi="宋体" w:cs="宋体"/>
                <w:color w:val="auto"/>
                <w:kern w:val="0"/>
                <w:sz w:val="24"/>
                <w:highlight w:val="none"/>
              </w:rPr>
            </w:pPr>
          </w:p>
        </w:tc>
      </w:tr>
      <w:tr w14:paraId="46D2921C">
        <w:tblPrEx>
          <w:tblCellMar>
            <w:top w:w="0" w:type="dxa"/>
            <w:left w:w="108" w:type="dxa"/>
            <w:bottom w:w="0" w:type="dxa"/>
            <w:right w:w="108" w:type="dxa"/>
          </w:tblCellMar>
        </w:tblPrEx>
        <w:trPr>
          <w:trHeight w:val="513" w:hRule="atLeast"/>
          <w:jc w:val="center"/>
        </w:trPr>
        <w:tc>
          <w:tcPr>
            <w:tcW w:w="936" w:type="dxa"/>
            <w:tcBorders>
              <w:top w:val="single" w:color="auto" w:sz="4" w:space="0"/>
              <w:left w:val="single" w:color="auto" w:sz="4" w:space="0"/>
              <w:bottom w:val="single" w:color="auto" w:sz="4" w:space="0"/>
              <w:right w:val="single" w:color="auto" w:sz="4" w:space="0"/>
            </w:tcBorders>
            <w:noWrap/>
            <w:vAlign w:val="center"/>
          </w:tcPr>
          <w:p w14:paraId="1E57B70B">
            <w:pPr>
              <w:jc w:val="center"/>
              <w:rPr>
                <w:rFonts w:ascii="宋体" w:hAnsi="宋体" w:cs="宋体"/>
                <w:color w:val="auto"/>
                <w:kern w:val="0"/>
                <w:sz w:val="24"/>
                <w:highlight w:val="none"/>
              </w:rPr>
            </w:pPr>
          </w:p>
        </w:tc>
        <w:tc>
          <w:tcPr>
            <w:tcW w:w="4182" w:type="dxa"/>
            <w:tcBorders>
              <w:top w:val="single" w:color="auto" w:sz="4" w:space="0"/>
              <w:left w:val="single" w:color="auto" w:sz="4" w:space="0"/>
              <w:bottom w:val="single" w:color="auto" w:sz="4" w:space="0"/>
              <w:right w:val="single" w:color="auto" w:sz="4" w:space="0"/>
            </w:tcBorders>
            <w:vAlign w:val="center"/>
          </w:tcPr>
          <w:p w14:paraId="3ECE9381">
            <w:pPr>
              <w:rPr>
                <w:rFonts w:ascii="宋体" w:hAnsi="宋体" w:cs="宋体"/>
                <w:color w:val="auto"/>
                <w:kern w:val="0"/>
                <w:sz w:val="24"/>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574DF32B">
            <w:pPr>
              <w:jc w:val="center"/>
              <w:rPr>
                <w:rFonts w:ascii="宋体" w:hAnsi="宋体" w:cs="宋体"/>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7EA58083">
            <w:pPr>
              <w:jc w:val="center"/>
              <w:rPr>
                <w:rFonts w:ascii="宋体" w:hAnsi="宋体" w:cs="宋体"/>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52B46AAE">
            <w:pPr>
              <w:jc w:val="center"/>
              <w:rPr>
                <w:rFonts w:ascii="宋体" w:hAnsi="宋体" w:cs="宋体"/>
                <w:color w:val="auto"/>
                <w:kern w:val="0"/>
                <w:sz w:val="24"/>
                <w:highlight w:val="none"/>
              </w:rPr>
            </w:pPr>
          </w:p>
        </w:tc>
        <w:tc>
          <w:tcPr>
            <w:tcW w:w="1578" w:type="dxa"/>
            <w:tcBorders>
              <w:top w:val="single" w:color="auto" w:sz="4" w:space="0"/>
              <w:left w:val="single" w:color="auto" w:sz="4" w:space="0"/>
              <w:bottom w:val="single" w:color="auto" w:sz="4" w:space="0"/>
              <w:right w:val="single" w:color="auto" w:sz="4" w:space="0"/>
            </w:tcBorders>
            <w:noWrap/>
            <w:vAlign w:val="center"/>
          </w:tcPr>
          <w:p w14:paraId="46CF37AB">
            <w:pPr>
              <w:jc w:val="center"/>
              <w:rPr>
                <w:rFonts w:ascii="宋体" w:hAnsi="宋体" w:cs="宋体"/>
                <w:color w:val="auto"/>
                <w:kern w:val="0"/>
                <w:sz w:val="24"/>
                <w:highlight w:val="none"/>
              </w:rPr>
            </w:pPr>
          </w:p>
        </w:tc>
      </w:tr>
      <w:tr w14:paraId="23CFFFCE">
        <w:tblPrEx>
          <w:tblCellMar>
            <w:top w:w="0" w:type="dxa"/>
            <w:left w:w="108" w:type="dxa"/>
            <w:bottom w:w="0" w:type="dxa"/>
            <w:right w:w="108" w:type="dxa"/>
          </w:tblCellMar>
        </w:tblPrEx>
        <w:trPr>
          <w:trHeight w:val="1125" w:hRule="atLeast"/>
          <w:jc w:val="center"/>
        </w:trPr>
        <w:tc>
          <w:tcPr>
            <w:tcW w:w="9696" w:type="dxa"/>
            <w:gridSpan w:val="6"/>
            <w:tcBorders>
              <w:top w:val="single" w:color="auto" w:sz="4" w:space="0"/>
              <w:left w:val="single" w:color="auto" w:sz="4" w:space="0"/>
              <w:bottom w:val="single" w:color="auto" w:sz="4" w:space="0"/>
              <w:right w:val="single" w:color="auto" w:sz="4" w:space="0"/>
            </w:tcBorders>
            <w:noWrap/>
            <w:vAlign w:val="center"/>
          </w:tcPr>
          <w:p w14:paraId="3DB8A32F">
            <w:pPr>
              <w:spacing w:line="360" w:lineRule="auto"/>
              <w:jc w:val="left"/>
              <w:rPr>
                <w:rFonts w:ascii="宋体" w:hAnsi="宋体" w:cs="宋体"/>
                <w:color w:val="auto"/>
                <w:kern w:val="0"/>
                <w:sz w:val="24"/>
                <w:highlight w:val="none"/>
              </w:rPr>
            </w:pPr>
            <w:r>
              <w:rPr>
                <w:rFonts w:hint="eastAsia" w:ascii="宋体" w:hAnsi="宋体" w:cs="宋体"/>
                <w:bCs/>
                <w:color w:val="auto"/>
                <w:kern w:val="0"/>
                <w:sz w:val="24"/>
                <w:highlight w:val="none"/>
              </w:rPr>
              <w:t>总报价（人民币大写）：</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小写（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）服务期限：</w:t>
            </w:r>
            <w:r>
              <w:rPr>
                <w:rFonts w:hint="eastAsia" w:ascii="宋体" w:hAnsi="宋体" w:cs="宋体"/>
                <w:bCs/>
                <w:color w:val="auto"/>
                <w:kern w:val="0"/>
                <w:sz w:val="24"/>
                <w:highlight w:val="none"/>
                <w:u w:val="single"/>
              </w:rPr>
              <w:t xml:space="preserve">                             </w:t>
            </w:r>
          </w:p>
        </w:tc>
      </w:tr>
    </w:tbl>
    <w:p w14:paraId="6AA99F93">
      <w:pPr>
        <w:spacing w:line="360" w:lineRule="auto"/>
        <w:ind w:firstLine="474" w:firstLineChars="200"/>
        <w:rPr>
          <w:rFonts w:ascii="宋体" w:hAnsi="宋体" w:cs="宋体"/>
          <w:color w:val="auto"/>
          <w:sz w:val="24"/>
          <w:highlight w:val="none"/>
        </w:rPr>
      </w:pPr>
      <w:r>
        <w:rPr>
          <w:rFonts w:hint="eastAsia" w:ascii="宋体" w:hAnsi="宋体" w:cs="宋体"/>
          <w:b/>
          <w:bCs/>
          <w:color w:val="auto"/>
          <w:spacing w:val="-2"/>
          <w:sz w:val="24"/>
          <w:highlight w:val="none"/>
        </w:rPr>
        <w:t>第二条</w:t>
      </w:r>
      <w:r>
        <w:rPr>
          <w:rFonts w:hint="eastAsia" w:ascii="宋体" w:hAnsi="宋体" w:cs="宋体"/>
          <w:color w:val="auto"/>
          <w:spacing w:val="17"/>
          <w:sz w:val="24"/>
          <w:highlight w:val="none"/>
        </w:rPr>
        <w:t xml:space="preserve"> </w:t>
      </w:r>
      <w:r>
        <w:rPr>
          <w:rFonts w:hint="eastAsia" w:ascii="宋体" w:hAnsi="宋体" w:cs="宋体"/>
          <w:color w:val="auto"/>
          <w:spacing w:val="-2"/>
          <w:sz w:val="24"/>
          <w:highlight w:val="none"/>
        </w:rPr>
        <w:t>服务基本情况如下：</w:t>
      </w:r>
    </w:p>
    <w:p w14:paraId="27FE3F92">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具体服务范围及构成细目见本项目招标文件中《项目采购需求》。</w:t>
      </w:r>
    </w:p>
    <w:p w14:paraId="210A7470">
      <w:pPr>
        <w:spacing w:line="360" w:lineRule="auto"/>
        <w:ind w:firstLine="470" w:firstLineChars="200"/>
        <w:rPr>
          <w:rFonts w:ascii="宋体" w:hAnsi="宋体" w:cs="宋体"/>
          <w:color w:val="auto"/>
          <w:sz w:val="24"/>
          <w:highlight w:val="none"/>
        </w:rPr>
      </w:pPr>
      <w:r>
        <w:rPr>
          <w:rFonts w:hint="eastAsia" w:ascii="宋体" w:hAnsi="宋体" w:cs="宋体"/>
          <w:b/>
          <w:bCs/>
          <w:color w:val="auto"/>
          <w:spacing w:val="-3"/>
          <w:sz w:val="24"/>
          <w:highlight w:val="none"/>
        </w:rPr>
        <w:t>第三条</w:t>
      </w:r>
      <w:r>
        <w:rPr>
          <w:rFonts w:hint="eastAsia" w:ascii="宋体" w:hAnsi="宋体" w:cs="宋体"/>
          <w:color w:val="auto"/>
          <w:spacing w:val="44"/>
          <w:sz w:val="24"/>
          <w:highlight w:val="none"/>
        </w:rPr>
        <w:t xml:space="preserve"> </w:t>
      </w:r>
      <w:r>
        <w:rPr>
          <w:rFonts w:hint="eastAsia" w:ascii="宋体" w:hAnsi="宋体" w:cs="宋体"/>
          <w:color w:val="auto"/>
          <w:spacing w:val="-3"/>
          <w:sz w:val="24"/>
          <w:highlight w:val="none"/>
        </w:rPr>
        <w:t>乙方提供的服务包括以下内容：</w:t>
      </w:r>
    </w:p>
    <w:p w14:paraId="28090ADE">
      <w:pPr>
        <w:spacing w:line="360" w:lineRule="auto"/>
        <w:ind w:firstLine="448" w:firstLineChars="200"/>
        <w:rPr>
          <w:rFonts w:ascii="宋体" w:hAnsi="宋体" w:cs="宋体"/>
          <w:color w:val="auto"/>
          <w:spacing w:val="-3"/>
          <w:sz w:val="24"/>
          <w:highlight w:val="none"/>
        </w:rPr>
      </w:pPr>
      <w:r>
        <w:rPr>
          <w:rFonts w:hint="eastAsia" w:ascii="宋体" w:hAnsi="宋体" w:cs="宋体"/>
          <w:color w:val="auto"/>
          <w:spacing w:val="-8"/>
          <w:sz w:val="24"/>
          <w:highlight w:val="none"/>
        </w:rPr>
        <w:t>具体服务内容包含招标文件的《项目采购需求》、投标文件的《服务实施计划方案》</w:t>
      </w:r>
      <w:r>
        <w:rPr>
          <w:rFonts w:hint="eastAsia" w:ascii="宋体" w:hAnsi="宋体" w:cs="宋体"/>
          <w:color w:val="auto"/>
          <w:spacing w:val="-11"/>
          <w:sz w:val="24"/>
          <w:highlight w:val="none"/>
        </w:rPr>
        <w:t xml:space="preserve"> </w:t>
      </w:r>
      <w:r>
        <w:rPr>
          <w:rFonts w:hint="eastAsia" w:ascii="宋体" w:hAnsi="宋体" w:cs="宋体"/>
          <w:color w:val="auto"/>
          <w:spacing w:val="-8"/>
          <w:sz w:val="24"/>
          <w:highlight w:val="none"/>
        </w:rPr>
        <w:t>和乙方</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的所有承诺服务内容。</w:t>
      </w:r>
    </w:p>
    <w:p w14:paraId="2597FDD1">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第四条</w:t>
      </w:r>
      <w:r>
        <w:rPr>
          <w:rFonts w:hint="eastAsia" w:ascii="宋体" w:hAnsi="宋体" w:cs="宋体"/>
          <w:color w:val="auto"/>
          <w:spacing w:val="69"/>
          <w:sz w:val="24"/>
          <w:highlight w:val="none"/>
        </w:rPr>
        <w:t xml:space="preserve"> </w:t>
      </w:r>
      <w:r>
        <w:rPr>
          <w:rFonts w:hint="eastAsia" w:ascii="宋体" w:hAnsi="宋体" w:cs="宋体"/>
          <w:color w:val="auto"/>
          <w:sz w:val="24"/>
          <w:highlight w:val="none"/>
        </w:rPr>
        <w:t xml:space="preserve">乙方提供的服务质量标准按国家和地方政府的规定和本合同约定的服务质量 </w:t>
      </w:r>
      <w:r>
        <w:rPr>
          <w:rFonts w:hint="eastAsia" w:ascii="宋体" w:hAnsi="宋体" w:cs="宋体"/>
          <w:color w:val="auto"/>
          <w:spacing w:val="-3"/>
          <w:sz w:val="24"/>
          <w:highlight w:val="none"/>
        </w:rPr>
        <w:t>要求执行。</w:t>
      </w:r>
    </w:p>
    <w:p w14:paraId="36FC8E49">
      <w:pPr>
        <w:spacing w:line="360" w:lineRule="auto"/>
        <w:ind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本合同约定的服务质量要求见本项目招标文件中《项目采购需求》。</w:t>
      </w:r>
    </w:p>
    <w:p w14:paraId="2AC78030">
      <w:pPr>
        <w:numPr>
          <w:ilvl w:val="0"/>
          <w:numId w:val="9"/>
        </w:numPr>
        <w:spacing w:line="360" w:lineRule="auto"/>
        <w:jc w:val="left"/>
        <w:rPr>
          <w:rFonts w:hint="eastAsia" w:ascii="宋体" w:hAnsi="宋体" w:cs="宋体"/>
          <w:color w:val="auto"/>
          <w:spacing w:val="-3"/>
          <w:sz w:val="24"/>
          <w:highlight w:val="none"/>
          <w:u w:val="single"/>
        </w:rPr>
      </w:pPr>
      <w:r>
        <w:rPr>
          <w:rFonts w:hint="eastAsia" w:ascii="宋体" w:hAnsi="宋体" w:cs="宋体"/>
          <w:color w:val="auto"/>
          <w:spacing w:val="-3"/>
          <w:sz w:val="24"/>
          <w:highlight w:val="none"/>
          <w:lang w:val="en-US" w:eastAsia="zh-CN"/>
        </w:rPr>
        <w:t xml:space="preserve"> </w:t>
      </w:r>
      <w:r>
        <w:rPr>
          <w:rFonts w:hint="eastAsia" w:ascii="宋体" w:hAnsi="宋体" w:cs="宋体"/>
          <w:color w:val="auto"/>
          <w:spacing w:val="-3"/>
          <w:sz w:val="24"/>
          <w:highlight w:val="none"/>
        </w:rPr>
        <w:t>付款方式：</w:t>
      </w:r>
      <w:r>
        <w:rPr>
          <w:rFonts w:hint="eastAsia" w:ascii="宋体" w:hAnsi="宋体" w:cs="宋体"/>
          <w:color w:val="auto"/>
          <w:spacing w:val="-3"/>
          <w:sz w:val="24"/>
          <w:highlight w:val="none"/>
          <w:u w:val="single"/>
        </w:rPr>
        <w:t xml:space="preserve"> </w:t>
      </w:r>
    </w:p>
    <w:p w14:paraId="785543AD">
      <w:pPr>
        <w:numPr>
          <w:ilvl w:val="0"/>
          <w:numId w:val="0"/>
        </w:numPr>
        <w:spacing w:line="360" w:lineRule="auto"/>
        <w:jc w:val="left"/>
        <w:rPr>
          <w:rStyle w:val="204"/>
          <w:rFonts w:hint="eastAsia" w:ascii="宋体" w:hAnsi="宋体" w:cs="宋体"/>
          <w:color w:val="auto"/>
          <w:kern w:val="0"/>
          <w:sz w:val="24"/>
          <w:szCs w:val="24"/>
          <w:highlight w:val="none"/>
        </w:rPr>
      </w:pPr>
      <w:r>
        <w:rPr>
          <w:rStyle w:val="204"/>
          <w:rFonts w:hint="eastAsia" w:ascii="宋体" w:hAnsi="宋体" w:cs="宋体"/>
          <w:color w:val="auto"/>
          <w:kern w:val="0"/>
          <w:sz w:val="24"/>
          <w:szCs w:val="24"/>
          <w:highlight w:val="none"/>
        </w:rPr>
        <w:t>1.合同签订后30日内</w:t>
      </w:r>
      <w:r>
        <w:rPr>
          <w:rStyle w:val="204"/>
          <w:rFonts w:hint="eastAsia" w:ascii="宋体" w:hAnsi="宋体" w:cs="宋体"/>
          <w:color w:val="auto"/>
          <w:kern w:val="0"/>
          <w:sz w:val="24"/>
          <w:szCs w:val="24"/>
          <w:highlight w:val="none"/>
          <w:lang w:val="en-US" w:eastAsia="zh-CN"/>
        </w:rPr>
        <w:t>甲方</w:t>
      </w:r>
      <w:r>
        <w:rPr>
          <w:rStyle w:val="204"/>
          <w:rFonts w:hint="eastAsia" w:ascii="宋体" w:hAnsi="宋体" w:cs="宋体"/>
          <w:color w:val="auto"/>
          <w:kern w:val="0"/>
          <w:sz w:val="24"/>
          <w:szCs w:val="24"/>
          <w:highlight w:val="none"/>
        </w:rPr>
        <w:t>向</w:t>
      </w:r>
      <w:r>
        <w:rPr>
          <w:rStyle w:val="204"/>
          <w:rFonts w:hint="eastAsia" w:ascii="宋体" w:hAnsi="宋体" w:cs="宋体"/>
          <w:color w:val="auto"/>
          <w:kern w:val="0"/>
          <w:sz w:val="24"/>
          <w:szCs w:val="24"/>
          <w:highlight w:val="none"/>
          <w:lang w:val="en-US" w:eastAsia="zh-CN"/>
        </w:rPr>
        <w:t>乙方</w:t>
      </w:r>
      <w:r>
        <w:rPr>
          <w:rStyle w:val="204"/>
          <w:rFonts w:hint="eastAsia" w:ascii="宋体" w:hAnsi="宋体" w:cs="宋体"/>
          <w:color w:val="auto"/>
          <w:kern w:val="0"/>
          <w:sz w:val="24"/>
          <w:szCs w:val="24"/>
          <w:highlight w:val="none"/>
        </w:rPr>
        <w:t>支付30%合同价款作为预付款。</w:t>
      </w:r>
    </w:p>
    <w:p w14:paraId="6FE7785B">
      <w:pPr>
        <w:spacing w:line="360" w:lineRule="auto"/>
        <w:jc w:val="left"/>
        <w:rPr>
          <w:rStyle w:val="204"/>
          <w:rFonts w:hint="default" w:ascii="宋体" w:hAnsi="宋体" w:eastAsia="宋体" w:cs="宋体"/>
          <w:color w:val="auto"/>
          <w:kern w:val="0"/>
          <w:sz w:val="24"/>
          <w:szCs w:val="24"/>
          <w:highlight w:val="none"/>
          <w:lang w:val="en-US" w:eastAsia="zh-CN"/>
        </w:rPr>
      </w:pPr>
      <w:r>
        <w:rPr>
          <w:rStyle w:val="204"/>
          <w:rFonts w:hint="eastAsia" w:ascii="宋体" w:hAnsi="宋体" w:cs="宋体"/>
          <w:color w:val="auto"/>
          <w:kern w:val="0"/>
          <w:sz w:val="24"/>
          <w:szCs w:val="24"/>
          <w:highlight w:val="none"/>
        </w:rPr>
        <w:t>2.</w:t>
      </w:r>
      <w:r>
        <w:rPr>
          <w:rStyle w:val="204"/>
          <w:rFonts w:hint="eastAsia" w:ascii="宋体" w:hAnsi="宋体" w:cs="宋体"/>
          <w:color w:val="auto"/>
          <w:kern w:val="0"/>
          <w:sz w:val="24"/>
          <w:szCs w:val="24"/>
          <w:highlight w:val="none"/>
          <w:lang w:val="en-US" w:eastAsia="zh-CN"/>
        </w:rPr>
        <w:t>工作量完成至80%后，甲方向乙方支付至合同价款的60%。</w:t>
      </w:r>
    </w:p>
    <w:p w14:paraId="584195F5">
      <w:pPr>
        <w:numPr>
          <w:ilvl w:val="0"/>
          <w:numId w:val="0"/>
        </w:numPr>
        <w:spacing w:line="360" w:lineRule="auto"/>
        <w:rPr>
          <w:rFonts w:ascii="宋体" w:hAnsi="宋体" w:cs="宋体"/>
          <w:color w:val="auto"/>
          <w:sz w:val="24"/>
          <w:highlight w:val="none"/>
        </w:rPr>
      </w:pPr>
      <w:r>
        <w:rPr>
          <w:rStyle w:val="204"/>
          <w:rFonts w:hint="eastAsia" w:ascii="宋体" w:hAnsi="宋体" w:cs="宋体"/>
          <w:color w:val="auto"/>
          <w:kern w:val="0"/>
          <w:sz w:val="24"/>
          <w:szCs w:val="24"/>
          <w:highlight w:val="none"/>
          <w:lang w:val="en-US" w:eastAsia="zh-CN"/>
        </w:rPr>
        <w:t>3.乙方</w:t>
      </w:r>
      <w:r>
        <w:rPr>
          <w:rStyle w:val="204"/>
          <w:rFonts w:hint="eastAsia" w:ascii="宋体" w:hAnsi="宋体" w:cs="宋体"/>
          <w:color w:val="auto"/>
          <w:kern w:val="0"/>
          <w:sz w:val="24"/>
          <w:szCs w:val="24"/>
          <w:highlight w:val="none"/>
        </w:rPr>
        <w:t>完成全部工作量，经</w:t>
      </w:r>
      <w:r>
        <w:rPr>
          <w:rStyle w:val="204"/>
          <w:rFonts w:hint="eastAsia" w:ascii="宋体" w:hAnsi="宋体" w:cs="宋体"/>
          <w:color w:val="auto"/>
          <w:kern w:val="0"/>
          <w:sz w:val="24"/>
          <w:szCs w:val="24"/>
          <w:highlight w:val="none"/>
          <w:lang w:val="en-US"/>
        </w:rPr>
        <w:t>采</w:t>
      </w:r>
      <w:r>
        <w:rPr>
          <w:rStyle w:val="204"/>
          <w:rFonts w:hint="eastAsia" w:ascii="宋体" w:hAnsi="宋体" w:cs="宋体"/>
          <w:color w:val="auto"/>
          <w:kern w:val="0"/>
          <w:sz w:val="24"/>
          <w:szCs w:val="24"/>
          <w:highlight w:val="none"/>
          <w:lang w:val="en-US" w:eastAsia="zh-CN"/>
        </w:rPr>
        <w:t>甲方</w:t>
      </w:r>
      <w:r>
        <w:rPr>
          <w:rStyle w:val="204"/>
          <w:rFonts w:hint="eastAsia" w:ascii="宋体" w:hAnsi="宋体" w:cs="宋体"/>
          <w:color w:val="auto"/>
          <w:kern w:val="0"/>
          <w:sz w:val="24"/>
          <w:szCs w:val="24"/>
          <w:highlight w:val="none"/>
        </w:rPr>
        <w:t>织评估验收合格后一个月内</w:t>
      </w:r>
      <w:r>
        <w:rPr>
          <w:rStyle w:val="204"/>
          <w:rFonts w:hint="eastAsia" w:ascii="宋体" w:hAnsi="宋体" w:cs="宋体"/>
          <w:color w:val="auto"/>
          <w:kern w:val="0"/>
          <w:sz w:val="24"/>
          <w:szCs w:val="24"/>
          <w:highlight w:val="none"/>
          <w:lang w:val="en-US"/>
        </w:rPr>
        <w:t>采购人</w:t>
      </w:r>
      <w:r>
        <w:rPr>
          <w:rStyle w:val="204"/>
          <w:rFonts w:hint="eastAsia" w:ascii="宋体" w:hAnsi="宋体" w:cs="宋体"/>
          <w:color w:val="auto"/>
          <w:kern w:val="0"/>
          <w:sz w:val="24"/>
          <w:szCs w:val="24"/>
          <w:highlight w:val="none"/>
        </w:rPr>
        <w:t>根据实际结算金额向</w:t>
      </w:r>
      <w:r>
        <w:rPr>
          <w:rStyle w:val="204"/>
          <w:rFonts w:hint="eastAsia" w:ascii="宋体" w:hAnsi="宋体" w:cs="宋体"/>
          <w:color w:val="auto"/>
          <w:kern w:val="0"/>
          <w:sz w:val="24"/>
          <w:szCs w:val="24"/>
          <w:highlight w:val="none"/>
          <w:lang w:val="en-US" w:eastAsia="zh-CN"/>
        </w:rPr>
        <w:t>乙方</w:t>
      </w:r>
      <w:r>
        <w:rPr>
          <w:rStyle w:val="204"/>
          <w:rFonts w:hint="eastAsia" w:ascii="宋体" w:hAnsi="宋体" w:cs="宋体"/>
          <w:color w:val="auto"/>
          <w:kern w:val="0"/>
          <w:sz w:val="24"/>
          <w:szCs w:val="24"/>
          <w:highlight w:val="none"/>
        </w:rPr>
        <w:t>支付剩余款项（注：实际结算金额超过投标报价部分甲方不予支付）。</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u w:val="none"/>
          <w:lang w:val="en-US" w:eastAsia="zh-CN"/>
        </w:rPr>
        <w:t xml:space="preserve">第六条  </w:t>
      </w:r>
      <w:r>
        <w:rPr>
          <w:rFonts w:hint="eastAsia" w:ascii="宋体" w:hAnsi="宋体" w:cs="宋体"/>
          <w:color w:val="auto"/>
          <w:spacing w:val="-3"/>
          <w:sz w:val="24"/>
          <w:highlight w:val="none"/>
        </w:rPr>
        <w:t>违约责任</w:t>
      </w:r>
    </w:p>
    <w:p w14:paraId="7E4A5975">
      <w:pPr>
        <w:spacing w:line="360" w:lineRule="auto"/>
        <w:ind w:firstLine="456" w:firstLineChars="200"/>
        <w:rPr>
          <w:rFonts w:ascii="宋体" w:hAnsi="宋体" w:cs="宋体"/>
          <w:color w:val="auto"/>
          <w:sz w:val="24"/>
          <w:highlight w:val="none"/>
        </w:rPr>
      </w:pPr>
      <w:r>
        <w:rPr>
          <w:rFonts w:hint="eastAsia" w:ascii="宋体" w:hAnsi="宋体" w:cs="宋体"/>
          <w:color w:val="auto"/>
          <w:spacing w:val="-6"/>
          <w:sz w:val="24"/>
          <w:highlight w:val="none"/>
        </w:rPr>
        <w:t>（一）</w:t>
      </w:r>
      <w:r>
        <w:rPr>
          <w:rFonts w:hint="eastAsia" w:ascii="宋体" w:hAnsi="宋体" w:cs="宋体"/>
          <w:color w:val="auto"/>
          <w:spacing w:val="62"/>
          <w:sz w:val="24"/>
          <w:highlight w:val="none"/>
        </w:rPr>
        <w:t xml:space="preserve"> </w:t>
      </w:r>
      <w:r>
        <w:rPr>
          <w:rFonts w:hint="eastAsia" w:ascii="宋体" w:hAnsi="宋体" w:cs="宋体"/>
          <w:color w:val="auto"/>
          <w:spacing w:val="-6"/>
          <w:sz w:val="24"/>
          <w:highlight w:val="none"/>
        </w:rPr>
        <w:t>乙方未尽管理责任导致损坏、损失的，应按责任比例相应承担费用；</w:t>
      </w:r>
    </w:p>
    <w:p w14:paraId="5E1E14A1">
      <w:pPr>
        <w:spacing w:line="360" w:lineRule="auto"/>
        <w:ind w:firstLine="456" w:firstLineChars="200"/>
        <w:rPr>
          <w:rFonts w:ascii="宋体" w:hAnsi="宋体" w:cs="宋体"/>
          <w:color w:val="auto"/>
          <w:sz w:val="24"/>
          <w:highlight w:val="none"/>
        </w:rPr>
      </w:pPr>
      <w:r>
        <w:rPr>
          <w:rFonts w:hint="eastAsia" w:ascii="宋体" w:hAnsi="宋体" w:cs="宋体"/>
          <w:color w:val="auto"/>
          <w:spacing w:val="-6"/>
          <w:sz w:val="24"/>
          <w:highlight w:val="none"/>
        </w:rPr>
        <w:t>（二）</w:t>
      </w:r>
      <w:r>
        <w:rPr>
          <w:rFonts w:hint="eastAsia" w:ascii="宋体" w:hAnsi="宋体" w:cs="宋体"/>
          <w:color w:val="auto"/>
          <w:spacing w:val="42"/>
          <w:sz w:val="24"/>
          <w:highlight w:val="none"/>
        </w:rPr>
        <w:t xml:space="preserve"> </w:t>
      </w:r>
      <w:r>
        <w:rPr>
          <w:rFonts w:hint="eastAsia" w:ascii="宋体" w:hAnsi="宋体" w:cs="宋体"/>
          <w:color w:val="auto"/>
          <w:spacing w:val="-6"/>
          <w:sz w:val="24"/>
          <w:highlight w:val="none"/>
        </w:rPr>
        <w:t>甲方违法、违约导致乙方不能提供约定服务的，乙方有权要求甲方在一个月内解决，逾期未解决的，甲方应承担相应的责任；乙方违法、违约，不履行投标承诺和约定</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服务的，甲方有权要求向乙方承担相应责任，直至取消乙方的服务合约。</w:t>
      </w:r>
    </w:p>
    <w:p w14:paraId="3B45BCF9">
      <w:pPr>
        <w:spacing w:line="360" w:lineRule="auto"/>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（三）</w:t>
      </w:r>
      <w:r>
        <w:rPr>
          <w:rFonts w:hint="eastAsia" w:ascii="宋体" w:hAnsi="宋体" w:cs="宋体"/>
          <w:color w:val="auto"/>
          <w:spacing w:val="-32"/>
          <w:sz w:val="24"/>
          <w:highlight w:val="none"/>
        </w:rPr>
        <w:t xml:space="preserve"> </w:t>
      </w:r>
      <w:r>
        <w:rPr>
          <w:rFonts w:hint="eastAsia" w:ascii="宋体" w:hAnsi="宋体" w:cs="宋体"/>
          <w:color w:val="auto"/>
          <w:spacing w:val="-4"/>
          <w:sz w:val="24"/>
          <w:highlight w:val="none"/>
        </w:rPr>
        <w:t>任何一方违约解除合同或因违约被解除合同的，应向对方支付共为三个月的安</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全管理服务费总和的违约金。</w:t>
      </w:r>
    </w:p>
    <w:p w14:paraId="79914C06">
      <w:pPr>
        <w:spacing w:line="360" w:lineRule="auto"/>
        <w:ind w:firstLine="404" w:firstLineChars="200"/>
        <w:rPr>
          <w:rFonts w:ascii="宋体" w:hAnsi="宋体" w:cs="宋体"/>
          <w:color w:val="auto"/>
          <w:sz w:val="24"/>
          <w:highlight w:val="none"/>
        </w:rPr>
      </w:pPr>
      <w:r>
        <w:rPr>
          <w:rFonts w:hint="eastAsia" w:ascii="宋体" w:hAnsi="宋体" w:cs="宋体"/>
          <w:color w:val="auto"/>
          <w:spacing w:val="-19"/>
          <w:sz w:val="24"/>
          <w:highlight w:val="none"/>
        </w:rPr>
        <w:t>（四）</w:t>
      </w:r>
      <w:r>
        <w:rPr>
          <w:rFonts w:hint="eastAsia" w:ascii="宋体" w:hAnsi="宋体" w:cs="宋体"/>
          <w:color w:val="auto"/>
          <w:spacing w:val="2"/>
          <w:sz w:val="24"/>
          <w:highlight w:val="none"/>
        </w:rPr>
        <w:t xml:space="preserve"> </w:t>
      </w:r>
      <w:r>
        <w:rPr>
          <w:rFonts w:hint="eastAsia" w:ascii="宋体" w:hAnsi="宋体" w:cs="宋体"/>
          <w:color w:val="auto"/>
          <w:spacing w:val="-19"/>
          <w:sz w:val="24"/>
          <w:highlight w:val="none"/>
        </w:rPr>
        <w:t>双方约定的其他违约责任：</w:t>
      </w:r>
      <w:r>
        <w:rPr>
          <w:rFonts w:hint="eastAsia" w:ascii="宋体" w:hAnsi="宋体" w:cs="宋体"/>
          <w:color w:val="auto"/>
          <w:spacing w:val="3"/>
          <w:sz w:val="24"/>
          <w:highlight w:val="none"/>
          <w:u w:val="single"/>
        </w:rPr>
        <w:t xml:space="preserve">            </w:t>
      </w:r>
      <w:r>
        <w:rPr>
          <w:rFonts w:hint="eastAsia" w:ascii="宋体" w:hAnsi="宋体" w:cs="宋体"/>
          <w:color w:val="auto"/>
          <w:spacing w:val="-19"/>
          <w:sz w:val="24"/>
          <w:highlight w:val="none"/>
        </w:rPr>
        <w:t>。</w:t>
      </w:r>
    </w:p>
    <w:p w14:paraId="59C36E89">
      <w:pPr>
        <w:spacing w:line="360" w:lineRule="auto"/>
        <w:ind w:firstLine="486" w:firstLineChars="200"/>
        <w:rPr>
          <w:rFonts w:ascii="宋体" w:hAnsi="宋体" w:cs="宋体"/>
          <w:color w:val="auto"/>
          <w:sz w:val="24"/>
          <w:highlight w:val="none"/>
        </w:rPr>
      </w:pPr>
      <w:r>
        <w:rPr>
          <w:rFonts w:hint="eastAsia" w:ascii="宋体" w:hAnsi="宋体" w:cs="宋体"/>
          <w:b/>
          <w:bCs/>
          <w:color w:val="auto"/>
          <w:spacing w:val="1"/>
          <w:sz w:val="24"/>
          <w:highlight w:val="none"/>
        </w:rPr>
        <w:t>第七条</w:t>
      </w:r>
      <w:r>
        <w:rPr>
          <w:rFonts w:hint="eastAsia" w:ascii="宋体" w:hAnsi="宋体" w:cs="宋体"/>
          <w:color w:val="auto"/>
          <w:spacing w:val="33"/>
          <w:sz w:val="24"/>
          <w:highlight w:val="none"/>
        </w:rPr>
        <w:t xml:space="preserve"> </w:t>
      </w:r>
      <w:r>
        <w:rPr>
          <w:rFonts w:hint="eastAsia" w:ascii="宋体" w:hAnsi="宋体" w:cs="宋体"/>
          <w:color w:val="auto"/>
          <w:spacing w:val="1"/>
          <w:sz w:val="24"/>
          <w:highlight w:val="none"/>
        </w:rPr>
        <w:t>双方在履行合同中所发生的一切争议，应通过协商解决。如协商不成，按合</w:t>
      </w:r>
      <w:r>
        <w:rPr>
          <w:rFonts w:hint="eastAsia" w:ascii="宋体" w:hAnsi="宋体" w:cs="宋体"/>
          <w:color w:val="auto"/>
          <w:spacing w:val="-3"/>
          <w:sz w:val="24"/>
          <w:highlight w:val="none"/>
        </w:rPr>
        <w:t>同事先约定的条款，向</w:t>
      </w:r>
      <w:r>
        <w:rPr>
          <w:rFonts w:hint="eastAsia" w:ascii="宋体" w:hAnsi="宋体" w:cs="宋体"/>
          <w:color w:val="auto"/>
          <w:spacing w:val="3"/>
          <w:sz w:val="24"/>
          <w:highlight w:val="none"/>
          <w:u w:val="single"/>
        </w:rPr>
        <w:t xml:space="preserve">  项目所在地   </w:t>
      </w:r>
      <w:r>
        <w:rPr>
          <w:rFonts w:hint="eastAsia" w:ascii="宋体" w:hAnsi="宋体" w:cs="宋体"/>
          <w:color w:val="auto"/>
          <w:spacing w:val="-3"/>
          <w:sz w:val="24"/>
          <w:highlight w:val="none"/>
        </w:rPr>
        <w:t>仲裁委员会申请仲裁。</w:t>
      </w:r>
    </w:p>
    <w:p w14:paraId="66FEE33D">
      <w:pPr>
        <w:spacing w:line="360" w:lineRule="auto"/>
        <w:ind w:firstLine="486" w:firstLineChars="200"/>
        <w:rPr>
          <w:rFonts w:ascii="宋体" w:hAnsi="宋体" w:cs="宋体"/>
          <w:color w:val="auto"/>
          <w:sz w:val="24"/>
          <w:highlight w:val="none"/>
        </w:rPr>
      </w:pPr>
      <w:r>
        <w:rPr>
          <w:rFonts w:hint="eastAsia" w:ascii="宋体" w:hAnsi="宋体" w:cs="宋体"/>
          <w:b/>
          <w:bCs/>
          <w:color w:val="auto"/>
          <w:spacing w:val="1"/>
          <w:sz w:val="24"/>
          <w:highlight w:val="none"/>
        </w:rPr>
        <w:t>第八条</w:t>
      </w:r>
      <w:r>
        <w:rPr>
          <w:rFonts w:hint="eastAsia" w:ascii="宋体" w:hAnsi="宋体" w:cs="宋体"/>
          <w:color w:val="auto"/>
          <w:spacing w:val="33"/>
          <w:sz w:val="24"/>
          <w:highlight w:val="none"/>
        </w:rPr>
        <w:t xml:space="preserve"> </w:t>
      </w:r>
      <w:r>
        <w:rPr>
          <w:rFonts w:hint="eastAsia" w:ascii="宋体" w:hAnsi="宋体" w:cs="宋体"/>
          <w:color w:val="auto"/>
          <w:spacing w:val="1"/>
          <w:sz w:val="24"/>
          <w:highlight w:val="none"/>
        </w:rPr>
        <w:t>在合同有效期限内，任何一方因不可抗力事件导致不能按时履行合同，则合</w:t>
      </w:r>
      <w:r>
        <w:rPr>
          <w:rFonts w:hint="eastAsia" w:ascii="宋体" w:hAnsi="宋体" w:cs="宋体"/>
          <w:color w:val="auto"/>
          <w:spacing w:val="-2"/>
          <w:sz w:val="24"/>
          <w:highlight w:val="none"/>
        </w:rPr>
        <w:t>同履行期可延长，其延长期与不可抗力影响期相同。由于不可抗力事件导致合同的根本目</w:t>
      </w:r>
      <w:r>
        <w:rPr>
          <w:rFonts w:hint="eastAsia" w:ascii="宋体" w:hAnsi="宋体" w:cs="宋体"/>
          <w:color w:val="auto"/>
          <w:spacing w:val="1"/>
          <w:sz w:val="24"/>
          <w:highlight w:val="none"/>
        </w:rPr>
        <w:t xml:space="preserve"> </w:t>
      </w:r>
      <w:r>
        <w:rPr>
          <w:rFonts w:hint="eastAsia" w:ascii="宋体" w:hAnsi="宋体" w:cs="宋体"/>
          <w:color w:val="auto"/>
          <w:spacing w:val="-2"/>
          <w:sz w:val="24"/>
          <w:highlight w:val="none"/>
        </w:rPr>
        <w:t>的不能实现时，一方可解除合同。</w:t>
      </w:r>
    </w:p>
    <w:p w14:paraId="36A685C1">
      <w:pPr>
        <w:spacing w:line="360" w:lineRule="auto"/>
        <w:ind w:firstLine="476" w:firstLineChars="200"/>
        <w:rPr>
          <w:rFonts w:ascii="宋体" w:hAnsi="宋体" w:cs="宋体"/>
          <w:color w:val="auto"/>
          <w:sz w:val="24"/>
          <w:highlight w:val="none"/>
        </w:rPr>
      </w:pPr>
      <w:r>
        <w:rPr>
          <w:rFonts w:hint="eastAsia" w:ascii="宋体" w:hAnsi="宋体" w:cs="宋体"/>
          <w:color w:val="auto"/>
          <w:spacing w:val="-1"/>
          <w:sz w:val="24"/>
          <w:highlight w:val="none"/>
        </w:rPr>
        <w:t>不可抗力事件发生后，应立即通知对方，并寄送有关权威机构出具的证明。</w:t>
      </w:r>
    </w:p>
    <w:p w14:paraId="72BF641B">
      <w:pPr>
        <w:spacing w:line="360" w:lineRule="auto"/>
        <w:ind w:firstLine="472" w:firstLineChars="200"/>
        <w:rPr>
          <w:rFonts w:ascii="宋体" w:hAnsi="宋体" w:cs="宋体"/>
          <w:color w:val="auto"/>
          <w:sz w:val="24"/>
          <w:highlight w:val="none"/>
        </w:rPr>
      </w:pPr>
      <w:r>
        <w:rPr>
          <w:rFonts w:hint="eastAsia" w:ascii="宋体" w:hAnsi="宋体" w:cs="宋体"/>
          <w:color w:val="auto"/>
          <w:spacing w:val="-2"/>
          <w:sz w:val="24"/>
          <w:highlight w:val="none"/>
        </w:rPr>
        <w:t>不可抗力事件延续</w:t>
      </w:r>
      <w:r>
        <w:rPr>
          <w:rFonts w:hint="eastAsia" w:ascii="宋体" w:hAnsi="宋体" w:cs="宋体"/>
          <w:color w:val="auto"/>
          <w:spacing w:val="-16"/>
          <w:sz w:val="24"/>
          <w:highlight w:val="none"/>
        </w:rPr>
        <w:t xml:space="preserve"> </w:t>
      </w:r>
      <w:r>
        <w:rPr>
          <w:rFonts w:hint="eastAsia" w:ascii="宋体" w:hAnsi="宋体" w:cs="宋体"/>
          <w:color w:val="auto"/>
          <w:spacing w:val="-2"/>
          <w:sz w:val="24"/>
          <w:highlight w:val="none"/>
        </w:rPr>
        <w:t>120</w:t>
      </w:r>
      <w:r>
        <w:rPr>
          <w:rFonts w:hint="eastAsia" w:ascii="宋体" w:hAnsi="宋体" w:cs="宋体"/>
          <w:color w:val="auto"/>
          <w:spacing w:val="-46"/>
          <w:sz w:val="24"/>
          <w:highlight w:val="none"/>
        </w:rPr>
        <w:t xml:space="preserve"> </w:t>
      </w:r>
      <w:r>
        <w:rPr>
          <w:rFonts w:hint="eastAsia" w:ascii="宋体" w:hAnsi="宋体" w:cs="宋体"/>
          <w:color w:val="auto"/>
          <w:spacing w:val="-2"/>
          <w:sz w:val="24"/>
          <w:highlight w:val="none"/>
        </w:rPr>
        <w:t>天以上，双方应通过友好协商，确定是否继续履行合同。</w:t>
      </w:r>
    </w:p>
    <w:p w14:paraId="531A8B22">
      <w:pPr>
        <w:spacing w:line="360" w:lineRule="auto"/>
        <w:ind w:firstLine="486" w:firstLineChars="200"/>
        <w:rPr>
          <w:rFonts w:ascii="宋体" w:hAnsi="宋体" w:cs="宋体"/>
          <w:color w:val="auto"/>
          <w:sz w:val="24"/>
          <w:highlight w:val="none"/>
        </w:rPr>
      </w:pPr>
      <w:r>
        <w:rPr>
          <w:rFonts w:hint="eastAsia" w:ascii="宋体" w:hAnsi="宋体" w:cs="宋体"/>
          <w:b/>
          <w:bCs/>
          <w:color w:val="auto"/>
          <w:spacing w:val="1"/>
          <w:sz w:val="24"/>
          <w:highlight w:val="none"/>
        </w:rPr>
        <w:t>第九条</w:t>
      </w:r>
      <w:r>
        <w:rPr>
          <w:rFonts w:hint="eastAsia" w:ascii="宋体" w:hAnsi="宋体" w:cs="宋体"/>
          <w:color w:val="auto"/>
          <w:spacing w:val="33"/>
          <w:sz w:val="24"/>
          <w:highlight w:val="none"/>
        </w:rPr>
        <w:t xml:space="preserve"> </w:t>
      </w:r>
      <w:r>
        <w:rPr>
          <w:rFonts w:hint="eastAsia" w:ascii="宋体" w:hAnsi="宋体" w:cs="宋体"/>
          <w:color w:val="auto"/>
          <w:spacing w:val="1"/>
          <w:sz w:val="24"/>
          <w:highlight w:val="none"/>
        </w:rPr>
        <w:t>本合同附件为合同有效组成部分。凡本合同及附件未规定的事宜以及合同词</w:t>
      </w:r>
    </w:p>
    <w:p w14:paraId="2D673CBE">
      <w:pPr>
        <w:spacing w:line="360" w:lineRule="auto"/>
        <w:ind w:firstLine="476" w:firstLineChars="200"/>
        <w:rPr>
          <w:rFonts w:ascii="宋体" w:hAnsi="宋体" w:cs="宋体"/>
          <w:color w:val="auto"/>
          <w:sz w:val="24"/>
          <w:highlight w:val="none"/>
        </w:rPr>
      </w:pPr>
      <w:r>
        <w:rPr>
          <w:rFonts w:hint="eastAsia" w:ascii="宋体" w:hAnsi="宋体" w:cs="宋体"/>
          <w:color w:val="auto"/>
          <w:spacing w:val="-1"/>
          <w:sz w:val="24"/>
          <w:highlight w:val="none"/>
        </w:rPr>
        <w:t>语，均以有关法律、法规、政策规定为准。</w:t>
      </w:r>
    </w:p>
    <w:p w14:paraId="31DC2F96">
      <w:pPr>
        <w:spacing w:line="360" w:lineRule="auto"/>
        <w:ind w:firstLine="486" w:firstLineChars="200"/>
        <w:rPr>
          <w:rFonts w:ascii="宋体" w:hAnsi="宋体" w:cs="宋体"/>
          <w:color w:val="auto"/>
          <w:spacing w:val="-3"/>
          <w:sz w:val="24"/>
          <w:highlight w:val="none"/>
        </w:rPr>
      </w:pPr>
      <w:r>
        <w:rPr>
          <w:rFonts w:hint="eastAsia" w:ascii="宋体" w:hAnsi="宋体" w:cs="宋体"/>
          <w:b/>
          <w:bCs/>
          <w:color w:val="auto"/>
          <w:spacing w:val="1"/>
          <w:sz w:val="24"/>
          <w:highlight w:val="none"/>
        </w:rPr>
        <w:t>第十条</w:t>
      </w:r>
      <w:r>
        <w:rPr>
          <w:rFonts w:hint="eastAsia" w:ascii="宋体" w:hAnsi="宋体" w:cs="宋体"/>
          <w:b/>
          <w:bCs/>
          <w:color w:val="auto"/>
          <w:spacing w:val="33"/>
          <w:sz w:val="24"/>
          <w:highlight w:val="none"/>
        </w:rPr>
        <w:t xml:space="preserve"> </w:t>
      </w:r>
      <w:r>
        <w:rPr>
          <w:rFonts w:hint="eastAsia" w:ascii="宋体" w:hAnsi="宋体" w:cs="宋体"/>
          <w:color w:val="auto"/>
          <w:spacing w:val="1"/>
          <w:sz w:val="24"/>
          <w:highlight w:val="none"/>
        </w:rPr>
        <w:t>本合同未尽事宜由甲、乙方双方另行协商签订补充协议，补充协议与本合同</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具有同等效力。</w:t>
      </w:r>
    </w:p>
    <w:p w14:paraId="51D346D7">
      <w:pPr>
        <w:spacing w:line="360" w:lineRule="auto"/>
        <w:ind w:firstLine="462" w:firstLineChars="200"/>
        <w:rPr>
          <w:rFonts w:ascii="宋体" w:hAnsi="宋体" w:cs="宋体"/>
          <w:color w:val="auto"/>
          <w:sz w:val="24"/>
          <w:highlight w:val="none"/>
        </w:rPr>
      </w:pPr>
      <w:r>
        <w:rPr>
          <w:rFonts w:hint="eastAsia" w:ascii="宋体" w:hAnsi="宋体" w:cs="宋体"/>
          <w:b/>
          <w:bCs/>
          <w:color w:val="auto"/>
          <w:spacing w:val="-5"/>
          <w:sz w:val="24"/>
          <w:highlight w:val="none"/>
        </w:rPr>
        <w:t>第十一条</w:t>
      </w:r>
      <w:r>
        <w:rPr>
          <w:rFonts w:hint="eastAsia" w:ascii="宋体" w:hAnsi="宋体" w:cs="宋体"/>
          <w:color w:val="auto"/>
          <w:spacing w:val="-5"/>
          <w:sz w:val="24"/>
          <w:highlight w:val="none"/>
        </w:rPr>
        <w:t xml:space="preserve"> 本合同一式五份，具有同等法律效力，</w:t>
      </w:r>
      <w:r>
        <w:rPr>
          <w:rFonts w:hint="eastAsia" w:ascii="宋体" w:hAnsi="宋体" w:cs="宋体"/>
          <w:color w:val="auto"/>
          <w:spacing w:val="14"/>
          <w:sz w:val="24"/>
          <w:highlight w:val="none"/>
        </w:rPr>
        <w:t xml:space="preserve"> </w:t>
      </w:r>
      <w:r>
        <w:rPr>
          <w:rFonts w:hint="eastAsia" w:ascii="宋体" w:hAnsi="宋体" w:cs="宋体"/>
          <w:color w:val="auto"/>
          <w:spacing w:val="-5"/>
          <w:sz w:val="24"/>
          <w:highlight w:val="none"/>
        </w:rPr>
        <w:t>采购代理机构各一份，甲乙双方各两份（可根据需要另增加）</w:t>
      </w:r>
      <w:r>
        <w:rPr>
          <w:rFonts w:hint="eastAsia" w:ascii="宋体" w:hAnsi="宋体" w:cs="宋体"/>
          <w:color w:val="auto"/>
          <w:spacing w:val="7"/>
          <w:sz w:val="24"/>
          <w:highlight w:val="none"/>
        </w:rPr>
        <w:t xml:space="preserve"> </w:t>
      </w:r>
      <w:r>
        <w:rPr>
          <w:rFonts w:hint="eastAsia" w:ascii="宋体" w:hAnsi="宋体" w:cs="宋体"/>
          <w:color w:val="auto"/>
          <w:spacing w:val="-5"/>
          <w:sz w:val="24"/>
          <w:highlight w:val="none"/>
        </w:rPr>
        <w:t>。</w:t>
      </w:r>
    </w:p>
    <w:p w14:paraId="30579A8C">
      <w:pPr>
        <w:spacing w:line="360" w:lineRule="auto"/>
        <w:ind w:firstLine="472" w:firstLineChars="200"/>
        <w:rPr>
          <w:rFonts w:ascii="宋体" w:hAnsi="宋体" w:cs="宋体"/>
          <w:color w:val="auto"/>
          <w:sz w:val="24"/>
          <w:highlight w:val="none"/>
        </w:rPr>
      </w:pPr>
      <w:r>
        <w:rPr>
          <w:rFonts w:hint="eastAsia" w:ascii="宋体" w:hAnsi="宋体" w:cs="宋体"/>
          <w:color w:val="auto"/>
          <w:spacing w:val="-2"/>
          <w:sz w:val="24"/>
          <w:highlight w:val="none"/>
        </w:rPr>
        <w:t>本合同甲乙双方签字盖章后生效，自签订之日起2个工作日内，采购人或采购代理机</w:t>
      </w:r>
      <w:r>
        <w:rPr>
          <w:rFonts w:hint="eastAsia" w:ascii="宋体" w:hAnsi="宋体" w:cs="宋体"/>
          <w:color w:val="auto"/>
          <w:spacing w:val="-1"/>
          <w:sz w:val="24"/>
          <w:highlight w:val="none"/>
        </w:rPr>
        <w:t>构应当将合同副本报同级财政部门备案。</w:t>
      </w:r>
    </w:p>
    <w:p w14:paraId="55357285">
      <w:pPr>
        <w:spacing w:line="360" w:lineRule="auto"/>
        <w:ind w:firstLine="480" w:firstLineChars="200"/>
        <w:rPr>
          <w:rFonts w:ascii="宋体" w:hAnsi="宋体" w:cs="宋体"/>
          <w:color w:val="auto"/>
          <w:sz w:val="24"/>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101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19A58714">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甲方（章）           </w:t>
            </w:r>
          </w:p>
          <w:p w14:paraId="7D36225E">
            <w:pPr>
              <w:snapToGrid w:val="0"/>
              <w:spacing w:line="400" w:lineRule="exact"/>
              <w:ind w:firstLine="1080" w:firstLineChars="450"/>
              <w:jc w:val="right"/>
              <w:rPr>
                <w:rFonts w:ascii="宋体" w:hAnsi="宋体" w:cs="宋体"/>
                <w:color w:val="auto"/>
                <w:sz w:val="24"/>
                <w:highlight w:val="none"/>
              </w:rPr>
            </w:pPr>
            <w:r>
              <w:rPr>
                <w:rFonts w:hint="eastAsia" w:ascii="宋体" w:hAnsi="宋体" w:cs="宋体"/>
                <w:color w:val="auto"/>
                <w:sz w:val="24"/>
                <w:highlight w:val="none"/>
              </w:rPr>
              <w:t>年   月   日</w:t>
            </w:r>
          </w:p>
        </w:tc>
        <w:tc>
          <w:tcPr>
            <w:tcW w:w="4517" w:type="dxa"/>
            <w:vAlign w:val="center"/>
          </w:tcPr>
          <w:p w14:paraId="3E377EC2">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乙方（章）              </w:t>
            </w:r>
          </w:p>
          <w:p w14:paraId="637A1DD1">
            <w:pPr>
              <w:snapToGrid w:val="0"/>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33D3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39789DF9">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单位地址：</w:t>
            </w:r>
          </w:p>
        </w:tc>
        <w:tc>
          <w:tcPr>
            <w:tcW w:w="4517" w:type="dxa"/>
            <w:vAlign w:val="center"/>
          </w:tcPr>
          <w:p w14:paraId="220E1FD6">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单位地址：</w:t>
            </w:r>
          </w:p>
        </w:tc>
      </w:tr>
      <w:tr w14:paraId="65FD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1EABB6B4">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4517" w:type="dxa"/>
            <w:vAlign w:val="center"/>
          </w:tcPr>
          <w:p w14:paraId="5FAD5142">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法定代表人：</w:t>
            </w:r>
          </w:p>
        </w:tc>
      </w:tr>
      <w:tr w14:paraId="4F1C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35DD42AD">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委托代理人：</w:t>
            </w:r>
          </w:p>
        </w:tc>
        <w:tc>
          <w:tcPr>
            <w:tcW w:w="4517" w:type="dxa"/>
            <w:vAlign w:val="center"/>
          </w:tcPr>
          <w:p w14:paraId="19DEF2D1">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委托代理人</w:t>
            </w:r>
          </w:p>
        </w:tc>
      </w:tr>
      <w:tr w14:paraId="6A40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117C3E53">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c>
          <w:tcPr>
            <w:tcW w:w="4517" w:type="dxa"/>
            <w:vAlign w:val="center"/>
          </w:tcPr>
          <w:p w14:paraId="4B077032">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r>
      <w:tr w14:paraId="6363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30D473F9">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电子邮箱：</w:t>
            </w:r>
          </w:p>
        </w:tc>
        <w:tc>
          <w:tcPr>
            <w:tcW w:w="4517" w:type="dxa"/>
            <w:vAlign w:val="center"/>
          </w:tcPr>
          <w:p w14:paraId="143A70E3">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电子邮箱：</w:t>
            </w:r>
          </w:p>
        </w:tc>
      </w:tr>
      <w:tr w14:paraId="0677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2A398313">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4517" w:type="dxa"/>
            <w:vAlign w:val="center"/>
          </w:tcPr>
          <w:p w14:paraId="287BAC20">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开户银行：</w:t>
            </w:r>
          </w:p>
        </w:tc>
      </w:tr>
      <w:tr w14:paraId="6264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318946CA">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账号：</w:t>
            </w:r>
          </w:p>
        </w:tc>
        <w:tc>
          <w:tcPr>
            <w:tcW w:w="4517" w:type="dxa"/>
            <w:vAlign w:val="center"/>
          </w:tcPr>
          <w:p w14:paraId="4204B6EE">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账号：</w:t>
            </w:r>
          </w:p>
        </w:tc>
      </w:tr>
      <w:tr w14:paraId="2631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756E6991">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4517" w:type="dxa"/>
            <w:vAlign w:val="center"/>
          </w:tcPr>
          <w:p w14:paraId="14BCF975">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邮政编码：</w:t>
            </w:r>
          </w:p>
        </w:tc>
      </w:tr>
      <w:tr w14:paraId="25C1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033" w:type="dxa"/>
            <w:gridSpan w:val="2"/>
          </w:tcPr>
          <w:p w14:paraId="67EE827B">
            <w:pPr>
              <w:snapToGrid w:val="0"/>
              <w:spacing w:line="400" w:lineRule="exact"/>
              <w:ind w:left="2475" w:leftChars="1007" w:hanging="360" w:hangingChars="150"/>
              <w:rPr>
                <w:rFonts w:ascii="宋体" w:hAnsi="宋体" w:cs="宋体"/>
                <w:color w:val="auto"/>
                <w:sz w:val="24"/>
                <w:highlight w:val="none"/>
              </w:rPr>
            </w:pPr>
          </w:p>
          <w:p w14:paraId="0142FF54">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经办人：</w:t>
            </w:r>
          </w:p>
          <w:p w14:paraId="463E1275">
            <w:pPr>
              <w:snapToGrid w:val="0"/>
              <w:spacing w:line="400" w:lineRule="exact"/>
              <w:ind w:firstLine="720" w:firstLineChars="300"/>
              <w:jc w:val="right"/>
              <w:rPr>
                <w:rFonts w:ascii="宋体" w:hAnsi="宋体" w:cs="宋体"/>
                <w:color w:val="auto"/>
                <w:sz w:val="24"/>
                <w:highlight w:val="none"/>
              </w:rPr>
            </w:pPr>
            <w:r>
              <w:rPr>
                <w:rFonts w:hint="eastAsia" w:ascii="宋体" w:hAnsi="宋体" w:cs="宋体"/>
                <w:color w:val="auto"/>
                <w:sz w:val="24"/>
                <w:highlight w:val="none"/>
              </w:rPr>
              <w:t>年    月    日</w:t>
            </w:r>
          </w:p>
        </w:tc>
      </w:tr>
    </w:tbl>
    <w:p w14:paraId="4D60692B">
      <w:pPr>
        <w:pStyle w:val="27"/>
        <w:spacing w:line="360" w:lineRule="auto"/>
        <w:jc w:val="center"/>
        <w:rPr>
          <w:rFonts w:hAnsi="宋体" w:cs="宋体"/>
          <w:color w:val="auto"/>
          <w:sz w:val="36"/>
          <w:szCs w:val="36"/>
          <w:highlight w:val="none"/>
        </w:rPr>
      </w:pPr>
    </w:p>
    <w:p w14:paraId="1931476B">
      <w:pPr>
        <w:pStyle w:val="27"/>
        <w:spacing w:line="360" w:lineRule="auto"/>
        <w:jc w:val="center"/>
        <w:rPr>
          <w:rFonts w:hAnsi="宋体" w:cs="宋体"/>
          <w:color w:val="auto"/>
          <w:sz w:val="36"/>
          <w:szCs w:val="36"/>
          <w:highlight w:val="none"/>
        </w:rPr>
      </w:pPr>
    </w:p>
    <w:p w14:paraId="7F552A3E">
      <w:pPr>
        <w:pStyle w:val="27"/>
        <w:spacing w:line="360" w:lineRule="auto"/>
        <w:jc w:val="center"/>
        <w:rPr>
          <w:rFonts w:hAnsi="宋体" w:cs="宋体"/>
          <w:color w:val="auto"/>
          <w:sz w:val="36"/>
          <w:szCs w:val="36"/>
          <w:highlight w:val="none"/>
        </w:rPr>
      </w:pPr>
    </w:p>
    <w:p w14:paraId="22D6D8FA">
      <w:pPr>
        <w:pStyle w:val="27"/>
        <w:spacing w:line="360" w:lineRule="auto"/>
        <w:jc w:val="center"/>
        <w:rPr>
          <w:rFonts w:hAnsi="宋体" w:cs="宋体"/>
          <w:color w:val="auto"/>
          <w:sz w:val="36"/>
          <w:szCs w:val="36"/>
          <w:highlight w:val="none"/>
        </w:rPr>
      </w:pPr>
    </w:p>
    <w:p w14:paraId="001548C4">
      <w:pPr>
        <w:pStyle w:val="27"/>
        <w:spacing w:line="360" w:lineRule="auto"/>
        <w:jc w:val="center"/>
        <w:rPr>
          <w:rFonts w:hAnsi="宋体" w:cs="宋体"/>
          <w:color w:val="auto"/>
          <w:sz w:val="36"/>
          <w:szCs w:val="36"/>
          <w:highlight w:val="none"/>
        </w:rPr>
      </w:pPr>
    </w:p>
    <w:p w14:paraId="26FD85E2">
      <w:pPr>
        <w:pStyle w:val="27"/>
        <w:spacing w:line="360" w:lineRule="auto"/>
        <w:jc w:val="center"/>
        <w:rPr>
          <w:rFonts w:hAnsi="宋体" w:cs="宋体"/>
          <w:color w:val="auto"/>
          <w:sz w:val="36"/>
          <w:szCs w:val="36"/>
          <w:highlight w:val="none"/>
        </w:rPr>
      </w:pPr>
    </w:p>
    <w:p w14:paraId="22BE6967">
      <w:pPr>
        <w:pStyle w:val="27"/>
        <w:spacing w:line="360" w:lineRule="auto"/>
        <w:jc w:val="center"/>
        <w:rPr>
          <w:rFonts w:hAnsi="宋体" w:cs="宋体"/>
          <w:color w:val="auto"/>
          <w:sz w:val="36"/>
          <w:szCs w:val="36"/>
          <w:highlight w:val="none"/>
        </w:rPr>
      </w:pPr>
    </w:p>
    <w:p w14:paraId="37A73DE4">
      <w:pPr>
        <w:pStyle w:val="27"/>
        <w:spacing w:line="360" w:lineRule="auto"/>
        <w:jc w:val="center"/>
        <w:rPr>
          <w:rFonts w:hAnsi="宋体" w:cs="宋体"/>
          <w:color w:val="auto"/>
          <w:sz w:val="36"/>
          <w:szCs w:val="36"/>
          <w:highlight w:val="none"/>
        </w:rPr>
      </w:pPr>
    </w:p>
    <w:p w14:paraId="2E092761">
      <w:pPr>
        <w:pStyle w:val="27"/>
        <w:spacing w:line="360" w:lineRule="auto"/>
        <w:jc w:val="center"/>
        <w:rPr>
          <w:rFonts w:hAnsi="宋体" w:cs="宋体"/>
          <w:color w:val="auto"/>
          <w:sz w:val="36"/>
          <w:szCs w:val="36"/>
          <w:highlight w:val="none"/>
        </w:rPr>
      </w:pPr>
    </w:p>
    <w:p w14:paraId="2CBD37C9">
      <w:pPr>
        <w:pStyle w:val="27"/>
        <w:spacing w:line="360" w:lineRule="auto"/>
        <w:jc w:val="center"/>
        <w:rPr>
          <w:rFonts w:hAnsi="宋体" w:cs="宋体"/>
          <w:color w:val="auto"/>
          <w:sz w:val="36"/>
          <w:szCs w:val="36"/>
          <w:highlight w:val="none"/>
        </w:rPr>
      </w:pPr>
    </w:p>
    <w:p w14:paraId="0E21DC7A">
      <w:pPr>
        <w:pStyle w:val="27"/>
        <w:spacing w:line="360" w:lineRule="auto"/>
        <w:jc w:val="center"/>
        <w:rPr>
          <w:rFonts w:hAnsi="宋体" w:cs="宋体"/>
          <w:color w:val="auto"/>
          <w:sz w:val="36"/>
          <w:szCs w:val="36"/>
          <w:highlight w:val="none"/>
        </w:rPr>
      </w:pPr>
    </w:p>
    <w:p w14:paraId="01EB66CC">
      <w:pPr>
        <w:pStyle w:val="27"/>
        <w:spacing w:line="360" w:lineRule="auto"/>
        <w:jc w:val="center"/>
        <w:rPr>
          <w:rFonts w:hAnsi="宋体" w:cs="宋体"/>
          <w:color w:val="auto"/>
          <w:sz w:val="36"/>
          <w:szCs w:val="36"/>
          <w:highlight w:val="none"/>
        </w:rPr>
      </w:pPr>
    </w:p>
    <w:p w14:paraId="46DE69AE">
      <w:pPr>
        <w:pStyle w:val="27"/>
        <w:spacing w:line="360" w:lineRule="auto"/>
        <w:jc w:val="center"/>
        <w:rPr>
          <w:rFonts w:hAnsi="宋体" w:cs="宋体"/>
          <w:color w:val="auto"/>
          <w:sz w:val="36"/>
          <w:szCs w:val="36"/>
          <w:highlight w:val="none"/>
        </w:rPr>
      </w:pPr>
    </w:p>
    <w:p w14:paraId="665C6D33">
      <w:pPr>
        <w:pStyle w:val="27"/>
        <w:spacing w:line="360" w:lineRule="auto"/>
        <w:jc w:val="center"/>
        <w:rPr>
          <w:rFonts w:hAnsi="宋体" w:cs="宋体"/>
          <w:color w:val="auto"/>
          <w:sz w:val="36"/>
          <w:szCs w:val="36"/>
          <w:highlight w:val="none"/>
        </w:rPr>
      </w:pPr>
    </w:p>
    <w:p w14:paraId="21F4E365">
      <w:pPr>
        <w:pStyle w:val="27"/>
        <w:spacing w:line="360" w:lineRule="auto"/>
        <w:jc w:val="center"/>
        <w:rPr>
          <w:rFonts w:hAnsi="宋体" w:cs="宋体"/>
          <w:color w:val="auto"/>
          <w:sz w:val="36"/>
          <w:szCs w:val="36"/>
          <w:highlight w:val="none"/>
        </w:rPr>
      </w:pPr>
    </w:p>
    <w:p w14:paraId="3CEA95C8">
      <w:pPr>
        <w:pStyle w:val="27"/>
        <w:spacing w:line="360" w:lineRule="auto"/>
        <w:jc w:val="center"/>
        <w:rPr>
          <w:rFonts w:hAnsi="宋体" w:cs="宋体"/>
          <w:color w:val="auto"/>
          <w:sz w:val="36"/>
          <w:szCs w:val="36"/>
          <w:highlight w:val="none"/>
        </w:rPr>
      </w:pPr>
    </w:p>
    <w:p w14:paraId="091C7860">
      <w:pPr>
        <w:pStyle w:val="27"/>
        <w:spacing w:line="360" w:lineRule="auto"/>
        <w:jc w:val="center"/>
        <w:rPr>
          <w:rFonts w:hAnsi="宋体" w:cs="宋体"/>
          <w:color w:val="auto"/>
          <w:sz w:val="36"/>
          <w:szCs w:val="36"/>
          <w:highlight w:val="none"/>
        </w:rPr>
      </w:pPr>
    </w:p>
    <w:p w14:paraId="6E6BE9A7">
      <w:pPr>
        <w:pStyle w:val="27"/>
        <w:spacing w:line="360" w:lineRule="auto"/>
        <w:jc w:val="center"/>
        <w:rPr>
          <w:rFonts w:hAnsi="宋体" w:cs="宋体"/>
          <w:color w:val="auto"/>
          <w:sz w:val="36"/>
          <w:szCs w:val="36"/>
          <w:highlight w:val="none"/>
        </w:rPr>
      </w:pPr>
    </w:p>
    <w:p w14:paraId="59BF5969">
      <w:pPr>
        <w:pStyle w:val="27"/>
        <w:spacing w:line="360" w:lineRule="auto"/>
        <w:jc w:val="center"/>
        <w:rPr>
          <w:rFonts w:hAnsi="宋体" w:cs="宋体"/>
          <w:color w:val="auto"/>
          <w:sz w:val="36"/>
          <w:szCs w:val="36"/>
          <w:highlight w:val="none"/>
        </w:rPr>
      </w:pPr>
    </w:p>
    <w:p w14:paraId="308F2AA8">
      <w:pPr>
        <w:pStyle w:val="27"/>
        <w:spacing w:line="360" w:lineRule="auto"/>
        <w:jc w:val="center"/>
        <w:rPr>
          <w:rFonts w:hAnsi="宋体" w:cs="宋体"/>
          <w:b/>
          <w:bCs/>
          <w:color w:val="auto"/>
          <w:sz w:val="36"/>
          <w:szCs w:val="36"/>
          <w:highlight w:val="none"/>
        </w:rPr>
      </w:pPr>
      <w:r>
        <w:rPr>
          <w:rFonts w:hint="eastAsia" w:hAnsi="宋体" w:cs="宋体"/>
          <w:color w:val="auto"/>
          <w:sz w:val="36"/>
          <w:szCs w:val="36"/>
          <w:highlight w:val="none"/>
        </w:rPr>
        <w:t>政府采购项目合同验收报告（格式）</w:t>
      </w:r>
    </w:p>
    <w:p w14:paraId="4DBA3EBF">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根据政府采购合同</w:t>
      </w:r>
      <w:r>
        <w:rPr>
          <w:rFonts w:hint="eastAsia" w:ascii="宋体" w:hAnsi="宋体" w:cs="宋体"/>
          <w:color w:val="auto"/>
          <w:kern w:val="0"/>
          <w:szCs w:val="21"/>
          <w:highlight w:val="none"/>
          <w:u w:val="single"/>
        </w:rPr>
        <w:t xml:space="preserve">（采购合同编号：    ）的约定，我单位对（项目名称）       政府采购项目成交供应商（公司名称）       </w:t>
      </w:r>
      <w:r>
        <w:rPr>
          <w:rFonts w:hint="eastAsia" w:ascii="宋体" w:hAnsi="宋体" w:cs="宋体"/>
          <w:color w:val="auto"/>
          <w:kern w:val="0"/>
          <w:szCs w:val="21"/>
          <w:highlight w:val="none"/>
        </w:rPr>
        <w:t>提供的或服务进行了验收，验收情况如下：</w:t>
      </w:r>
    </w:p>
    <w:tbl>
      <w:tblPr>
        <w:tblStyle w:val="49"/>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14:paraId="588F1B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14:paraId="12E6A302">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18" w:type="dxa"/>
            <w:gridSpan w:val="5"/>
            <w:vAlign w:val="center"/>
          </w:tcPr>
          <w:p w14:paraId="6E21DDAE">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□联合验收</w:t>
            </w:r>
          </w:p>
        </w:tc>
      </w:tr>
      <w:tr w14:paraId="11E8A6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14:paraId="0DA66E80">
            <w:pPr>
              <w:widowControl/>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63" w:type="dxa"/>
            <w:vAlign w:val="center"/>
          </w:tcPr>
          <w:p w14:paraId="745E5F56">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441" w:type="dxa"/>
            <w:gridSpan w:val="2"/>
            <w:vAlign w:val="center"/>
          </w:tcPr>
          <w:p w14:paraId="38B49B61">
            <w:pPr>
              <w:widowControl/>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服务内容、标准</w:t>
            </w:r>
          </w:p>
        </w:tc>
        <w:tc>
          <w:tcPr>
            <w:tcW w:w="998" w:type="dxa"/>
            <w:gridSpan w:val="2"/>
            <w:vAlign w:val="center"/>
          </w:tcPr>
          <w:p w14:paraId="0C364500">
            <w:pPr>
              <w:widowControl/>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779" w:type="dxa"/>
            <w:vAlign w:val="center"/>
          </w:tcPr>
          <w:p w14:paraId="7AC17477">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与合同约定</w:t>
            </w:r>
          </w:p>
          <w:p w14:paraId="64DE8F59">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是否一致</w:t>
            </w:r>
          </w:p>
        </w:tc>
      </w:tr>
      <w:tr w14:paraId="158F0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42C4CC28">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963" w:type="dxa"/>
            <w:vAlign w:val="center"/>
          </w:tcPr>
          <w:p w14:paraId="5B81074E">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vAlign w:val="center"/>
          </w:tcPr>
          <w:p w14:paraId="6E150D8E">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vAlign w:val="center"/>
          </w:tcPr>
          <w:p w14:paraId="201A397C">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79" w:type="dxa"/>
            <w:vAlign w:val="center"/>
          </w:tcPr>
          <w:p w14:paraId="4C05BDC8">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35CD4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44C8803D">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963" w:type="dxa"/>
            <w:vAlign w:val="center"/>
          </w:tcPr>
          <w:p w14:paraId="65EAC19B">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vAlign w:val="center"/>
          </w:tcPr>
          <w:p w14:paraId="66113AF1">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vAlign w:val="center"/>
          </w:tcPr>
          <w:p w14:paraId="41471CBC">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79" w:type="dxa"/>
            <w:vAlign w:val="center"/>
          </w:tcPr>
          <w:p w14:paraId="20FEBD8B">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68D2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40410AE1">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963" w:type="dxa"/>
            <w:vAlign w:val="center"/>
          </w:tcPr>
          <w:p w14:paraId="1643B321">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vAlign w:val="center"/>
          </w:tcPr>
          <w:p w14:paraId="42958142">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vAlign w:val="center"/>
          </w:tcPr>
          <w:p w14:paraId="5C80EDD7">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79" w:type="dxa"/>
            <w:vAlign w:val="center"/>
          </w:tcPr>
          <w:p w14:paraId="3DCD34FF">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42D1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489B65B3">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963" w:type="dxa"/>
            <w:vAlign w:val="center"/>
          </w:tcPr>
          <w:p w14:paraId="25AAD2A5">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41" w:type="dxa"/>
            <w:gridSpan w:val="2"/>
            <w:vAlign w:val="center"/>
          </w:tcPr>
          <w:p w14:paraId="3A23EBD7">
            <w:pPr>
              <w:widowControl/>
              <w:snapToGrid w:val="0"/>
              <w:ind w:left="-3" w:firstLine="576"/>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98" w:type="dxa"/>
            <w:gridSpan w:val="2"/>
            <w:vAlign w:val="center"/>
          </w:tcPr>
          <w:p w14:paraId="0B16E821">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79" w:type="dxa"/>
            <w:vAlign w:val="center"/>
          </w:tcPr>
          <w:p w14:paraId="7CB3C65D">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A2D47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1C6054F1">
            <w:pPr>
              <w:widowControl/>
              <w:snapToGrid w:val="0"/>
              <w:ind w:left="-3" w:firstLine="576"/>
              <w:jc w:val="left"/>
              <w:rPr>
                <w:rFonts w:ascii="宋体" w:hAnsi="宋体" w:cs="宋体"/>
                <w:color w:val="auto"/>
                <w:kern w:val="0"/>
                <w:szCs w:val="21"/>
                <w:highlight w:val="none"/>
              </w:rPr>
            </w:pPr>
          </w:p>
        </w:tc>
        <w:tc>
          <w:tcPr>
            <w:tcW w:w="1963" w:type="dxa"/>
            <w:vAlign w:val="center"/>
          </w:tcPr>
          <w:p w14:paraId="2D6E4620">
            <w:pPr>
              <w:widowControl/>
              <w:snapToGrid w:val="0"/>
              <w:ind w:left="-3" w:firstLine="576"/>
              <w:jc w:val="left"/>
              <w:rPr>
                <w:rFonts w:ascii="宋体" w:hAnsi="宋体" w:cs="宋体"/>
                <w:color w:val="auto"/>
                <w:kern w:val="0"/>
                <w:szCs w:val="21"/>
                <w:highlight w:val="none"/>
              </w:rPr>
            </w:pPr>
          </w:p>
        </w:tc>
        <w:tc>
          <w:tcPr>
            <w:tcW w:w="3441" w:type="dxa"/>
            <w:gridSpan w:val="2"/>
            <w:vAlign w:val="center"/>
          </w:tcPr>
          <w:p w14:paraId="2F3E1615">
            <w:pPr>
              <w:widowControl/>
              <w:snapToGrid w:val="0"/>
              <w:ind w:left="-3" w:firstLine="576"/>
              <w:jc w:val="left"/>
              <w:rPr>
                <w:rFonts w:ascii="宋体" w:hAnsi="宋体" w:cs="宋体"/>
                <w:color w:val="auto"/>
                <w:kern w:val="0"/>
                <w:szCs w:val="21"/>
                <w:highlight w:val="none"/>
              </w:rPr>
            </w:pPr>
          </w:p>
        </w:tc>
        <w:tc>
          <w:tcPr>
            <w:tcW w:w="998" w:type="dxa"/>
            <w:gridSpan w:val="2"/>
            <w:vAlign w:val="center"/>
          </w:tcPr>
          <w:p w14:paraId="71B08D5B">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1779" w:type="dxa"/>
            <w:vAlign w:val="center"/>
          </w:tcPr>
          <w:p w14:paraId="131722B8">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7F8223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28694661">
            <w:pPr>
              <w:widowControl/>
              <w:snapToGrid w:val="0"/>
              <w:ind w:left="-3" w:firstLine="576"/>
              <w:jc w:val="left"/>
              <w:rPr>
                <w:rFonts w:ascii="宋体" w:hAnsi="宋体" w:cs="宋体"/>
                <w:color w:val="auto"/>
                <w:kern w:val="0"/>
                <w:szCs w:val="21"/>
                <w:highlight w:val="none"/>
              </w:rPr>
            </w:pPr>
          </w:p>
        </w:tc>
        <w:tc>
          <w:tcPr>
            <w:tcW w:w="1963" w:type="dxa"/>
            <w:vAlign w:val="center"/>
          </w:tcPr>
          <w:p w14:paraId="738980D9">
            <w:pPr>
              <w:widowControl/>
              <w:snapToGrid w:val="0"/>
              <w:ind w:left="-3" w:firstLine="576"/>
              <w:jc w:val="left"/>
              <w:rPr>
                <w:rFonts w:ascii="宋体" w:hAnsi="宋体" w:cs="宋体"/>
                <w:color w:val="auto"/>
                <w:kern w:val="0"/>
                <w:szCs w:val="21"/>
                <w:highlight w:val="none"/>
              </w:rPr>
            </w:pPr>
          </w:p>
        </w:tc>
        <w:tc>
          <w:tcPr>
            <w:tcW w:w="3441" w:type="dxa"/>
            <w:gridSpan w:val="2"/>
            <w:vAlign w:val="center"/>
          </w:tcPr>
          <w:p w14:paraId="5BA9274A">
            <w:pPr>
              <w:widowControl/>
              <w:snapToGrid w:val="0"/>
              <w:ind w:left="-3" w:firstLine="576"/>
              <w:jc w:val="left"/>
              <w:rPr>
                <w:rFonts w:ascii="宋体" w:hAnsi="宋体" w:cs="宋体"/>
                <w:color w:val="auto"/>
                <w:kern w:val="0"/>
                <w:szCs w:val="21"/>
                <w:highlight w:val="none"/>
              </w:rPr>
            </w:pPr>
          </w:p>
        </w:tc>
        <w:tc>
          <w:tcPr>
            <w:tcW w:w="998" w:type="dxa"/>
            <w:gridSpan w:val="2"/>
            <w:vAlign w:val="center"/>
          </w:tcPr>
          <w:p w14:paraId="113CA0E9">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1779" w:type="dxa"/>
            <w:vAlign w:val="center"/>
          </w:tcPr>
          <w:p w14:paraId="72A825B9">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7ABC7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5C0CEA43">
            <w:pPr>
              <w:widowControl/>
              <w:snapToGrid w:val="0"/>
              <w:ind w:left="-3" w:firstLine="576"/>
              <w:jc w:val="left"/>
              <w:rPr>
                <w:rFonts w:ascii="宋体" w:hAnsi="宋体" w:cs="宋体"/>
                <w:color w:val="auto"/>
                <w:kern w:val="0"/>
                <w:szCs w:val="21"/>
                <w:highlight w:val="none"/>
              </w:rPr>
            </w:pPr>
          </w:p>
        </w:tc>
        <w:tc>
          <w:tcPr>
            <w:tcW w:w="1963" w:type="dxa"/>
            <w:vAlign w:val="center"/>
          </w:tcPr>
          <w:p w14:paraId="0DAFD9F3">
            <w:pPr>
              <w:widowControl/>
              <w:snapToGrid w:val="0"/>
              <w:ind w:left="-3" w:firstLine="576"/>
              <w:jc w:val="left"/>
              <w:rPr>
                <w:rFonts w:ascii="宋体" w:hAnsi="宋体" w:cs="宋体"/>
                <w:color w:val="auto"/>
                <w:kern w:val="0"/>
                <w:szCs w:val="21"/>
                <w:highlight w:val="none"/>
              </w:rPr>
            </w:pPr>
          </w:p>
        </w:tc>
        <w:tc>
          <w:tcPr>
            <w:tcW w:w="3441" w:type="dxa"/>
            <w:gridSpan w:val="2"/>
            <w:vAlign w:val="center"/>
          </w:tcPr>
          <w:p w14:paraId="2F58A448">
            <w:pPr>
              <w:widowControl/>
              <w:snapToGrid w:val="0"/>
              <w:ind w:left="-3" w:firstLine="576"/>
              <w:jc w:val="left"/>
              <w:rPr>
                <w:rFonts w:ascii="宋体" w:hAnsi="宋体" w:cs="宋体"/>
                <w:color w:val="auto"/>
                <w:kern w:val="0"/>
                <w:szCs w:val="21"/>
                <w:highlight w:val="none"/>
              </w:rPr>
            </w:pPr>
          </w:p>
        </w:tc>
        <w:tc>
          <w:tcPr>
            <w:tcW w:w="998" w:type="dxa"/>
            <w:gridSpan w:val="2"/>
            <w:vAlign w:val="center"/>
          </w:tcPr>
          <w:p w14:paraId="244B28D1">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1779" w:type="dxa"/>
            <w:vAlign w:val="center"/>
          </w:tcPr>
          <w:p w14:paraId="744E3331">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620F9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14:paraId="16B3528B">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542" w:type="dxa"/>
            <w:gridSpan w:val="2"/>
            <w:vAlign w:val="center"/>
          </w:tcPr>
          <w:p w14:paraId="2452AC10">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2522" w:type="dxa"/>
            <w:gridSpan w:val="2"/>
            <w:vAlign w:val="center"/>
          </w:tcPr>
          <w:p w14:paraId="6731E0DA">
            <w:pPr>
              <w:snapToGrid w:val="0"/>
              <w:ind w:left="590"/>
              <w:jc w:val="left"/>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7" w:type="dxa"/>
            <w:gridSpan w:val="2"/>
            <w:vAlign w:val="center"/>
          </w:tcPr>
          <w:p w14:paraId="41052CC8">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2BB59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14:paraId="7A44F076">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81" w:type="dxa"/>
            <w:gridSpan w:val="6"/>
            <w:tcMar>
              <w:top w:w="0" w:type="dxa"/>
              <w:left w:w="108" w:type="dxa"/>
              <w:bottom w:w="0" w:type="dxa"/>
              <w:right w:w="108" w:type="dxa"/>
            </w:tcMar>
            <w:vAlign w:val="center"/>
          </w:tcPr>
          <w:p w14:paraId="60528A9F">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(按招标采购文件及验收方案等。可附件)</w:t>
            </w:r>
          </w:p>
        </w:tc>
      </w:tr>
      <w:tr w14:paraId="77093B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14:paraId="38EA69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81" w:type="dxa"/>
            <w:gridSpan w:val="6"/>
            <w:vAlign w:val="center"/>
          </w:tcPr>
          <w:p w14:paraId="6F8221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14:paraId="1D6963C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6EC8D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324080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71E9BC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328A876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参与验收其他或监督人员签字：</w:t>
            </w:r>
          </w:p>
        </w:tc>
      </w:tr>
      <w:tr w14:paraId="5EC606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14:paraId="6988DB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供应商签字或盖章：</w:t>
            </w:r>
          </w:p>
          <w:p w14:paraId="2AC72F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联系方式：         年 月 日</w:t>
            </w:r>
          </w:p>
        </w:tc>
        <w:tc>
          <w:tcPr>
            <w:tcW w:w="4639" w:type="dxa"/>
            <w:gridSpan w:val="4"/>
            <w:vAlign w:val="center"/>
          </w:tcPr>
          <w:p w14:paraId="19E094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采购单位盖章：</w:t>
            </w:r>
          </w:p>
          <w:p w14:paraId="1B120797">
            <w:pPr>
              <w:widowControl/>
              <w:ind w:firstLine="2119"/>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r>
    </w:tbl>
    <w:p w14:paraId="6FE60EB3">
      <w:pPr>
        <w:widowControl/>
        <w:jc w:val="left"/>
        <w:rPr>
          <w:rFonts w:ascii="宋体" w:hAnsi="宋体" w:cs="宋体"/>
          <w:b/>
          <w:bCs/>
          <w:color w:val="auto"/>
          <w:kern w:val="0"/>
          <w:szCs w:val="21"/>
          <w:highlight w:val="none"/>
        </w:rPr>
      </w:pPr>
      <w:r>
        <w:rPr>
          <w:rFonts w:hint="eastAsia" w:ascii="宋体" w:hAnsi="宋体" w:cs="宋体"/>
          <w:b/>
          <w:bCs/>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cs="宋体"/>
          <w:b/>
          <w:bCs/>
          <w:color w:val="auto"/>
          <w:kern w:val="0"/>
          <w:szCs w:val="21"/>
          <w:highlight w:val="none"/>
        </w:rPr>
        <w:t>）。</w:t>
      </w:r>
    </w:p>
    <w:p w14:paraId="21392F98">
      <w:pPr>
        <w:rPr>
          <w:rFonts w:ascii="宋体" w:hAnsi="宋体" w:cs="宋体"/>
          <w:color w:val="auto"/>
          <w:highlight w:val="none"/>
        </w:rPr>
      </w:pPr>
    </w:p>
    <w:p w14:paraId="119AA70F">
      <w:pPr>
        <w:rPr>
          <w:rFonts w:ascii="宋体" w:hAnsi="宋体" w:cs="宋体"/>
          <w:color w:val="auto"/>
          <w:sz w:val="24"/>
          <w:highlight w:val="none"/>
        </w:rPr>
      </w:pPr>
      <w:r>
        <w:rPr>
          <w:rFonts w:hint="eastAsia" w:ascii="宋体" w:hAnsi="宋体" w:cs="宋体"/>
          <w:color w:val="auto"/>
          <w:sz w:val="84"/>
          <w:szCs w:val="84"/>
          <w:highlight w:val="none"/>
        </w:rPr>
        <w:t xml:space="preserve">        </w:t>
      </w:r>
    </w:p>
    <w:p w14:paraId="1EFD11A1">
      <w:pPr>
        <w:adjustRightInd w:val="0"/>
        <w:spacing w:line="360" w:lineRule="auto"/>
        <w:rPr>
          <w:rFonts w:ascii="宋体" w:hAnsi="宋体" w:cs="宋体"/>
          <w:b/>
          <w:bCs/>
          <w:color w:val="auto"/>
          <w:sz w:val="32"/>
          <w:highlight w:val="none"/>
        </w:rPr>
        <w:sectPr>
          <w:pgSz w:w="11906" w:h="16838"/>
          <w:pgMar w:top="1440" w:right="1230" w:bottom="1440" w:left="1440" w:header="851" w:footer="992" w:gutter="0"/>
          <w:cols w:space="720" w:num="1"/>
          <w:docGrid w:type="lines" w:linePitch="312" w:charSpace="0"/>
        </w:sectPr>
      </w:pPr>
    </w:p>
    <w:p w14:paraId="75E6C350">
      <w:pPr>
        <w:pStyle w:val="2"/>
        <w:rPr>
          <w:rFonts w:ascii="宋体" w:hAnsi="宋体" w:cs="宋体"/>
          <w:color w:val="auto"/>
          <w:highlight w:val="none"/>
        </w:rPr>
      </w:pPr>
      <w:bookmarkStart w:id="52" w:name="_Toc22301"/>
      <w:r>
        <w:rPr>
          <w:rFonts w:hint="eastAsia" w:ascii="宋体" w:hAnsi="宋体" w:cs="宋体"/>
          <w:color w:val="auto"/>
          <w:highlight w:val="none"/>
        </w:rPr>
        <w:t>第六章 评标方法</w:t>
      </w:r>
      <w:bookmarkEnd w:id="52"/>
    </w:p>
    <w:p w14:paraId="5D687E88">
      <w:pPr>
        <w:jc w:val="center"/>
        <w:rPr>
          <w:rFonts w:ascii="宋体" w:hAnsi="宋体" w:cs="宋体"/>
          <w:color w:val="auto"/>
          <w:highlight w:val="none"/>
        </w:rPr>
      </w:pPr>
      <w:r>
        <w:rPr>
          <w:rFonts w:hint="eastAsia" w:ascii="宋体" w:hAnsi="宋体" w:cs="宋体"/>
          <w:color w:val="auto"/>
          <w:sz w:val="32"/>
          <w:szCs w:val="32"/>
          <w:highlight w:val="none"/>
        </w:rPr>
        <w:t>（A、B分标适用）</w:t>
      </w:r>
    </w:p>
    <w:p w14:paraId="77891CC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一、磋商原则</w:t>
      </w:r>
    </w:p>
    <w:p w14:paraId="541D3D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根据磋商项目的特点组建由三人以上（含三人）的单数组成的磋商小组，小组成员由采购人代表和有关专家组成，其中专家人数不少于成员总数的三分之二。在整个磋商过程中，磋商小组将负责对全部磋商文件进行审查、磋商及评标工作。</w:t>
      </w:r>
    </w:p>
    <w:p w14:paraId="38127C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2、综合评分法磋商依据：“磋商小组”将以磋商文件、响应文件为磋商依据，对供应商的报价、技术、商务方面内容进行评审，按百分制打分。</w:t>
      </w:r>
    </w:p>
    <w:p w14:paraId="650754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3、磋商方式：以封闭方式进行磋商。磋商全过程中不允许供应商与“磋商小组”之间有可能影响到评审结果公正性的会面与谈话，以体现公平、公正的基本原则。</w:t>
      </w:r>
    </w:p>
    <w:p w14:paraId="1A7801F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二、评标办法</w:t>
      </w:r>
    </w:p>
    <w:p w14:paraId="4E7472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（一）磋商小组对通过资格审查和符合性鉴定的响应文件的报价、技术及商务文件要按照招标文件独立打分（按四舍五入取至百分位）：</w:t>
      </w:r>
    </w:p>
    <w:p w14:paraId="0F1551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（二）评分细则：（按四舍五入取至小数点后二位）</w:t>
      </w:r>
    </w:p>
    <w:p w14:paraId="4F5803B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1、价格分……………………………………………………………………………10分</w:t>
      </w:r>
    </w:p>
    <w:p w14:paraId="71B8F807">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按照《关于进一步加大政府采购支持中小企业力度的通知》（财库〔2022〕19号）的规定，投标人认定为小型和微型企业的（以投标文件提供的符合规定的有关证明材料为准），对投标报价给予10%的扣除，扣除后的价格为评审价，即评审价=投标报价×（1-10%）；大中型企业与小型、微型企业组成联合体投标，其中小型、微型企业的协议合同金额占到联合体协议合同总金额30%以上的，联合体投标报价给予3%的扣除，扣除后的价格为评审价，即评审价=投标报价×（1-3%）；</w:t>
      </w:r>
    </w:p>
    <w:p w14:paraId="225EFCF3">
      <w:pPr>
        <w:pStyle w:val="27"/>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根据《财政部 民政部 中国残疾人联合会关于促进残疾人就业政府采购政策的通知》（财库[2017]141号）的规定，投标产品提供企业认定为残疾人福利性单位的，按在政府采购活动中，残疾人福利性单位视同小型、微型企业。残疾人福利性单位参加政府采购活动时，应当提供《残疾人福利性单位声明函》，否则不予价格扣除。残疾人福利性单位属于小型、微型企业的，不重复享受政策。</w:t>
      </w:r>
    </w:p>
    <w:p w14:paraId="65323401">
      <w:pPr>
        <w:pStyle w:val="27"/>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根据《</w:t>
      </w:r>
      <w:r>
        <w:rPr>
          <w:color w:val="auto"/>
          <w:highlight w:val="none"/>
        </w:rPr>
        <w:fldChar w:fldCharType="begin"/>
      </w:r>
      <w:r>
        <w:rPr>
          <w:color w:val="auto"/>
          <w:highlight w:val="none"/>
        </w:rPr>
        <w:instrText xml:space="preserve"> HYPERLINK "https://www.baidu.com/link?url=Z_2S3RpAo1swxH_g9QA8q3nJL62SEYOQkDGvSRK-BOAGRLR4iS4R7qCP2zMJ2R62fI1np2vQH2jYGIhPyGxBn9CTMhji2MVcWkIviC0Co7O&amp;wd=&amp;eqid=ecfe52eb00038c39000000055600de44" \t "_blank" </w:instrText>
      </w:r>
      <w:r>
        <w:rPr>
          <w:color w:val="auto"/>
          <w:highlight w:val="none"/>
        </w:rPr>
        <w:fldChar w:fldCharType="separate"/>
      </w:r>
      <w:r>
        <w:rPr>
          <w:rStyle w:val="60"/>
          <w:rFonts w:hint="eastAsia" w:hAnsi="宋体" w:cs="宋体"/>
          <w:color w:val="auto"/>
          <w:sz w:val="24"/>
          <w:szCs w:val="24"/>
          <w:highlight w:val="none"/>
        </w:rPr>
        <w:t>政府采购货物和服务招标投标管理办法</w:t>
      </w:r>
      <w:r>
        <w:rPr>
          <w:rStyle w:val="60"/>
          <w:rFonts w:hint="eastAsia" w:hAnsi="宋体" w:cs="宋体"/>
          <w:color w:val="auto"/>
          <w:sz w:val="24"/>
          <w:szCs w:val="24"/>
          <w:highlight w:val="none"/>
        </w:rPr>
        <w:fldChar w:fldCharType="end"/>
      </w:r>
      <w:r>
        <w:rPr>
          <w:rFonts w:hint="eastAsia" w:hAnsi="宋体" w:cs="宋体"/>
          <w:bCs/>
          <w:color w:val="auto"/>
          <w:sz w:val="24"/>
          <w:szCs w:val="24"/>
          <w:highlight w:val="none"/>
        </w:rPr>
        <w:t>》（第87号令）第六十条的规定，为防止有可能影响产品质量或者不能诚信履约，评标委员会认为投标人的报价明显低于其他通过符合性审查投标人的报价，应当要求其在评标现场合理的时间内提供书面说明，必要时提交相关证明材料；投标人不能证明其报价合理性的，评标委员会应当将其作为无效投标处理。</w:t>
      </w:r>
    </w:p>
    <w:p w14:paraId="56250E27">
      <w:pPr>
        <w:pStyle w:val="27"/>
        <w:spacing w:line="440" w:lineRule="exact"/>
        <w:ind w:firstLine="480" w:firstLineChars="200"/>
        <w:rPr>
          <w:rFonts w:hAnsi="宋体" w:cs="宋体"/>
          <w:color w:val="auto"/>
          <w:sz w:val="24"/>
          <w:szCs w:val="24"/>
          <w:highlight w:val="none"/>
        </w:rPr>
      </w:pPr>
      <w:r>
        <w:rPr>
          <w:rFonts w:hint="eastAsia" w:hAnsi="宋体" w:cs="宋体"/>
          <w:bCs/>
          <w:color w:val="auto"/>
          <w:sz w:val="24"/>
          <w:szCs w:val="24"/>
          <w:highlight w:val="none"/>
        </w:rPr>
        <w:t>根据财政部、司法部《关于政府采购支持监狱企业发展有关问题的通知》(财库[2014]68号)的规定，投标产品提供企业认定为监狱企业的，按在政府采购活动中，监狱企业视同小型、微型企业。监狱企业参加政府采购活动时，应当提供由省级以上监狱管理局、戒毒管理局(含新疆生产建设兵团)出具的属于监狱企业的证明文件。</w:t>
      </w:r>
    </w:p>
    <w:p w14:paraId="0FC0B2F4">
      <w:pPr>
        <w:spacing w:line="440" w:lineRule="exact"/>
        <w:ind w:firstLine="480" w:firstLineChars="200"/>
        <w:rPr>
          <w:rFonts w:ascii="宋体" w:hAnsi="宋体" w:cs="宋体"/>
          <w:color w:val="auto"/>
          <w:sz w:val="24"/>
          <w:highlight w:val="none"/>
        </w:rPr>
      </w:pPr>
      <w:bookmarkStart w:id="53" w:name="_Toc21397"/>
      <w:r>
        <w:rPr>
          <w:rFonts w:hint="eastAsia" w:ascii="宋体" w:hAnsi="宋体" w:cs="宋体"/>
          <w:color w:val="auto"/>
          <w:sz w:val="24"/>
          <w:highlight w:val="none"/>
        </w:rPr>
        <w:t>除上述情况外，未享受优惠政策的投标人的，评审价=投标报价。</w:t>
      </w:r>
      <w:bookmarkEnd w:id="53"/>
    </w:p>
    <w:p w14:paraId="2451A88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（2）评审价为供应商的最后报价，评审价只是作为评审时使用。最终成交供应商的成交金额等于最后报价（如有修正，以确认修正后的最后报价为准）。</w:t>
      </w:r>
    </w:p>
    <w:p w14:paraId="0B46AC0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（3）评审价=最后报价</w:t>
      </w:r>
    </w:p>
    <w:p w14:paraId="1AC21AE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（4）以进入综合评分的最低评标报价作为评标基准价；</w:t>
      </w:r>
    </w:p>
    <w:p w14:paraId="14A361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（5）以进入评标的最低的评标报价为10分。</w:t>
      </w:r>
    </w:p>
    <w:p w14:paraId="1909604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满足磋商文件要求且磋商价格最低的磋商报价为评标基准价，其价格分为满分，其他供应商的价格分统一按照下列公式计算：</w:t>
      </w:r>
    </w:p>
    <w:p w14:paraId="51DEAEDA">
      <w:pPr>
        <w:spacing w:line="440" w:lineRule="exact"/>
        <w:ind w:firstLine="3120" w:firstLineChars="1300"/>
        <w:rPr>
          <w:rFonts w:ascii="宋体" w:hAnsi="宋体" w:cs="宋体"/>
          <w:color w:val="auto"/>
          <w:sz w:val="24"/>
          <w:highlight w:val="none"/>
        </w:rPr>
      </w:pPr>
      <w:r>
        <w:rPr>
          <w:rFonts w:hint="eastAsia" w:ascii="宋体" w:hAnsi="宋体" w:cs="宋体"/>
          <w:color w:val="auto"/>
          <w:sz w:val="24"/>
          <w:highlight w:val="none"/>
        </w:rPr>
        <w:t>投标基准价</w:t>
      </w:r>
    </w:p>
    <w:p w14:paraId="049AED1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4.75pt;margin-top:10.45pt;height:0.05pt;width:119.65pt;z-index:251664384;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KdVp1wAAAAkBAAAPAAAAAAAAAAEAIAAAACIAAABkcnMvZG93bnJldi54bWxQSwEC&#10;FAAUAAAACACHTuJAHbyeB/UBAADk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cs="宋体"/>
          <w:color w:val="auto"/>
          <w:sz w:val="24"/>
          <w:highlight w:val="none"/>
        </w:rPr>
        <w:t>磋商报价得分=                          ×10分</w:t>
      </w:r>
    </w:p>
    <w:p w14:paraId="0A5B9280">
      <w:pPr>
        <w:spacing w:line="440" w:lineRule="exact"/>
        <w:ind w:firstLine="3120" w:firstLineChars="1300"/>
        <w:rPr>
          <w:rFonts w:ascii="宋体" w:hAnsi="宋体" w:cs="宋体"/>
          <w:color w:val="auto"/>
          <w:sz w:val="24"/>
          <w:highlight w:val="none"/>
        </w:rPr>
      </w:pPr>
      <w:r>
        <w:rPr>
          <w:rFonts w:hint="eastAsia" w:ascii="宋体" w:hAnsi="宋体" w:cs="宋体"/>
          <w:color w:val="auto"/>
          <w:sz w:val="24"/>
          <w:highlight w:val="none"/>
        </w:rPr>
        <w:t>某供应商报价</w:t>
      </w:r>
    </w:p>
    <w:p w14:paraId="576E8165">
      <w:pPr>
        <w:spacing w:line="360" w:lineRule="auto"/>
        <w:ind w:firstLine="482" w:firstLineChars="200"/>
        <w:rPr>
          <w:rFonts w:ascii="宋体" w:hAnsi="宋体" w:cs="宋体"/>
          <w:b/>
          <w:color w:val="auto"/>
          <w:sz w:val="24"/>
          <w:highlight w:val="none"/>
        </w:rPr>
      </w:pPr>
      <w:bookmarkStart w:id="54" w:name="2、服务方案…………………………………………………………………………………50分"/>
      <w:bookmarkEnd w:id="54"/>
      <w:bookmarkStart w:id="55" w:name="_Toc32537"/>
      <w:r>
        <w:rPr>
          <w:rFonts w:hint="eastAsia" w:ascii="宋体" w:hAnsi="宋体" w:cs="宋体"/>
          <w:b/>
          <w:color w:val="auto"/>
          <w:sz w:val="24"/>
          <w:highlight w:val="none"/>
        </w:rPr>
        <w:t>2、技术分………………………………………………………………………满分5</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分</w:t>
      </w:r>
    </w:p>
    <w:p w14:paraId="577EEFD7">
      <w:pPr>
        <w:adjustRightInd w:val="0"/>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（1）项目实施方案（满分</w:t>
      </w:r>
      <w:r>
        <w:rPr>
          <w:rFonts w:hint="eastAsia" w:ascii="宋体" w:hAnsi="宋体" w:cs="宋体"/>
          <w:b/>
          <w:bCs/>
          <w:color w:val="auto"/>
          <w:sz w:val="24"/>
          <w:highlight w:val="none"/>
          <w:lang w:val="en-US" w:eastAsia="zh-CN"/>
        </w:rPr>
        <w:t>18</w:t>
      </w:r>
      <w:r>
        <w:rPr>
          <w:rFonts w:hint="eastAsia" w:ascii="宋体" w:hAnsi="宋体" w:cs="宋体"/>
          <w:b/>
          <w:bCs/>
          <w:color w:val="auto"/>
          <w:sz w:val="24"/>
          <w:highlight w:val="none"/>
        </w:rPr>
        <w:t>分）</w:t>
      </w:r>
    </w:p>
    <w:p w14:paraId="470BA514">
      <w:pPr>
        <w:adjustRightIn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r>
        <w:rPr>
          <w:rFonts w:hint="eastAsia" w:ascii="宋体" w:hAnsi="宋体" w:cs="宋体"/>
          <w:color w:val="auto"/>
          <w:sz w:val="24"/>
          <w:highlight w:val="none"/>
        </w:rPr>
        <w:t>所提供的服务实施方案有明确且合理的目标定位，能结合目标定位制定科学的发展规划，且能够对未来的市场化发展有专门的规划，能展现未来养老服务产品提供的丰富性、专业性等；服务内容基本对应项目目标，服务方案设计较合理，方案表述简单</w:t>
      </w:r>
      <w:r>
        <w:rPr>
          <w:rFonts w:hint="eastAsia" w:ascii="宋体" w:hAnsi="宋体" w:cs="宋体"/>
          <w:bCs/>
          <w:color w:val="auto"/>
          <w:sz w:val="24"/>
          <w:highlight w:val="none"/>
        </w:rPr>
        <w:t>。</w:t>
      </w:r>
    </w:p>
    <w:p w14:paraId="6C8898B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二档（</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分）：实施方案满足采购文件的需求，对项目实施方案进行详细说明，能够根据老人需求提供形式多样的服务内容，针对服务内容制定可行性实施方案，服务指标及内容符合项目实际需求。</w:t>
      </w:r>
    </w:p>
    <w:p w14:paraId="3BE36711">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三档（</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分）：实施方案优于采购文件的需求，对项目实施方案进行详细说明，</w:t>
      </w:r>
      <w:r>
        <w:rPr>
          <w:rFonts w:hint="eastAsia" w:ascii="宋体" w:hAnsi="宋体" w:cs="宋体"/>
          <w:color w:val="auto"/>
          <w:sz w:val="24"/>
          <w:highlight w:val="none"/>
        </w:rPr>
        <w:t>针对不同类别老人，结合老人需要，能够提供针对性、个性化的服务方案，</w:t>
      </w:r>
      <w:r>
        <w:rPr>
          <w:rFonts w:hint="eastAsia" w:ascii="宋体" w:hAnsi="宋体" w:cs="宋体"/>
          <w:bCs/>
          <w:color w:val="auto"/>
          <w:sz w:val="24"/>
          <w:highlight w:val="none"/>
        </w:rPr>
        <w:t>在实施方案中有详细的说明及对社会服务工作内容有详细的描述，</w:t>
      </w:r>
      <w:r>
        <w:rPr>
          <w:rFonts w:hint="eastAsia" w:ascii="宋体" w:hAnsi="宋体" w:cs="宋体"/>
          <w:color w:val="auto"/>
          <w:sz w:val="24"/>
          <w:highlight w:val="none"/>
        </w:rPr>
        <w:t>有可行性较高的针对性举措，服务方案设计详细、严密，</w:t>
      </w:r>
      <w:r>
        <w:rPr>
          <w:rFonts w:hint="eastAsia" w:ascii="宋体" w:hAnsi="宋体" w:cs="宋体"/>
          <w:bCs/>
          <w:color w:val="auto"/>
          <w:sz w:val="24"/>
          <w:highlight w:val="none"/>
        </w:rPr>
        <w:t>在实施方案中人员工作管理、服务过程管理、服务质量管理较好，以及能在人员、车辆、办公场所等保障方面提供服务的。</w:t>
      </w:r>
    </w:p>
    <w:p w14:paraId="67FFB2B6">
      <w:pPr>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（2）规章管理制度（满分17分）</w:t>
      </w:r>
    </w:p>
    <w:p w14:paraId="03AF5BE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针对本项目制定相应的服务管理制度，包含岗位责任制度、日常运作管理制度及标准、服务质量管理制度、服务反馈制度、服务人员考核奖惩、服务承诺制度、服务对象档案管理制度、工作人员守则以及保密制度，投诉处理办法等内容。</w:t>
      </w:r>
    </w:p>
    <w:p w14:paraId="052EBA1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一档（5分）：管理制度不够全面、管理机构设置简单，基本能满足项目服务开展。</w:t>
      </w:r>
    </w:p>
    <w:p w14:paraId="6E72387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11分）：管理机构设置合理，有较完善管理制度(包含日常运作管理制度及标准，管理人员、服务人员考核、奖惩及培训制度，保密制度，投诉处理办法等)，均具备一定的可操作性，提供相应管理、考核等表单。</w:t>
      </w:r>
    </w:p>
    <w:p w14:paraId="4036A95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三档（17分）：管理机构设置科学，有完善健全的管理制度(包含岗位责任制度，日常运作管理制度及标准，管理人员、服务人员考核、奖惩及培训制度，保密制度，投诉处理办法等)，均有较强的可操作性，提供相应管理、考核等表单且表单内容完善、有针对性。</w:t>
      </w:r>
    </w:p>
    <w:p w14:paraId="6CCC656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（3）安全服务应急预案（满分17分）</w:t>
      </w:r>
    </w:p>
    <w:p w14:paraId="58BB695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针对本项目制定安全服务预防措施及突发事件应急预案（内容包括但不限于在服务过程中老人出现意外情况的应对方案、服务人员出现意外情况的应对方案、紧急服务、食品安全卫生事件、以及突发公共卫生事件的应对方案等），保证在日常运行及突发事件中正常运行。</w:t>
      </w:r>
    </w:p>
    <w:p w14:paraId="309344E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一档（5分）：拟定的安全服务预防措施及应急预案简单，安全服务预防、紧急情况应对能力显不足；</w:t>
      </w:r>
    </w:p>
    <w:p w14:paraId="67A8872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二档（11分）：拟定的安全服务预防措施及应急预案详细，考虑较周全，较符合本项目实际，具备较强针对性及可操作性；</w:t>
      </w:r>
    </w:p>
    <w:p w14:paraId="43963B4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三档（17分）：拟定的安全服务预防措施及应急预案切合项目实际，措施得力、方案详实完善且针对性、可操作强；对采购人组织的居家养老相关活动有相应工作安排，在发生突发事件时，能快速调配力量作妥善处理。</w:t>
      </w:r>
    </w:p>
    <w:p w14:paraId="511FB216">
      <w:pPr>
        <w:spacing w:line="360" w:lineRule="auto"/>
        <w:ind w:firstLine="482" w:firstLineChars="200"/>
        <w:rPr>
          <w:rFonts w:ascii="宋体" w:hAnsi="宋体" w:cs="宋体"/>
          <w:b/>
          <w:bCs/>
          <w:color w:val="auto"/>
          <w:sz w:val="24"/>
          <w:highlight w:val="none"/>
        </w:rPr>
      </w:pPr>
      <w:bookmarkStart w:id="56" w:name="OLE_LINK2"/>
      <w:r>
        <w:rPr>
          <w:rFonts w:hint="eastAsia" w:ascii="宋体" w:hAnsi="宋体" w:cs="宋体"/>
          <w:b/>
          <w:bCs/>
          <w:color w:val="auto"/>
          <w:sz w:val="24"/>
          <w:highlight w:val="none"/>
        </w:rPr>
        <w:t>3、人员配置</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分</w:t>
      </w:r>
    </w:p>
    <w:bookmarkEnd w:id="56"/>
    <w:p w14:paraId="576E19F2">
      <w:pPr>
        <w:pStyle w:val="27"/>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（1）项目负责人（满分</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分）</w:t>
      </w:r>
    </w:p>
    <w:p w14:paraId="6B76036C">
      <w:pPr>
        <w:pStyle w:val="18"/>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①项目负责人具有本科及以上学历；</w:t>
      </w:r>
      <w:bookmarkStart w:id="61" w:name="_GoBack"/>
      <w:bookmarkEnd w:id="61"/>
      <w:r>
        <w:rPr>
          <w:rFonts w:hint="eastAsia" w:ascii="宋体" w:hAnsi="宋体" w:eastAsia="宋体" w:cs="宋体"/>
          <w:bCs/>
          <w:color w:val="auto"/>
          <w:kern w:val="2"/>
          <w:sz w:val="24"/>
          <w:szCs w:val="24"/>
          <w:highlight w:val="none"/>
          <w:lang w:val="en-US" w:eastAsia="zh-CN" w:bidi="ar-SA"/>
        </w:rPr>
        <w:t>②具有有效中级及以上社会工作师证书；③有效高级及以上养老护理员证书；④有效消防设施操作员证书；每满足一项得1分，满分4分。</w:t>
      </w:r>
    </w:p>
    <w:p w14:paraId="4E30EC4A">
      <w:pPr>
        <w:pStyle w:val="18"/>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（提供身份证正反面、毕业证书、相关职业资格证书扫描件加盖公章，未提供或提供不全不得分）</w:t>
      </w:r>
    </w:p>
    <w:p w14:paraId="35C377D6">
      <w:pPr>
        <w:spacing w:line="360" w:lineRule="auto"/>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（2）专业技术人员（不含项目负责人）（满分8分）</w:t>
      </w:r>
    </w:p>
    <w:p w14:paraId="06FACE74">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①</w:t>
      </w:r>
      <w:r>
        <w:rPr>
          <w:rFonts w:hint="eastAsia" w:ascii="宋体" w:hAnsi="宋体" w:cs="宋体"/>
          <w:b w:val="0"/>
          <w:bCs/>
          <w:color w:val="auto"/>
          <w:sz w:val="24"/>
          <w:highlight w:val="none"/>
        </w:rPr>
        <w:t>具有副主任医师或医学副高级及以上职称，每提供一个得1分，满分2分。</w:t>
      </w:r>
    </w:p>
    <w:p w14:paraId="60F5F2CB">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②</w:t>
      </w:r>
      <w:r>
        <w:rPr>
          <w:rFonts w:hint="eastAsia" w:ascii="宋体" w:hAnsi="宋体" w:cs="宋体"/>
          <w:b w:val="0"/>
          <w:bCs/>
          <w:color w:val="auto"/>
          <w:sz w:val="24"/>
          <w:highlight w:val="none"/>
        </w:rPr>
        <w:t>具有助理社会工作师及以上证书，每提供一个得1分，满分3分。</w:t>
      </w:r>
    </w:p>
    <w:p w14:paraId="3E1058AB">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③</w:t>
      </w:r>
      <w:r>
        <w:rPr>
          <w:rFonts w:hint="eastAsia" w:ascii="宋体" w:hAnsi="宋体" w:cs="宋体"/>
          <w:b w:val="0"/>
          <w:bCs/>
          <w:color w:val="auto"/>
          <w:sz w:val="24"/>
          <w:highlight w:val="none"/>
        </w:rPr>
        <w:t>获得老年人能力等级评估员培训合格证书</w:t>
      </w:r>
      <w:r>
        <w:rPr>
          <w:rFonts w:hint="eastAsia" w:ascii="宋体" w:hAnsi="宋体" w:cs="宋体"/>
          <w:b w:val="0"/>
          <w:bCs/>
          <w:color w:val="auto"/>
          <w:sz w:val="24"/>
          <w:highlight w:val="none"/>
          <w:lang w:val="en-US" w:eastAsia="zh-CN"/>
        </w:rPr>
        <w:t>或老年人能力评估师职业证书</w:t>
      </w:r>
      <w:r>
        <w:rPr>
          <w:rFonts w:hint="eastAsia" w:ascii="宋体" w:hAnsi="宋体" w:cs="宋体"/>
          <w:b w:val="0"/>
          <w:bCs/>
          <w:color w:val="auto"/>
          <w:sz w:val="24"/>
          <w:highlight w:val="none"/>
        </w:rPr>
        <w:t>，每提供一个得1分，满分3分。（提供以上1-3项人员身份证正反面及相关职业资格证书或培训合格证书扫描件加盖公章，未提供或提供不全不得分）</w:t>
      </w:r>
    </w:p>
    <w:p w14:paraId="2F2D9B2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3、服务承诺分……………</w:t>
      </w:r>
      <w:bookmarkStart w:id="57" w:name="OLE_LINK3"/>
      <w:r>
        <w:rPr>
          <w:rFonts w:hint="eastAsia" w:ascii="宋体" w:hAnsi="宋体" w:cs="宋体"/>
          <w:b/>
          <w:color w:val="auto"/>
          <w:sz w:val="24"/>
          <w:highlight w:val="none"/>
        </w:rPr>
        <w:t>…………</w:t>
      </w:r>
      <w:bookmarkEnd w:id="57"/>
      <w:r>
        <w:rPr>
          <w:rFonts w:hint="eastAsia" w:ascii="宋体" w:hAnsi="宋体" w:cs="宋体"/>
          <w:b/>
          <w:color w:val="auto"/>
          <w:sz w:val="24"/>
          <w:highlight w:val="none"/>
        </w:rPr>
        <w:t>…………………………………………满分20分</w:t>
      </w:r>
    </w:p>
    <w:p w14:paraId="69205911">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根据服务项目提供服务承诺书，对服务计划、服务质量、服务完成率、服务满意率等内容综合评定。</w:t>
      </w:r>
    </w:p>
    <w:p w14:paraId="0CC04A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一档（6分）：服务承诺简单，服务承诺内容、服务保证措施简单、各服务环节措施不明确；</w:t>
      </w:r>
    </w:p>
    <w:p w14:paraId="059E24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档（12分）：服务承诺完整，内容详细，服务保证措施基本完整，根据采购需求提供有服务质量及成果完成时间承诺，有基本的服务流程说明，可行性强，承诺服务期间出现问题时迅速响应并在业主要求的时间内派本项目专职代表与业主对接，主动解决问题；</w:t>
      </w:r>
    </w:p>
    <w:p w14:paraId="22F471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档（20分）：服务承诺表述清晰、完整、严谨、服务保证措施全面、合理、有效、成熟，对本项目有正确深刻理解与认识、服务计划、措施、跟踪服务完善，服务工作安排详细具体，针对性强，有较好的服务流程说明、应急预案，方案良好、可执行性高。能及时提供售后服务的。</w:t>
      </w:r>
    </w:p>
    <w:p w14:paraId="6754A5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4、业绩分…………………………………………………………………………满分6分</w:t>
      </w:r>
    </w:p>
    <w:p w14:paraId="294773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供应商2022年1月1日以来具有养老服务项目业绩的，每提供一项得2分，满分6分；（提供中标通知书及采购合同</w:t>
      </w:r>
      <w:r>
        <w:rPr>
          <w:rFonts w:hint="eastAsia" w:ascii="宋体" w:hAnsi="宋体" w:cs="宋体"/>
          <w:bCs/>
          <w:color w:val="auto"/>
          <w:sz w:val="24"/>
          <w:highlight w:val="none"/>
        </w:rPr>
        <w:t>彩色扫描件加盖公</w:t>
      </w:r>
      <w:r>
        <w:rPr>
          <w:rFonts w:hint="eastAsia" w:ascii="宋体" w:hAnsi="宋体" w:cs="宋体"/>
          <w:color w:val="auto"/>
          <w:sz w:val="24"/>
          <w:highlight w:val="none"/>
        </w:rPr>
        <w:t>章。合同要求体现签订双方名称、采购内容、签订日期、签订双方盖章）。</w:t>
      </w:r>
    </w:p>
    <w:bookmarkEnd w:id="55"/>
    <w:p w14:paraId="6914E9F5">
      <w:pPr>
        <w:pStyle w:val="27"/>
        <w:spacing w:line="360" w:lineRule="auto"/>
        <w:ind w:firstLine="482" w:firstLineChars="200"/>
        <w:textAlignment w:val="baseline"/>
        <w:rPr>
          <w:rFonts w:hAnsi="宋体" w:cs="宋体"/>
          <w:b/>
          <w:bCs/>
          <w:color w:val="auto"/>
          <w:sz w:val="24"/>
          <w:szCs w:val="24"/>
          <w:highlight w:val="none"/>
        </w:rPr>
      </w:pPr>
      <w:bookmarkStart w:id="58" w:name="_Toc20537"/>
      <w:r>
        <w:rPr>
          <w:rFonts w:hint="eastAsia" w:hAnsi="宋体" w:cs="宋体"/>
          <w:b/>
          <w:bCs/>
          <w:color w:val="auto"/>
          <w:sz w:val="24"/>
          <w:szCs w:val="24"/>
          <w:highlight w:val="none"/>
        </w:rPr>
        <w:t>三、成交候选人推荐原则</w:t>
      </w:r>
      <w:bookmarkEnd w:id="58"/>
    </w:p>
    <w:p w14:paraId="0D99D8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将根据总得分由高到低排列次序并推荐3名中标候选人。得分相同的，按投标报价由低到高顺序排列。得分相同且投标报价相同的并列。投标文件满足招标文件全部实质性要求，且按照评审因素的量化指标评审得分最高的投标人为排名第一的中标候选人。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w:t>
      </w:r>
    </w:p>
    <w:p w14:paraId="5E3405F5">
      <w:pPr>
        <w:widowControl/>
        <w:jc w:val="left"/>
        <w:rPr>
          <w:rFonts w:ascii="宋体" w:hAnsi="宋体" w:cs="宋体"/>
          <w:b/>
          <w:bCs/>
          <w:color w:val="auto"/>
          <w:kern w:val="44"/>
          <w:sz w:val="30"/>
          <w:szCs w:val="44"/>
          <w:highlight w:val="none"/>
        </w:rPr>
      </w:pPr>
      <w:r>
        <w:rPr>
          <w:rFonts w:hint="eastAsia" w:ascii="宋体" w:hAnsi="宋体" w:cs="宋体"/>
          <w:color w:val="auto"/>
          <w:highlight w:val="none"/>
        </w:rPr>
        <w:br w:type="page"/>
      </w:r>
    </w:p>
    <w:p w14:paraId="013E3C3D">
      <w:pPr>
        <w:pStyle w:val="2"/>
        <w:ind w:firstLine="4216" w:firstLineChars="1400"/>
        <w:jc w:val="both"/>
        <w:rPr>
          <w:rFonts w:ascii="宋体" w:hAnsi="宋体" w:cs="宋体"/>
          <w:color w:val="auto"/>
          <w:highlight w:val="none"/>
        </w:rPr>
      </w:pPr>
      <w:r>
        <w:rPr>
          <w:rFonts w:hint="eastAsia" w:ascii="宋体" w:hAnsi="宋体" w:cs="宋体"/>
          <w:color w:val="auto"/>
          <w:highlight w:val="none"/>
        </w:rPr>
        <w:t>评标方法</w:t>
      </w:r>
    </w:p>
    <w:p w14:paraId="69DB437A">
      <w:pPr>
        <w:jc w:val="center"/>
        <w:rPr>
          <w:rFonts w:ascii="宋体" w:hAnsi="宋体" w:cs="宋体"/>
          <w:color w:val="auto"/>
          <w:highlight w:val="none"/>
        </w:rPr>
      </w:pPr>
      <w:r>
        <w:rPr>
          <w:rFonts w:hint="eastAsia" w:ascii="宋体" w:hAnsi="宋体" w:cs="宋体"/>
          <w:color w:val="auto"/>
          <w:sz w:val="24"/>
          <w:highlight w:val="none"/>
        </w:rPr>
        <w:t>（C分标适用）</w:t>
      </w:r>
    </w:p>
    <w:p w14:paraId="064A5CB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一、磋商原则</w:t>
      </w:r>
    </w:p>
    <w:p w14:paraId="41D120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根据磋商项目的特点组建由三人以上（含三人）的单数组成的磋商小组，小组成员由采购人代表和有关专家组成，其中专家人数不少于成员总数的三分之二。在整个磋商过程中，磋商小组将负责对全部磋商文件进行审查、磋商及评标工作。</w:t>
      </w:r>
    </w:p>
    <w:p w14:paraId="34A868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2、综合评分法磋商依据：“磋商小组”将以磋商文件、响应文件为磋商依据，对供应商的报价、技术、商务方面内容进行评审，按百分制打分。</w:t>
      </w:r>
    </w:p>
    <w:p w14:paraId="47F646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3、磋商方式：以封闭方式进行磋商。磋商全过程中不允许供应商与“磋商小组”之间有可能影响到评审结果公正性的会面与谈话，以体现公平、公正的基本原则。</w:t>
      </w:r>
    </w:p>
    <w:p w14:paraId="4B96AB3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二、评标办法</w:t>
      </w:r>
    </w:p>
    <w:p w14:paraId="204B20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（一）磋商小组对通过资格审查和符合性鉴定的响应文件的报价、技术及商务文件要按照招标文件独立打分（按四舍五入取至百分位）：</w:t>
      </w:r>
    </w:p>
    <w:p w14:paraId="48B397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（二）评分细则：（按四舍五入取至小数点后二位）</w:t>
      </w:r>
    </w:p>
    <w:p w14:paraId="7A493B2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1、价格分……………………………………………………………………………10分</w:t>
      </w:r>
    </w:p>
    <w:p w14:paraId="42C5D75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按照《关于进一步加大政府采购支持中小企业力度的通知》（财库〔2022〕19号）的规定，投标人认定为小型和微型企业的（以投标文件提供的符合规定的有关证明材料为准），对投标报价给予10%的扣除，扣除后的价格为评审价，即评审价=投标报价×（1-10%）；大中型企业与小型、微型企业组成联合体投标，其中小型、微型企业的协议合同金额占到联合体协议合同总金额30%以上的，联合体投标报价给予3%的扣除，扣除后的价格为评审价，即评审价=投标报价×（1-3%）；</w:t>
      </w:r>
    </w:p>
    <w:p w14:paraId="755E192C">
      <w:pPr>
        <w:pStyle w:val="27"/>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根据《财政部民政部中国残疾人联合会关于促进残疾人就业政府采购政策的通知》（财库[2017]141号）的规定，投标产品提供企业认定为残疾人福利性单位的，按在政府采购活动中，残疾人福利性单位视同小型、微型企业。残疾人福利性单位参加政府采购活动时，应当提供《残疾人福利性单位声明函》，否则不予价格扣除。残疾人福利性单位属于小型、微型企业的，不重复享受政策。</w:t>
      </w:r>
    </w:p>
    <w:p w14:paraId="24F9A182">
      <w:pPr>
        <w:pStyle w:val="27"/>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根据《</w:t>
      </w:r>
      <w:r>
        <w:rPr>
          <w:color w:val="auto"/>
          <w:highlight w:val="none"/>
        </w:rPr>
        <w:fldChar w:fldCharType="begin"/>
      </w:r>
      <w:r>
        <w:rPr>
          <w:color w:val="auto"/>
          <w:highlight w:val="none"/>
        </w:rPr>
        <w:instrText xml:space="preserve"> HYPERLINK "https://www.baidu.com/link?url=Z_2S3RpAo1swxH_g9QA8q3nJL62SEYOQkDGvSRK-BOAGRLR4iS4R7qCP2zMJ2R62fI1np2vQH2jYGIhPyGxBn9CTMhji2MVcWkIviC0Co7O&amp;wd=&amp;eqid=ecfe52eb00038c39000000055600de44" \t "_blank" </w:instrText>
      </w:r>
      <w:r>
        <w:rPr>
          <w:color w:val="auto"/>
          <w:highlight w:val="none"/>
        </w:rPr>
        <w:fldChar w:fldCharType="separate"/>
      </w:r>
      <w:r>
        <w:rPr>
          <w:rStyle w:val="60"/>
          <w:rFonts w:hint="eastAsia" w:hAnsi="宋体" w:cs="宋体"/>
          <w:color w:val="auto"/>
          <w:sz w:val="24"/>
          <w:szCs w:val="24"/>
          <w:highlight w:val="none"/>
        </w:rPr>
        <w:t>政府采购货物和服务招标投标管理办法</w:t>
      </w:r>
      <w:r>
        <w:rPr>
          <w:rStyle w:val="60"/>
          <w:rFonts w:hint="eastAsia" w:hAnsi="宋体" w:cs="宋体"/>
          <w:color w:val="auto"/>
          <w:sz w:val="24"/>
          <w:szCs w:val="24"/>
          <w:highlight w:val="none"/>
        </w:rPr>
        <w:fldChar w:fldCharType="end"/>
      </w:r>
      <w:r>
        <w:rPr>
          <w:rFonts w:hint="eastAsia" w:hAnsi="宋体" w:cs="宋体"/>
          <w:bCs/>
          <w:color w:val="auto"/>
          <w:sz w:val="24"/>
          <w:szCs w:val="24"/>
          <w:highlight w:val="none"/>
        </w:rPr>
        <w:t>》（第87号令）第六十条的规定，为防止有可能影响产品质量或者不能诚信履约，评标委员会认为投标人的报价明显低于其他通过符合性审查投标人的报价，应当要求其在评标现场合理的时间内提供书面说明，必要时提交相关证明材料；投标人不能证明其报价合理性的，评标委员会应当将其作为无效投标处理。</w:t>
      </w:r>
    </w:p>
    <w:p w14:paraId="768B4B1A">
      <w:pPr>
        <w:pStyle w:val="27"/>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根据财政部、司法部《关于政府采购支持监狱企业发展有关问题的通知》(财库[2014]68号)的规定，投标产品提供企业认定为监狱企业的，按在政府采购活动中，监狱企业视同小型、微型企业。监狱企业参加政府采购活动时，应当提供由省级以上监狱管理局、戒毒管理局(含新疆生产建设兵团)出具的属于监狱企业的证明文件。</w:t>
      </w:r>
    </w:p>
    <w:p w14:paraId="77130D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除上述情况外，未享受优惠政策的投标人的，评审价=投标报价。</w:t>
      </w:r>
    </w:p>
    <w:p w14:paraId="721F0E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（2）评审价为供应商的最后报价，评审价只是作为评审时使用。最终成交供应商的成交金额等于最后报价（如有修正，以确认修正后的最后报价为准）。</w:t>
      </w:r>
    </w:p>
    <w:p w14:paraId="374F3C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（3）评审价=最后报价</w:t>
      </w:r>
    </w:p>
    <w:p w14:paraId="301E2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（4）以进入综合评分的最低评标报价作为评标基准价；</w:t>
      </w:r>
    </w:p>
    <w:p w14:paraId="11C181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（5）以进入评标的最低的评标报价为10分。</w:t>
      </w:r>
    </w:p>
    <w:p w14:paraId="279E51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满足磋商文件要求且磋商价格最低的磋商报价为评标基准价，其价格分为满分，其他供应商的价格分统一按照下列公式计算：</w:t>
      </w:r>
    </w:p>
    <w:p w14:paraId="7C3288C9">
      <w:pPr>
        <w:spacing w:line="440" w:lineRule="exact"/>
        <w:ind w:firstLine="3120" w:firstLineChars="1300"/>
        <w:rPr>
          <w:rFonts w:ascii="宋体" w:hAnsi="宋体" w:cs="宋体"/>
          <w:color w:val="auto"/>
          <w:sz w:val="24"/>
          <w:highlight w:val="none"/>
        </w:rPr>
      </w:pPr>
      <w:r>
        <w:rPr>
          <w:rFonts w:hint="eastAsia" w:ascii="宋体" w:hAnsi="宋体" w:cs="宋体"/>
          <w:color w:val="auto"/>
          <w:sz w:val="24"/>
          <w:highlight w:val="none"/>
        </w:rPr>
        <w:t>投标基准价</w:t>
      </w:r>
    </w:p>
    <w:p w14:paraId="073A024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4.75pt;margin-top:10.45pt;height:0.05pt;width:119.65pt;z-index:251666432;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inVadcAAAAJAQAADwAAAAAAAAABACAAAAAiAAAAZHJzL2Rvd25yZXYueG1sUEsBAhQA&#10;FAAAAAgAh07iQBJCv7TzAQAA5AMAAA4AAAAAAAAAAQAgAAAAJgEAAGRycy9lMm9Eb2MueG1sUEsF&#10;BgAAAAAGAAYAWQEAAIsFAAAAAA==&#10;">
                <v:fill on="f" focussize="0,0"/>
                <v:stroke color="#000000" joinstyle="round"/>
                <v:imagedata o:title=""/>
                <o:lock v:ext="edit" aspectratio="f"/>
              </v:line>
            </w:pict>
          </mc:Fallback>
        </mc:AlternateContent>
      </w:r>
      <w:r>
        <w:rPr>
          <w:rFonts w:hint="eastAsia" w:ascii="宋体" w:hAnsi="宋体" w:cs="宋体"/>
          <w:color w:val="auto"/>
          <w:sz w:val="24"/>
          <w:highlight w:val="none"/>
        </w:rPr>
        <w:t>磋商报价得分=                         ×10分</w:t>
      </w:r>
    </w:p>
    <w:p w14:paraId="58D08397">
      <w:pPr>
        <w:spacing w:line="440" w:lineRule="exact"/>
        <w:ind w:firstLine="3120" w:firstLineChars="1300"/>
        <w:rPr>
          <w:rFonts w:ascii="宋体" w:hAnsi="宋体" w:cs="宋体"/>
          <w:color w:val="auto"/>
          <w:sz w:val="24"/>
          <w:highlight w:val="none"/>
        </w:rPr>
      </w:pPr>
      <w:r>
        <w:rPr>
          <w:rFonts w:hint="eastAsia" w:ascii="宋体" w:hAnsi="宋体" w:cs="宋体"/>
          <w:color w:val="auto"/>
          <w:sz w:val="24"/>
          <w:highlight w:val="none"/>
        </w:rPr>
        <w:t>某供应商报价</w:t>
      </w:r>
    </w:p>
    <w:p w14:paraId="6F85317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2、技术分………………………………………………………………………满分63分</w:t>
      </w:r>
    </w:p>
    <w:p w14:paraId="70B9DD8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（1）项目实施组织能力（满分21分）</w:t>
      </w:r>
    </w:p>
    <w:p w14:paraId="679B814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一档（7分）：供应商提供的项目组织实施方案内容简单，方案不够切合实际，基本能满足项目需求。</w:t>
      </w:r>
    </w:p>
    <w:p w14:paraId="6B46D43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二档（14分）：供应商提供的项目组织实施方案有基本的施工进度计划和工期保证措施，有基本的安全控制措施及实施质量控制保证方案，施工安装方案中含有各系统的基本描述的。</w:t>
      </w:r>
    </w:p>
    <w:p w14:paraId="2B93829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三档（21分）：供应商提供的项目组织实施方案有完善的施工进度计划和工期保证措施；有完善的安全控制措施及实施质量控制方案，具有工程项目安全管理，实施质量保证措施及质量管理程序，提供相关施工安装方案，能提前完工及具有赶工计划，内容齐全、详细、可行，最贴合采购人实际需求，实施人员较为充足。</w:t>
      </w:r>
    </w:p>
    <w:p w14:paraId="7C157797">
      <w:pPr>
        <w:spacing w:line="360" w:lineRule="auto"/>
        <w:ind w:firstLine="482" w:firstLineChars="200"/>
        <w:rPr>
          <w:rFonts w:ascii="宋体" w:hAnsi="宋体" w:cs="宋体"/>
          <w:color w:val="auto"/>
          <w:highlight w:val="none"/>
        </w:rPr>
      </w:pPr>
      <w:r>
        <w:rPr>
          <w:rFonts w:hint="eastAsia" w:ascii="宋体" w:hAnsi="宋体" w:cs="宋体"/>
          <w:b/>
          <w:color w:val="auto"/>
          <w:sz w:val="24"/>
          <w:highlight w:val="none"/>
        </w:rPr>
        <w:t>（2）改造施工方案（满分21分）</w:t>
      </w:r>
    </w:p>
    <w:p w14:paraId="28FE021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7分）：编制改造施工方案，正确分析施工前、施工过程、施工后主要工作内容，进度计划，施工机具、人员、材料的进退场计划及工时安排，安装进度，监督检查等。提供经采购人签字确认的承诺函，承诺严格按照采购人审定的评估方案施工，编制各项预防违规操作、偷工减料等不良行为的措施。</w:t>
      </w:r>
    </w:p>
    <w:p w14:paraId="1C743CA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二档（14分）：在满足上一档的基础上，整体方案关联紧密，标准化强，可行性强。根据制定的入户适老化改造项目和老年用品配置推荐清单的内容，详细描述家庭各场所改造方式的做法和理由。</w:t>
      </w:r>
    </w:p>
    <w:p w14:paraId="404E7E98">
      <w:pPr>
        <w:spacing w:line="360" w:lineRule="auto"/>
        <w:ind w:firstLine="480" w:firstLineChars="200"/>
        <w:rPr>
          <w:rFonts w:ascii="宋体" w:hAnsi="宋体" w:cs="宋体"/>
          <w:b/>
          <w:bCs/>
          <w:color w:val="auto"/>
          <w:sz w:val="24"/>
          <w:highlight w:val="none"/>
        </w:rPr>
      </w:pPr>
      <w:r>
        <w:rPr>
          <w:rFonts w:hint="eastAsia" w:ascii="宋体" w:hAnsi="宋体" w:cs="宋体"/>
          <w:bCs/>
          <w:color w:val="auto"/>
          <w:sz w:val="24"/>
          <w:highlight w:val="none"/>
        </w:rPr>
        <w:t>三档（21分）：在满足上一档的基础上，编制有针对困难老人家庭的安全和文明施工方案，用水用电的安全措施，质量检查措施和整改措施，项目验收措施等。正确分析入户改造施工过程中可能出现的紧急情况并编制针对性解决方案。</w:t>
      </w:r>
      <w:bookmarkStart w:id="59" w:name="OLE_LINK6"/>
      <w:r>
        <w:rPr>
          <w:rFonts w:hint="eastAsia" w:ascii="宋体" w:hAnsi="宋体" w:cs="宋体"/>
          <w:bCs/>
          <w:color w:val="auto"/>
          <w:sz w:val="24"/>
          <w:highlight w:val="none"/>
        </w:rPr>
        <w:t>对产品使用有培训教程或方案；有反映改造情况的“明白卡”布设方案</w:t>
      </w:r>
      <w:bookmarkEnd w:id="59"/>
      <w:r>
        <w:rPr>
          <w:rFonts w:hint="eastAsia" w:ascii="宋体" w:hAnsi="宋体" w:cs="宋体"/>
          <w:bCs/>
          <w:color w:val="auto"/>
          <w:sz w:val="24"/>
          <w:highlight w:val="none"/>
        </w:rPr>
        <w:t>。</w:t>
      </w:r>
    </w:p>
    <w:p w14:paraId="1EE66ED4">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（3）家庭床位建设数据集成服务及应用的建设方案分（满分21分）</w:t>
      </w:r>
    </w:p>
    <w:p w14:paraId="71DCF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由评委根据供应商的技术方案优劣独立打分，以下各项以得分最高的计分，不重复得分，不能达到一档要求的得0分。</w:t>
      </w:r>
    </w:p>
    <w:p w14:paraId="476B0B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一档（3分）：建设设计原则、建设策略、总体目标与建设方式基本可行，满足项目要求；</w:t>
      </w:r>
    </w:p>
    <w:p w14:paraId="35616C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二档（9分）：建设方案总体架构设计、关键技术应用、总体性能设计、总体安全设计合理性、科学性一般的，技术方案论述基本全面，功能配置基本齐全，方案基本满足本次项目要求；</w:t>
      </w:r>
    </w:p>
    <w:p w14:paraId="32F26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档（15分）：建设方案、建设方式有详细的描述，对项目有深刻认识、理解，方案设计很好符合实际情况，各项设计考虑周全，总体性能设计、总体安全设计、系统界面设计的合理性、科学性较好的，技术方案论述详细全面，功能配置齐全，方案较好满足本次项目要求；</w:t>
      </w:r>
    </w:p>
    <w:p w14:paraId="2026AB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档（21分）：建设方案、建设方式有详细的描述，对项目有深刻认识、理解，方案设计很好符合实际情况，各项设计考虑周全，方案整体性、可靠性、先进性、兼容性优秀；建设方案架构设计、关键技术应用、总体性能设计、总体安全设计、功能配置齐全，方案满足本次项目要求。</w:t>
      </w:r>
    </w:p>
    <w:p w14:paraId="6802C5C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3、人员配置</w:t>
      </w:r>
      <w:r>
        <w:rPr>
          <w:rFonts w:hint="eastAsia" w:ascii="宋体" w:hAnsi="宋体" w:cs="宋体"/>
          <w:b/>
          <w:color w:val="auto"/>
          <w:sz w:val="24"/>
          <w:highlight w:val="none"/>
        </w:rPr>
        <w:t>………………………………………………………………………满分7分</w:t>
      </w:r>
    </w:p>
    <w:p w14:paraId="318BC55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（1）项目负责人（满分2分）</w:t>
      </w:r>
    </w:p>
    <w:p w14:paraId="4AB9C20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项目负责人具有全日制本科及以上学历</w:t>
      </w:r>
      <w:r>
        <w:rPr>
          <w:rFonts w:hint="eastAsia" w:ascii="宋体" w:hAnsi="宋体" w:cs="宋体"/>
          <w:bCs/>
          <w:color w:val="auto"/>
          <w:sz w:val="24"/>
          <w:highlight w:val="none"/>
          <w:lang w:eastAsia="zh-CN"/>
        </w:rPr>
        <w:t>的</w:t>
      </w:r>
      <w:r>
        <w:rPr>
          <w:rFonts w:hint="eastAsia" w:ascii="宋体" w:hAnsi="宋体" w:cs="宋体"/>
          <w:bCs/>
          <w:color w:val="auto"/>
          <w:sz w:val="24"/>
          <w:highlight w:val="none"/>
        </w:rPr>
        <w:t>得2分，满分2分。（提供身份证正反面、毕业证书等相关证书（提供彩色扫描件加盖公章，未提供或提供不全不得分）。</w:t>
      </w:r>
    </w:p>
    <w:p w14:paraId="52014C7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hAnsi="宋体" w:cs="宋体"/>
          <w:b/>
          <w:color w:val="auto"/>
          <w:sz w:val="24"/>
          <w:highlight w:val="none"/>
        </w:rPr>
        <w:t>技术负责人</w:t>
      </w:r>
      <w:r>
        <w:rPr>
          <w:rFonts w:hint="eastAsia" w:ascii="宋体" w:hAnsi="宋体" w:cs="宋体"/>
          <w:b/>
          <w:color w:val="auto"/>
          <w:sz w:val="24"/>
          <w:highlight w:val="none"/>
        </w:rPr>
        <w:t>（满分3分）</w:t>
      </w:r>
    </w:p>
    <w:p w14:paraId="1FF241F1">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①</w:t>
      </w:r>
      <w:r>
        <w:rPr>
          <w:rFonts w:hint="eastAsia" w:ascii="宋体" w:hAnsi="宋体" w:cs="宋体"/>
          <w:bCs/>
          <w:color w:val="auto"/>
          <w:sz w:val="24"/>
          <w:highlight w:val="none"/>
        </w:rPr>
        <w:t>技术负责人具有全日制本科及以上学历；</w:t>
      </w:r>
      <w:r>
        <w:rPr>
          <w:rFonts w:hint="eastAsia" w:ascii="宋体" w:hAnsi="宋体" w:cs="宋体"/>
          <w:bCs/>
          <w:color w:val="auto"/>
          <w:sz w:val="24"/>
          <w:highlight w:val="none"/>
          <w:lang w:val="en-US" w:eastAsia="zh-CN"/>
        </w:rPr>
        <w:t>②</w:t>
      </w:r>
      <w:r>
        <w:rPr>
          <w:rFonts w:hint="eastAsia" w:ascii="宋体" w:hAnsi="宋体" w:cs="宋体"/>
          <w:bCs/>
          <w:color w:val="auto"/>
          <w:sz w:val="24"/>
          <w:highlight w:val="none"/>
        </w:rPr>
        <w:t>有效中级及以上社会工作师证书；</w:t>
      </w:r>
      <w:r>
        <w:rPr>
          <w:rFonts w:hint="eastAsia" w:ascii="宋体" w:hAnsi="宋体" w:cs="宋体"/>
          <w:bCs/>
          <w:color w:val="auto"/>
          <w:sz w:val="24"/>
          <w:highlight w:val="none"/>
          <w:lang w:val="en-US" w:eastAsia="zh-CN"/>
        </w:rPr>
        <w:t>③</w:t>
      </w:r>
      <w:r>
        <w:rPr>
          <w:rFonts w:hint="eastAsia" w:ascii="宋体" w:hAnsi="宋体" w:cs="宋体"/>
          <w:bCs/>
          <w:color w:val="auto"/>
          <w:sz w:val="24"/>
          <w:highlight w:val="none"/>
        </w:rPr>
        <w:t>有效助理及以上工程师证书；每满足一项得1分，满分3分。（提供身份证正反面、毕业证书及职业证书（提供的证书需由民政部、人力资源和社会保障部门等国家认可部门或职业技能鉴定相关机构颁发）彩色扫描件加盖公章，未提供或提供不全不得分）。</w:t>
      </w:r>
    </w:p>
    <w:p w14:paraId="78B0F04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hAnsi="宋体" w:cs="宋体"/>
          <w:b/>
          <w:color w:val="auto"/>
          <w:sz w:val="24"/>
          <w:highlight w:val="none"/>
        </w:rPr>
        <w:t>专业技术人员（不含项目负责人及技术负责人）</w:t>
      </w:r>
      <w:r>
        <w:rPr>
          <w:rFonts w:hint="eastAsia" w:ascii="宋体" w:hAnsi="宋体" w:cs="宋体"/>
          <w:b/>
          <w:color w:val="auto"/>
          <w:sz w:val="24"/>
          <w:highlight w:val="none"/>
        </w:rPr>
        <w:t>（满分2分）</w:t>
      </w:r>
    </w:p>
    <w:p w14:paraId="511284B3">
      <w:pPr>
        <w:pStyle w:val="27"/>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具有初级及以上</w:t>
      </w:r>
      <w:r>
        <w:rPr>
          <w:rFonts w:hint="eastAsia" w:ascii="宋体" w:hAnsi="宋体" w:cs="宋体"/>
          <w:b w:val="0"/>
          <w:bCs/>
          <w:color w:val="auto"/>
          <w:sz w:val="24"/>
          <w:highlight w:val="none"/>
          <w:lang w:val="en-US" w:eastAsia="zh-CN"/>
        </w:rPr>
        <w:t>老年人能力评估师职业证书</w:t>
      </w:r>
      <w:r>
        <w:rPr>
          <w:rFonts w:hint="eastAsia" w:hAnsi="宋体" w:cs="宋体"/>
          <w:bCs/>
          <w:color w:val="auto"/>
          <w:sz w:val="24"/>
          <w:szCs w:val="24"/>
          <w:highlight w:val="none"/>
        </w:rPr>
        <w:t>，每提供一人得1分，满分2分。（提供身份证正反面及相关职业资格证书（须由民政部或人力资源和社会保障部门或卫健部门或医疗部门等国家认可部门颁发）彩色扫描件加盖公章，未提供或提供不全不得分）。</w:t>
      </w:r>
    </w:p>
    <w:p w14:paraId="47B9113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4、服务承诺分…………………………………………………………………满分14分</w:t>
      </w:r>
    </w:p>
    <w:p w14:paraId="03FFD90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一档（6分）：方案包含售后服务各项工作内容及措施，包含正确的硬件设施维护方案、产品退换货方案、智能化产品质保及升级方案等。提供售后服务的固定联系人名单、联系方式等。</w:t>
      </w:r>
    </w:p>
    <w:p w14:paraId="1E831B3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二档（10分）：在满足一档的基础上，编制备品配件情况说明，正确分析罗列所用设备日常容易出现的问题，编写常见问题解决手册。提供24小时咨询电话，及时解决困难老人使用过程中遇到的问题。</w:t>
      </w:r>
    </w:p>
    <w:p w14:paraId="46A876B9">
      <w:pPr>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三档（14分）：在满足二档的基础上，编制质保期外的技术支持方案，为老年人长期提供各项相关的便利服务。承诺智能化产品维修时间需3天以上的，能免费提供备用设备。</w:t>
      </w:r>
    </w:p>
    <w:p w14:paraId="711C060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5、业绩分………………………………………………………………………满分6分</w:t>
      </w:r>
    </w:p>
    <w:p w14:paraId="6BC1CA0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供应商2022年1月1日以来具有养老服务项目业绩的，每提供一项得2分，满分6分；（提供中标通知书及采购合同彩色扫描件加盖公章。合同要求体现签订双方名称、采购内容、签订日期、签订双方盖章）。</w:t>
      </w:r>
    </w:p>
    <w:p w14:paraId="3C54606D">
      <w:pPr>
        <w:pStyle w:val="27"/>
        <w:spacing w:line="360" w:lineRule="auto"/>
        <w:ind w:firstLine="482" w:firstLineChars="200"/>
        <w:textAlignment w:val="baseline"/>
        <w:rPr>
          <w:rFonts w:hAnsi="宋体" w:cs="宋体"/>
          <w:b/>
          <w:bCs/>
          <w:color w:val="auto"/>
          <w:sz w:val="24"/>
          <w:szCs w:val="24"/>
          <w:highlight w:val="none"/>
        </w:rPr>
      </w:pPr>
      <w:r>
        <w:rPr>
          <w:rFonts w:hint="eastAsia" w:hAnsi="宋体" w:cs="宋体"/>
          <w:b/>
          <w:bCs/>
          <w:color w:val="auto"/>
          <w:sz w:val="24"/>
          <w:szCs w:val="24"/>
          <w:highlight w:val="none"/>
        </w:rPr>
        <w:t>三、成交候选人推荐原则</w:t>
      </w:r>
    </w:p>
    <w:p w14:paraId="128A75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将根据总得分由高到低排列次序并推荐3名中标候选人。得分相同的，按投标报价由低到高顺序排列。得分相同且投标报价相同的并列。投标文件满足招标文件全部实质性要求，且按照评审因素的量化指标评审得分最高的投标人为排名第一的中标候选人。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w:t>
      </w:r>
    </w:p>
    <w:p w14:paraId="1A782B8A">
      <w:pPr>
        <w:widowControl/>
        <w:shd w:val="clear" w:color="auto" w:fill="FFFFFF"/>
        <w:spacing w:line="360" w:lineRule="auto"/>
        <w:textAlignment w:val="baseline"/>
        <w:rPr>
          <w:rFonts w:ascii="宋体" w:hAnsi="宋体" w:cs="宋体"/>
          <w:bCs/>
          <w:color w:val="auto"/>
          <w:kern w:val="0"/>
          <w:sz w:val="28"/>
          <w:szCs w:val="28"/>
          <w:highlight w:val="none"/>
        </w:rPr>
      </w:pPr>
    </w:p>
    <w:p w14:paraId="6F5FB539">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7E733AFC">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1572CEE0">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7E047294">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479AF002">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02D7E18E">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437BF6BF">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08D45F5C">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60B0999B">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4FB802E6">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00A328A7">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481B18FC">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5B1A0877">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54CCE695">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02B0AEE1">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2AE92C9D">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78CC4911">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6162A238">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088898B0">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0A34D564">
      <w:pPr>
        <w:widowControl/>
        <w:shd w:val="clear" w:color="auto" w:fill="FFFFFF"/>
        <w:spacing w:line="360" w:lineRule="auto"/>
        <w:ind w:firstLine="480"/>
        <w:jc w:val="center"/>
        <w:textAlignment w:val="baseline"/>
        <w:rPr>
          <w:rFonts w:ascii="宋体" w:hAnsi="宋体" w:cs="宋体"/>
          <w:b/>
          <w:color w:val="auto"/>
          <w:kern w:val="0"/>
          <w:sz w:val="36"/>
          <w:szCs w:val="36"/>
          <w:highlight w:val="none"/>
        </w:rPr>
      </w:pPr>
    </w:p>
    <w:p w14:paraId="727D7040">
      <w:pPr>
        <w:pStyle w:val="2"/>
        <w:rPr>
          <w:rFonts w:ascii="宋体" w:hAnsi="宋体" w:cs="宋体"/>
          <w:color w:val="auto"/>
          <w:kern w:val="0"/>
          <w:szCs w:val="36"/>
          <w:highlight w:val="none"/>
        </w:rPr>
      </w:pPr>
      <w:bookmarkStart w:id="60" w:name="_Toc24346"/>
      <w:r>
        <w:rPr>
          <w:rFonts w:hint="eastAsia" w:ascii="宋体" w:hAnsi="宋体" w:cs="宋体"/>
          <w:color w:val="auto"/>
          <w:highlight w:val="none"/>
        </w:rPr>
        <w:t>第七章 质疑书及投诉书（格式）</w:t>
      </w:r>
      <w:bookmarkEnd w:id="60"/>
    </w:p>
    <w:p w14:paraId="7A0CAE2F">
      <w:pPr>
        <w:tabs>
          <w:tab w:val="left" w:pos="606"/>
        </w:tabs>
        <w:rPr>
          <w:rFonts w:ascii="宋体" w:hAnsi="宋体" w:cs="宋体"/>
          <w:color w:val="auto"/>
          <w:highlight w:val="none"/>
        </w:rPr>
      </w:pPr>
    </w:p>
    <w:p w14:paraId="10030444">
      <w:pPr>
        <w:adjustRightInd w:val="0"/>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49953F4">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3096F13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015CC17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            联系电话：</w:t>
      </w:r>
    </w:p>
    <w:p w14:paraId="67237567">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679A7BB6">
      <w:pPr>
        <w:tabs>
          <w:tab w:val="left" w:pos="3544"/>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7018896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7A0D153D">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316401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60C460C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062AAFD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33839D2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0C557377">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3CBAEC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2EE80544">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40DC1775">
      <w:pPr>
        <w:adjustRightInd w:val="0"/>
        <w:snapToGrid w:val="0"/>
        <w:spacing w:line="360" w:lineRule="auto"/>
        <w:rPr>
          <w:rFonts w:ascii="宋体" w:hAnsi="宋体" w:cs="宋体"/>
          <w:color w:val="auto"/>
          <w:sz w:val="24"/>
          <w:highlight w:val="none"/>
        </w:rPr>
      </w:pPr>
    </w:p>
    <w:p w14:paraId="056329C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387C4FFC">
      <w:pPr>
        <w:adjustRightInd w:val="0"/>
        <w:snapToGrid w:val="0"/>
        <w:spacing w:line="360" w:lineRule="auto"/>
        <w:rPr>
          <w:rFonts w:ascii="宋体" w:hAnsi="宋体" w:cs="宋体"/>
          <w:color w:val="auto"/>
          <w:sz w:val="24"/>
          <w:highlight w:val="none"/>
          <w:u w:val="dotted"/>
        </w:rPr>
      </w:pPr>
    </w:p>
    <w:p w14:paraId="5C1D7223">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FB70DC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8FC60C7">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7B1D892">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5DAA5CC1">
      <w:pPr>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1800E6">
      <w:pPr>
        <w:rPr>
          <w:rFonts w:ascii="宋体" w:hAnsi="宋体" w:cs="宋体"/>
          <w:color w:val="auto"/>
          <w:sz w:val="24"/>
          <w:highlight w:val="none"/>
        </w:rPr>
      </w:pPr>
      <w:r>
        <w:rPr>
          <w:rFonts w:hint="eastAsia" w:ascii="宋体" w:hAnsi="宋体" w:cs="宋体"/>
          <w:color w:val="auto"/>
          <w:sz w:val="24"/>
          <w:highlight w:val="none"/>
        </w:rPr>
        <w:t xml:space="preserve">日期：    </w:t>
      </w:r>
    </w:p>
    <w:p w14:paraId="154CF9A7">
      <w:pPr>
        <w:adjustRightInd w:val="0"/>
        <w:snapToGrid w:val="0"/>
        <w:spacing w:line="360" w:lineRule="auto"/>
        <w:rPr>
          <w:rFonts w:ascii="宋体" w:hAnsi="宋体" w:cs="宋体"/>
          <w:color w:val="auto"/>
          <w:sz w:val="24"/>
          <w:highlight w:val="none"/>
        </w:rPr>
      </w:pPr>
    </w:p>
    <w:p w14:paraId="5355392D">
      <w:pPr>
        <w:adjustRightInd w:val="0"/>
        <w:snapToGrid w:val="0"/>
        <w:spacing w:line="360" w:lineRule="auto"/>
        <w:rPr>
          <w:rFonts w:ascii="宋体" w:hAnsi="宋体" w:cs="宋体"/>
          <w:color w:val="auto"/>
          <w:sz w:val="24"/>
          <w:highlight w:val="none"/>
        </w:rPr>
      </w:pPr>
    </w:p>
    <w:p w14:paraId="41ADC9E5">
      <w:pPr>
        <w:pStyle w:val="13"/>
        <w:rPr>
          <w:rFonts w:ascii="宋体" w:hAnsi="宋体" w:cs="宋体"/>
          <w:color w:val="auto"/>
          <w:highlight w:val="none"/>
        </w:rPr>
      </w:pPr>
    </w:p>
    <w:p w14:paraId="12A9ECC6">
      <w:pPr>
        <w:rPr>
          <w:rFonts w:ascii="宋体" w:hAnsi="宋体" w:cs="宋体"/>
          <w:b/>
          <w:color w:val="auto"/>
          <w:sz w:val="24"/>
          <w:highlight w:val="none"/>
        </w:rPr>
      </w:pPr>
    </w:p>
    <w:p w14:paraId="5A644AB2">
      <w:pPr>
        <w:rPr>
          <w:rFonts w:ascii="宋体" w:hAnsi="宋体" w:cs="宋体"/>
          <w:b/>
          <w:color w:val="auto"/>
          <w:sz w:val="24"/>
          <w:highlight w:val="none"/>
        </w:rPr>
      </w:pPr>
    </w:p>
    <w:p w14:paraId="49871892">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447BEB0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03D329C">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B77BF6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B6F5F9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02B1AF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180ECA1">
      <w:pPr>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9FC31C1">
      <w:pPr>
        <w:rPr>
          <w:rFonts w:ascii="宋体" w:hAnsi="宋体" w:cs="宋体"/>
          <w:b/>
          <w:bCs/>
          <w:color w:val="auto"/>
          <w:sz w:val="24"/>
          <w:highlight w:val="none"/>
        </w:rPr>
      </w:pPr>
    </w:p>
    <w:p w14:paraId="295140D6">
      <w:pPr>
        <w:pStyle w:val="20"/>
        <w:rPr>
          <w:rFonts w:ascii="宋体" w:hAnsi="宋体" w:cs="宋体"/>
          <w:b/>
          <w:bCs/>
          <w:color w:val="auto"/>
          <w:highlight w:val="none"/>
        </w:rPr>
      </w:pPr>
    </w:p>
    <w:p w14:paraId="2EF366A2">
      <w:pPr>
        <w:jc w:val="center"/>
        <w:rPr>
          <w:rFonts w:ascii="宋体" w:hAnsi="宋体" w:cs="宋体"/>
          <w:b/>
          <w:color w:val="auto"/>
          <w:sz w:val="40"/>
          <w:szCs w:val="40"/>
          <w:highlight w:val="none"/>
        </w:rPr>
      </w:pPr>
    </w:p>
    <w:p w14:paraId="3DD6E0B0">
      <w:pPr>
        <w:jc w:val="center"/>
        <w:rPr>
          <w:rFonts w:ascii="宋体" w:hAnsi="宋体" w:cs="宋体"/>
          <w:b/>
          <w:color w:val="auto"/>
          <w:sz w:val="40"/>
          <w:szCs w:val="40"/>
          <w:highlight w:val="none"/>
        </w:rPr>
      </w:pPr>
    </w:p>
    <w:p w14:paraId="1F0AC24E">
      <w:pPr>
        <w:jc w:val="center"/>
        <w:rPr>
          <w:rFonts w:ascii="宋体" w:hAnsi="宋体" w:cs="宋体"/>
          <w:b/>
          <w:color w:val="auto"/>
          <w:sz w:val="40"/>
          <w:szCs w:val="40"/>
          <w:highlight w:val="none"/>
        </w:rPr>
      </w:pPr>
    </w:p>
    <w:p w14:paraId="7128F997">
      <w:pPr>
        <w:jc w:val="center"/>
        <w:rPr>
          <w:rFonts w:ascii="宋体" w:hAnsi="宋体" w:cs="宋体"/>
          <w:b/>
          <w:color w:val="auto"/>
          <w:sz w:val="40"/>
          <w:szCs w:val="40"/>
          <w:highlight w:val="none"/>
        </w:rPr>
      </w:pPr>
    </w:p>
    <w:p w14:paraId="54AF8D91">
      <w:pPr>
        <w:jc w:val="center"/>
        <w:rPr>
          <w:rFonts w:ascii="宋体" w:hAnsi="宋体" w:cs="宋体"/>
          <w:b/>
          <w:color w:val="auto"/>
          <w:sz w:val="40"/>
          <w:szCs w:val="40"/>
          <w:highlight w:val="none"/>
        </w:rPr>
      </w:pPr>
    </w:p>
    <w:p w14:paraId="728AE3BC">
      <w:pPr>
        <w:jc w:val="center"/>
        <w:rPr>
          <w:rFonts w:ascii="宋体" w:hAnsi="宋体" w:cs="宋体"/>
          <w:b/>
          <w:color w:val="auto"/>
          <w:sz w:val="40"/>
          <w:szCs w:val="40"/>
          <w:highlight w:val="none"/>
        </w:rPr>
      </w:pPr>
    </w:p>
    <w:p w14:paraId="7F5B0C00">
      <w:pPr>
        <w:jc w:val="center"/>
        <w:rPr>
          <w:rFonts w:ascii="宋体" w:hAnsi="宋体" w:cs="宋体"/>
          <w:b/>
          <w:color w:val="auto"/>
          <w:sz w:val="40"/>
          <w:szCs w:val="40"/>
          <w:highlight w:val="none"/>
        </w:rPr>
      </w:pPr>
    </w:p>
    <w:p w14:paraId="142C8CBA">
      <w:pPr>
        <w:jc w:val="center"/>
        <w:rPr>
          <w:rFonts w:ascii="宋体" w:hAnsi="宋体" w:cs="宋体"/>
          <w:b/>
          <w:color w:val="auto"/>
          <w:sz w:val="40"/>
          <w:szCs w:val="40"/>
          <w:highlight w:val="none"/>
        </w:rPr>
      </w:pPr>
    </w:p>
    <w:p w14:paraId="2C9CBC78">
      <w:pPr>
        <w:jc w:val="center"/>
        <w:rPr>
          <w:rFonts w:ascii="宋体" w:hAnsi="宋体" w:cs="宋体"/>
          <w:b/>
          <w:color w:val="auto"/>
          <w:sz w:val="40"/>
          <w:szCs w:val="40"/>
          <w:highlight w:val="none"/>
        </w:rPr>
      </w:pPr>
    </w:p>
    <w:p w14:paraId="46F0DA0A">
      <w:pPr>
        <w:jc w:val="center"/>
        <w:rPr>
          <w:rFonts w:ascii="宋体" w:hAnsi="宋体" w:cs="宋体"/>
          <w:b/>
          <w:color w:val="auto"/>
          <w:sz w:val="40"/>
          <w:szCs w:val="40"/>
          <w:highlight w:val="none"/>
        </w:rPr>
      </w:pPr>
    </w:p>
    <w:p w14:paraId="277000FA">
      <w:pPr>
        <w:jc w:val="center"/>
        <w:rPr>
          <w:rFonts w:ascii="宋体" w:hAnsi="宋体" w:cs="宋体"/>
          <w:b/>
          <w:color w:val="auto"/>
          <w:sz w:val="40"/>
          <w:szCs w:val="40"/>
          <w:highlight w:val="none"/>
        </w:rPr>
      </w:pPr>
    </w:p>
    <w:p w14:paraId="371F8739">
      <w:pPr>
        <w:jc w:val="center"/>
        <w:rPr>
          <w:rFonts w:ascii="宋体" w:hAnsi="宋体" w:cs="宋体"/>
          <w:b/>
          <w:color w:val="auto"/>
          <w:sz w:val="40"/>
          <w:szCs w:val="40"/>
          <w:highlight w:val="none"/>
        </w:rPr>
      </w:pPr>
    </w:p>
    <w:p w14:paraId="2603AA68">
      <w:pPr>
        <w:jc w:val="center"/>
        <w:rPr>
          <w:rFonts w:ascii="宋体" w:hAnsi="宋体" w:cs="宋体"/>
          <w:b/>
          <w:color w:val="auto"/>
          <w:sz w:val="40"/>
          <w:szCs w:val="40"/>
          <w:highlight w:val="none"/>
        </w:rPr>
      </w:pPr>
    </w:p>
    <w:p w14:paraId="741C36EE">
      <w:pPr>
        <w:jc w:val="center"/>
        <w:rPr>
          <w:rFonts w:ascii="宋体" w:hAnsi="宋体" w:cs="宋体"/>
          <w:b/>
          <w:color w:val="auto"/>
          <w:sz w:val="40"/>
          <w:szCs w:val="40"/>
          <w:highlight w:val="none"/>
        </w:rPr>
      </w:pPr>
    </w:p>
    <w:p w14:paraId="61496189">
      <w:pPr>
        <w:rPr>
          <w:rFonts w:ascii="宋体" w:hAnsi="宋体" w:cs="宋体"/>
          <w:b/>
          <w:color w:val="auto"/>
          <w:sz w:val="40"/>
          <w:szCs w:val="40"/>
          <w:highlight w:val="none"/>
        </w:rPr>
        <w:sectPr>
          <w:pgSz w:w="11906" w:h="16838"/>
          <w:pgMar w:top="1440" w:right="1230" w:bottom="1440" w:left="1440" w:header="851" w:footer="992" w:gutter="0"/>
          <w:cols w:space="720" w:num="1"/>
          <w:docGrid w:type="lines" w:linePitch="312" w:charSpace="0"/>
        </w:sectPr>
      </w:pPr>
    </w:p>
    <w:p w14:paraId="2472C934">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216FE95D">
      <w:pPr>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777A1B7">
      <w:pPr>
        <w:rPr>
          <w:rFonts w:ascii="宋体" w:hAnsi="宋体" w:cs="宋体"/>
          <w:color w:val="auto"/>
          <w:sz w:val="24"/>
          <w:highlight w:val="none"/>
          <w:u w:val="dotted"/>
        </w:rPr>
      </w:pPr>
      <w:r>
        <w:rPr>
          <w:rFonts w:hint="eastAsia" w:ascii="宋体" w:hAnsi="宋体" w:cs="宋体"/>
          <w:color w:val="auto"/>
          <w:sz w:val="24"/>
          <w:highlight w:val="none"/>
        </w:rPr>
        <w:t>投诉人：</w:t>
      </w:r>
    </w:p>
    <w:p w14:paraId="030786DB">
      <w:pPr>
        <w:rPr>
          <w:rFonts w:ascii="宋体" w:hAnsi="宋体" w:cs="宋体"/>
          <w:color w:val="auto"/>
          <w:sz w:val="24"/>
          <w:highlight w:val="none"/>
          <w:u w:val="single"/>
        </w:rPr>
      </w:pPr>
      <w:r>
        <w:rPr>
          <w:rFonts w:hint="eastAsia" w:ascii="宋体" w:hAnsi="宋体" w:cs="宋体"/>
          <w:color w:val="auto"/>
          <w:sz w:val="24"/>
          <w:highlight w:val="none"/>
        </w:rPr>
        <w:t>地址：           邮编：</w:t>
      </w:r>
    </w:p>
    <w:p w14:paraId="0C9C31C8">
      <w:pPr>
        <w:tabs>
          <w:tab w:val="left" w:pos="6510"/>
        </w:tabs>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7B17E1AD">
      <w:pPr>
        <w:tabs>
          <w:tab w:val="left" w:pos="6510"/>
        </w:tabs>
        <w:rPr>
          <w:rFonts w:ascii="宋体" w:hAnsi="宋体" w:cs="宋体"/>
          <w:color w:val="auto"/>
          <w:sz w:val="24"/>
          <w:highlight w:val="none"/>
          <w:u w:val="dotted"/>
        </w:rPr>
      </w:pPr>
      <w:r>
        <w:rPr>
          <w:rFonts w:hint="eastAsia" w:ascii="宋体" w:hAnsi="宋体" w:cs="宋体"/>
          <w:color w:val="auto"/>
          <w:sz w:val="24"/>
          <w:highlight w:val="none"/>
        </w:rPr>
        <w:t>联系电话：</w:t>
      </w:r>
    </w:p>
    <w:p w14:paraId="1E2BDDB3">
      <w:pPr>
        <w:rPr>
          <w:rFonts w:ascii="宋体" w:hAnsi="宋体" w:cs="宋体"/>
          <w:color w:val="auto"/>
          <w:sz w:val="24"/>
          <w:highlight w:val="none"/>
        </w:rPr>
      </w:pPr>
      <w:r>
        <w:rPr>
          <w:rFonts w:hint="eastAsia" w:ascii="宋体" w:hAnsi="宋体" w:cs="宋体"/>
          <w:color w:val="auto"/>
          <w:sz w:val="24"/>
          <w:highlight w:val="none"/>
        </w:rPr>
        <w:t>授权代表：        联系电话</w:t>
      </w:r>
    </w:p>
    <w:p w14:paraId="71B74189">
      <w:pPr>
        <w:rPr>
          <w:rFonts w:ascii="宋体" w:hAnsi="宋体" w:cs="宋体"/>
          <w:color w:val="auto"/>
          <w:sz w:val="24"/>
          <w:highlight w:val="none"/>
          <w:u w:val="dotted"/>
        </w:rPr>
      </w:pPr>
      <w:r>
        <w:rPr>
          <w:rFonts w:hint="eastAsia" w:ascii="宋体" w:hAnsi="宋体" w:cs="宋体"/>
          <w:color w:val="auto"/>
          <w:sz w:val="24"/>
          <w:highlight w:val="none"/>
        </w:rPr>
        <w:t>地址：            邮编：</w:t>
      </w:r>
    </w:p>
    <w:p w14:paraId="5DE8C69E">
      <w:pPr>
        <w:rPr>
          <w:rFonts w:ascii="宋体" w:hAnsi="宋体" w:cs="宋体"/>
          <w:color w:val="auto"/>
          <w:sz w:val="24"/>
          <w:highlight w:val="none"/>
          <w:u w:val="single"/>
        </w:rPr>
      </w:pPr>
      <w:r>
        <w:rPr>
          <w:rFonts w:hint="eastAsia" w:ascii="宋体" w:hAnsi="宋体" w:cs="宋体"/>
          <w:color w:val="auto"/>
          <w:sz w:val="24"/>
          <w:highlight w:val="none"/>
        </w:rPr>
        <w:t>被投诉人1：</w:t>
      </w:r>
    </w:p>
    <w:p w14:paraId="0BEBD748">
      <w:pPr>
        <w:rPr>
          <w:rFonts w:ascii="宋体" w:hAnsi="宋体" w:cs="宋体"/>
          <w:color w:val="auto"/>
          <w:sz w:val="24"/>
          <w:highlight w:val="none"/>
          <w:u w:val="single"/>
        </w:rPr>
      </w:pPr>
      <w:r>
        <w:rPr>
          <w:rFonts w:hint="eastAsia" w:ascii="宋体" w:hAnsi="宋体" w:cs="宋体"/>
          <w:color w:val="auto"/>
          <w:sz w:val="24"/>
          <w:highlight w:val="none"/>
        </w:rPr>
        <w:t>地址：            邮编：</w:t>
      </w:r>
    </w:p>
    <w:p w14:paraId="5BED4725">
      <w:pPr>
        <w:rPr>
          <w:rFonts w:ascii="宋体" w:hAnsi="宋体" w:cs="宋体"/>
          <w:color w:val="auto"/>
          <w:sz w:val="24"/>
          <w:highlight w:val="none"/>
          <w:u w:val="single"/>
        </w:rPr>
      </w:pPr>
      <w:r>
        <w:rPr>
          <w:rFonts w:hint="eastAsia" w:ascii="宋体" w:hAnsi="宋体" w:cs="宋体"/>
          <w:color w:val="auto"/>
          <w:sz w:val="24"/>
          <w:highlight w:val="none"/>
        </w:rPr>
        <w:t>联系人：          联系电话：</w:t>
      </w:r>
    </w:p>
    <w:p w14:paraId="2D6D0105">
      <w:pPr>
        <w:rPr>
          <w:rFonts w:ascii="宋体" w:hAnsi="宋体" w:cs="宋体"/>
          <w:color w:val="auto"/>
          <w:sz w:val="24"/>
          <w:highlight w:val="none"/>
        </w:rPr>
      </w:pPr>
      <w:r>
        <w:rPr>
          <w:rFonts w:hint="eastAsia" w:ascii="宋体" w:hAnsi="宋体" w:cs="宋体"/>
          <w:color w:val="auto"/>
          <w:sz w:val="24"/>
          <w:highlight w:val="none"/>
        </w:rPr>
        <w:t>被投诉人2</w:t>
      </w:r>
    </w:p>
    <w:p w14:paraId="5B46E22D">
      <w:pPr>
        <w:rPr>
          <w:rFonts w:ascii="宋体" w:hAnsi="宋体" w:cs="宋体"/>
          <w:color w:val="auto"/>
          <w:sz w:val="24"/>
          <w:highlight w:val="none"/>
          <w:u w:val="dotted"/>
        </w:rPr>
      </w:pPr>
      <w:r>
        <w:rPr>
          <w:rFonts w:hint="eastAsia" w:ascii="宋体" w:hAnsi="宋体" w:cs="宋体"/>
          <w:color w:val="auto"/>
          <w:sz w:val="24"/>
          <w:highlight w:val="none"/>
        </w:rPr>
        <w:t>……</w:t>
      </w:r>
    </w:p>
    <w:p w14:paraId="30E710AC">
      <w:pPr>
        <w:rPr>
          <w:rFonts w:ascii="宋体" w:hAnsi="宋体" w:cs="宋体"/>
          <w:color w:val="auto"/>
          <w:sz w:val="24"/>
          <w:highlight w:val="none"/>
          <w:u w:val="single"/>
        </w:rPr>
      </w:pPr>
      <w:r>
        <w:rPr>
          <w:rFonts w:hint="eastAsia" w:ascii="宋体" w:hAnsi="宋体" w:cs="宋体"/>
          <w:color w:val="auto"/>
          <w:sz w:val="24"/>
          <w:highlight w:val="none"/>
        </w:rPr>
        <w:t>相关供应商：</w:t>
      </w:r>
    </w:p>
    <w:p w14:paraId="1EDF3872">
      <w:pPr>
        <w:rPr>
          <w:rFonts w:ascii="宋体" w:hAnsi="宋体" w:cs="宋体"/>
          <w:color w:val="auto"/>
          <w:sz w:val="24"/>
          <w:highlight w:val="none"/>
          <w:u w:val="single"/>
        </w:rPr>
      </w:pPr>
      <w:r>
        <w:rPr>
          <w:rFonts w:hint="eastAsia" w:ascii="宋体" w:hAnsi="宋体" w:cs="宋体"/>
          <w:color w:val="auto"/>
          <w:sz w:val="24"/>
          <w:highlight w:val="none"/>
        </w:rPr>
        <w:t>地址：            邮编：</w:t>
      </w:r>
    </w:p>
    <w:p w14:paraId="01923442">
      <w:pPr>
        <w:rPr>
          <w:rFonts w:ascii="宋体" w:hAnsi="宋体" w:cs="宋体"/>
          <w:color w:val="auto"/>
          <w:sz w:val="24"/>
          <w:highlight w:val="none"/>
          <w:u w:val="single"/>
        </w:rPr>
      </w:pPr>
      <w:r>
        <w:rPr>
          <w:rFonts w:hint="eastAsia" w:ascii="宋体" w:hAnsi="宋体" w:cs="宋体"/>
          <w:color w:val="auto"/>
          <w:sz w:val="24"/>
          <w:highlight w:val="none"/>
        </w:rPr>
        <w:t>联系人：          联系电话：</w:t>
      </w:r>
    </w:p>
    <w:p w14:paraId="57EC7A08">
      <w:pPr>
        <w:rPr>
          <w:rFonts w:ascii="宋体" w:hAnsi="宋体" w:cs="宋体"/>
          <w:color w:val="auto"/>
          <w:sz w:val="24"/>
          <w:highlight w:val="none"/>
        </w:rPr>
      </w:pPr>
      <w:r>
        <w:rPr>
          <w:rFonts w:hint="eastAsia" w:ascii="宋体" w:hAnsi="宋体" w:cs="宋体"/>
          <w:color w:val="auto"/>
          <w:sz w:val="24"/>
          <w:highlight w:val="none"/>
        </w:rPr>
        <w:t>二、投诉项目基本情况</w:t>
      </w:r>
    </w:p>
    <w:p w14:paraId="11CEB61C">
      <w:pPr>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55B9FAD0">
      <w:pPr>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6A0B6645">
      <w:pPr>
        <w:rPr>
          <w:rFonts w:ascii="宋体" w:hAnsi="宋体" w:cs="宋体"/>
          <w:color w:val="auto"/>
          <w:sz w:val="24"/>
          <w:highlight w:val="none"/>
        </w:rPr>
      </w:pPr>
      <w:r>
        <w:rPr>
          <w:rFonts w:hint="eastAsia" w:ascii="宋体" w:hAnsi="宋体" w:cs="宋体"/>
          <w:color w:val="auto"/>
          <w:sz w:val="24"/>
          <w:highlight w:val="none"/>
        </w:rPr>
        <w:t>采购人名称：</w:t>
      </w:r>
    </w:p>
    <w:p w14:paraId="1C29322A">
      <w:pPr>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D9A0F00">
      <w:pPr>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2A209AA3">
      <w:pPr>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02F875E">
      <w:pPr>
        <w:rPr>
          <w:rFonts w:ascii="宋体" w:hAnsi="宋体" w:cs="宋体"/>
          <w:color w:val="auto"/>
          <w:sz w:val="24"/>
          <w:highlight w:val="none"/>
        </w:rPr>
      </w:pPr>
      <w:r>
        <w:rPr>
          <w:rFonts w:hint="eastAsia" w:ascii="宋体" w:hAnsi="宋体" w:cs="宋体"/>
          <w:color w:val="auto"/>
          <w:sz w:val="24"/>
          <w:highlight w:val="none"/>
        </w:rPr>
        <w:t>三、质疑基本情况</w:t>
      </w:r>
    </w:p>
    <w:p w14:paraId="2E6FBFCF">
      <w:pPr>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1AF60624">
      <w:pPr>
        <w:rPr>
          <w:rFonts w:ascii="宋体" w:hAnsi="宋体" w:cs="宋体"/>
          <w:color w:val="auto"/>
          <w:sz w:val="24"/>
          <w:highlight w:val="none"/>
          <w:u w:val="dotted"/>
        </w:rPr>
      </w:pPr>
    </w:p>
    <w:p w14:paraId="17187984">
      <w:pPr>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693148BE">
      <w:pPr>
        <w:rPr>
          <w:rFonts w:ascii="宋体" w:hAnsi="宋体" w:cs="宋体"/>
          <w:color w:val="auto"/>
          <w:sz w:val="24"/>
          <w:highlight w:val="none"/>
        </w:rPr>
      </w:pPr>
      <w:r>
        <w:rPr>
          <w:rFonts w:hint="eastAsia" w:ascii="宋体" w:hAnsi="宋体" w:cs="宋体"/>
          <w:color w:val="auto"/>
          <w:sz w:val="24"/>
          <w:highlight w:val="none"/>
        </w:rPr>
        <w:t>四、投诉事项具体内容</w:t>
      </w:r>
    </w:p>
    <w:p w14:paraId="5B6E9C9D">
      <w:pPr>
        <w:rPr>
          <w:rFonts w:ascii="宋体" w:hAnsi="宋体" w:cs="宋体"/>
          <w:color w:val="auto"/>
          <w:sz w:val="24"/>
          <w:highlight w:val="none"/>
          <w:u w:val="single"/>
        </w:rPr>
      </w:pPr>
      <w:r>
        <w:rPr>
          <w:rFonts w:hint="eastAsia" w:ascii="宋体" w:hAnsi="宋体" w:cs="宋体"/>
          <w:color w:val="auto"/>
          <w:sz w:val="24"/>
          <w:highlight w:val="none"/>
        </w:rPr>
        <w:t>投诉事项 1：</w:t>
      </w:r>
    </w:p>
    <w:p w14:paraId="5E6C1959">
      <w:pPr>
        <w:rPr>
          <w:rFonts w:ascii="宋体" w:hAnsi="宋体" w:cs="宋体"/>
          <w:color w:val="auto"/>
          <w:sz w:val="24"/>
          <w:highlight w:val="none"/>
        </w:rPr>
      </w:pPr>
      <w:r>
        <w:rPr>
          <w:rFonts w:hint="eastAsia" w:ascii="宋体" w:hAnsi="宋体" w:cs="宋体"/>
          <w:color w:val="auto"/>
          <w:sz w:val="24"/>
          <w:highlight w:val="none"/>
        </w:rPr>
        <w:t>事实依据：</w:t>
      </w:r>
    </w:p>
    <w:p w14:paraId="140580D8">
      <w:pPr>
        <w:rPr>
          <w:rFonts w:ascii="宋体" w:hAnsi="宋体" w:cs="宋体"/>
          <w:color w:val="auto"/>
          <w:sz w:val="24"/>
          <w:highlight w:val="none"/>
          <w:u w:val="dotted"/>
        </w:rPr>
      </w:pPr>
    </w:p>
    <w:p w14:paraId="44A18289">
      <w:pPr>
        <w:rPr>
          <w:rFonts w:ascii="宋体" w:hAnsi="宋体" w:cs="宋体"/>
          <w:color w:val="auto"/>
          <w:sz w:val="24"/>
          <w:highlight w:val="none"/>
          <w:u w:val="single"/>
        </w:rPr>
      </w:pPr>
      <w:r>
        <w:rPr>
          <w:rFonts w:hint="eastAsia" w:ascii="宋体" w:hAnsi="宋体" w:cs="宋体"/>
          <w:color w:val="auto"/>
          <w:sz w:val="24"/>
          <w:highlight w:val="none"/>
        </w:rPr>
        <w:t>法律依据：</w:t>
      </w:r>
    </w:p>
    <w:p w14:paraId="6AA39F51">
      <w:pPr>
        <w:rPr>
          <w:rFonts w:ascii="宋体" w:hAnsi="宋体" w:cs="宋体"/>
          <w:color w:val="auto"/>
          <w:sz w:val="24"/>
          <w:highlight w:val="none"/>
          <w:u w:val="dotted"/>
        </w:rPr>
      </w:pPr>
    </w:p>
    <w:p w14:paraId="7E1A4A01">
      <w:pPr>
        <w:rPr>
          <w:rFonts w:ascii="宋体" w:hAnsi="宋体" w:cs="宋体"/>
          <w:color w:val="auto"/>
          <w:sz w:val="24"/>
          <w:highlight w:val="none"/>
        </w:rPr>
      </w:pPr>
      <w:r>
        <w:rPr>
          <w:rFonts w:hint="eastAsia" w:ascii="宋体" w:hAnsi="宋体" w:cs="宋体"/>
          <w:color w:val="auto"/>
          <w:sz w:val="24"/>
          <w:highlight w:val="none"/>
        </w:rPr>
        <w:t>投诉事项2</w:t>
      </w:r>
    </w:p>
    <w:p w14:paraId="722D515D">
      <w:pPr>
        <w:rPr>
          <w:rFonts w:ascii="宋体" w:hAnsi="宋体" w:cs="宋体"/>
          <w:color w:val="auto"/>
          <w:sz w:val="24"/>
          <w:highlight w:val="none"/>
          <w:u w:val="dotted"/>
        </w:rPr>
      </w:pPr>
      <w:r>
        <w:rPr>
          <w:rFonts w:hint="eastAsia" w:ascii="宋体" w:hAnsi="宋体" w:cs="宋体"/>
          <w:color w:val="auto"/>
          <w:sz w:val="24"/>
          <w:highlight w:val="none"/>
        </w:rPr>
        <w:t>……</w:t>
      </w:r>
    </w:p>
    <w:p w14:paraId="56C05ED5">
      <w:pPr>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B5BCE04">
      <w:pPr>
        <w:rPr>
          <w:rFonts w:ascii="宋体" w:hAnsi="宋体" w:cs="宋体"/>
          <w:color w:val="auto"/>
          <w:sz w:val="24"/>
          <w:highlight w:val="none"/>
        </w:rPr>
      </w:pPr>
      <w:r>
        <w:rPr>
          <w:rFonts w:hint="eastAsia" w:ascii="宋体" w:hAnsi="宋体" w:cs="宋体"/>
          <w:color w:val="auto"/>
          <w:sz w:val="24"/>
          <w:highlight w:val="none"/>
        </w:rPr>
        <w:t>请求：</w:t>
      </w:r>
    </w:p>
    <w:p w14:paraId="53CC7E82">
      <w:pPr>
        <w:rPr>
          <w:rFonts w:ascii="宋体" w:hAnsi="宋体" w:cs="宋体"/>
          <w:color w:val="auto"/>
          <w:sz w:val="24"/>
          <w:highlight w:val="none"/>
          <w:u w:val="single"/>
        </w:rPr>
      </w:pPr>
    </w:p>
    <w:p w14:paraId="6A24BECD">
      <w:pPr>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B63138F">
      <w:pPr>
        <w:rPr>
          <w:rFonts w:ascii="宋体" w:hAnsi="宋体" w:cs="宋体"/>
          <w:b/>
          <w:color w:val="auto"/>
          <w:sz w:val="24"/>
          <w:highlight w:val="none"/>
        </w:rPr>
      </w:pPr>
      <w:r>
        <w:rPr>
          <w:rFonts w:hint="eastAsia" w:ascii="宋体" w:hAnsi="宋体" w:cs="宋体"/>
          <w:color w:val="auto"/>
          <w:sz w:val="24"/>
          <w:highlight w:val="none"/>
        </w:rPr>
        <w:t xml:space="preserve">日期：    </w:t>
      </w:r>
    </w:p>
    <w:p w14:paraId="0A378D8F">
      <w:pPr>
        <w:pStyle w:val="13"/>
        <w:rPr>
          <w:rFonts w:ascii="宋体" w:hAnsi="宋体" w:cs="宋体"/>
          <w:color w:val="auto"/>
          <w:highlight w:val="none"/>
        </w:rPr>
      </w:pPr>
    </w:p>
    <w:p w14:paraId="4EAFE8C9">
      <w:pPr>
        <w:rPr>
          <w:rFonts w:ascii="宋体" w:hAnsi="宋体" w:cs="宋体"/>
          <w:b/>
          <w:color w:val="auto"/>
          <w:sz w:val="24"/>
          <w:highlight w:val="none"/>
        </w:rPr>
      </w:pPr>
    </w:p>
    <w:p w14:paraId="3FA81FC2">
      <w:pPr>
        <w:rPr>
          <w:rFonts w:ascii="宋体" w:hAnsi="宋体" w:cs="宋体"/>
          <w:b/>
          <w:color w:val="auto"/>
          <w:sz w:val="24"/>
          <w:highlight w:val="none"/>
        </w:rPr>
      </w:pPr>
    </w:p>
    <w:p w14:paraId="2230E8ED">
      <w:pPr>
        <w:rPr>
          <w:rFonts w:ascii="宋体" w:hAnsi="宋体" w:cs="宋体"/>
          <w:b/>
          <w:color w:val="auto"/>
          <w:sz w:val="24"/>
          <w:highlight w:val="none"/>
        </w:rPr>
      </w:pPr>
    </w:p>
    <w:p w14:paraId="74D2C8A7">
      <w:pPr>
        <w:rPr>
          <w:rFonts w:ascii="宋体" w:hAnsi="宋体" w:cs="宋体"/>
          <w:b/>
          <w:color w:val="auto"/>
          <w:sz w:val="24"/>
          <w:highlight w:val="none"/>
        </w:rPr>
      </w:pPr>
    </w:p>
    <w:p w14:paraId="29410A20">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29A5E700">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D0D5CD">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751D570">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29791A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2B99090">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90E231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DFFA9B">
      <w:pPr>
        <w:pStyle w:val="20"/>
        <w:ind w:firstLine="480" w:firstLineChars="200"/>
        <w:rPr>
          <w:rFonts w:ascii="宋体" w:hAnsi="宋体" w:cs="宋体"/>
          <w:b/>
          <w:color w:val="auto"/>
          <w:highlight w:val="none"/>
        </w:rPr>
      </w:pPr>
      <w:r>
        <w:rPr>
          <w:rFonts w:hint="eastAsia" w:ascii="宋体" w:hAnsi="宋体" w:cs="宋体"/>
          <w:color w:val="auto"/>
          <w:highlight w:val="none"/>
        </w:rPr>
        <w:t>7.投诉人为自然人的，投诉书应当由本人签字；投诉人为法人或者其他组织的，投诉书应当由法定代表人、主要负责人，或者其授权代表签字或者盖章，并加盖公章。</w:t>
      </w:r>
    </w:p>
    <w:p w14:paraId="3211E3EE">
      <w:pPr>
        <w:rPr>
          <w:rFonts w:ascii="宋体" w:hAnsi="宋体" w:cs="宋体"/>
          <w:color w:val="auto"/>
          <w:highlight w:val="none"/>
        </w:rPr>
      </w:pPr>
    </w:p>
    <w:p w14:paraId="20497768">
      <w:pPr>
        <w:pStyle w:val="27"/>
        <w:ind w:left="181" w:leftChars="86" w:firstLine="2997" w:firstLineChars="1249"/>
        <w:textAlignment w:val="baseline"/>
        <w:rPr>
          <w:rFonts w:hAnsi="宋体" w:cs="宋体"/>
          <w:bCs/>
          <w:color w:val="auto"/>
          <w:sz w:val="24"/>
          <w:szCs w:val="24"/>
          <w:highlight w:val="none"/>
        </w:rPr>
      </w:pPr>
    </w:p>
    <w:p w14:paraId="6E5CC6C2">
      <w:pPr>
        <w:pStyle w:val="27"/>
        <w:ind w:left="181" w:leftChars="86" w:firstLine="2997" w:firstLineChars="1249"/>
        <w:textAlignment w:val="baseline"/>
        <w:rPr>
          <w:rFonts w:hAnsi="宋体" w:cs="宋体"/>
          <w:bCs/>
          <w:color w:val="auto"/>
          <w:sz w:val="24"/>
          <w:szCs w:val="24"/>
          <w:highlight w:val="none"/>
        </w:rPr>
      </w:pPr>
    </w:p>
    <w:p w14:paraId="2120D136">
      <w:pPr>
        <w:pStyle w:val="27"/>
        <w:ind w:left="181" w:leftChars="86" w:firstLine="2997" w:firstLineChars="1249"/>
        <w:textAlignment w:val="baseline"/>
        <w:rPr>
          <w:rFonts w:hAnsi="宋体" w:cs="宋体"/>
          <w:bCs/>
          <w:color w:val="auto"/>
          <w:sz w:val="24"/>
          <w:szCs w:val="24"/>
          <w:highlight w:val="none"/>
        </w:rPr>
      </w:pPr>
    </w:p>
    <w:p w14:paraId="53E41E39">
      <w:pPr>
        <w:pStyle w:val="27"/>
        <w:ind w:left="181" w:leftChars="86" w:firstLine="2997" w:firstLineChars="1249"/>
        <w:textAlignment w:val="baseline"/>
        <w:rPr>
          <w:rFonts w:hAnsi="宋体" w:cs="宋体"/>
          <w:bCs/>
          <w:color w:val="auto"/>
          <w:sz w:val="24"/>
          <w:szCs w:val="24"/>
          <w:highlight w:val="none"/>
        </w:rPr>
      </w:pPr>
    </w:p>
    <w:sectPr>
      <w:pgSz w:w="11906" w:h="16838"/>
      <w:pgMar w:top="1440" w:right="123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6264CA-2D58-418C-9C8A-BCF2BF445AE7}"/>
  </w:font>
  <w:font w:name="黑体">
    <w:panose1 w:val="02010609060101010101"/>
    <w:charset w:val="86"/>
    <w:family w:val="auto"/>
    <w:pitch w:val="default"/>
    <w:sig w:usb0="800002BF" w:usb1="38CF7CFA" w:usb2="00000016" w:usb3="00000000" w:csb0="00040001" w:csb1="00000000"/>
    <w:embedRegular r:id="rId2" w:fontKey="{DD7E624D-0011-41C1-8C31-D3B1A5139AFC}"/>
  </w:font>
  <w:font w:name="Courier New">
    <w:panose1 w:val="02070309020205020404"/>
    <w:charset w:val="01"/>
    <w:family w:val="modern"/>
    <w:pitch w:val="default"/>
    <w:sig w:usb0="E0002EFF" w:usb1="C0007843" w:usb2="00000009" w:usb3="00000000" w:csb0="400001FF" w:csb1="FFFF0000"/>
    <w:embedRegular r:id="rId3" w:fontKey="{73B8DDA7-8EC3-45DD-A9E8-D7F21C6336C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223B627C-C025-4142-AD3A-ED8A74825E44}"/>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5" w:fontKey="{874A809C-F004-463D-A717-631D834478A9}"/>
  </w:font>
  <w:font w:name="仿宋">
    <w:panose1 w:val="02010609060101010101"/>
    <w:charset w:val="86"/>
    <w:family w:val="modern"/>
    <w:pitch w:val="default"/>
    <w:sig w:usb0="800002BF" w:usb1="38CF7CFA" w:usb2="00000016" w:usb3="00000000" w:csb0="00040001" w:csb1="00000000"/>
    <w:embedRegular r:id="rId6" w:fontKey="{5954B290-303A-40A9-8589-288502161DF2}"/>
  </w:font>
  <w:font w:name="方正小标宋简体">
    <w:panose1 w:val="03000509000000000000"/>
    <w:charset w:val="86"/>
    <w:family w:val="script"/>
    <w:pitch w:val="default"/>
    <w:sig w:usb0="00000001" w:usb1="080E0000" w:usb2="00000000" w:usb3="00000000" w:csb0="00040000" w:csb1="00000000"/>
    <w:embedRegular r:id="rId7" w:fontKey="{FD041599-E33D-46CD-A4D8-65AC22823451}"/>
  </w:font>
  <w:font w:name="方正仿宋_GB2312">
    <w:panose1 w:val="02000000000000000000"/>
    <w:charset w:val="86"/>
    <w:family w:val="auto"/>
    <w:pitch w:val="default"/>
    <w:sig w:usb0="A00002BF" w:usb1="184F6CFA" w:usb2="00000012" w:usb3="00000000" w:csb0="00040001" w:csb1="00000000"/>
    <w:embedRegular r:id="rId8" w:fontKey="{9B971591-B58F-4E00-B9E3-9A5546788BFE}"/>
  </w:font>
  <w:font w:name="WPSEMBED1">
    <w:panose1 w:val="02010609030101010101"/>
    <w:charset w:val="86"/>
    <w:family w:val="auto"/>
    <w:pitch w:val="default"/>
    <w:sig w:usb0="00000001" w:usb1="080E0000" w:usb2="00000000" w:usb3="00000000" w:csb0="00040000" w:csb1="00000000"/>
  </w:font>
  <w:font w:name="WPSEMBED2">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AF3A">
    <w:pPr>
      <w:pStyle w:val="32"/>
      <w:framePr w:wrap="around" w:vAnchor="text" w:hAnchor="margin" w:xAlign="center" w:y="1"/>
      <w:rPr>
        <w:rStyle w:val="53"/>
      </w:rPr>
    </w:pPr>
    <w:r>
      <w:fldChar w:fldCharType="begin"/>
    </w:r>
    <w:r>
      <w:rPr>
        <w:rStyle w:val="53"/>
      </w:rPr>
      <w:instrText xml:space="preserve">PAGE  </w:instrText>
    </w:r>
    <w:r>
      <w:fldChar w:fldCharType="end"/>
    </w:r>
  </w:p>
  <w:p w14:paraId="63AF7ACE">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3AE0">
    <w:pPr>
      <w:pStyle w:val="3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DE5E">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B4D2B">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6DB4D2B">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92D4">
    <w:pPr>
      <w:pStyle w:val="32"/>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4B733">
                          <w:pPr>
                            <w:pStyle w:val="3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0C4B733">
                    <w:pPr>
                      <w:pStyle w:val="3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6627">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158F6">
                          <w:pPr>
                            <w:pStyle w:val="3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AA158F6">
                    <w:pPr>
                      <w:pStyle w:val="3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51D19">
    <w:pPr>
      <w:spacing w:line="174" w:lineRule="auto"/>
      <w:ind w:left="412"/>
      <w:rPr>
        <w:rFonts w:ascii="宋体" w:hAnsi="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2F223">
                          <w:pPr>
                            <w:pStyle w:val="3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E52F223">
                    <w:pPr>
                      <w:pStyle w:val="3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EF12">
    <w:pPr>
      <w:pStyle w:val="3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92A02">
                          <w:pPr>
                            <w:pStyle w:val="3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8E92A02">
                    <w:pPr>
                      <w:pStyle w:val="3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C29D">
    <w:pPr>
      <w:pBdr>
        <w:bottom w:val="single" w:color="auto" w:sz="6" w:space="1"/>
      </w:pBdr>
      <w:snapToGrid w:val="0"/>
      <w:ind w:firstLine="180" w:firstLineChars="100"/>
      <w:rPr>
        <w:rFonts w:ascii="宋体" w:hAnsi="Courier New" w:eastAsia="等线"/>
        <w:sz w:val="18"/>
        <w:szCs w:val="20"/>
      </w:rPr>
    </w:pPr>
    <w:r>
      <w:rPr>
        <w:rFonts w:hint="eastAsia" w:ascii="宋体" w:hAnsi="Courier New"/>
        <w:sz w:val="18"/>
        <w:szCs w:val="20"/>
        <w:lang w:eastAsia="zh-CN"/>
      </w:rPr>
      <w:t>广西创佳项目管理</w:t>
    </w:r>
    <w:r>
      <w:rPr>
        <w:rFonts w:hint="eastAsia" w:ascii="宋体" w:hAnsi="Courier New"/>
        <w:sz w:val="18"/>
        <w:szCs w:val="20"/>
      </w:rPr>
      <w:t>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A652"/>
    <w:multiLevelType w:val="singleLevel"/>
    <w:tmpl w:val="81C5A652"/>
    <w:lvl w:ilvl="0" w:tentative="0">
      <w:start w:val="7"/>
      <w:numFmt w:val="chineseCounting"/>
      <w:suff w:val="nothing"/>
      <w:lvlText w:val="%1、"/>
      <w:lvlJc w:val="left"/>
      <w:rPr>
        <w:rFonts w:hint="eastAsia"/>
      </w:rPr>
    </w:lvl>
  </w:abstractNum>
  <w:abstractNum w:abstractNumId="1">
    <w:nsid w:val="90CC0266"/>
    <w:multiLevelType w:val="singleLevel"/>
    <w:tmpl w:val="90CC0266"/>
    <w:lvl w:ilvl="0" w:tentative="0">
      <w:start w:val="5"/>
      <w:numFmt w:val="chineseCounting"/>
      <w:suff w:val="space"/>
      <w:lvlText w:val="第%1条"/>
      <w:lvlJc w:val="left"/>
      <w:rPr>
        <w:rFonts w:hint="eastAsia"/>
      </w:rPr>
    </w:lvl>
  </w:abstractNum>
  <w:abstractNum w:abstractNumId="2">
    <w:nsid w:val="B6EBE104"/>
    <w:multiLevelType w:val="singleLevel"/>
    <w:tmpl w:val="B6EBE104"/>
    <w:lvl w:ilvl="0" w:tentative="0">
      <w:start w:val="1"/>
      <w:numFmt w:val="chineseCounting"/>
      <w:suff w:val="space"/>
      <w:lvlText w:val="第%1条"/>
      <w:lvlJc w:val="left"/>
      <w:rPr>
        <w:rFonts w:hint="eastAsia"/>
        <w:b/>
        <w:bCs/>
      </w:rPr>
    </w:lvl>
  </w:abstractNum>
  <w:abstractNum w:abstractNumId="3">
    <w:nsid w:val="D08B92D2"/>
    <w:multiLevelType w:val="singleLevel"/>
    <w:tmpl w:val="D08B92D2"/>
    <w:lvl w:ilvl="0" w:tentative="0">
      <w:start w:val="8"/>
      <w:numFmt w:val="chineseCounting"/>
      <w:suff w:val="nothing"/>
      <w:lvlText w:val="%1、"/>
      <w:lvlJc w:val="left"/>
      <w:rPr>
        <w:rFonts w:hint="eastAsia"/>
      </w:rPr>
    </w:lvl>
  </w:abstractNum>
  <w:abstractNum w:abstractNumId="4">
    <w:nsid w:val="0000001E"/>
    <w:multiLevelType w:val="multilevel"/>
    <w:tmpl w:val="0000001E"/>
    <w:lvl w:ilvl="0" w:tentative="0">
      <w:start w:val="1"/>
      <w:numFmt w:val="chineseCountingThousand"/>
      <w:pStyle w:val="15"/>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395060D3"/>
    <w:multiLevelType w:val="multilevel"/>
    <w:tmpl w:val="395060D3"/>
    <w:lvl w:ilvl="0" w:tentative="0">
      <w:start w:val="1"/>
      <w:numFmt w:val="bullet"/>
      <w:pStyle w:val="70"/>
      <w:lvlText w:val=""/>
      <w:lvlJc w:val="left"/>
      <w:pPr>
        <w:tabs>
          <w:tab w:val="left" w:pos="562"/>
        </w:tabs>
        <w:ind w:left="562" w:hanging="420"/>
      </w:pPr>
      <w:rPr>
        <w:rFonts w:hint="default" w:ascii="Wingdings" w:hAnsi="Wingdings"/>
      </w:rPr>
    </w:lvl>
    <w:lvl w:ilvl="1" w:tentative="0">
      <w:start w:val="1"/>
      <w:numFmt w:val="bullet"/>
      <w:lvlText w:val=""/>
      <w:lvlJc w:val="left"/>
      <w:pPr>
        <w:tabs>
          <w:tab w:val="left" w:pos="982"/>
        </w:tabs>
        <w:ind w:left="982" w:hanging="420"/>
      </w:pPr>
      <w:rPr>
        <w:rFonts w:hint="default" w:ascii="Wingdings" w:hAnsi="Wingdings"/>
      </w:rPr>
    </w:lvl>
    <w:lvl w:ilvl="2" w:tentative="0">
      <w:start w:val="1"/>
      <w:numFmt w:val="bullet"/>
      <w:lvlText w:val=""/>
      <w:lvlJc w:val="left"/>
      <w:pPr>
        <w:tabs>
          <w:tab w:val="left" w:pos="1402"/>
        </w:tabs>
        <w:ind w:left="1402" w:hanging="420"/>
      </w:pPr>
      <w:rPr>
        <w:rFonts w:hint="default" w:ascii="Wingdings" w:hAnsi="Wingdings"/>
      </w:rPr>
    </w:lvl>
    <w:lvl w:ilvl="3" w:tentative="0">
      <w:start w:val="1"/>
      <w:numFmt w:val="bullet"/>
      <w:lvlText w:val=""/>
      <w:lvlJc w:val="left"/>
      <w:pPr>
        <w:tabs>
          <w:tab w:val="left" w:pos="1822"/>
        </w:tabs>
        <w:ind w:left="1822" w:hanging="420"/>
      </w:pPr>
      <w:rPr>
        <w:rFonts w:hint="default" w:ascii="Wingdings" w:hAnsi="Wingdings"/>
      </w:rPr>
    </w:lvl>
    <w:lvl w:ilvl="4" w:tentative="0">
      <w:start w:val="1"/>
      <w:numFmt w:val="bullet"/>
      <w:lvlText w:val=""/>
      <w:lvlJc w:val="left"/>
      <w:pPr>
        <w:tabs>
          <w:tab w:val="left" w:pos="2242"/>
        </w:tabs>
        <w:ind w:left="2242" w:hanging="420"/>
      </w:pPr>
      <w:rPr>
        <w:rFonts w:hint="default" w:ascii="Wingdings" w:hAnsi="Wingdings"/>
      </w:rPr>
    </w:lvl>
    <w:lvl w:ilvl="5" w:tentative="0">
      <w:start w:val="1"/>
      <w:numFmt w:val="bullet"/>
      <w:lvlText w:val=""/>
      <w:lvlJc w:val="left"/>
      <w:pPr>
        <w:tabs>
          <w:tab w:val="left" w:pos="2662"/>
        </w:tabs>
        <w:ind w:left="2662" w:hanging="420"/>
      </w:pPr>
      <w:rPr>
        <w:rFonts w:hint="default" w:ascii="Wingdings" w:hAnsi="Wingdings"/>
      </w:rPr>
    </w:lvl>
    <w:lvl w:ilvl="6" w:tentative="0">
      <w:start w:val="1"/>
      <w:numFmt w:val="bullet"/>
      <w:lvlText w:val=""/>
      <w:lvlJc w:val="left"/>
      <w:pPr>
        <w:tabs>
          <w:tab w:val="left" w:pos="3082"/>
        </w:tabs>
        <w:ind w:left="3082" w:hanging="420"/>
      </w:pPr>
      <w:rPr>
        <w:rFonts w:hint="default" w:ascii="Wingdings" w:hAnsi="Wingdings"/>
      </w:rPr>
    </w:lvl>
    <w:lvl w:ilvl="7" w:tentative="0">
      <w:start w:val="1"/>
      <w:numFmt w:val="bullet"/>
      <w:lvlText w:val=""/>
      <w:lvlJc w:val="left"/>
      <w:pPr>
        <w:tabs>
          <w:tab w:val="left" w:pos="3502"/>
        </w:tabs>
        <w:ind w:left="3502" w:hanging="420"/>
      </w:pPr>
      <w:rPr>
        <w:rFonts w:hint="default" w:ascii="Wingdings" w:hAnsi="Wingdings"/>
      </w:rPr>
    </w:lvl>
    <w:lvl w:ilvl="8" w:tentative="0">
      <w:start w:val="1"/>
      <w:numFmt w:val="bullet"/>
      <w:lvlText w:val=""/>
      <w:lvlJc w:val="left"/>
      <w:pPr>
        <w:tabs>
          <w:tab w:val="left" w:pos="3922"/>
        </w:tabs>
        <w:ind w:left="3922" w:hanging="420"/>
      </w:pPr>
      <w:rPr>
        <w:rFonts w:hint="default" w:ascii="Wingdings" w:hAnsi="Wingdings"/>
      </w:rPr>
    </w:lvl>
  </w:abstractNum>
  <w:abstractNum w:abstractNumId="6">
    <w:nsid w:val="43BDEC0D"/>
    <w:multiLevelType w:val="singleLevel"/>
    <w:tmpl w:val="43BDEC0D"/>
    <w:lvl w:ilvl="0" w:tentative="0">
      <w:start w:val="5"/>
      <w:numFmt w:val="chineseCounting"/>
      <w:suff w:val="space"/>
      <w:lvlText w:val="第%1章"/>
      <w:lvlJc w:val="left"/>
      <w:rPr>
        <w:rFonts w:hint="eastAsia"/>
      </w:rPr>
    </w:lvl>
  </w:abstractNum>
  <w:abstractNum w:abstractNumId="7">
    <w:nsid w:val="54E6A4F0"/>
    <w:multiLevelType w:val="singleLevel"/>
    <w:tmpl w:val="54E6A4F0"/>
    <w:lvl w:ilvl="0" w:tentative="0">
      <w:start w:val="7"/>
      <w:numFmt w:val="decimal"/>
      <w:lvlText w:val="%1."/>
      <w:lvlJc w:val="left"/>
      <w:pPr>
        <w:tabs>
          <w:tab w:val="left" w:pos="312"/>
        </w:tabs>
      </w:pPr>
    </w:lvl>
  </w:abstractNum>
  <w:abstractNum w:abstractNumId="8">
    <w:nsid w:val="763060DB"/>
    <w:multiLevelType w:val="multilevel"/>
    <w:tmpl w:val="763060DB"/>
    <w:lvl w:ilvl="0" w:tentative="0">
      <w:start w:val="1"/>
      <w:numFmt w:val="japaneseCounting"/>
      <w:pStyle w:val="23"/>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5"/>
      <w:lvlText w:val="%4."/>
      <w:lvlJc w:val="left"/>
      <w:pPr>
        <w:tabs>
          <w:tab w:val="left" w:pos="1860"/>
        </w:tabs>
        <w:ind w:left="1860" w:hanging="420"/>
      </w:pPr>
    </w:lvl>
    <w:lvl w:ilvl="4" w:tentative="0">
      <w:start w:val="1"/>
      <w:numFmt w:val="lowerLetter"/>
      <w:pStyle w:val="6"/>
      <w:lvlText w:val="%5)"/>
      <w:lvlJc w:val="left"/>
      <w:pPr>
        <w:tabs>
          <w:tab w:val="left" w:pos="2280"/>
        </w:tabs>
        <w:ind w:left="2280" w:hanging="420"/>
      </w:pPr>
    </w:lvl>
    <w:lvl w:ilvl="5" w:tentative="0">
      <w:start w:val="1"/>
      <w:numFmt w:val="lowerRoman"/>
      <w:pStyle w:val="8"/>
      <w:lvlText w:val="%6."/>
      <w:lvlJc w:val="right"/>
      <w:pPr>
        <w:tabs>
          <w:tab w:val="left" w:pos="2700"/>
        </w:tabs>
        <w:ind w:left="2700" w:hanging="420"/>
      </w:pPr>
    </w:lvl>
    <w:lvl w:ilvl="6" w:tentative="0">
      <w:start w:val="1"/>
      <w:numFmt w:val="decimal"/>
      <w:pStyle w:val="9"/>
      <w:lvlText w:val="%7."/>
      <w:lvlJc w:val="left"/>
      <w:pPr>
        <w:tabs>
          <w:tab w:val="left" w:pos="3120"/>
        </w:tabs>
        <w:ind w:left="3120" w:hanging="420"/>
      </w:pPr>
    </w:lvl>
    <w:lvl w:ilvl="7" w:tentative="0">
      <w:start w:val="1"/>
      <w:numFmt w:val="lowerLetter"/>
      <w:pStyle w:val="10"/>
      <w:lvlText w:val="%8)"/>
      <w:lvlJc w:val="left"/>
      <w:pPr>
        <w:tabs>
          <w:tab w:val="left" w:pos="3540"/>
        </w:tabs>
        <w:ind w:left="3540" w:hanging="420"/>
      </w:pPr>
    </w:lvl>
    <w:lvl w:ilvl="8" w:tentative="0">
      <w:start w:val="1"/>
      <w:numFmt w:val="lowerRoman"/>
      <w:pStyle w:val="11"/>
      <w:lvlText w:val="%9."/>
      <w:lvlJc w:val="right"/>
      <w:pPr>
        <w:tabs>
          <w:tab w:val="left" w:pos="3960"/>
        </w:tabs>
        <w:ind w:left="3960" w:hanging="420"/>
      </w:pPr>
    </w:lvl>
  </w:abstractNum>
  <w:num w:numId="1">
    <w:abstractNumId w:val="8"/>
  </w:num>
  <w:num w:numId="2">
    <w:abstractNumId w:val="4"/>
  </w:num>
  <w:num w:numId="3">
    <w:abstractNumId w:val="5"/>
  </w:num>
  <w:num w:numId="4">
    <w:abstractNumId w:val="0"/>
  </w:num>
  <w:num w:numId="5">
    <w:abstractNumId w:val="3"/>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6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YWVhY2FiN2M1MTI0MDJmOGRkZDNjZGJiOGJiMDEifQ=="/>
  </w:docVars>
  <w:rsids>
    <w:rsidRoot w:val="00172A27"/>
    <w:rsid w:val="00000190"/>
    <w:rsid w:val="00003652"/>
    <w:rsid w:val="000059EB"/>
    <w:rsid w:val="000113CA"/>
    <w:rsid w:val="0001237E"/>
    <w:rsid w:val="00013434"/>
    <w:rsid w:val="0001428D"/>
    <w:rsid w:val="000165DD"/>
    <w:rsid w:val="00016F41"/>
    <w:rsid w:val="0001792D"/>
    <w:rsid w:val="00021CE7"/>
    <w:rsid w:val="00022FA9"/>
    <w:rsid w:val="000242D8"/>
    <w:rsid w:val="00027A71"/>
    <w:rsid w:val="00030274"/>
    <w:rsid w:val="00031C0A"/>
    <w:rsid w:val="0003784F"/>
    <w:rsid w:val="00041A0E"/>
    <w:rsid w:val="000427FB"/>
    <w:rsid w:val="0004653A"/>
    <w:rsid w:val="0004695A"/>
    <w:rsid w:val="00047E7F"/>
    <w:rsid w:val="00050856"/>
    <w:rsid w:val="00050E74"/>
    <w:rsid w:val="00055F86"/>
    <w:rsid w:val="000574B9"/>
    <w:rsid w:val="00062015"/>
    <w:rsid w:val="000624EC"/>
    <w:rsid w:val="00066EFB"/>
    <w:rsid w:val="0006700D"/>
    <w:rsid w:val="0007000B"/>
    <w:rsid w:val="000700DD"/>
    <w:rsid w:val="000709D5"/>
    <w:rsid w:val="0007154C"/>
    <w:rsid w:val="00073B8A"/>
    <w:rsid w:val="00074B56"/>
    <w:rsid w:val="00075324"/>
    <w:rsid w:val="0007619F"/>
    <w:rsid w:val="000801A0"/>
    <w:rsid w:val="00083410"/>
    <w:rsid w:val="000869E9"/>
    <w:rsid w:val="00092D35"/>
    <w:rsid w:val="00094824"/>
    <w:rsid w:val="00096DAC"/>
    <w:rsid w:val="00097194"/>
    <w:rsid w:val="000A0973"/>
    <w:rsid w:val="000A5F17"/>
    <w:rsid w:val="000A6BCE"/>
    <w:rsid w:val="000A6DA0"/>
    <w:rsid w:val="000A798D"/>
    <w:rsid w:val="000B09F0"/>
    <w:rsid w:val="000B162C"/>
    <w:rsid w:val="000B250A"/>
    <w:rsid w:val="000B3671"/>
    <w:rsid w:val="000B59DC"/>
    <w:rsid w:val="000B7E41"/>
    <w:rsid w:val="000C1F2E"/>
    <w:rsid w:val="000C456B"/>
    <w:rsid w:val="000C4666"/>
    <w:rsid w:val="000C6583"/>
    <w:rsid w:val="000C6668"/>
    <w:rsid w:val="000D21B7"/>
    <w:rsid w:val="000D2CC6"/>
    <w:rsid w:val="000D3003"/>
    <w:rsid w:val="000D4EBA"/>
    <w:rsid w:val="000D57B7"/>
    <w:rsid w:val="000D57DF"/>
    <w:rsid w:val="000D7E1D"/>
    <w:rsid w:val="000E0974"/>
    <w:rsid w:val="000E0BCD"/>
    <w:rsid w:val="000E1B2E"/>
    <w:rsid w:val="000E399F"/>
    <w:rsid w:val="000F0C0F"/>
    <w:rsid w:val="000F1AEA"/>
    <w:rsid w:val="000F26D8"/>
    <w:rsid w:val="000F29F5"/>
    <w:rsid w:val="000F7BFB"/>
    <w:rsid w:val="00102816"/>
    <w:rsid w:val="001031C8"/>
    <w:rsid w:val="00103C30"/>
    <w:rsid w:val="00103CFA"/>
    <w:rsid w:val="0010495D"/>
    <w:rsid w:val="00107B4F"/>
    <w:rsid w:val="001107F1"/>
    <w:rsid w:val="00114003"/>
    <w:rsid w:val="001157E5"/>
    <w:rsid w:val="00123429"/>
    <w:rsid w:val="00124553"/>
    <w:rsid w:val="00124933"/>
    <w:rsid w:val="00125257"/>
    <w:rsid w:val="00125D81"/>
    <w:rsid w:val="001318C9"/>
    <w:rsid w:val="00133AA1"/>
    <w:rsid w:val="001349FB"/>
    <w:rsid w:val="00136CF0"/>
    <w:rsid w:val="00141722"/>
    <w:rsid w:val="001519D2"/>
    <w:rsid w:val="00157312"/>
    <w:rsid w:val="00157567"/>
    <w:rsid w:val="001579D3"/>
    <w:rsid w:val="00160046"/>
    <w:rsid w:val="00162B8B"/>
    <w:rsid w:val="00162F41"/>
    <w:rsid w:val="0016384F"/>
    <w:rsid w:val="00164350"/>
    <w:rsid w:val="0016485F"/>
    <w:rsid w:val="00164F73"/>
    <w:rsid w:val="00166DBD"/>
    <w:rsid w:val="00170383"/>
    <w:rsid w:val="00171177"/>
    <w:rsid w:val="00171641"/>
    <w:rsid w:val="00172A27"/>
    <w:rsid w:val="00172F5F"/>
    <w:rsid w:val="0019301B"/>
    <w:rsid w:val="0019344A"/>
    <w:rsid w:val="001950CE"/>
    <w:rsid w:val="00197A95"/>
    <w:rsid w:val="001A50F8"/>
    <w:rsid w:val="001A6B89"/>
    <w:rsid w:val="001A79CF"/>
    <w:rsid w:val="001B0564"/>
    <w:rsid w:val="001B193F"/>
    <w:rsid w:val="001B32A0"/>
    <w:rsid w:val="001B39AC"/>
    <w:rsid w:val="001B4897"/>
    <w:rsid w:val="001B48BE"/>
    <w:rsid w:val="001B6C8E"/>
    <w:rsid w:val="001C10C0"/>
    <w:rsid w:val="001C118E"/>
    <w:rsid w:val="001C1E7F"/>
    <w:rsid w:val="001C361F"/>
    <w:rsid w:val="001C4289"/>
    <w:rsid w:val="001C4BB6"/>
    <w:rsid w:val="001C575D"/>
    <w:rsid w:val="001D20D6"/>
    <w:rsid w:val="001D5990"/>
    <w:rsid w:val="001D66F2"/>
    <w:rsid w:val="001D769C"/>
    <w:rsid w:val="001D79CB"/>
    <w:rsid w:val="001E2133"/>
    <w:rsid w:val="001E23B3"/>
    <w:rsid w:val="001E340D"/>
    <w:rsid w:val="001E3B8C"/>
    <w:rsid w:val="001E3CE6"/>
    <w:rsid w:val="001E646A"/>
    <w:rsid w:val="001E65A3"/>
    <w:rsid w:val="001E6BAA"/>
    <w:rsid w:val="001F0AD2"/>
    <w:rsid w:val="001F1B1B"/>
    <w:rsid w:val="001F24AB"/>
    <w:rsid w:val="001F2FE8"/>
    <w:rsid w:val="001F66E2"/>
    <w:rsid w:val="001F74FD"/>
    <w:rsid w:val="00200737"/>
    <w:rsid w:val="00200D14"/>
    <w:rsid w:val="0020224D"/>
    <w:rsid w:val="00204AD0"/>
    <w:rsid w:val="00207E17"/>
    <w:rsid w:val="00212275"/>
    <w:rsid w:val="0021349C"/>
    <w:rsid w:val="00216355"/>
    <w:rsid w:val="00216C27"/>
    <w:rsid w:val="00217F51"/>
    <w:rsid w:val="002201C7"/>
    <w:rsid w:val="0022431A"/>
    <w:rsid w:val="0022685C"/>
    <w:rsid w:val="00231DA7"/>
    <w:rsid w:val="002430DA"/>
    <w:rsid w:val="00243ED4"/>
    <w:rsid w:val="00244050"/>
    <w:rsid w:val="0024607D"/>
    <w:rsid w:val="0025033C"/>
    <w:rsid w:val="00260F1F"/>
    <w:rsid w:val="00262472"/>
    <w:rsid w:val="00264DD0"/>
    <w:rsid w:val="00265C56"/>
    <w:rsid w:val="00265E8E"/>
    <w:rsid w:val="002700F1"/>
    <w:rsid w:val="00270D46"/>
    <w:rsid w:val="00272E82"/>
    <w:rsid w:val="00275822"/>
    <w:rsid w:val="002761D7"/>
    <w:rsid w:val="0027641C"/>
    <w:rsid w:val="00281220"/>
    <w:rsid w:val="00281569"/>
    <w:rsid w:val="00283E52"/>
    <w:rsid w:val="00284535"/>
    <w:rsid w:val="00285A05"/>
    <w:rsid w:val="00290B0A"/>
    <w:rsid w:val="00291E19"/>
    <w:rsid w:val="00295A8A"/>
    <w:rsid w:val="00296185"/>
    <w:rsid w:val="002963D3"/>
    <w:rsid w:val="002A037A"/>
    <w:rsid w:val="002A20F0"/>
    <w:rsid w:val="002A2595"/>
    <w:rsid w:val="002A2921"/>
    <w:rsid w:val="002A40BD"/>
    <w:rsid w:val="002A59E1"/>
    <w:rsid w:val="002A69D5"/>
    <w:rsid w:val="002A7128"/>
    <w:rsid w:val="002B3282"/>
    <w:rsid w:val="002B5ACD"/>
    <w:rsid w:val="002C038D"/>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32E0"/>
    <w:rsid w:val="002E4551"/>
    <w:rsid w:val="002E4958"/>
    <w:rsid w:val="002E662E"/>
    <w:rsid w:val="002E6868"/>
    <w:rsid w:val="002F1867"/>
    <w:rsid w:val="002F61F9"/>
    <w:rsid w:val="00301543"/>
    <w:rsid w:val="00302333"/>
    <w:rsid w:val="00304B95"/>
    <w:rsid w:val="003070BD"/>
    <w:rsid w:val="00311035"/>
    <w:rsid w:val="00320AEB"/>
    <w:rsid w:val="00320F2F"/>
    <w:rsid w:val="00321FB5"/>
    <w:rsid w:val="00322074"/>
    <w:rsid w:val="003248A3"/>
    <w:rsid w:val="003257A2"/>
    <w:rsid w:val="00326CF0"/>
    <w:rsid w:val="003278CB"/>
    <w:rsid w:val="00331FDC"/>
    <w:rsid w:val="00333FA6"/>
    <w:rsid w:val="00336522"/>
    <w:rsid w:val="003405C7"/>
    <w:rsid w:val="00341F64"/>
    <w:rsid w:val="00345F77"/>
    <w:rsid w:val="003475AA"/>
    <w:rsid w:val="00350EA5"/>
    <w:rsid w:val="00352601"/>
    <w:rsid w:val="00352640"/>
    <w:rsid w:val="00352E9E"/>
    <w:rsid w:val="0035414E"/>
    <w:rsid w:val="00355200"/>
    <w:rsid w:val="00355552"/>
    <w:rsid w:val="00355860"/>
    <w:rsid w:val="00355917"/>
    <w:rsid w:val="003571F2"/>
    <w:rsid w:val="00360891"/>
    <w:rsid w:val="00363655"/>
    <w:rsid w:val="00365474"/>
    <w:rsid w:val="00367FDB"/>
    <w:rsid w:val="0037686C"/>
    <w:rsid w:val="00376D16"/>
    <w:rsid w:val="00381570"/>
    <w:rsid w:val="0038728A"/>
    <w:rsid w:val="00390123"/>
    <w:rsid w:val="00391FCD"/>
    <w:rsid w:val="003932E7"/>
    <w:rsid w:val="003935FB"/>
    <w:rsid w:val="00393ECE"/>
    <w:rsid w:val="0039429C"/>
    <w:rsid w:val="003977B2"/>
    <w:rsid w:val="00397B80"/>
    <w:rsid w:val="003A0A98"/>
    <w:rsid w:val="003A4523"/>
    <w:rsid w:val="003A5208"/>
    <w:rsid w:val="003A5DB1"/>
    <w:rsid w:val="003A6516"/>
    <w:rsid w:val="003A68A5"/>
    <w:rsid w:val="003B0E7F"/>
    <w:rsid w:val="003B3A38"/>
    <w:rsid w:val="003B47C8"/>
    <w:rsid w:val="003B586C"/>
    <w:rsid w:val="003B6160"/>
    <w:rsid w:val="003C1F7D"/>
    <w:rsid w:val="003C324E"/>
    <w:rsid w:val="003C4424"/>
    <w:rsid w:val="003C5C90"/>
    <w:rsid w:val="003C64FC"/>
    <w:rsid w:val="003D220E"/>
    <w:rsid w:val="003D2260"/>
    <w:rsid w:val="003D2DBF"/>
    <w:rsid w:val="003D3739"/>
    <w:rsid w:val="003D4961"/>
    <w:rsid w:val="003D5A40"/>
    <w:rsid w:val="003E0F1D"/>
    <w:rsid w:val="003E2A9B"/>
    <w:rsid w:val="003E4922"/>
    <w:rsid w:val="003E5D77"/>
    <w:rsid w:val="003F1F34"/>
    <w:rsid w:val="003F330E"/>
    <w:rsid w:val="003F374D"/>
    <w:rsid w:val="003F4145"/>
    <w:rsid w:val="00400769"/>
    <w:rsid w:val="00401740"/>
    <w:rsid w:val="00402B41"/>
    <w:rsid w:val="004033E9"/>
    <w:rsid w:val="00406084"/>
    <w:rsid w:val="0041087B"/>
    <w:rsid w:val="0041093E"/>
    <w:rsid w:val="004130CE"/>
    <w:rsid w:val="0041410D"/>
    <w:rsid w:val="0041434A"/>
    <w:rsid w:val="00415406"/>
    <w:rsid w:val="004171E2"/>
    <w:rsid w:val="00424DC7"/>
    <w:rsid w:val="0042667A"/>
    <w:rsid w:val="00427506"/>
    <w:rsid w:val="004277CA"/>
    <w:rsid w:val="004306B0"/>
    <w:rsid w:val="00431BC1"/>
    <w:rsid w:val="00435A37"/>
    <w:rsid w:val="00436071"/>
    <w:rsid w:val="00441A20"/>
    <w:rsid w:val="004448AD"/>
    <w:rsid w:val="00444BE4"/>
    <w:rsid w:val="00451F6B"/>
    <w:rsid w:val="004527A7"/>
    <w:rsid w:val="00455495"/>
    <w:rsid w:val="00455604"/>
    <w:rsid w:val="00455D3B"/>
    <w:rsid w:val="00456CDA"/>
    <w:rsid w:val="0046017C"/>
    <w:rsid w:val="004603D9"/>
    <w:rsid w:val="00460DE4"/>
    <w:rsid w:val="0046202F"/>
    <w:rsid w:val="00463D9C"/>
    <w:rsid w:val="00466001"/>
    <w:rsid w:val="00471B85"/>
    <w:rsid w:val="00471C7B"/>
    <w:rsid w:val="00473356"/>
    <w:rsid w:val="00473892"/>
    <w:rsid w:val="00474902"/>
    <w:rsid w:val="00475540"/>
    <w:rsid w:val="00476455"/>
    <w:rsid w:val="00482FFB"/>
    <w:rsid w:val="00483AA0"/>
    <w:rsid w:val="00484312"/>
    <w:rsid w:val="004866C0"/>
    <w:rsid w:val="00490574"/>
    <w:rsid w:val="004908AF"/>
    <w:rsid w:val="00490CD6"/>
    <w:rsid w:val="00496030"/>
    <w:rsid w:val="00497F19"/>
    <w:rsid w:val="004A0387"/>
    <w:rsid w:val="004A2B06"/>
    <w:rsid w:val="004A4C07"/>
    <w:rsid w:val="004A5133"/>
    <w:rsid w:val="004A7620"/>
    <w:rsid w:val="004B038B"/>
    <w:rsid w:val="004B06DE"/>
    <w:rsid w:val="004B141E"/>
    <w:rsid w:val="004B4ED0"/>
    <w:rsid w:val="004C0902"/>
    <w:rsid w:val="004C0A3F"/>
    <w:rsid w:val="004C3B18"/>
    <w:rsid w:val="004C3BD4"/>
    <w:rsid w:val="004C4876"/>
    <w:rsid w:val="004C6290"/>
    <w:rsid w:val="004D1BD1"/>
    <w:rsid w:val="004D24C0"/>
    <w:rsid w:val="004D2C16"/>
    <w:rsid w:val="004D3E85"/>
    <w:rsid w:val="004D489B"/>
    <w:rsid w:val="004D5B49"/>
    <w:rsid w:val="004D789C"/>
    <w:rsid w:val="004D7EB4"/>
    <w:rsid w:val="004E0DE8"/>
    <w:rsid w:val="004E4783"/>
    <w:rsid w:val="004F58C6"/>
    <w:rsid w:val="004F732D"/>
    <w:rsid w:val="0050052B"/>
    <w:rsid w:val="00502AB7"/>
    <w:rsid w:val="00502FB1"/>
    <w:rsid w:val="0050333B"/>
    <w:rsid w:val="00504B89"/>
    <w:rsid w:val="005058D6"/>
    <w:rsid w:val="005064F9"/>
    <w:rsid w:val="00513ED9"/>
    <w:rsid w:val="00514567"/>
    <w:rsid w:val="00516360"/>
    <w:rsid w:val="005178A4"/>
    <w:rsid w:val="00520748"/>
    <w:rsid w:val="00522C85"/>
    <w:rsid w:val="00523022"/>
    <w:rsid w:val="0052480E"/>
    <w:rsid w:val="00527F1C"/>
    <w:rsid w:val="00530987"/>
    <w:rsid w:val="0053246E"/>
    <w:rsid w:val="00532851"/>
    <w:rsid w:val="0053383A"/>
    <w:rsid w:val="0053387D"/>
    <w:rsid w:val="0053629E"/>
    <w:rsid w:val="0053771A"/>
    <w:rsid w:val="005417E7"/>
    <w:rsid w:val="00541DF1"/>
    <w:rsid w:val="0054474E"/>
    <w:rsid w:val="00545B64"/>
    <w:rsid w:val="00550AC2"/>
    <w:rsid w:val="00550B46"/>
    <w:rsid w:val="00551B09"/>
    <w:rsid w:val="00552851"/>
    <w:rsid w:val="005529C8"/>
    <w:rsid w:val="00554847"/>
    <w:rsid w:val="005548ED"/>
    <w:rsid w:val="00555B50"/>
    <w:rsid w:val="005560C8"/>
    <w:rsid w:val="00564907"/>
    <w:rsid w:val="005673E3"/>
    <w:rsid w:val="0057007E"/>
    <w:rsid w:val="00572154"/>
    <w:rsid w:val="005821EA"/>
    <w:rsid w:val="005822C2"/>
    <w:rsid w:val="00584116"/>
    <w:rsid w:val="00585D0B"/>
    <w:rsid w:val="00591279"/>
    <w:rsid w:val="005919C6"/>
    <w:rsid w:val="005929FD"/>
    <w:rsid w:val="00592B39"/>
    <w:rsid w:val="005945D3"/>
    <w:rsid w:val="0059552E"/>
    <w:rsid w:val="005A1E1D"/>
    <w:rsid w:val="005A6976"/>
    <w:rsid w:val="005A7F42"/>
    <w:rsid w:val="005B08AE"/>
    <w:rsid w:val="005B1383"/>
    <w:rsid w:val="005B537F"/>
    <w:rsid w:val="005B5789"/>
    <w:rsid w:val="005B6AB0"/>
    <w:rsid w:val="005C22ED"/>
    <w:rsid w:val="005C4F69"/>
    <w:rsid w:val="005C54AF"/>
    <w:rsid w:val="005D3CD0"/>
    <w:rsid w:val="005D3D37"/>
    <w:rsid w:val="005D5562"/>
    <w:rsid w:val="005D5983"/>
    <w:rsid w:val="005E1289"/>
    <w:rsid w:val="005E2AEF"/>
    <w:rsid w:val="005E4555"/>
    <w:rsid w:val="005E67E9"/>
    <w:rsid w:val="005E7F28"/>
    <w:rsid w:val="005F12B7"/>
    <w:rsid w:val="005F5FB1"/>
    <w:rsid w:val="006006BB"/>
    <w:rsid w:val="00601824"/>
    <w:rsid w:val="0060504A"/>
    <w:rsid w:val="0060547D"/>
    <w:rsid w:val="006119E8"/>
    <w:rsid w:val="00613CF5"/>
    <w:rsid w:val="00614C29"/>
    <w:rsid w:val="006172B4"/>
    <w:rsid w:val="00620987"/>
    <w:rsid w:val="006277FD"/>
    <w:rsid w:val="00630AEA"/>
    <w:rsid w:val="00631CB9"/>
    <w:rsid w:val="00636BD8"/>
    <w:rsid w:val="00637ADB"/>
    <w:rsid w:val="00644EF3"/>
    <w:rsid w:val="006504D7"/>
    <w:rsid w:val="006513CE"/>
    <w:rsid w:val="0065318F"/>
    <w:rsid w:val="00654ADD"/>
    <w:rsid w:val="006569A3"/>
    <w:rsid w:val="00657194"/>
    <w:rsid w:val="006577BD"/>
    <w:rsid w:val="00657F54"/>
    <w:rsid w:val="00663D89"/>
    <w:rsid w:val="006659BF"/>
    <w:rsid w:val="00665DCB"/>
    <w:rsid w:val="0066643B"/>
    <w:rsid w:val="00675D8A"/>
    <w:rsid w:val="00676893"/>
    <w:rsid w:val="00680869"/>
    <w:rsid w:val="00682630"/>
    <w:rsid w:val="006827AB"/>
    <w:rsid w:val="0068309C"/>
    <w:rsid w:val="00685C29"/>
    <w:rsid w:val="00687A26"/>
    <w:rsid w:val="00694A00"/>
    <w:rsid w:val="00696D07"/>
    <w:rsid w:val="006A11DD"/>
    <w:rsid w:val="006A6403"/>
    <w:rsid w:val="006A6713"/>
    <w:rsid w:val="006A69FB"/>
    <w:rsid w:val="006A78B7"/>
    <w:rsid w:val="006B10FB"/>
    <w:rsid w:val="006B23CC"/>
    <w:rsid w:val="006B35AC"/>
    <w:rsid w:val="006B459E"/>
    <w:rsid w:val="006B4E41"/>
    <w:rsid w:val="006B6A3D"/>
    <w:rsid w:val="006B7957"/>
    <w:rsid w:val="006C1EF7"/>
    <w:rsid w:val="006C5D06"/>
    <w:rsid w:val="006C6CBF"/>
    <w:rsid w:val="006C7CE9"/>
    <w:rsid w:val="006D1CE4"/>
    <w:rsid w:val="006D449E"/>
    <w:rsid w:val="006D4CA4"/>
    <w:rsid w:val="006D4E57"/>
    <w:rsid w:val="006D64CF"/>
    <w:rsid w:val="006D76B4"/>
    <w:rsid w:val="006E16BA"/>
    <w:rsid w:val="006E27C5"/>
    <w:rsid w:val="006E37E2"/>
    <w:rsid w:val="006E54C5"/>
    <w:rsid w:val="006E57C1"/>
    <w:rsid w:val="006E5816"/>
    <w:rsid w:val="006E5B47"/>
    <w:rsid w:val="006E6487"/>
    <w:rsid w:val="006E6B75"/>
    <w:rsid w:val="006F0073"/>
    <w:rsid w:val="006F1867"/>
    <w:rsid w:val="006F2415"/>
    <w:rsid w:val="006F3A45"/>
    <w:rsid w:val="006F5169"/>
    <w:rsid w:val="006F5FC0"/>
    <w:rsid w:val="006F6039"/>
    <w:rsid w:val="006F63A9"/>
    <w:rsid w:val="00703304"/>
    <w:rsid w:val="00703B65"/>
    <w:rsid w:val="0070457A"/>
    <w:rsid w:val="007060EB"/>
    <w:rsid w:val="007063A2"/>
    <w:rsid w:val="00712481"/>
    <w:rsid w:val="00721E06"/>
    <w:rsid w:val="00722098"/>
    <w:rsid w:val="0072290B"/>
    <w:rsid w:val="00722B2B"/>
    <w:rsid w:val="00722BF7"/>
    <w:rsid w:val="00722D13"/>
    <w:rsid w:val="00732A91"/>
    <w:rsid w:val="007332F7"/>
    <w:rsid w:val="00735936"/>
    <w:rsid w:val="00737663"/>
    <w:rsid w:val="007376DD"/>
    <w:rsid w:val="00737942"/>
    <w:rsid w:val="00737A7A"/>
    <w:rsid w:val="007438B7"/>
    <w:rsid w:val="007445A1"/>
    <w:rsid w:val="00746254"/>
    <w:rsid w:val="00746675"/>
    <w:rsid w:val="0074671D"/>
    <w:rsid w:val="007509DE"/>
    <w:rsid w:val="00752A44"/>
    <w:rsid w:val="007550F5"/>
    <w:rsid w:val="00755FCA"/>
    <w:rsid w:val="00756B36"/>
    <w:rsid w:val="00760364"/>
    <w:rsid w:val="00763DD3"/>
    <w:rsid w:val="00767932"/>
    <w:rsid w:val="00771F5D"/>
    <w:rsid w:val="00774EA6"/>
    <w:rsid w:val="00775119"/>
    <w:rsid w:val="00777CAC"/>
    <w:rsid w:val="00780555"/>
    <w:rsid w:val="0078079A"/>
    <w:rsid w:val="007810FD"/>
    <w:rsid w:val="0078541B"/>
    <w:rsid w:val="00785496"/>
    <w:rsid w:val="00786B0D"/>
    <w:rsid w:val="00793BA8"/>
    <w:rsid w:val="00794BAD"/>
    <w:rsid w:val="00794EB8"/>
    <w:rsid w:val="00795944"/>
    <w:rsid w:val="0079719E"/>
    <w:rsid w:val="007972D5"/>
    <w:rsid w:val="007A01F5"/>
    <w:rsid w:val="007A2D19"/>
    <w:rsid w:val="007A4BC0"/>
    <w:rsid w:val="007A4C17"/>
    <w:rsid w:val="007B3B83"/>
    <w:rsid w:val="007B3CF0"/>
    <w:rsid w:val="007B3E6D"/>
    <w:rsid w:val="007B7605"/>
    <w:rsid w:val="007C4BA1"/>
    <w:rsid w:val="007C5709"/>
    <w:rsid w:val="007C618D"/>
    <w:rsid w:val="007C69C6"/>
    <w:rsid w:val="007C6EC0"/>
    <w:rsid w:val="007C76D6"/>
    <w:rsid w:val="007D2CE5"/>
    <w:rsid w:val="007D4971"/>
    <w:rsid w:val="007D4C08"/>
    <w:rsid w:val="007D54A6"/>
    <w:rsid w:val="007D6819"/>
    <w:rsid w:val="007D6F8A"/>
    <w:rsid w:val="007D7842"/>
    <w:rsid w:val="007E0EE7"/>
    <w:rsid w:val="007E2DF8"/>
    <w:rsid w:val="007E4018"/>
    <w:rsid w:val="007E6255"/>
    <w:rsid w:val="007F1AA9"/>
    <w:rsid w:val="007F2FAC"/>
    <w:rsid w:val="007F3163"/>
    <w:rsid w:val="007F445F"/>
    <w:rsid w:val="007F6E86"/>
    <w:rsid w:val="007F7D57"/>
    <w:rsid w:val="008021AF"/>
    <w:rsid w:val="008022FE"/>
    <w:rsid w:val="008049ED"/>
    <w:rsid w:val="00806ED8"/>
    <w:rsid w:val="00807368"/>
    <w:rsid w:val="00810B81"/>
    <w:rsid w:val="008116BE"/>
    <w:rsid w:val="00814908"/>
    <w:rsid w:val="00821656"/>
    <w:rsid w:val="00822609"/>
    <w:rsid w:val="00824735"/>
    <w:rsid w:val="0082670E"/>
    <w:rsid w:val="0082773C"/>
    <w:rsid w:val="00836196"/>
    <w:rsid w:val="00836996"/>
    <w:rsid w:val="00836D48"/>
    <w:rsid w:val="00841F6B"/>
    <w:rsid w:val="0084222A"/>
    <w:rsid w:val="00843734"/>
    <w:rsid w:val="008446A9"/>
    <w:rsid w:val="00845326"/>
    <w:rsid w:val="0085139C"/>
    <w:rsid w:val="00851A56"/>
    <w:rsid w:val="008532CB"/>
    <w:rsid w:val="00853F76"/>
    <w:rsid w:val="00854FCA"/>
    <w:rsid w:val="00855823"/>
    <w:rsid w:val="00863520"/>
    <w:rsid w:val="00865C3A"/>
    <w:rsid w:val="00866827"/>
    <w:rsid w:val="00867F5C"/>
    <w:rsid w:val="008702E4"/>
    <w:rsid w:val="00871FA3"/>
    <w:rsid w:val="00872CB9"/>
    <w:rsid w:val="00874A11"/>
    <w:rsid w:val="00875081"/>
    <w:rsid w:val="008751C9"/>
    <w:rsid w:val="00876932"/>
    <w:rsid w:val="008801B7"/>
    <w:rsid w:val="00880E55"/>
    <w:rsid w:val="00881A1E"/>
    <w:rsid w:val="0088204E"/>
    <w:rsid w:val="00882DEA"/>
    <w:rsid w:val="008837BD"/>
    <w:rsid w:val="00884D86"/>
    <w:rsid w:val="00886A15"/>
    <w:rsid w:val="00887353"/>
    <w:rsid w:val="00893E33"/>
    <w:rsid w:val="0089656B"/>
    <w:rsid w:val="00897127"/>
    <w:rsid w:val="00897F67"/>
    <w:rsid w:val="008A28AC"/>
    <w:rsid w:val="008A4533"/>
    <w:rsid w:val="008A4B9B"/>
    <w:rsid w:val="008A7A42"/>
    <w:rsid w:val="008B05C3"/>
    <w:rsid w:val="008B29DF"/>
    <w:rsid w:val="008B2D2E"/>
    <w:rsid w:val="008B456E"/>
    <w:rsid w:val="008B5543"/>
    <w:rsid w:val="008B69CD"/>
    <w:rsid w:val="008C04B5"/>
    <w:rsid w:val="008C0912"/>
    <w:rsid w:val="008C2096"/>
    <w:rsid w:val="008C27A7"/>
    <w:rsid w:val="008C2BE6"/>
    <w:rsid w:val="008C2FBC"/>
    <w:rsid w:val="008C3B7A"/>
    <w:rsid w:val="008C565A"/>
    <w:rsid w:val="008C5DA7"/>
    <w:rsid w:val="008C60E7"/>
    <w:rsid w:val="008C70F7"/>
    <w:rsid w:val="008C710F"/>
    <w:rsid w:val="008C73C6"/>
    <w:rsid w:val="008D02EB"/>
    <w:rsid w:val="008D1B25"/>
    <w:rsid w:val="008D1F5A"/>
    <w:rsid w:val="008D2856"/>
    <w:rsid w:val="008D474B"/>
    <w:rsid w:val="008D61C1"/>
    <w:rsid w:val="008D71D9"/>
    <w:rsid w:val="008D7671"/>
    <w:rsid w:val="008E011F"/>
    <w:rsid w:val="008E05AF"/>
    <w:rsid w:val="008E1B68"/>
    <w:rsid w:val="008E6367"/>
    <w:rsid w:val="008E6943"/>
    <w:rsid w:val="008E7749"/>
    <w:rsid w:val="008F04C8"/>
    <w:rsid w:val="008F1E9B"/>
    <w:rsid w:val="008F35E5"/>
    <w:rsid w:val="008F6CEF"/>
    <w:rsid w:val="00900993"/>
    <w:rsid w:val="00907FFE"/>
    <w:rsid w:val="00910C7F"/>
    <w:rsid w:val="00911346"/>
    <w:rsid w:val="0091231B"/>
    <w:rsid w:val="009123CC"/>
    <w:rsid w:val="00914363"/>
    <w:rsid w:val="009208CC"/>
    <w:rsid w:val="0092134D"/>
    <w:rsid w:val="0092135A"/>
    <w:rsid w:val="0092451F"/>
    <w:rsid w:val="00924C76"/>
    <w:rsid w:val="009250F0"/>
    <w:rsid w:val="0092606C"/>
    <w:rsid w:val="00927953"/>
    <w:rsid w:val="00930B31"/>
    <w:rsid w:val="009313F1"/>
    <w:rsid w:val="00931684"/>
    <w:rsid w:val="0093284A"/>
    <w:rsid w:val="00934192"/>
    <w:rsid w:val="00936EB0"/>
    <w:rsid w:val="009458FF"/>
    <w:rsid w:val="00945DC4"/>
    <w:rsid w:val="00946D77"/>
    <w:rsid w:val="00947F36"/>
    <w:rsid w:val="00952E46"/>
    <w:rsid w:val="0095462B"/>
    <w:rsid w:val="00964978"/>
    <w:rsid w:val="00964EEA"/>
    <w:rsid w:val="00965259"/>
    <w:rsid w:val="00965DD4"/>
    <w:rsid w:val="0096728F"/>
    <w:rsid w:val="00967803"/>
    <w:rsid w:val="00967EAD"/>
    <w:rsid w:val="00970BE7"/>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821"/>
    <w:rsid w:val="009A695C"/>
    <w:rsid w:val="009A7833"/>
    <w:rsid w:val="009B0E85"/>
    <w:rsid w:val="009B26A6"/>
    <w:rsid w:val="009B3EE8"/>
    <w:rsid w:val="009B6EE1"/>
    <w:rsid w:val="009C09D8"/>
    <w:rsid w:val="009C3C7C"/>
    <w:rsid w:val="009C43D8"/>
    <w:rsid w:val="009C4EF5"/>
    <w:rsid w:val="009D41E7"/>
    <w:rsid w:val="009D4E4A"/>
    <w:rsid w:val="009D50C7"/>
    <w:rsid w:val="009E1BD3"/>
    <w:rsid w:val="009E1E1C"/>
    <w:rsid w:val="009E5E9C"/>
    <w:rsid w:val="009E7AE4"/>
    <w:rsid w:val="009F1269"/>
    <w:rsid w:val="009F45DF"/>
    <w:rsid w:val="009F4BC5"/>
    <w:rsid w:val="009F5E88"/>
    <w:rsid w:val="00A00A50"/>
    <w:rsid w:val="00A01908"/>
    <w:rsid w:val="00A044D1"/>
    <w:rsid w:val="00A06222"/>
    <w:rsid w:val="00A07056"/>
    <w:rsid w:val="00A07A91"/>
    <w:rsid w:val="00A07F5B"/>
    <w:rsid w:val="00A10534"/>
    <w:rsid w:val="00A13458"/>
    <w:rsid w:val="00A136BE"/>
    <w:rsid w:val="00A16814"/>
    <w:rsid w:val="00A16C6B"/>
    <w:rsid w:val="00A22B8F"/>
    <w:rsid w:val="00A30B5F"/>
    <w:rsid w:val="00A32032"/>
    <w:rsid w:val="00A327B9"/>
    <w:rsid w:val="00A3304F"/>
    <w:rsid w:val="00A34F1E"/>
    <w:rsid w:val="00A35A12"/>
    <w:rsid w:val="00A42578"/>
    <w:rsid w:val="00A42B35"/>
    <w:rsid w:val="00A42C72"/>
    <w:rsid w:val="00A4449A"/>
    <w:rsid w:val="00A46124"/>
    <w:rsid w:val="00A47B95"/>
    <w:rsid w:val="00A52EE1"/>
    <w:rsid w:val="00A565C7"/>
    <w:rsid w:val="00A56A7C"/>
    <w:rsid w:val="00A57B9F"/>
    <w:rsid w:val="00A6180E"/>
    <w:rsid w:val="00A62CB6"/>
    <w:rsid w:val="00A66818"/>
    <w:rsid w:val="00A67E9D"/>
    <w:rsid w:val="00A716B4"/>
    <w:rsid w:val="00A75772"/>
    <w:rsid w:val="00A80BBA"/>
    <w:rsid w:val="00A81268"/>
    <w:rsid w:val="00A83143"/>
    <w:rsid w:val="00A83B1E"/>
    <w:rsid w:val="00A85958"/>
    <w:rsid w:val="00A90239"/>
    <w:rsid w:val="00A91FEC"/>
    <w:rsid w:val="00A93555"/>
    <w:rsid w:val="00A94F80"/>
    <w:rsid w:val="00AA1591"/>
    <w:rsid w:val="00AA1F18"/>
    <w:rsid w:val="00AA260B"/>
    <w:rsid w:val="00AB1553"/>
    <w:rsid w:val="00AC260F"/>
    <w:rsid w:val="00AC3478"/>
    <w:rsid w:val="00AC3C55"/>
    <w:rsid w:val="00AC778D"/>
    <w:rsid w:val="00AD1D79"/>
    <w:rsid w:val="00AD2840"/>
    <w:rsid w:val="00AD3475"/>
    <w:rsid w:val="00AD6E35"/>
    <w:rsid w:val="00AE0028"/>
    <w:rsid w:val="00AE0762"/>
    <w:rsid w:val="00AE13D4"/>
    <w:rsid w:val="00AE3471"/>
    <w:rsid w:val="00AE3AAF"/>
    <w:rsid w:val="00AE4C99"/>
    <w:rsid w:val="00AE6859"/>
    <w:rsid w:val="00AF2FAF"/>
    <w:rsid w:val="00AF3A89"/>
    <w:rsid w:val="00AF50C5"/>
    <w:rsid w:val="00AF68D7"/>
    <w:rsid w:val="00AF7041"/>
    <w:rsid w:val="00AF7F90"/>
    <w:rsid w:val="00B00778"/>
    <w:rsid w:val="00B00B76"/>
    <w:rsid w:val="00B02962"/>
    <w:rsid w:val="00B02ECE"/>
    <w:rsid w:val="00B063EB"/>
    <w:rsid w:val="00B16951"/>
    <w:rsid w:val="00B222E9"/>
    <w:rsid w:val="00B25407"/>
    <w:rsid w:val="00B32336"/>
    <w:rsid w:val="00B37953"/>
    <w:rsid w:val="00B401EC"/>
    <w:rsid w:val="00B411CB"/>
    <w:rsid w:val="00B42AAA"/>
    <w:rsid w:val="00B43A0A"/>
    <w:rsid w:val="00B43EEB"/>
    <w:rsid w:val="00B50063"/>
    <w:rsid w:val="00B54A0D"/>
    <w:rsid w:val="00B54F29"/>
    <w:rsid w:val="00B60B2E"/>
    <w:rsid w:val="00B60E99"/>
    <w:rsid w:val="00B61961"/>
    <w:rsid w:val="00B61DD7"/>
    <w:rsid w:val="00B62AF3"/>
    <w:rsid w:val="00B66288"/>
    <w:rsid w:val="00B70256"/>
    <w:rsid w:val="00B712C8"/>
    <w:rsid w:val="00B74A8F"/>
    <w:rsid w:val="00B80FC7"/>
    <w:rsid w:val="00B82A84"/>
    <w:rsid w:val="00B839DB"/>
    <w:rsid w:val="00B85BEB"/>
    <w:rsid w:val="00B90006"/>
    <w:rsid w:val="00B9038D"/>
    <w:rsid w:val="00B92084"/>
    <w:rsid w:val="00B9223D"/>
    <w:rsid w:val="00B941FA"/>
    <w:rsid w:val="00B946CF"/>
    <w:rsid w:val="00B953E8"/>
    <w:rsid w:val="00B95851"/>
    <w:rsid w:val="00B96438"/>
    <w:rsid w:val="00BA5BE8"/>
    <w:rsid w:val="00BA6729"/>
    <w:rsid w:val="00BB2656"/>
    <w:rsid w:val="00BB3E14"/>
    <w:rsid w:val="00BC14B1"/>
    <w:rsid w:val="00BC15A9"/>
    <w:rsid w:val="00BC1BA6"/>
    <w:rsid w:val="00BC351E"/>
    <w:rsid w:val="00BC4AAD"/>
    <w:rsid w:val="00BC5F01"/>
    <w:rsid w:val="00BC6B8E"/>
    <w:rsid w:val="00BD41D4"/>
    <w:rsid w:val="00BD7A74"/>
    <w:rsid w:val="00BE1999"/>
    <w:rsid w:val="00BE1C41"/>
    <w:rsid w:val="00BE3AAD"/>
    <w:rsid w:val="00BE525F"/>
    <w:rsid w:val="00BE5E82"/>
    <w:rsid w:val="00BE633A"/>
    <w:rsid w:val="00BF36BB"/>
    <w:rsid w:val="00BF4AE6"/>
    <w:rsid w:val="00BF5501"/>
    <w:rsid w:val="00C02258"/>
    <w:rsid w:val="00C02595"/>
    <w:rsid w:val="00C031F4"/>
    <w:rsid w:val="00C04505"/>
    <w:rsid w:val="00C109F1"/>
    <w:rsid w:val="00C13FCC"/>
    <w:rsid w:val="00C163DC"/>
    <w:rsid w:val="00C16F12"/>
    <w:rsid w:val="00C17D2C"/>
    <w:rsid w:val="00C22237"/>
    <w:rsid w:val="00C22D9F"/>
    <w:rsid w:val="00C247A0"/>
    <w:rsid w:val="00C33B23"/>
    <w:rsid w:val="00C34CD9"/>
    <w:rsid w:val="00C36C94"/>
    <w:rsid w:val="00C43069"/>
    <w:rsid w:val="00C45574"/>
    <w:rsid w:val="00C51E5A"/>
    <w:rsid w:val="00C530B7"/>
    <w:rsid w:val="00C55C48"/>
    <w:rsid w:val="00C61804"/>
    <w:rsid w:val="00C6205D"/>
    <w:rsid w:val="00C6242F"/>
    <w:rsid w:val="00C62CDC"/>
    <w:rsid w:val="00C64B88"/>
    <w:rsid w:val="00C66EF0"/>
    <w:rsid w:val="00C676FE"/>
    <w:rsid w:val="00C67B07"/>
    <w:rsid w:val="00C70D5C"/>
    <w:rsid w:val="00C76791"/>
    <w:rsid w:val="00C777B3"/>
    <w:rsid w:val="00C80A5E"/>
    <w:rsid w:val="00C80CD5"/>
    <w:rsid w:val="00C8290A"/>
    <w:rsid w:val="00C82D2A"/>
    <w:rsid w:val="00C91489"/>
    <w:rsid w:val="00C92D9B"/>
    <w:rsid w:val="00C934F8"/>
    <w:rsid w:val="00C94045"/>
    <w:rsid w:val="00C96F3D"/>
    <w:rsid w:val="00CA47AB"/>
    <w:rsid w:val="00CA61F1"/>
    <w:rsid w:val="00CA798A"/>
    <w:rsid w:val="00CB23F6"/>
    <w:rsid w:val="00CB3F5E"/>
    <w:rsid w:val="00CB44C4"/>
    <w:rsid w:val="00CB67C3"/>
    <w:rsid w:val="00CB77EC"/>
    <w:rsid w:val="00CC0208"/>
    <w:rsid w:val="00CC111B"/>
    <w:rsid w:val="00CC4522"/>
    <w:rsid w:val="00CC59EA"/>
    <w:rsid w:val="00CD0F31"/>
    <w:rsid w:val="00CD1309"/>
    <w:rsid w:val="00CD3D07"/>
    <w:rsid w:val="00CD58F3"/>
    <w:rsid w:val="00CD5E2D"/>
    <w:rsid w:val="00CD7BB2"/>
    <w:rsid w:val="00CE038B"/>
    <w:rsid w:val="00CE0A38"/>
    <w:rsid w:val="00CE28BA"/>
    <w:rsid w:val="00CE2901"/>
    <w:rsid w:val="00CE2BF9"/>
    <w:rsid w:val="00CE5942"/>
    <w:rsid w:val="00CF250C"/>
    <w:rsid w:val="00CF25DF"/>
    <w:rsid w:val="00CF2978"/>
    <w:rsid w:val="00CF6357"/>
    <w:rsid w:val="00CF6D45"/>
    <w:rsid w:val="00CF70E4"/>
    <w:rsid w:val="00D02768"/>
    <w:rsid w:val="00D135E3"/>
    <w:rsid w:val="00D13846"/>
    <w:rsid w:val="00D32AD9"/>
    <w:rsid w:val="00D3603C"/>
    <w:rsid w:val="00D37DF9"/>
    <w:rsid w:val="00D37F65"/>
    <w:rsid w:val="00D405A6"/>
    <w:rsid w:val="00D4102C"/>
    <w:rsid w:val="00D43A31"/>
    <w:rsid w:val="00D51D54"/>
    <w:rsid w:val="00D560A5"/>
    <w:rsid w:val="00D56DDA"/>
    <w:rsid w:val="00D57AA9"/>
    <w:rsid w:val="00D60D16"/>
    <w:rsid w:val="00D61AF7"/>
    <w:rsid w:val="00D62A99"/>
    <w:rsid w:val="00D63F01"/>
    <w:rsid w:val="00D679A9"/>
    <w:rsid w:val="00D7125F"/>
    <w:rsid w:val="00D71471"/>
    <w:rsid w:val="00D714B3"/>
    <w:rsid w:val="00D74362"/>
    <w:rsid w:val="00D7492C"/>
    <w:rsid w:val="00D768E7"/>
    <w:rsid w:val="00D80402"/>
    <w:rsid w:val="00D80767"/>
    <w:rsid w:val="00D8091D"/>
    <w:rsid w:val="00D81A70"/>
    <w:rsid w:val="00D83FC8"/>
    <w:rsid w:val="00D85234"/>
    <w:rsid w:val="00D87D54"/>
    <w:rsid w:val="00D91153"/>
    <w:rsid w:val="00DA02C6"/>
    <w:rsid w:val="00DA0708"/>
    <w:rsid w:val="00DA4ACB"/>
    <w:rsid w:val="00DA767C"/>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06DBD"/>
    <w:rsid w:val="00E07955"/>
    <w:rsid w:val="00E07AE6"/>
    <w:rsid w:val="00E07E04"/>
    <w:rsid w:val="00E12D08"/>
    <w:rsid w:val="00E1468D"/>
    <w:rsid w:val="00E15048"/>
    <w:rsid w:val="00E151B9"/>
    <w:rsid w:val="00E17237"/>
    <w:rsid w:val="00E173F6"/>
    <w:rsid w:val="00E20F8E"/>
    <w:rsid w:val="00E252FD"/>
    <w:rsid w:val="00E27932"/>
    <w:rsid w:val="00E30752"/>
    <w:rsid w:val="00E30F76"/>
    <w:rsid w:val="00E31C19"/>
    <w:rsid w:val="00E31D9D"/>
    <w:rsid w:val="00E32A3B"/>
    <w:rsid w:val="00E336EC"/>
    <w:rsid w:val="00E40C16"/>
    <w:rsid w:val="00E41D94"/>
    <w:rsid w:val="00E5045B"/>
    <w:rsid w:val="00E5101A"/>
    <w:rsid w:val="00E51F9B"/>
    <w:rsid w:val="00E53802"/>
    <w:rsid w:val="00E56C10"/>
    <w:rsid w:val="00E613E3"/>
    <w:rsid w:val="00E62FAC"/>
    <w:rsid w:val="00E647C1"/>
    <w:rsid w:val="00E64D90"/>
    <w:rsid w:val="00E70B5E"/>
    <w:rsid w:val="00E71657"/>
    <w:rsid w:val="00E721E0"/>
    <w:rsid w:val="00E73357"/>
    <w:rsid w:val="00E82709"/>
    <w:rsid w:val="00E848C6"/>
    <w:rsid w:val="00E85322"/>
    <w:rsid w:val="00E90A16"/>
    <w:rsid w:val="00E91932"/>
    <w:rsid w:val="00E91BAF"/>
    <w:rsid w:val="00E9202D"/>
    <w:rsid w:val="00E93F2F"/>
    <w:rsid w:val="00E940EE"/>
    <w:rsid w:val="00E9495F"/>
    <w:rsid w:val="00E956A8"/>
    <w:rsid w:val="00E95825"/>
    <w:rsid w:val="00E95880"/>
    <w:rsid w:val="00E97D41"/>
    <w:rsid w:val="00EA08AF"/>
    <w:rsid w:val="00EA342E"/>
    <w:rsid w:val="00EA3B57"/>
    <w:rsid w:val="00EB16D7"/>
    <w:rsid w:val="00EB2FBE"/>
    <w:rsid w:val="00EE1854"/>
    <w:rsid w:val="00EE43BC"/>
    <w:rsid w:val="00EE61D4"/>
    <w:rsid w:val="00EF0858"/>
    <w:rsid w:val="00EF0CE7"/>
    <w:rsid w:val="00EF2A05"/>
    <w:rsid w:val="00EF5169"/>
    <w:rsid w:val="00EF5B42"/>
    <w:rsid w:val="00F04428"/>
    <w:rsid w:val="00F04890"/>
    <w:rsid w:val="00F048CF"/>
    <w:rsid w:val="00F04B2C"/>
    <w:rsid w:val="00F06560"/>
    <w:rsid w:val="00F07AFF"/>
    <w:rsid w:val="00F108F0"/>
    <w:rsid w:val="00F12067"/>
    <w:rsid w:val="00F14976"/>
    <w:rsid w:val="00F14F78"/>
    <w:rsid w:val="00F1511F"/>
    <w:rsid w:val="00F159EB"/>
    <w:rsid w:val="00F231AA"/>
    <w:rsid w:val="00F235A9"/>
    <w:rsid w:val="00F239F7"/>
    <w:rsid w:val="00F25BDD"/>
    <w:rsid w:val="00F414FE"/>
    <w:rsid w:val="00F41ADC"/>
    <w:rsid w:val="00F44151"/>
    <w:rsid w:val="00F45C80"/>
    <w:rsid w:val="00F47E7E"/>
    <w:rsid w:val="00F5040D"/>
    <w:rsid w:val="00F52424"/>
    <w:rsid w:val="00F52873"/>
    <w:rsid w:val="00F52CDC"/>
    <w:rsid w:val="00F53091"/>
    <w:rsid w:val="00F571A5"/>
    <w:rsid w:val="00F60EA9"/>
    <w:rsid w:val="00F61C3E"/>
    <w:rsid w:val="00F62C02"/>
    <w:rsid w:val="00F6326D"/>
    <w:rsid w:val="00F65E8E"/>
    <w:rsid w:val="00F67DD3"/>
    <w:rsid w:val="00F70A5A"/>
    <w:rsid w:val="00F73D33"/>
    <w:rsid w:val="00F746FE"/>
    <w:rsid w:val="00F751DA"/>
    <w:rsid w:val="00F812E3"/>
    <w:rsid w:val="00F82AD2"/>
    <w:rsid w:val="00F82C62"/>
    <w:rsid w:val="00F82EF7"/>
    <w:rsid w:val="00F83775"/>
    <w:rsid w:val="00F841A9"/>
    <w:rsid w:val="00F9183F"/>
    <w:rsid w:val="00F9342F"/>
    <w:rsid w:val="00F941C3"/>
    <w:rsid w:val="00F9481A"/>
    <w:rsid w:val="00F94B6F"/>
    <w:rsid w:val="00F95849"/>
    <w:rsid w:val="00F9754D"/>
    <w:rsid w:val="00FA11C8"/>
    <w:rsid w:val="00FA3B4B"/>
    <w:rsid w:val="00FA52A9"/>
    <w:rsid w:val="00FA7567"/>
    <w:rsid w:val="00FB403A"/>
    <w:rsid w:val="00FB45AB"/>
    <w:rsid w:val="00FB4D00"/>
    <w:rsid w:val="00FC0600"/>
    <w:rsid w:val="00FC22FA"/>
    <w:rsid w:val="00FC2625"/>
    <w:rsid w:val="00FC36BA"/>
    <w:rsid w:val="00FC42E5"/>
    <w:rsid w:val="00FC5925"/>
    <w:rsid w:val="00FC5D47"/>
    <w:rsid w:val="00FC7078"/>
    <w:rsid w:val="00FD14A3"/>
    <w:rsid w:val="00FD291D"/>
    <w:rsid w:val="00FD48A9"/>
    <w:rsid w:val="00FE3B4F"/>
    <w:rsid w:val="00FE40E1"/>
    <w:rsid w:val="00FE47EC"/>
    <w:rsid w:val="00FE4973"/>
    <w:rsid w:val="00FE797C"/>
    <w:rsid w:val="00FF1C8F"/>
    <w:rsid w:val="00FF3764"/>
    <w:rsid w:val="00FF5D13"/>
    <w:rsid w:val="00FF7B93"/>
    <w:rsid w:val="00FF7E91"/>
    <w:rsid w:val="01DC4F83"/>
    <w:rsid w:val="033E5BAC"/>
    <w:rsid w:val="0341594D"/>
    <w:rsid w:val="0350044F"/>
    <w:rsid w:val="037846CB"/>
    <w:rsid w:val="03FA4201"/>
    <w:rsid w:val="04B844FD"/>
    <w:rsid w:val="04D05650"/>
    <w:rsid w:val="05197C0E"/>
    <w:rsid w:val="052757EF"/>
    <w:rsid w:val="05645480"/>
    <w:rsid w:val="05877BE0"/>
    <w:rsid w:val="061D0ABC"/>
    <w:rsid w:val="062F2956"/>
    <w:rsid w:val="069C2F2B"/>
    <w:rsid w:val="06AE53A7"/>
    <w:rsid w:val="077F78B4"/>
    <w:rsid w:val="07A509A4"/>
    <w:rsid w:val="07A93FAE"/>
    <w:rsid w:val="080D1F5F"/>
    <w:rsid w:val="083A0698"/>
    <w:rsid w:val="084219D2"/>
    <w:rsid w:val="0854453D"/>
    <w:rsid w:val="08635EE5"/>
    <w:rsid w:val="08B34D17"/>
    <w:rsid w:val="08B64F98"/>
    <w:rsid w:val="08FA6E92"/>
    <w:rsid w:val="09060E15"/>
    <w:rsid w:val="095E1B17"/>
    <w:rsid w:val="096575A6"/>
    <w:rsid w:val="09947E42"/>
    <w:rsid w:val="09FE558D"/>
    <w:rsid w:val="0AAF0151"/>
    <w:rsid w:val="0AE36432"/>
    <w:rsid w:val="0B3D694D"/>
    <w:rsid w:val="0BC47B90"/>
    <w:rsid w:val="0BE979EA"/>
    <w:rsid w:val="0BF56D61"/>
    <w:rsid w:val="0C1969E9"/>
    <w:rsid w:val="0C371BC3"/>
    <w:rsid w:val="0C853B62"/>
    <w:rsid w:val="0CDB4153"/>
    <w:rsid w:val="0CE12BAF"/>
    <w:rsid w:val="0D465EF0"/>
    <w:rsid w:val="0D4B4161"/>
    <w:rsid w:val="0D720C66"/>
    <w:rsid w:val="0E300013"/>
    <w:rsid w:val="0E3800B6"/>
    <w:rsid w:val="0E4D46B5"/>
    <w:rsid w:val="0E5057A7"/>
    <w:rsid w:val="0E7343A1"/>
    <w:rsid w:val="0E8A01C8"/>
    <w:rsid w:val="0EDC50AD"/>
    <w:rsid w:val="0F306F82"/>
    <w:rsid w:val="0F314D5A"/>
    <w:rsid w:val="0F321352"/>
    <w:rsid w:val="0F452EEA"/>
    <w:rsid w:val="0F9E01C2"/>
    <w:rsid w:val="0FD05091"/>
    <w:rsid w:val="0FED3846"/>
    <w:rsid w:val="10410FB7"/>
    <w:rsid w:val="10851621"/>
    <w:rsid w:val="11566AC8"/>
    <w:rsid w:val="115D0906"/>
    <w:rsid w:val="11672456"/>
    <w:rsid w:val="116E6670"/>
    <w:rsid w:val="11B93F69"/>
    <w:rsid w:val="11DB60DB"/>
    <w:rsid w:val="12445622"/>
    <w:rsid w:val="12930507"/>
    <w:rsid w:val="12AA69E4"/>
    <w:rsid w:val="13125C8D"/>
    <w:rsid w:val="1325781F"/>
    <w:rsid w:val="1332395F"/>
    <w:rsid w:val="13421FD0"/>
    <w:rsid w:val="135846FF"/>
    <w:rsid w:val="13835F61"/>
    <w:rsid w:val="13E50904"/>
    <w:rsid w:val="14497DDC"/>
    <w:rsid w:val="15244FF8"/>
    <w:rsid w:val="155F18B3"/>
    <w:rsid w:val="159D2F53"/>
    <w:rsid w:val="15D80D94"/>
    <w:rsid w:val="15E05662"/>
    <w:rsid w:val="163D245A"/>
    <w:rsid w:val="171E5456"/>
    <w:rsid w:val="172A5C7D"/>
    <w:rsid w:val="17864578"/>
    <w:rsid w:val="17886C46"/>
    <w:rsid w:val="17C93455"/>
    <w:rsid w:val="18363E34"/>
    <w:rsid w:val="18576572"/>
    <w:rsid w:val="18BA31DB"/>
    <w:rsid w:val="19070D85"/>
    <w:rsid w:val="19327E1E"/>
    <w:rsid w:val="193E0B8A"/>
    <w:rsid w:val="193F3724"/>
    <w:rsid w:val="194A1770"/>
    <w:rsid w:val="195B32EC"/>
    <w:rsid w:val="196D3625"/>
    <w:rsid w:val="19D71E67"/>
    <w:rsid w:val="19F135A5"/>
    <w:rsid w:val="19F23350"/>
    <w:rsid w:val="1A0538E9"/>
    <w:rsid w:val="1A24734C"/>
    <w:rsid w:val="1A266B9D"/>
    <w:rsid w:val="1A2E1092"/>
    <w:rsid w:val="1A3863D1"/>
    <w:rsid w:val="1A442880"/>
    <w:rsid w:val="1A6A7123"/>
    <w:rsid w:val="1A8218CD"/>
    <w:rsid w:val="1A9A0DA0"/>
    <w:rsid w:val="1A9F5B69"/>
    <w:rsid w:val="1B012D9E"/>
    <w:rsid w:val="1B125220"/>
    <w:rsid w:val="1B204282"/>
    <w:rsid w:val="1B946C6A"/>
    <w:rsid w:val="1BC84A01"/>
    <w:rsid w:val="1BC94647"/>
    <w:rsid w:val="1BEC392B"/>
    <w:rsid w:val="1C455979"/>
    <w:rsid w:val="1C731652"/>
    <w:rsid w:val="1C791537"/>
    <w:rsid w:val="1C815A14"/>
    <w:rsid w:val="1CC41839"/>
    <w:rsid w:val="1D3428ED"/>
    <w:rsid w:val="1D344DA0"/>
    <w:rsid w:val="1D3E783E"/>
    <w:rsid w:val="1D574ADD"/>
    <w:rsid w:val="1D5B4418"/>
    <w:rsid w:val="1DBD12E0"/>
    <w:rsid w:val="1DE06935"/>
    <w:rsid w:val="1E281C85"/>
    <w:rsid w:val="1EAA76A0"/>
    <w:rsid w:val="1EF503D0"/>
    <w:rsid w:val="1EFC1164"/>
    <w:rsid w:val="1F767953"/>
    <w:rsid w:val="1F7C206A"/>
    <w:rsid w:val="1FAE28C3"/>
    <w:rsid w:val="1FB65324"/>
    <w:rsid w:val="1FC76341"/>
    <w:rsid w:val="201E329E"/>
    <w:rsid w:val="20270B68"/>
    <w:rsid w:val="202C49AE"/>
    <w:rsid w:val="20890B0E"/>
    <w:rsid w:val="20C0517F"/>
    <w:rsid w:val="20C472FB"/>
    <w:rsid w:val="20DF5B81"/>
    <w:rsid w:val="210C1A01"/>
    <w:rsid w:val="211F1734"/>
    <w:rsid w:val="2123709B"/>
    <w:rsid w:val="213827F6"/>
    <w:rsid w:val="21474752"/>
    <w:rsid w:val="21575CA8"/>
    <w:rsid w:val="222C66CB"/>
    <w:rsid w:val="225E44DE"/>
    <w:rsid w:val="22782ADB"/>
    <w:rsid w:val="22F5457F"/>
    <w:rsid w:val="237546FE"/>
    <w:rsid w:val="23A12212"/>
    <w:rsid w:val="23AD16A5"/>
    <w:rsid w:val="23C70F46"/>
    <w:rsid w:val="23C95987"/>
    <w:rsid w:val="23F1295B"/>
    <w:rsid w:val="24095D2F"/>
    <w:rsid w:val="246758CC"/>
    <w:rsid w:val="247E4E61"/>
    <w:rsid w:val="2480632E"/>
    <w:rsid w:val="24B61150"/>
    <w:rsid w:val="25F10BFA"/>
    <w:rsid w:val="25F81DC9"/>
    <w:rsid w:val="26112DD1"/>
    <w:rsid w:val="26213B63"/>
    <w:rsid w:val="26517AA6"/>
    <w:rsid w:val="267F4D1D"/>
    <w:rsid w:val="26AB4FE3"/>
    <w:rsid w:val="26B06004"/>
    <w:rsid w:val="26DE2A46"/>
    <w:rsid w:val="26F27D9D"/>
    <w:rsid w:val="26F86F49"/>
    <w:rsid w:val="272F1FA5"/>
    <w:rsid w:val="279B6220"/>
    <w:rsid w:val="28010EE6"/>
    <w:rsid w:val="28036C94"/>
    <w:rsid w:val="287E650E"/>
    <w:rsid w:val="288C723A"/>
    <w:rsid w:val="28A174BB"/>
    <w:rsid w:val="28C60A01"/>
    <w:rsid w:val="28CB6BF8"/>
    <w:rsid w:val="2909121F"/>
    <w:rsid w:val="290A5C6F"/>
    <w:rsid w:val="29250918"/>
    <w:rsid w:val="29C873F7"/>
    <w:rsid w:val="29FB29DC"/>
    <w:rsid w:val="2A34093B"/>
    <w:rsid w:val="2A466665"/>
    <w:rsid w:val="2A7F1AE0"/>
    <w:rsid w:val="2A8947BF"/>
    <w:rsid w:val="2A962EE4"/>
    <w:rsid w:val="2ACC1A9E"/>
    <w:rsid w:val="2B0A7DC8"/>
    <w:rsid w:val="2B1806F4"/>
    <w:rsid w:val="2B412056"/>
    <w:rsid w:val="2B542BCB"/>
    <w:rsid w:val="2B724ECD"/>
    <w:rsid w:val="2BBF2C8E"/>
    <w:rsid w:val="2BE5357A"/>
    <w:rsid w:val="2C257E37"/>
    <w:rsid w:val="2C3C7274"/>
    <w:rsid w:val="2C4D1417"/>
    <w:rsid w:val="2C8A1527"/>
    <w:rsid w:val="2C9B6C76"/>
    <w:rsid w:val="2CF447DE"/>
    <w:rsid w:val="2D491E5B"/>
    <w:rsid w:val="2DFC50A9"/>
    <w:rsid w:val="2E0F48E8"/>
    <w:rsid w:val="2EAE76EB"/>
    <w:rsid w:val="2F1A79A2"/>
    <w:rsid w:val="2F1E1EEE"/>
    <w:rsid w:val="2F207F7A"/>
    <w:rsid w:val="2F611EC2"/>
    <w:rsid w:val="2F6A7056"/>
    <w:rsid w:val="2FE81183"/>
    <w:rsid w:val="2FEE0438"/>
    <w:rsid w:val="301A6F75"/>
    <w:rsid w:val="303D6DA1"/>
    <w:rsid w:val="308E2F0E"/>
    <w:rsid w:val="309357B0"/>
    <w:rsid w:val="30E57453"/>
    <w:rsid w:val="312378F2"/>
    <w:rsid w:val="3143700D"/>
    <w:rsid w:val="31A43590"/>
    <w:rsid w:val="31AB491E"/>
    <w:rsid w:val="31BF0BBB"/>
    <w:rsid w:val="328B0830"/>
    <w:rsid w:val="32F319DF"/>
    <w:rsid w:val="3365435E"/>
    <w:rsid w:val="337F2F91"/>
    <w:rsid w:val="33863F5D"/>
    <w:rsid w:val="3391358D"/>
    <w:rsid w:val="33C845A5"/>
    <w:rsid w:val="33CD1EBE"/>
    <w:rsid w:val="341015C8"/>
    <w:rsid w:val="343A06EC"/>
    <w:rsid w:val="344F4440"/>
    <w:rsid w:val="346239BA"/>
    <w:rsid w:val="34C603ED"/>
    <w:rsid w:val="34CB0E35"/>
    <w:rsid w:val="354D6418"/>
    <w:rsid w:val="35664EC4"/>
    <w:rsid w:val="3581301A"/>
    <w:rsid w:val="35975ED7"/>
    <w:rsid w:val="359C0BEE"/>
    <w:rsid w:val="35B214E1"/>
    <w:rsid w:val="35BE7A8E"/>
    <w:rsid w:val="35E1285E"/>
    <w:rsid w:val="362B53E8"/>
    <w:rsid w:val="36417681"/>
    <w:rsid w:val="364E634A"/>
    <w:rsid w:val="36865B4C"/>
    <w:rsid w:val="3688278C"/>
    <w:rsid w:val="36B10F96"/>
    <w:rsid w:val="36ED0A59"/>
    <w:rsid w:val="36F97BE7"/>
    <w:rsid w:val="3701749F"/>
    <w:rsid w:val="370349B1"/>
    <w:rsid w:val="37196C99"/>
    <w:rsid w:val="37682375"/>
    <w:rsid w:val="37A246F6"/>
    <w:rsid w:val="37F71DD8"/>
    <w:rsid w:val="380011DE"/>
    <w:rsid w:val="381D6F3E"/>
    <w:rsid w:val="387117BC"/>
    <w:rsid w:val="3874382C"/>
    <w:rsid w:val="38917A4E"/>
    <w:rsid w:val="38BF3F03"/>
    <w:rsid w:val="39636AC3"/>
    <w:rsid w:val="39677CC5"/>
    <w:rsid w:val="3A207B9E"/>
    <w:rsid w:val="3A937105"/>
    <w:rsid w:val="3ABE2055"/>
    <w:rsid w:val="3AD26DF4"/>
    <w:rsid w:val="3B3936B3"/>
    <w:rsid w:val="3BF03FA1"/>
    <w:rsid w:val="3C650A35"/>
    <w:rsid w:val="3C797C40"/>
    <w:rsid w:val="3CE710AF"/>
    <w:rsid w:val="3D1A71DB"/>
    <w:rsid w:val="3D595B76"/>
    <w:rsid w:val="3D5D0DAD"/>
    <w:rsid w:val="3D68766F"/>
    <w:rsid w:val="3DA80B29"/>
    <w:rsid w:val="3DD41FD4"/>
    <w:rsid w:val="3E1A054A"/>
    <w:rsid w:val="3E1A4533"/>
    <w:rsid w:val="3E3D0A46"/>
    <w:rsid w:val="3EB52699"/>
    <w:rsid w:val="3EB968CD"/>
    <w:rsid w:val="3F630F9B"/>
    <w:rsid w:val="401A40D4"/>
    <w:rsid w:val="40D1026E"/>
    <w:rsid w:val="40EE33BB"/>
    <w:rsid w:val="40FD7FE4"/>
    <w:rsid w:val="410C362B"/>
    <w:rsid w:val="414137A2"/>
    <w:rsid w:val="41651A9B"/>
    <w:rsid w:val="41B63597"/>
    <w:rsid w:val="41D53A02"/>
    <w:rsid w:val="42024734"/>
    <w:rsid w:val="42064CBD"/>
    <w:rsid w:val="42110057"/>
    <w:rsid w:val="421C66E0"/>
    <w:rsid w:val="4255076E"/>
    <w:rsid w:val="4262323F"/>
    <w:rsid w:val="426F528B"/>
    <w:rsid w:val="4290278F"/>
    <w:rsid w:val="42D24401"/>
    <w:rsid w:val="43BD0C0D"/>
    <w:rsid w:val="44260D8A"/>
    <w:rsid w:val="44926C16"/>
    <w:rsid w:val="449844CC"/>
    <w:rsid w:val="44E86900"/>
    <w:rsid w:val="44F74ADF"/>
    <w:rsid w:val="455A17E3"/>
    <w:rsid w:val="45941738"/>
    <w:rsid w:val="45B86EB2"/>
    <w:rsid w:val="45BE51D9"/>
    <w:rsid w:val="45D47888"/>
    <w:rsid w:val="464A52AC"/>
    <w:rsid w:val="46763859"/>
    <w:rsid w:val="4691012F"/>
    <w:rsid w:val="46B56E60"/>
    <w:rsid w:val="47C1553A"/>
    <w:rsid w:val="47D6229D"/>
    <w:rsid w:val="47D7604C"/>
    <w:rsid w:val="47DA6D1A"/>
    <w:rsid w:val="47FE58B6"/>
    <w:rsid w:val="48490899"/>
    <w:rsid w:val="486B41EF"/>
    <w:rsid w:val="48952387"/>
    <w:rsid w:val="48ED7F38"/>
    <w:rsid w:val="492209E1"/>
    <w:rsid w:val="495F3FCE"/>
    <w:rsid w:val="49676F3F"/>
    <w:rsid w:val="498912B6"/>
    <w:rsid w:val="49BF5DFE"/>
    <w:rsid w:val="49CB7CE6"/>
    <w:rsid w:val="4A14572E"/>
    <w:rsid w:val="4A517929"/>
    <w:rsid w:val="4A597C64"/>
    <w:rsid w:val="4A864108"/>
    <w:rsid w:val="4AAC47DF"/>
    <w:rsid w:val="4AB966EE"/>
    <w:rsid w:val="4AD4326F"/>
    <w:rsid w:val="4AE73FE9"/>
    <w:rsid w:val="4B2C6F6E"/>
    <w:rsid w:val="4B333196"/>
    <w:rsid w:val="4B4F59B9"/>
    <w:rsid w:val="4B582C2B"/>
    <w:rsid w:val="4B5863DB"/>
    <w:rsid w:val="4B8F3FA5"/>
    <w:rsid w:val="4C0D79D9"/>
    <w:rsid w:val="4CCA3AD8"/>
    <w:rsid w:val="4D3A46E0"/>
    <w:rsid w:val="4D901635"/>
    <w:rsid w:val="4DC73663"/>
    <w:rsid w:val="4DF10C31"/>
    <w:rsid w:val="4E007F5A"/>
    <w:rsid w:val="4E021E86"/>
    <w:rsid w:val="4E163A1E"/>
    <w:rsid w:val="4E490128"/>
    <w:rsid w:val="4E6F7E5F"/>
    <w:rsid w:val="4E824F2D"/>
    <w:rsid w:val="4E980416"/>
    <w:rsid w:val="4E9A7F8B"/>
    <w:rsid w:val="4EB90223"/>
    <w:rsid w:val="4EF02D8C"/>
    <w:rsid w:val="4EF865BC"/>
    <w:rsid w:val="4F042905"/>
    <w:rsid w:val="4F564367"/>
    <w:rsid w:val="4FB372AF"/>
    <w:rsid w:val="4FC3409A"/>
    <w:rsid w:val="50033E4B"/>
    <w:rsid w:val="50CF7969"/>
    <w:rsid w:val="50FA5FFA"/>
    <w:rsid w:val="5132673A"/>
    <w:rsid w:val="51893AFA"/>
    <w:rsid w:val="51905BB3"/>
    <w:rsid w:val="51B27DA5"/>
    <w:rsid w:val="51B87D64"/>
    <w:rsid w:val="51E774FB"/>
    <w:rsid w:val="525E220E"/>
    <w:rsid w:val="52B65343"/>
    <w:rsid w:val="52EA12F3"/>
    <w:rsid w:val="5319347E"/>
    <w:rsid w:val="53311361"/>
    <w:rsid w:val="53B536AF"/>
    <w:rsid w:val="53CF62EF"/>
    <w:rsid w:val="540218A2"/>
    <w:rsid w:val="54292AB4"/>
    <w:rsid w:val="5430189F"/>
    <w:rsid w:val="545E6A47"/>
    <w:rsid w:val="5490798A"/>
    <w:rsid w:val="54AB7E6C"/>
    <w:rsid w:val="54BB4B03"/>
    <w:rsid w:val="54BE5CA5"/>
    <w:rsid w:val="551D1B92"/>
    <w:rsid w:val="552C4DE7"/>
    <w:rsid w:val="553242A0"/>
    <w:rsid w:val="553A7B2D"/>
    <w:rsid w:val="559C024C"/>
    <w:rsid w:val="56002BDB"/>
    <w:rsid w:val="561F5757"/>
    <w:rsid w:val="56806AD2"/>
    <w:rsid w:val="56C105BC"/>
    <w:rsid w:val="56E83B59"/>
    <w:rsid w:val="575375C8"/>
    <w:rsid w:val="576476F9"/>
    <w:rsid w:val="57655DBD"/>
    <w:rsid w:val="5769750C"/>
    <w:rsid w:val="57821C5F"/>
    <w:rsid w:val="57846C05"/>
    <w:rsid w:val="579453D7"/>
    <w:rsid w:val="5832143E"/>
    <w:rsid w:val="58634A11"/>
    <w:rsid w:val="58936A4F"/>
    <w:rsid w:val="589D2963"/>
    <w:rsid w:val="58DA098B"/>
    <w:rsid w:val="59267469"/>
    <w:rsid w:val="59296E49"/>
    <w:rsid w:val="5955323E"/>
    <w:rsid w:val="59AE5719"/>
    <w:rsid w:val="59D069A5"/>
    <w:rsid w:val="5A417026"/>
    <w:rsid w:val="5A755946"/>
    <w:rsid w:val="5A9C76DC"/>
    <w:rsid w:val="5AD57D94"/>
    <w:rsid w:val="5AE25F9C"/>
    <w:rsid w:val="5B261B8B"/>
    <w:rsid w:val="5B291EF3"/>
    <w:rsid w:val="5B47382D"/>
    <w:rsid w:val="5B4B1216"/>
    <w:rsid w:val="5C5A6A38"/>
    <w:rsid w:val="5C7459B1"/>
    <w:rsid w:val="5CE70724"/>
    <w:rsid w:val="5D0550BD"/>
    <w:rsid w:val="5D332E21"/>
    <w:rsid w:val="5DB07C01"/>
    <w:rsid w:val="5DBB434E"/>
    <w:rsid w:val="5DF62609"/>
    <w:rsid w:val="5E000FDF"/>
    <w:rsid w:val="5E555AD4"/>
    <w:rsid w:val="5E5D600C"/>
    <w:rsid w:val="5E9E2485"/>
    <w:rsid w:val="5EAB5F42"/>
    <w:rsid w:val="5ECB647C"/>
    <w:rsid w:val="5F045826"/>
    <w:rsid w:val="5F332BBC"/>
    <w:rsid w:val="5F643A9F"/>
    <w:rsid w:val="5F945B4F"/>
    <w:rsid w:val="5FA83551"/>
    <w:rsid w:val="5FCC5C3B"/>
    <w:rsid w:val="5FE26694"/>
    <w:rsid w:val="60375A72"/>
    <w:rsid w:val="60787BBF"/>
    <w:rsid w:val="60903659"/>
    <w:rsid w:val="60E530F9"/>
    <w:rsid w:val="613A5CE7"/>
    <w:rsid w:val="618E553F"/>
    <w:rsid w:val="619B79E0"/>
    <w:rsid w:val="626E5D82"/>
    <w:rsid w:val="62D42D97"/>
    <w:rsid w:val="62D774FD"/>
    <w:rsid w:val="631C715C"/>
    <w:rsid w:val="63267A7F"/>
    <w:rsid w:val="63D15554"/>
    <w:rsid w:val="63EC556B"/>
    <w:rsid w:val="63ED07DB"/>
    <w:rsid w:val="646612BC"/>
    <w:rsid w:val="648B6264"/>
    <w:rsid w:val="64A758F9"/>
    <w:rsid w:val="64EA5182"/>
    <w:rsid w:val="653A5471"/>
    <w:rsid w:val="6583500E"/>
    <w:rsid w:val="65DF0C5F"/>
    <w:rsid w:val="65E17098"/>
    <w:rsid w:val="65F94AD3"/>
    <w:rsid w:val="65FA2A89"/>
    <w:rsid w:val="674426C2"/>
    <w:rsid w:val="674723E2"/>
    <w:rsid w:val="67763E2A"/>
    <w:rsid w:val="67B70E6C"/>
    <w:rsid w:val="68210EBB"/>
    <w:rsid w:val="682B1E4E"/>
    <w:rsid w:val="684E2B2E"/>
    <w:rsid w:val="688304C3"/>
    <w:rsid w:val="68997C16"/>
    <w:rsid w:val="689F4493"/>
    <w:rsid w:val="68A821FE"/>
    <w:rsid w:val="68CE26CC"/>
    <w:rsid w:val="68DE166D"/>
    <w:rsid w:val="68E1475B"/>
    <w:rsid w:val="68F01131"/>
    <w:rsid w:val="694573A4"/>
    <w:rsid w:val="6986324D"/>
    <w:rsid w:val="69961C48"/>
    <w:rsid w:val="69A0466A"/>
    <w:rsid w:val="69A26B60"/>
    <w:rsid w:val="69B060D6"/>
    <w:rsid w:val="69D65CD5"/>
    <w:rsid w:val="6A12188E"/>
    <w:rsid w:val="6A17588C"/>
    <w:rsid w:val="6A612B6C"/>
    <w:rsid w:val="6A661CF2"/>
    <w:rsid w:val="6A811428"/>
    <w:rsid w:val="6AF65744"/>
    <w:rsid w:val="6AFE019A"/>
    <w:rsid w:val="6AFF2228"/>
    <w:rsid w:val="6B5E2279"/>
    <w:rsid w:val="6BE51F2E"/>
    <w:rsid w:val="6BE66F35"/>
    <w:rsid w:val="6BE75F78"/>
    <w:rsid w:val="6BFB5EC7"/>
    <w:rsid w:val="6C0F0E51"/>
    <w:rsid w:val="6C5A2894"/>
    <w:rsid w:val="6CA11140"/>
    <w:rsid w:val="6CB14F97"/>
    <w:rsid w:val="6D103C2D"/>
    <w:rsid w:val="6D2B4AC8"/>
    <w:rsid w:val="6DBA3159"/>
    <w:rsid w:val="6E172849"/>
    <w:rsid w:val="6E380745"/>
    <w:rsid w:val="6E787440"/>
    <w:rsid w:val="6E8B77E3"/>
    <w:rsid w:val="6EF56BFD"/>
    <w:rsid w:val="6F3B093A"/>
    <w:rsid w:val="6F524399"/>
    <w:rsid w:val="6F6F1BAD"/>
    <w:rsid w:val="6F7246F2"/>
    <w:rsid w:val="6F887AC2"/>
    <w:rsid w:val="6FC2129B"/>
    <w:rsid w:val="6FDB74FC"/>
    <w:rsid w:val="703D3F6D"/>
    <w:rsid w:val="706C6EE3"/>
    <w:rsid w:val="708B3967"/>
    <w:rsid w:val="709B3825"/>
    <w:rsid w:val="709F0179"/>
    <w:rsid w:val="70BC49BC"/>
    <w:rsid w:val="70C65592"/>
    <w:rsid w:val="70EC4AB9"/>
    <w:rsid w:val="71323984"/>
    <w:rsid w:val="714E6D1B"/>
    <w:rsid w:val="715E4F2E"/>
    <w:rsid w:val="716E50FA"/>
    <w:rsid w:val="71AA07CA"/>
    <w:rsid w:val="71AB35B1"/>
    <w:rsid w:val="71F4319C"/>
    <w:rsid w:val="72077373"/>
    <w:rsid w:val="721A7BD0"/>
    <w:rsid w:val="723029F3"/>
    <w:rsid w:val="723A222D"/>
    <w:rsid w:val="724A3704"/>
    <w:rsid w:val="724E1389"/>
    <w:rsid w:val="728924AE"/>
    <w:rsid w:val="72BA1C62"/>
    <w:rsid w:val="72C82688"/>
    <w:rsid w:val="72DE7937"/>
    <w:rsid w:val="72E44737"/>
    <w:rsid w:val="730B793F"/>
    <w:rsid w:val="73663F0B"/>
    <w:rsid w:val="736C30FE"/>
    <w:rsid w:val="73F65C2F"/>
    <w:rsid w:val="745765D9"/>
    <w:rsid w:val="745D14CD"/>
    <w:rsid w:val="74DC3784"/>
    <w:rsid w:val="751A69B4"/>
    <w:rsid w:val="760B07BE"/>
    <w:rsid w:val="761D13A7"/>
    <w:rsid w:val="76FA554F"/>
    <w:rsid w:val="77317D6C"/>
    <w:rsid w:val="775312FE"/>
    <w:rsid w:val="779F75CE"/>
    <w:rsid w:val="77DB34C7"/>
    <w:rsid w:val="782A3DBC"/>
    <w:rsid w:val="78A0434A"/>
    <w:rsid w:val="78BD4EEA"/>
    <w:rsid w:val="78C338C8"/>
    <w:rsid w:val="79165CB5"/>
    <w:rsid w:val="7944054A"/>
    <w:rsid w:val="795B24C5"/>
    <w:rsid w:val="79B24069"/>
    <w:rsid w:val="79F226B7"/>
    <w:rsid w:val="7A01628B"/>
    <w:rsid w:val="7A031608"/>
    <w:rsid w:val="7A2E708D"/>
    <w:rsid w:val="7A615854"/>
    <w:rsid w:val="7A617587"/>
    <w:rsid w:val="7A6F6B75"/>
    <w:rsid w:val="7A954F16"/>
    <w:rsid w:val="7AC30E9C"/>
    <w:rsid w:val="7B565601"/>
    <w:rsid w:val="7BB045D8"/>
    <w:rsid w:val="7C105077"/>
    <w:rsid w:val="7C466CEA"/>
    <w:rsid w:val="7C58593F"/>
    <w:rsid w:val="7C707314"/>
    <w:rsid w:val="7C775EE3"/>
    <w:rsid w:val="7CE137D8"/>
    <w:rsid w:val="7D23702C"/>
    <w:rsid w:val="7DAF42A7"/>
    <w:rsid w:val="7DDF2E70"/>
    <w:rsid w:val="7DF97775"/>
    <w:rsid w:val="7DFC1BF7"/>
    <w:rsid w:val="7E3A6786"/>
    <w:rsid w:val="7E8D09B8"/>
    <w:rsid w:val="7EA01F1F"/>
    <w:rsid w:val="7EB55151"/>
    <w:rsid w:val="7EB65D41"/>
    <w:rsid w:val="7EC14BE2"/>
    <w:rsid w:val="7EC935BF"/>
    <w:rsid w:val="7F1350FE"/>
    <w:rsid w:val="7F1B4EB8"/>
    <w:rsid w:val="7F2A29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7"/>
    <w:qFormat/>
    <w:uiPriority w:val="0"/>
    <w:pPr>
      <w:keepNext/>
      <w:keepLines/>
      <w:jc w:val="center"/>
      <w:outlineLvl w:val="0"/>
    </w:pPr>
    <w:rPr>
      <w:b/>
      <w:bCs/>
      <w:kern w:val="44"/>
      <w:sz w:val="30"/>
      <w:szCs w:val="44"/>
    </w:rPr>
  </w:style>
  <w:style w:type="paragraph" w:styleId="3">
    <w:name w:val="heading 2"/>
    <w:basedOn w:val="1"/>
    <w:next w:val="1"/>
    <w:qFormat/>
    <w:uiPriority w:val="0"/>
    <w:pPr>
      <w:keepNext/>
      <w:keepLines/>
      <w:outlineLvl w:val="1"/>
    </w:pPr>
    <w:rPr>
      <w:rFonts w:ascii="Arial" w:hAnsi="Arial"/>
      <w:b/>
      <w:bCs/>
      <w:szCs w:val="32"/>
    </w:rPr>
  </w:style>
  <w:style w:type="paragraph" w:styleId="4">
    <w:name w:val="heading 3"/>
    <w:basedOn w:val="1"/>
    <w:next w:val="1"/>
    <w:qFormat/>
    <w:uiPriority w:val="0"/>
    <w:pPr>
      <w:keepNext/>
      <w:keepLines/>
      <w:outlineLvl w:val="2"/>
    </w:pPr>
    <w:rPr>
      <w:b/>
      <w:bCs/>
      <w:szCs w:val="32"/>
    </w:rPr>
  </w:style>
  <w:style w:type="paragraph" w:styleId="5">
    <w:name w:val="heading 4"/>
    <w:basedOn w:val="1"/>
    <w:next w:val="1"/>
    <w:link w:val="77"/>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1"/>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table of authorities"/>
    <w:basedOn w:val="1"/>
    <w:next w:val="1"/>
    <w:unhideWhenUsed/>
    <w:qFormat/>
    <w:uiPriority w:val="99"/>
    <w:pPr>
      <w:ind w:left="420" w:leftChars="200"/>
    </w:pPr>
  </w:style>
  <w:style w:type="paragraph" w:styleId="14">
    <w:name w:val="index 8"/>
    <w:basedOn w:val="1"/>
    <w:next w:val="1"/>
    <w:qFormat/>
    <w:uiPriority w:val="0"/>
    <w:pPr>
      <w:ind w:left="2940"/>
    </w:pPr>
  </w:style>
  <w:style w:type="paragraph" w:styleId="15">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79"/>
    <w:qFormat/>
    <w:uiPriority w:val="0"/>
    <w:pPr>
      <w:jc w:val="left"/>
    </w:pPr>
  </w:style>
  <w:style w:type="paragraph" w:styleId="19">
    <w:name w:val="Body Text 3"/>
    <w:basedOn w:val="1"/>
    <w:qFormat/>
    <w:uiPriority w:val="0"/>
    <w:pPr>
      <w:spacing w:line="500" w:lineRule="exact"/>
    </w:pPr>
    <w:rPr>
      <w:b/>
      <w:bCs/>
      <w:sz w:val="24"/>
    </w:rPr>
  </w:style>
  <w:style w:type="paragraph" w:styleId="20">
    <w:name w:val="Body Text"/>
    <w:basedOn w:val="1"/>
    <w:qFormat/>
    <w:uiPriority w:val="0"/>
    <w:pPr>
      <w:spacing w:line="380" w:lineRule="exact"/>
    </w:pPr>
    <w:rPr>
      <w:sz w:val="24"/>
    </w:rPr>
  </w:style>
  <w:style w:type="paragraph" w:styleId="21">
    <w:name w:val="Body Text Indent"/>
    <w:basedOn w:val="1"/>
    <w:next w:val="22"/>
    <w:link w:val="189"/>
    <w:qFormat/>
    <w:uiPriority w:val="0"/>
    <w:pPr>
      <w:ind w:firstLine="830" w:firstLineChars="352"/>
    </w:pPr>
    <w:rPr>
      <w:rFonts w:ascii="仿宋_GB2312" w:eastAsia="仿宋_GB2312"/>
      <w:sz w:val="32"/>
      <w:szCs w:val="20"/>
    </w:rPr>
  </w:style>
  <w:style w:type="paragraph" w:styleId="22">
    <w:name w:val="envelope return"/>
    <w:basedOn w:val="1"/>
    <w:qFormat/>
    <w:uiPriority w:val="0"/>
    <w:pPr>
      <w:snapToGrid w:val="0"/>
    </w:pPr>
    <w:rPr>
      <w:rFonts w:ascii="Arial" w:hAnsi="Arial"/>
    </w:rPr>
  </w:style>
  <w:style w:type="paragraph" w:styleId="23">
    <w:name w:val="List Number 3"/>
    <w:basedOn w:val="1"/>
    <w:qFormat/>
    <w:uiPriority w:val="0"/>
    <w:pPr>
      <w:numPr>
        <w:ilvl w:val="0"/>
        <w:numId w:val="1"/>
      </w:numPr>
      <w:tabs>
        <w:tab w:val="left" w:pos="1455"/>
      </w:tabs>
    </w:pPr>
  </w:style>
  <w:style w:type="paragraph" w:styleId="24">
    <w:name w:val="List 2"/>
    <w:basedOn w:val="1"/>
    <w:qFormat/>
    <w:uiPriority w:val="0"/>
    <w:pPr>
      <w:ind w:left="100" w:leftChars="200" w:hanging="200" w:hangingChars="200"/>
    </w:pPr>
    <w:rPr>
      <w:sz w:val="28"/>
    </w:rPr>
  </w:style>
  <w:style w:type="paragraph" w:styleId="25">
    <w:name w:val="toc 5"/>
    <w:basedOn w:val="1"/>
    <w:next w:val="1"/>
    <w:unhideWhenUsed/>
    <w:qFormat/>
    <w:uiPriority w:val="0"/>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87"/>
    <w:qFormat/>
    <w:uiPriority w:val="0"/>
    <w:rPr>
      <w:rFonts w:ascii="宋体" w:hAnsi="Courier New" w:cs="Courier New"/>
      <w:szCs w:val="21"/>
    </w:rPr>
  </w:style>
  <w:style w:type="paragraph" w:styleId="28">
    <w:name w:val="toc 8"/>
    <w:basedOn w:val="1"/>
    <w:next w:val="1"/>
    <w:unhideWhenUsed/>
    <w:qFormat/>
    <w:uiPriority w:val="0"/>
    <w:pPr>
      <w:ind w:left="1470"/>
      <w:jc w:val="left"/>
    </w:pPr>
    <w:rPr>
      <w:rFonts w:ascii="Calibri" w:hAnsi="Calibri"/>
      <w:sz w:val="18"/>
      <w:szCs w:val="18"/>
    </w:rPr>
  </w:style>
  <w:style w:type="paragraph" w:styleId="29">
    <w:name w:val="Date"/>
    <w:basedOn w:val="1"/>
    <w:next w:val="1"/>
    <w:qFormat/>
    <w:uiPriority w:val="0"/>
    <w:pPr>
      <w:ind w:left="100" w:leftChars="2500"/>
    </w:pPr>
  </w:style>
  <w:style w:type="paragraph" w:styleId="30">
    <w:name w:val="Body Text Indent 2"/>
    <w:basedOn w:val="1"/>
    <w:qFormat/>
    <w:uiPriority w:val="0"/>
    <w:pPr>
      <w:spacing w:after="120" w:line="480" w:lineRule="auto"/>
      <w:ind w:left="420" w:leftChars="200"/>
    </w:pPr>
  </w:style>
  <w:style w:type="paragraph" w:styleId="31">
    <w:name w:val="Balloon Text"/>
    <w:basedOn w:val="1"/>
    <w:qFormat/>
    <w:uiPriority w:val="0"/>
    <w:rPr>
      <w:sz w:val="18"/>
      <w:szCs w:val="18"/>
    </w:rPr>
  </w:style>
  <w:style w:type="paragraph" w:styleId="32">
    <w:name w:val="footer"/>
    <w:basedOn w:val="1"/>
    <w:link w:val="97"/>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unhideWhenUsed/>
    <w:qFormat/>
    <w:uiPriority w:val="0"/>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0"/>
    <w:pPr>
      <w:ind w:left="1050"/>
      <w:jc w:val="left"/>
    </w:pPr>
    <w:rPr>
      <w:rFonts w:ascii="Calibri" w:hAnsi="Calibri"/>
      <w:sz w:val="18"/>
      <w:szCs w:val="18"/>
    </w:rPr>
  </w:style>
  <w:style w:type="paragraph" w:styleId="38">
    <w:name w:val="Body Text Indent 3"/>
    <w:basedOn w:val="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unhideWhenUsed/>
    <w:qFormat/>
    <w:uiPriority w:val="0"/>
    <w:pPr>
      <w:ind w:left="1680"/>
      <w:jc w:val="left"/>
    </w:pPr>
    <w:rPr>
      <w:rFonts w:ascii="Calibri" w:hAnsi="Calibri"/>
      <w:sz w:val="18"/>
      <w:szCs w:val="18"/>
    </w:rPr>
  </w:style>
  <w:style w:type="paragraph" w:styleId="41">
    <w:name w:val="Body Text 2"/>
    <w:basedOn w:val="1"/>
    <w:qFormat/>
    <w:uiPriority w:val="0"/>
    <w:pPr>
      <w:spacing w:after="120" w:line="480" w:lineRule="auto"/>
    </w:pPr>
  </w:style>
  <w:style w:type="paragraph" w:styleId="4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3">
    <w:name w:val="Normal (Web)"/>
    <w:basedOn w:val="1"/>
    <w:link w:val="98"/>
    <w:qFormat/>
    <w:uiPriority w:val="0"/>
    <w:pPr>
      <w:widowControl/>
      <w:jc w:val="left"/>
    </w:pPr>
    <w:rPr>
      <w:rFonts w:ascii="宋体" w:hAnsi="宋体"/>
      <w:kern w:val="0"/>
      <w:sz w:val="24"/>
    </w:rPr>
  </w:style>
  <w:style w:type="paragraph" w:styleId="44">
    <w:name w:val="index 1"/>
    <w:basedOn w:val="1"/>
    <w:next w:val="1"/>
    <w:qFormat/>
    <w:uiPriority w:val="0"/>
    <w:pPr>
      <w:spacing w:line="400" w:lineRule="exact"/>
      <w:ind w:firstLine="420" w:firstLineChars="200"/>
    </w:pPr>
    <w:rPr>
      <w:rFonts w:ascii="宋体" w:hAnsi="Courier New"/>
      <w:b/>
      <w:szCs w:val="20"/>
    </w:rPr>
  </w:style>
  <w:style w:type="paragraph" w:styleId="45">
    <w:name w:val="Title"/>
    <w:basedOn w:val="1"/>
    <w:next w:val="1"/>
    <w:link w:val="95"/>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83"/>
    <w:qFormat/>
    <w:uiPriority w:val="0"/>
    <w:rPr>
      <w:rFonts w:ascii="宋体" w:hAnsi="Courier New"/>
      <w:szCs w:val="20"/>
    </w:rPr>
  </w:style>
  <w:style w:type="paragraph" w:styleId="47">
    <w:name w:val="Body Text First Indent"/>
    <w:basedOn w:val="20"/>
    <w:qFormat/>
    <w:uiPriority w:val="0"/>
    <w:pPr>
      <w:ind w:firstLine="420" w:firstLineChars="100"/>
    </w:pPr>
  </w:style>
  <w:style w:type="paragraph" w:styleId="48">
    <w:name w:val="Body Text First Indent 2"/>
    <w:basedOn w:val="21"/>
    <w:next w:val="1"/>
    <w:qFormat/>
    <w:uiPriority w:val="0"/>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basedOn w:val="51"/>
    <w:qFormat/>
    <w:uiPriority w:val="0"/>
    <w:rPr>
      <w:color w:val="0088CC"/>
      <w:u w:val="none"/>
    </w:rPr>
  </w:style>
  <w:style w:type="character" w:styleId="55">
    <w:name w:val="Emphasis"/>
    <w:qFormat/>
    <w:uiPriority w:val="20"/>
    <w:rPr>
      <w:i/>
      <w:iCs/>
    </w:rPr>
  </w:style>
  <w:style w:type="character" w:styleId="56">
    <w:name w:val="HTML Definition"/>
    <w:qFormat/>
    <w:uiPriority w:val="0"/>
  </w:style>
  <w:style w:type="character" w:styleId="57">
    <w:name w:val="HTML Typewriter"/>
    <w:basedOn w:val="51"/>
    <w:qFormat/>
    <w:uiPriority w:val="0"/>
    <w:rPr>
      <w:rFonts w:hint="default" w:ascii="monospace" w:hAnsi="monospace" w:eastAsia="monospace" w:cs="monospace"/>
      <w:sz w:val="20"/>
    </w:rPr>
  </w:style>
  <w:style w:type="character" w:styleId="58">
    <w:name w:val="HTML Acronym"/>
    <w:basedOn w:val="51"/>
    <w:qFormat/>
    <w:uiPriority w:val="0"/>
  </w:style>
  <w:style w:type="character" w:styleId="59">
    <w:name w:val="HTML Variable"/>
    <w:qFormat/>
    <w:uiPriority w:val="0"/>
  </w:style>
  <w:style w:type="character" w:styleId="60">
    <w:name w:val="Hyperlink"/>
    <w:basedOn w:val="51"/>
    <w:qFormat/>
    <w:uiPriority w:val="99"/>
    <w:rPr>
      <w:color w:val="333333"/>
      <w:u w:val="none"/>
    </w:rPr>
  </w:style>
  <w:style w:type="character" w:styleId="61">
    <w:name w:val="HTML Code"/>
    <w:qFormat/>
    <w:uiPriority w:val="0"/>
    <w:rPr>
      <w:rFonts w:ascii="Courier New" w:hAnsi="Courier New"/>
      <w:color w:val="505050"/>
      <w:sz w:val="24"/>
      <w:szCs w:val="24"/>
    </w:rPr>
  </w:style>
  <w:style w:type="character" w:styleId="62">
    <w:name w:val="annotation reference"/>
    <w:qFormat/>
    <w:uiPriority w:val="0"/>
    <w:rPr>
      <w:sz w:val="21"/>
      <w:szCs w:val="21"/>
    </w:rPr>
  </w:style>
  <w:style w:type="character" w:styleId="63">
    <w:name w:val="HTML Cite"/>
    <w:qFormat/>
    <w:uiPriority w:val="0"/>
  </w:style>
  <w:style w:type="character" w:styleId="64">
    <w:name w:val="HTML Keyboard"/>
    <w:basedOn w:val="51"/>
    <w:qFormat/>
    <w:uiPriority w:val="0"/>
    <w:rPr>
      <w:rFonts w:hint="default" w:ascii="monospace" w:hAnsi="monospace" w:eastAsia="monospace" w:cs="monospace"/>
      <w:sz w:val="20"/>
    </w:rPr>
  </w:style>
  <w:style w:type="character" w:styleId="65">
    <w:name w:val="HTML Sample"/>
    <w:basedOn w:val="51"/>
    <w:qFormat/>
    <w:uiPriority w:val="0"/>
    <w:rPr>
      <w:rFonts w:hint="default" w:ascii="monospace" w:hAnsi="monospace" w:eastAsia="monospace" w:cs="monospace"/>
    </w:rPr>
  </w:style>
  <w:style w:type="paragraph" w:customStyle="1" w:styleId="66">
    <w:name w:val="font5"/>
    <w:basedOn w:val="1"/>
    <w:next w:val="28"/>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7">
    <w:name w:val="样式 标题 2 + 宋体"/>
    <w:basedOn w:val="3"/>
    <w:qFormat/>
    <w:uiPriority w:val="99"/>
    <w:pPr>
      <w:tabs>
        <w:tab w:val="left" w:pos="1021"/>
      </w:tabs>
    </w:pPr>
    <w:rPr>
      <w:rFonts w:ascii="宋体" w:hAnsi="宋体"/>
      <w:sz w:val="30"/>
    </w:rPr>
  </w:style>
  <w:style w:type="paragraph" w:styleId="68">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69">
    <w:name w:val="toc 12"/>
    <w:next w:val="1"/>
    <w:qFormat/>
    <w:uiPriority w:val="0"/>
    <w:pPr>
      <w:wordWrap w:val="0"/>
      <w:jc w:val="both"/>
    </w:pPr>
    <w:rPr>
      <w:rFonts w:ascii="宋体" w:hAnsi="宋体" w:eastAsia="宋体" w:cs="Times New Roman"/>
      <w:sz w:val="21"/>
      <w:lang w:val="en-US" w:eastAsia="zh-CN" w:bidi="ar-SA"/>
    </w:rPr>
  </w:style>
  <w:style w:type="paragraph" w:customStyle="1" w:styleId="70">
    <w:name w:val="正文1"/>
    <w:basedOn w:val="1"/>
    <w:qFormat/>
    <w:uiPriority w:val="0"/>
    <w:pPr>
      <w:numPr>
        <w:ilvl w:val="0"/>
        <w:numId w:val="3"/>
      </w:numPr>
      <w:tabs>
        <w:tab w:val="left" w:pos="1800"/>
      </w:tabs>
      <w:autoSpaceDE w:val="0"/>
      <w:autoSpaceDN w:val="0"/>
      <w:adjustRightInd w:val="0"/>
      <w:spacing w:line="360" w:lineRule="auto"/>
      <w:jc w:val="left"/>
    </w:pPr>
    <w:rPr>
      <w:rFonts w:hint="eastAsia" w:ascii="宋体" w:hAnsi="宋体" w:cs="Arial"/>
      <w:kern w:val="0"/>
      <w:sz w:val="24"/>
      <w:szCs w:val="21"/>
    </w:rPr>
  </w:style>
  <w:style w:type="paragraph" w:customStyle="1" w:styleId="7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Default"/>
    <w:next w:val="7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3">
    <w:name w:val="No Spacing"/>
    <w:link w:val="88"/>
    <w:qFormat/>
    <w:uiPriority w:val="0"/>
    <w:rPr>
      <w:rFonts w:ascii="Calibri" w:hAnsi="Calibri" w:eastAsia="Times New Roman" w:cs="Times New Roman"/>
      <w:sz w:val="22"/>
      <w:szCs w:val="22"/>
      <w:lang w:val="en-US" w:eastAsia="zh-CN" w:bidi="ar-SA"/>
    </w:rPr>
  </w:style>
  <w:style w:type="paragraph" w:customStyle="1" w:styleId="74">
    <w:name w:val="BodyText1I"/>
    <w:basedOn w:val="75"/>
    <w:qFormat/>
    <w:uiPriority w:val="0"/>
    <w:pPr>
      <w:spacing w:after="120"/>
      <w:ind w:firstLine="420" w:firstLineChars="100"/>
    </w:pPr>
  </w:style>
  <w:style w:type="paragraph" w:customStyle="1" w:styleId="75">
    <w:name w:val="BodyText"/>
    <w:basedOn w:val="1"/>
    <w:next w:val="76"/>
    <w:qFormat/>
    <w:uiPriority w:val="0"/>
    <w:pPr>
      <w:jc w:val="center"/>
      <w:textAlignment w:val="baseline"/>
    </w:pPr>
  </w:style>
  <w:style w:type="paragraph" w:customStyle="1" w:styleId="76">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character" w:customStyle="1" w:styleId="77">
    <w:name w:val="标题 4 Char"/>
    <w:link w:val="5"/>
    <w:qFormat/>
    <w:uiPriority w:val="0"/>
    <w:rPr>
      <w:rFonts w:ascii="Arial" w:hAnsi="Arial" w:eastAsia="黑体"/>
      <w:b/>
      <w:kern w:val="2"/>
      <w:sz w:val="28"/>
    </w:rPr>
  </w:style>
  <w:style w:type="character" w:customStyle="1" w:styleId="78">
    <w:name w:val="访问过的超链接1"/>
    <w:qFormat/>
    <w:uiPriority w:val="0"/>
    <w:rPr>
      <w:color w:val="333333"/>
      <w:u w:val="none"/>
    </w:rPr>
  </w:style>
  <w:style w:type="character" w:customStyle="1" w:styleId="79">
    <w:name w:val="批注文字 Char"/>
    <w:link w:val="18"/>
    <w:qFormat/>
    <w:uiPriority w:val="0"/>
    <w:rPr>
      <w:kern w:val="2"/>
      <w:sz w:val="21"/>
      <w:szCs w:val="24"/>
      <w:lang w:bidi="ar-SA"/>
    </w:rPr>
  </w:style>
  <w:style w:type="character" w:customStyle="1" w:styleId="80">
    <w:name w:val="textcontents"/>
    <w:basedOn w:val="51"/>
    <w:qFormat/>
    <w:uiPriority w:val="0"/>
  </w:style>
  <w:style w:type="character" w:customStyle="1" w:styleId="81">
    <w:name w:val="页眉 Char"/>
    <w:link w:val="33"/>
    <w:qFormat/>
    <w:uiPriority w:val="99"/>
    <w:rPr>
      <w:rFonts w:eastAsia="宋体"/>
      <w:kern w:val="2"/>
      <w:sz w:val="18"/>
      <w:szCs w:val="18"/>
      <w:lang w:val="en-US" w:eastAsia="zh-CN" w:bidi="ar-SA"/>
    </w:rPr>
  </w:style>
  <w:style w:type="character" w:customStyle="1" w:styleId="82">
    <w:name w:val="Char Char2"/>
    <w:qFormat/>
    <w:uiPriority w:val="0"/>
    <w:rPr>
      <w:kern w:val="2"/>
      <w:sz w:val="21"/>
      <w:szCs w:val="24"/>
    </w:rPr>
  </w:style>
  <w:style w:type="character" w:customStyle="1" w:styleId="83">
    <w:name w:val="批注主题 Char"/>
    <w:link w:val="46"/>
    <w:qFormat/>
    <w:uiPriority w:val="0"/>
    <w:rPr>
      <w:rFonts w:ascii="宋体" w:hAnsi="Courier New" w:eastAsia="宋体"/>
      <w:kern w:val="2"/>
      <w:sz w:val="21"/>
      <w:lang w:val="en-US" w:eastAsia="zh-CN" w:bidi="ar-SA"/>
    </w:rPr>
  </w:style>
  <w:style w:type="character" w:customStyle="1" w:styleId="84">
    <w:name w:val="普通文字 Char Char1"/>
    <w:qFormat/>
    <w:uiPriority w:val="0"/>
    <w:rPr>
      <w:rFonts w:ascii="宋体" w:hAnsi="Courier New" w:eastAsia="宋体" w:cs="Courier New"/>
      <w:kern w:val="2"/>
      <w:sz w:val="21"/>
      <w:szCs w:val="21"/>
      <w:lang w:val="en-US" w:eastAsia="zh-CN" w:bidi="ar-SA"/>
    </w:rPr>
  </w:style>
  <w:style w:type="character" w:customStyle="1" w:styleId="85">
    <w:name w:val="case31"/>
    <w:qFormat/>
    <w:uiPriority w:val="0"/>
    <w:rPr>
      <w:rFonts w:hint="default"/>
      <w:sz w:val="21"/>
      <w:szCs w:val="21"/>
    </w:rPr>
  </w:style>
  <w:style w:type="character" w:customStyle="1" w:styleId="86">
    <w:name w:val="Char Char5"/>
    <w:qFormat/>
    <w:uiPriority w:val="0"/>
    <w:rPr>
      <w:rFonts w:eastAsia="宋体"/>
      <w:kern w:val="2"/>
      <w:sz w:val="21"/>
      <w:szCs w:val="24"/>
      <w:lang w:val="en-US" w:eastAsia="zh-CN" w:bidi="ar-SA"/>
    </w:rPr>
  </w:style>
  <w:style w:type="character" w:customStyle="1" w:styleId="87">
    <w:name w:val="纯文本 Char"/>
    <w:link w:val="27"/>
    <w:qFormat/>
    <w:uiPriority w:val="0"/>
    <w:rPr>
      <w:rFonts w:ascii="宋体" w:hAnsi="Courier New" w:eastAsia="宋体" w:cs="Courier New"/>
      <w:kern w:val="2"/>
      <w:sz w:val="21"/>
      <w:szCs w:val="21"/>
      <w:lang w:val="en-US" w:eastAsia="zh-CN" w:bidi="ar-SA"/>
    </w:rPr>
  </w:style>
  <w:style w:type="character" w:customStyle="1" w:styleId="88">
    <w:name w:val="无间隔 Char"/>
    <w:link w:val="73"/>
    <w:qFormat/>
    <w:uiPriority w:val="0"/>
    <w:rPr>
      <w:rFonts w:ascii="Calibri" w:hAnsi="Calibri" w:eastAsia="Times New Roman"/>
      <w:sz w:val="22"/>
      <w:szCs w:val="22"/>
      <w:lang w:val="en-US" w:eastAsia="zh-CN" w:bidi="ar-SA"/>
    </w:rPr>
  </w:style>
  <w:style w:type="character" w:customStyle="1" w:styleId="89">
    <w:name w:val="lb1"/>
    <w:qFormat/>
    <w:uiPriority w:val="0"/>
    <w:rPr>
      <w:rFonts w:hint="default"/>
      <w:b/>
      <w:bCs/>
      <w:color w:val="0851A5"/>
      <w:sz w:val="27"/>
      <w:szCs w:val="27"/>
    </w:rPr>
  </w:style>
  <w:style w:type="character" w:customStyle="1" w:styleId="90">
    <w:name w:val="Char Char Char"/>
    <w:qFormat/>
    <w:uiPriority w:val="0"/>
    <w:rPr>
      <w:rFonts w:ascii="宋体" w:hAnsi="Courier New" w:eastAsia="宋体"/>
      <w:kern w:val="2"/>
      <w:sz w:val="21"/>
      <w:lang w:val="en-US" w:eastAsia="zh-CN" w:bidi="ar-SA"/>
    </w:rPr>
  </w:style>
  <w:style w:type="character" w:customStyle="1" w:styleId="91">
    <w:name w:val="font11"/>
    <w:qFormat/>
    <w:uiPriority w:val="0"/>
    <w:rPr>
      <w:rFonts w:ascii="Calibri" w:hAnsi="Calibri" w:cs="Calibri"/>
      <w:color w:val="000000"/>
      <w:sz w:val="20"/>
      <w:szCs w:val="20"/>
      <w:u w:val="none"/>
    </w:rPr>
  </w:style>
  <w:style w:type="character" w:customStyle="1" w:styleId="92">
    <w:name w:val="search_content1"/>
    <w:qFormat/>
    <w:uiPriority w:val="0"/>
    <w:rPr>
      <w:sz w:val="20"/>
      <w:szCs w:val="20"/>
    </w:rPr>
  </w:style>
  <w:style w:type="character" w:customStyle="1" w:styleId="93">
    <w:name w:val="Char Char21"/>
    <w:qFormat/>
    <w:uiPriority w:val="0"/>
    <w:rPr>
      <w:rFonts w:ascii="宋体" w:hAnsi="宋体" w:eastAsia="宋体"/>
      <w:kern w:val="2"/>
      <w:sz w:val="21"/>
      <w:szCs w:val="24"/>
      <w:lang w:val="en-US" w:eastAsia="zh-CN" w:bidi="ar-SA"/>
    </w:rPr>
  </w:style>
  <w:style w:type="character" w:customStyle="1" w:styleId="94">
    <w:name w:val="apple-converted-space"/>
    <w:basedOn w:val="51"/>
    <w:qFormat/>
    <w:uiPriority w:val="0"/>
  </w:style>
  <w:style w:type="character" w:customStyle="1" w:styleId="95">
    <w:name w:val="标题 Char"/>
    <w:link w:val="45"/>
    <w:qFormat/>
    <w:uiPriority w:val="0"/>
    <w:rPr>
      <w:rFonts w:ascii="Cambria" w:hAnsi="Cambria" w:eastAsia="宋体"/>
      <w:b/>
      <w:bCs/>
      <w:kern w:val="2"/>
      <w:sz w:val="32"/>
      <w:szCs w:val="32"/>
      <w:lang w:val="en-US" w:eastAsia="zh-CN" w:bidi="ar-SA"/>
    </w:rPr>
  </w:style>
  <w:style w:type="character" w:customStyle="1" w:styleId="96">
    <w:name w:val="font31"/>
    <w:qFormat/>
    <w:uiPriority w:val="0"/>
    <w:rPr>
      <w:rFonts w:hint="eastAsia" w:ascii="宋体" w:hAnsi="宋体" w:eastAsia="宋体" w:cs="宋体"/>
      <w:color w:val="000000"/>
      <w:sz w:val="20"/>
      <w:szCs w:val="20"/>
      <w:u w:val="none"/>
    </w:rPr>
  </w:style>
  <w:style w:type="character" w:customStyle="1" w:styleId="97">
    <w:name w:val="页脚 Char"/>
    <w:basedOn w:val="51"/>
    <w:link w:val="32"/>
    <w:qFormat/>
    <w:uiPriority w:val="99"/>
    <w:rPr>
      <w:kern w:val="2"/>
      <w:sz w:val="18"/>
      <w:szCs w:val="18"/>
    </w:rPr>
  </w:style>
  <w:style w:type="character" w:customStyle="1" w:styleId="98">
    <w:name w:val="普通(网站) Char"/>
    <w:link w:val="43"/>
    <w:qFormat/>
    <w:locked/>
    <w:uiPriority w:val="0"/>
    <w:rPr>
      <w:rFonts w:ascii="宋体" w:hAnsi="宋体" w:cs="宋体"/>
      <w:sz w:val="24"/>
      <w:szCs w:val="24"/>
    </w:rPr>
  </w:style>
  <w:style w:type="paragraph" w:customStyle="1" w:styleId="99">
    <w:name w:val="表格"/>
    <w:basedOn w:val="1"/>
    <w:qFormat/>
    <w:uiPriority w:val="0"/>
    <w:pPr>
      <w:spacing w:line="400" w:lineRule="exact"/>
    </w:pPr>
    <w:rPr>
      <w:sz w:val="24"/>
    </w:rPr>
  </w:style>
  <w:style w:type="paragraph" w:customStyle="1" w:styleId="1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1">
    <w:name w:val="正文段"/>
    <w:basedOn w:val="1"/>
    <w:qFormat/>
    <w:uiPriority w:val="0"/>
    <w:pPr>
      <w:widowControl/>
      <w:snapToGrid w:val="0"/>
      <w:spacing w:afterLines="50"/>
      <w:ind w:firstLine="200" w:firstLineChars="200"/>
    </w:pPr>
    <w:rPr>
      <w:kern w:val="0"/>
      <w:sz w:val="24"/>
      <w:szCs w:val="20"/>
    </w:rPr>
  </w:style>
  <w:style w:type="paragraph" w:customStyle="1" w:styleId="10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0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105">
    <w:name w:val="14 Char Char Char Char Char Char Char Char Char Char Char Char"/>
    <w:basedOn w:val="1"/>
    <w:qFormat/>
    <w:uiPriority w:val="0"/>
    <w:pPr>
      <w:widowControl/>
      <w:spacing w:after="160" w:line="240" w:lineRule="exact"/>
      <w:jc w:val="left"/>
    </w:pPr>
  </w:style>
  <w:style w:type="paragraph" w:customStyle="1" w:styleId="106">
    <w:name w:val="正文首行缩进两字符"/>
    <w:basedOn w:val="1"/>
    <w:qFormat/>
    <w:uiPriority w:val="0"/>
    <w:pPr>
      <w:spacing w:line="360" w:lineRule="auto"/>
      <w:ind w:firstLine="200" w:firstLineChars="200"/>
    </w:pPr>
  </w:style>
  <w:style w:type="paragraph" w:customStyle="1" w:styleId="10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0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2">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11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1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1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1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7">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1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20">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21">
    <w:name w:val="样式 首行缩进:  2 字符"/>
    <w:basedOn w:val="1"/>
    <w:qFormat/>
    <w:uiPriority w:val="0"/>
    <w:pPr>
      <w:spacing w:line="400" w:lineRule="exact"/>
      <w:ind w:firstLine="200" w:firstLineChars="200"/>
    </w:pPr>
    <w:rPr>
      <w:rFonts w:cs="宋体"/>
      <w:sz w:val="24"/>
    </w:rPr>
  </w:style>
  <w:style w:type="paragraph" w:customStyle="1" w:styleId="1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3">
    <w:name w:val="默认段落字体 Para Char"/>
    <w:basedOn w:val="1"/>
    <w:qFormat/>
    <w:uiPriority w:val="0"/>
    <w:pPr>
      <w:adjustRightInd w:val="0"/>
      <w:spacing w:line="360" w:lineRule="auto"/>
    </w:pPr>
    <w:rPr>
      <w:kern w:val="0"/>
      <w:sz w:val="24"/>
      <w:szCs w:val="20"/>
    </w:rPr>
  </w:style>
  <w:style w:type="paragraph" w:customStyle="1" w:styleId="124">
    <w:name w:val="p0"/>
    <w:basedOn w:val="1"/>
    <w:qFormat/>
    <w:uiPriority w:val="0"/>
    <w:pPr>
      <w:widowControl/>
    </w:pPr>
    <w:rPr>
      <w:kern w:val="0"/>
      <w:szCs w:val="21"/>
    </w:rPr>
  </w:style>
  <w:style w:type="paragraph" w:customStyle="1" w:styleId="125">
    <w:name w:val="Char Char Char Char Char Char"/>
    <w:basedOn w:val="1"/>
    <w:qFormat/>
    <w:uiPriority w:val="0"/>
  </w:style>
  <w:style w:type="paragraph" w:customStyle="1" w:styleId="126">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2">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34">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6">
    <w:name w:val="Char1"/>
    <w:basedOn w:val="1"/>
    <w:qFormat/>
    <w:uiPriority w:val="0"/>
    <w:rPr>
      <w:szCs w:val="21"/>
    </w:rPr>
  </w:style>
  <w:style w:type="paragraph" w:customStyle="1" w:styleId="137">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38">
    <w:name w:val="修订1"/>
    <w:qFormat/>
    <w:uiPriority w:val="0"/>
    <w:rPr>
      <w:rFonts w:ascii="Times New Roman" w:hAnsi="Times New Roman" w:eastAsia="宋体" w:cs="Times New Roman"/>
      <w:kern w:val="2"/>
      <w:sz w:val="21"/>
      <w:szCs w:val="24"/>
      <w:lang w:val="en-US" w:eastAsia="zh-CN" w:bidi="ar-SA"/>
    </w:rPr>
  </w:style>
  <w:style w:type="paragraph" w:customStyle="1" w:styleId="13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40">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42">
    <w:name w:val="font10"/>
    <w:basedOn w:val="1"/>
    <w:qFormat/>
    <w:uiPriority w:val="0"/>
    <w:pPr>
      <w:widowControl/>
      <w:spacing w:before="100" w:beforeAutospacing="1" w:after="100" w:afterAutospacing="1"/>
      <w:jc w:val="left"/>
    </w:pPr>
    <w:rPr>
      <w:kern w:val="0"/>
      <w:sz w:val="20"/>
      <w:szCs w:val="20"/>
    </w:rPr>
  </w:style>
  <w:style w:type="paragraph" w:customStyle="1" w:styleId="143">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4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45">
    <w:name w:val="默认段落字体 Para Char Char Char Char Char Char Char Char Char1 Char Char Char Char"/>
    <w:basedOn w:val="1"/>
    <w:qFormat/>
    <w:uiPriority w:val="0"/>
    <w:rPr>
      <w:rFonts w:ascii="Tahoma" w:hAnsi="Tahoma"/>
      <w:sz w:val="24"/>
      <w:szCs w:val="20"/>
    </w:rPr>
  </w:style>
  <w:style w:type="paragraph" w:customStyle="1" w:styleId="1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7">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0">
    <w:name w:val="Char"/>
    <w:basedOn w:val="17"/>
    <w:qFormat/>
    <w:uiPriority w:val="0"/>
    <w:pPr>
      <w:widowControl/>
      <w:ind w:firstLine="454"/>
      <w:jc w:val="left"/>
    </w:pPr>
    <w:rPr>
      <w:rFonts w:ascii="Tahoma" w:hAnsi="Tahoma" w:cs="宋体"/>
      <w:kern w:val="0"/>
      <w:sz w:val="24"/>
      <w:szCs w:val="20"/>
    </w:rPr>
  </w:style>
  <w:style w:type="paragraph" w:styleId="151">
    <w:name w:val="List Paragraph"/>
    <w:basedOn w:val="1"/>
    <w:qFormat/>
    <w:uiPriority w:val="0"/>
    <w:pPr>
      <w:ind w:firstLine="420" w:firstLineChars="200"/>
    </w:pPr>
  </w:style>
  <w:style w:type="paragraph" w:customStyle="1" w:styleId="152">
    <w:name w:val="列出段落1"/>
    <w:basedOn w:val="1"/>
    <w:qFormat/>
    <w:uiPriority w:val="0"/>
    <w:pPr>
      <w:ind w:firstLine="420" w:firstLineChars="200"/>
    </w:pPr>
    <w:rPr>
      <w:rFonts w:ascii="Calibri" w:hAnsi="Calibri"/>
      <w:szCs w:val="22"/>
    </w:rPr>
  </w:style>
  <w:style w:type="paragraph" w:customStyle="1" w:styleId="153">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15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5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58">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159">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6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6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6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69">
    <w:name w:val="font7"/>
    <w:basedOn w:val="1"/>
    <w:qFormat/>
    <w:uiPriority w:val="0"/>
    <w:pPr>
      <w:widowControl/>
      <w:spacing w:before="100" w:beforeAutospacing="1" w:after="100" w:afterAutospacing="1"/>
      <w:jc w:val="left"/>
    </w:pPr>
    <w:rPr>
      <w:kern w:val="0"/>
      <w:sz w:val="16"/>
      <w:szCs w:val="16"/>
    </w:rPr>
  </w:style>
  <w:style w:type="paragraph" w:customStyle="1" w:styleId="170">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74">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7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7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78">
    <w:name w:val="Char Char6"/>
    <w:basedOn w:val="17"/>
    <w:qFormat/>
    <w:uiPriority w:val="0"/>
    <w:pPr>
      <w:widowControl/>
      <w:ind w:firstLine="454"/>
      <w:jc w:val="left"/>
    </w:pPr>
  </w:style>
  <w:style w:type="paragraph" w:customStyle="1" w:styleId="17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80">
    <w:name w:val="tdmpwh"/>
    <w:qFormat/>
    <w:uiPriority w:val="0"/>
  </w:style>
  <w:style w:type="character" w:customStyle="1" w:styleId="181">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82">
    <w:name w:val="Char Char4"/>
    <w:qFormat/>
    <w:uiPriority w:val="0"/>
    <w:rPr>
      <w:rFonts w:ascii="宋体" w:hAnsi="Courier New" w:eastAsia="宋体" w:cs="Courier New"/>
      <w:kern w:val="2"/>
      <w:sz w:val="21"/>
      <w:szCs w:val="21"/>
      <w:lang w:val="en-US" w:eastAsia="zh-CN" w:bidi="ar-SA"/>
    </w:rPr>
  </w:style>
  <w:style w:type="character" w:customStyle="1" w:styleId="183">
    <w:name w:val="Plain Text Char"/>
    <w:qFormat/>
    <w:locked/>
    <w:uiPriority w:val="0"/>
    <w:rPr>
      <w:rFonts w:ascii="宋体" w:hAnsi="Courier New" w:eastAsia="宋体" w:cs="Courier New"/>
      <w:kern w:val="2"/>
      <w:sz w:val="21"/>
      <w:szCs w:val="21"/>
      <w:lang w:val="en-US" w:eastAsia="zh-CN" w:bidi="ar-SA"/>
    </w:rPr>
  </w:style>
  <w:style w:type="character" w:customStyle="1" w:styleId="184">
    <w:name w:val="样式 body + 仿宋_GB2312 三号"/>
    <w:qFormat/>
    <w:uiPriority w:val="0"/>
    <w:rPr>
      <w:rFonts w:ascii="宋体" w:eastAsia="宋体"/>
      <w:kern w:val="0"/>
      <w:sz w:val="24"/>
      <w:szCs w:val="24"/>
      <w:lang w:val="en-US" w:eastAsia="zh-CN" w:bidi="ar-SA"/>
    </w:rPr>
  </w:style>
  <w:style w:type="character" w:customStyle="1" w:styleId="185">
    <w:name w:val="14"/>
    <w:basedOn w:val="51"/>
    <w:qFormat/>
    <w:uiPriority w:val="0"/>
  </w:style>
  <w:style w:type="paragraph" w:customStyle="1" w:styleId="186">
    <w:name w:val="样式 标题 1第A章标题 1 Char Char CharH1h1Level 1 Topic HeadingH11..."/>
    <w:basedOn w:val="2"/>
    <w:qFormat/>
    <w:uiPriority w:val="0"/>
    <w:pPr>
      <w:spacing w:line="460" w:lineRule="exact"/>
      <w:ind w:left="-4"/>
      <w:jc w:val="left"/>
    </w:pPr>
    <w:rPr>
      <w:rFonts w:ascii="仿宋_GB2312" w:hAnsi="宋体" w:eastAsia="仿宋_GB2312" w:cs="宋体"/>
      <w:sz w:val="32"/>
      <w:szCs w:val="32"/>
    </w:rPr>
  </w:style>
  <w:style w:type="paragraph" w:customStyle="1" w:styleId="187">
    <w:name w:val="_Style 81"/>
    <w:basedOn w:val="17"/>
    <w:qFormat/>
    <w:uiPriority w:val="0"/>
    <w:pPr>
      <w:widowControl/>
      <w:ind w:firstLine="454"/>
      <w:jc w:val="left"/>
    </w:pPr>
  </w:style>
  <w:style w:type="paragraph" w:customStyle="1" w:styleId="188">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89">
    <w:name w:val="正文文本缩进 Char"/>
    <w:link w:val="21"/>
    <w:qFormat/>
    <w:uiPriority w:val="0"/>
    <w:rPr>
      <w:rFonts w:ascii="仿宋_GB2312" w:eastAsia="仿宋_GB2312"/>
      <w:kern w:val="2"/>
      <w:sz w:val="32"/>
    </w:rPr>
  </w:style>
  <w:style w:type="paragraph" w:customStyle="1" w:styleId="190">
    <w:name w:val="1"/>
    <w:basedOn w:val="1"/>
    <w:next w:val="27"/>
    <w:qFormat/>
    <w:uiPriority w:val="0"/>
    <w:rPr>
      <w:rFonts w:ascii="宋体" w:hAnsi="Courier New"/>
      <w:szCs w:val="20"/>
    </w:rPr>
  </w:style>
  <w:style w:type="character" w:customStyle="1" w:styleId="191">
    <w:name w:val="l2"/>
    <w:basedOn w:val="51"/>
    <w:qFormat/>
    <w:uiPriority w:val="0"/>
  </w:style>
  <w:style w:type="character" w:customStyle="1" w:styleId="192">
    <w:name w:val="r2"/>
    <w:basedOn w:val="51"/>
    <w:qFormat/>
    <w:uiPriority w:val="0"/>
  </w:style>
  <w:style w:type="paragraph" w:customStyle="1" w:styleId="193">
    <w:name w:val="List Paragraph1"/>
    <w:basedOn w:val="1"/>
    <w:qFormat/>
    <w:uiPriority w:val="99"/>
    <w:pPr>
      <w:ind w:firstLine="420" w:firstLineChars="200"/>
    </w:pPr>
    <w:rPr>
      <w:rFonts w:cs="Calibri"/>
      <w:kern w:val="0"/>
      <w:szCs w:val="21"/>
      <w:lang w:eastAsia="en-US"/>
    </w:rPr>
  </w:style>
  <w:style w:type="character" w:customStyle="1" w:styleId="194">
    <w:name w:val="l"/>
    <w:basedOn w:val="51"/>
    <w:qFormat/>
    <w:uiPriority w:val="0"/>
  </w:style>
  <w:style w:type="paragraph" w:customStyle="1" w:styleId="195">
    <w:name w:val="NormalIndent"/>
    <w:basedOn w:val="1"/>
    <w:qFormat/>
    <w:uiPriority w:val="0"/>
    <w:pPr>
      <w:widowControl/>
      <w:spacing w:line="312" w:lineRule="atLeast"/>
      <w:ind w:firstLine="420"/>
      <w:textAlignment w:val="baseline"/>
    </w:pPr>
    <w:rPr>
      <w:rFonts w:asciiTheme="minorHAnsi" w:hAnsiTheme="minorHAnsi" w:eastAsiaTheme="minorEastAsia" w:cstheme="minorBidi"/>
      <w:kern w:val="0"/>
      <w:szCs w:val="22"/>
    </w:rPr>
  </w:style>
  <w:style w:type="character" w:customStyle="1" w:styleId="196">
    <w:name w:val="r"/>
    <w:basedOn w:val="51"/>
    <w:qFormat/>
    <w:uiPriority w:val="0"/>
  </w:style>
  <w:style w:type="character" w:customStyle="1" w:styleId="197">
    <w:name w:val="layui-layer-tabnow"/>
    <w:basedOn w:val="51"/>
    <w:qFormat/>
    <w:uiPriority w:val="0"/>
    <w:rPr>
      <w:bdr w:val="single" w:color="CCCCCC" w:sz="6" w:space="0"/>
      <w:shd w:val="clear" w:color="auto" w:fill="FFFFFF"/>
    </w:rPr>
  </w:style>
  <w:style w:type="character" w:customStyle="1" w:styleId="198">
    <w:name w:val="first-child"/>
    <w:basedOn w:val="51"/>
    <w:qFormat/>
    <w:uiPriority w:val="0"/>
  </w:style>
  <w:style w:type="paragraph" w:customStyle="1" w:styleId="199">
    <w:name w:val="表格文字"/>
    <w:basedOn w:val="21"/>
    <w:qFormat/>
    <w:uiPriority w:val="99"/>
    <w:pPr>
      <w:spacing w:before="25" w:after="25"/>
      <w:jc w:val="left"/>
    </w:pPr>
    <w:rPr>
      <w:rFonts w:ascii="Calibri" w:hAnsi="Calibri"/>
      <w:bCs/>
      <w:spacing w:val="10"/>
      <w:sz w:val="24"/>
      <w:szCs w:val="22"/>
    </w:rPr>
  </w:style>
  <w:style w:type="paragraph" w:customStyle="1" w:styleId="20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1">
    <w:name w:val="15"/>
    <w:basedOn w:val="51"/>
    <w:qFormat/>
    <w:uiPriority w:val="0"/>
    <w:rPr>
      <w:rFonts w:hint="default" w:ascii="Times New Roman" w:hAnsi="Times New Roman" w:cs="Times New Roman"/>
      <w:b/>
      <w:bCs/>
    </w:rPr>
  </w:style>
  <w:style w:type="character" w:customStyle="1" w:styleId="202">
    <w:name w:val="标题 1 Char"/>
    <w:qFormat/>
    <w:uiPriority w:val="0"/>
    <w:rPr>
      <w:rFonts w:ascii="Times New Roman" w:hAnsi="Times New Roman" w:eastAsia="宋体"/>
      <w:b/>
      <w:bCs/>
      <w:kern w:val="44"/>
      <w:sz w:val="30"/>
      <w:szCs w:val="44"/>
    </w:rPr>
  </w:style>
  <w:style w:type="paragraph" w:customStyle="1" w:styleId="203">
    <w:name w:val="Table Paragraph"/>
    <w:basedOn w:val="1"/>
    <w:qFormat/>
    <w:uiPriority w:val="1"/>
    <w:rPr>
      <w:rFonts w:ascii="宋体" w:hAnsi="宋体" w:cs="宋体"/>
      <w:lang w:val="zh-CN" w:bidi="zh-CN"/>
    </w:rPr>
  </w:style>
  <w:style w:type="character" w:customStyle="1" w:styleId="204">
    <w:name w:val="NormalCharacter"/>
    <w:qFormat/>
    <w:uiPriority w:val="0"/>
    <w:rPr>
      <w:rFonts w:ascii="Times New Roman" w:hAnsi="Times New Roman" w:eastAsia="宋体" w:cs="Times New Roman"/>
      <w:kern w:val="2"/>
      <w:sz w:val="21"/>
      <w:szCs w:val="22"/>
      <w:lang w:val="en-US" w:eastAsia="zh-CN" w:bidi="ar-SA"/>
    </w:rPr>
  </w:style>
  <w:style w:type="paragraph" w:customStyle="1" w:styleId="205">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206">
    <w:name w:val="Table Text"/>
    <w:qFormat/>
    <w:uiPriority w:val="0"/>
    <w:pPr>
      <w:snapToGrid w:val="0"/>
      <w:spacing w:before="80" w:after="80"/>
    </w:pPr>
    <w:rPr>
      <w:rFonts w:ascii="Arial" w:hAnsi="Arial" w:eastAsia="宋体" w:cs="Arial"/>
      <w:sz w:val="18"/>
      <w:szCs w:val="18"/>
      <w:lang w:val="en-US" w:eastAsia="zh-CN" w:bidi="ar-SA"/>
    </w:rPr>
  </w:style>
  <w:style w:type="character" w:customStyle="1" w:styleId="207">
    <w:name w:val="标题 1 Char1"/>
    <w:link w:val="2"/>
    <w:qFormat/>
    <w:uiPriority w:val="9"/>
    <w:rPr>
      <w:rFonts w:ascii="Verdana" w:hAnsi="Verdana" w:eastAsia="宋体" w:cs="Verdana"/>
      <w:b/>
      <w:bCs/>
      <w:kern w:val="44"/>
      <w:sz w:val="36"/>
      <w:szCs w:val="44"/>
    </w:rPr>
  </w:style>
  <w:style w:type="table" w:customStyle="1" w:styleId="208">
    <w:name w:val="Table Normal"/>
    <w:semiHidden/>
    <w:unhideWhenUsed/>
    <w:qFormat/>
    <w:uiPriority w:val="0"/>
    <w:tblPr>
      <w:tblCellMar>
        <w:top w:w="0" w:type="dxa"/>
        <w:left w:w="0" w:type="dxa"/>
        <w:bottom w:w="0" w:type="dxa"/>
        <w:right w:w="0" w:type="dxa"/>
      </w:tblCellMar>
    </w:tblPr>
  </w:style>
  <w:style w:type="paragraph" w:customStyle="1" w:styleId="20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69DC9-04C6-4B54-940D-1B384C70213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19416</Words>
  <Characters>21215</Characters>
  <Lines>339</Lines>
  <Paragraphs>95</Paragraphs>
  <TotalTime>29</TotalTime>
  <ScaleCrop>false</ScaleCrop>
  <LinksUpToDate>false</LinksUpToDate>
  <CharactersWithSpaces>21305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2025-06-23T01:37:00Z</dcterms:created>
  <dc:creator>微软用户</dc:creator>
  <cp:lastModifiedBy>唐～</cp:lastModifiedBy>
  <cp:lastPrinted>2025-08-12T01:46:00Z</cp:lastPrinted>
  <dcterms:modified xsi:type="dcterms:W3CDTF">2025-08-14T07:19:12Z</dcterms:modified>
  <dc:title>竞争性谈判采购文件</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4637CE73B70C482580F1340F24B461D8_13</vt:lpwstr>
  </property>
  <property fmtid="{D5CDD505-2E9C-101B-9397-08002B2CF9AE}" pid="4" name="KSOTemplateDocerSaveRecord">
    <vt:lpwstr>eyJoZGlkIjoiZmZkZWRiYTZlMzdkN2ZkZGJkNDNmMDQ5ZGZlNDRkNjAiLCJ1c2VySWQiOiIyNjk5MDgzNTIifQ==</vt:lpwstr>
  </property>
</Properties>
</file>