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C32D">
      <w:pPr>
        <w:tabs>
          <w:tab w:val="left" w:pos="5443"/>
        </w:tabs>
        <w:jc w:val="center"/>
        <w:rPr>
          <w:rFonts w:ascii="Times New Roman" w:hAnsi="Times New Roman"/>
          <w:b/>
          <w:bCs/>
          <w:color w:val="auto"/>
          <w:sz w:val="66"/>
          <w:szCs w:val="66"/>
          <w:highlight w:val="none"/>
        </w:rPr>
      </w:pPr>
      <w:r>
        <w:rPr>
          <w:rFonts w:ascii="Times New Roman" w:hAnsi="Times New Roman"/>
          <w:b/>
          <w:bCs/>
          <w:color w:val="auto"/>
          <w:sz w:val="66"/>
          <w:szCs w:val="66"/>
          <w:highlight w:val="none"/>
        </w:rPr>
        <w:t xml:space="preserve">   </w:t>
      </w:r>
    </w:p>
    <w:p w14:paraId="3D870A8F">
      <w:pPr>
        <w:tabs>
          <w:tab w:val="left" w:pos="5443"/>
        </w:tabs>
        <w:jc w:val="center"/>
        <w:rPr>
          <w:rFonts w:ascii="Times New Roman" w:hAnsi="Times New Roman"/>
          <w:b/>
          <w:bCs/>
          <w:color w:val="auto"/>
          <w:sz w:val="72"/>
          <w:szCs w:val="72"/>
          <w:highlight w:val="none"/>
        </w:rPr>
      </w:pPr>
      <w:r>
        <w:rPr>
          <w:rFonts w:ascii="Times New Roman" w:hAnsi="Times New Roman"/>
          <w:b/>
          <w:bCs/>
          <w:color w:val="auto"/>
          <w:sz w:val="66"/>
          <w:szCs w:val="66"/>
          <w:highlight w:val="none"/>
        </w:rPr>
        <w:t xml:space="preserve"> </w:t>
      </w:r>
      <w:r>
        <w:rPr>
          <w:rFonts w:hint="eastAsia" w:ascii="Times New Roman" w:hAnsi="Times New Roman"/>
          <w:b/>
          <w:bCs/>
          <w:color w:val="auto"/>
          <w:sz w:val="66"/>
          <w:szCs w:val="66"/>
          <w:highlight w:val="none"/>
        </w:rPr>
        <w:t xml:space="preserve"> 广西创佳项目管理有限公司</w:t>
      </w:r>
    </w:p>
    <w:p w14:paraId="60D4C807">
      <w:pPr>
        <w:autoSpaceDE w:val="0"/>
        <w:autoSpaceDN w:val="0"/>
        <w:adjustRightInd w:val="0"/>
        <w:spacing w:after="120"/>
        <w:ind w:firstLine="300" w:firstLineChars="300"/>
        <w:jc w:val="left"/>
        <w:rPr>
          <w:rFonts w:ascii="Times New Roman" w:hAnsi="Times New Roman"/>
          <w:bCs/>
          <w:color w:val="auto"/>
          <w:kern w:val="0"/>
          <w:sz w:val="10"/>
          <w:szCs w:val="20"/>
          <w:highlight w:val="none"/>
        </w:rPr>
      </w:pPr>
      <w:r>
        <w:rPr>
          <w:rFonts w:ascii="Times New Roman" w:hAnsi="Times New Roman"/>
          <w:bCs/>
          <w:color w:val="auto"/>
          <w:kern w:val="0"/>
          <w:sz w:val="10"/>
          <w:szCs w:val="20"/>
          <w:highlight w:val="none"/>
        </w:rPr>
        <w:t xml:space="preserve">                                                                          </w:t>
      </w:r>
    </w:p>
    <w:p w14:paraId="500FED07">
      <w:pPr>
        <w:spacing w:before="156" w:beforeLines="50"/>
        <w:jc w:val="center"/>
        <w:rPr>
          <w:rFonts w:ascii="Times New Roman" w:hAnsi="Times New Roman"/>
          <w:b/>
          <w:color w:val="auto"/>
          <w:sz w:val="72"/>
          <w:szCs w:val="72"/>
          <w:highlight w:val="none"/>
        </w:rPr>
      </w:pPr>
      <w:r>
        <w:rPr>
          <w:rFonts w:ascii="Times New Roman" w:hAnsi="Times New Roman"/>
          <w:color w:val="auto"/>
          <w:kern w:val="0"/>
          <w:sz w:val="20"/>
          <w:szCs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131445</wp:posOffset>
                </wp:positionV>
                <wp:extent cx="6353810" cy="36195"/>
                <wp:effectExtent l="0" t="13970" r="8890" b="26035"/>
                <wp:wrapNone/>
                <wp:docPr id="4" name="直接连接符 4"/>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15pt;margin-top:10.35pt;height:2.85pt;width:500.3pt;z-index:251659264;mso-width-relative:page;mso-height-relative:page;" filled="f" stroked="t" coordsize="21600,21600" o:gfxdata="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cagdLUAAAABwEAAA8AAAAAAAAAAQAgAAAAIgAAAGRycy9kb3ducmV2Lnht&#10;bFBLAQIUABQAAAAIAIdO4kBJ7QcH/QEAAPUDAAAOAAAAAAAAAAEAIAAAACMBAABkcnMvZTJvRG9j&#10;LnhtbFBLBQYAAAAABgAGAFkBAACSBQAAAAA=&#10;">
                <v:fill on="f" focussize="0,0"/>
                <v:stroke weight="2.25pt" color="#000000" joinstyle="round"/>
                <v:imagedata o:title=""/>
                <o:lock v:ext="edit" aspectratio="f"/>
              </v:line>
            </w:pict>
          </mc:Fallback>
        </mc:AlternateContent>
      </w:r>
    </w:p>
    <w:p w14:paraId="406C1517">
      <w:pPr>
        <w:spacing w:before="156" w:beforeLines="50"/>
        <w:jc w:val="center"/>
        <w:rPr>
          <w:rFonts w:ascii="Times New Roman" w:hAnsi="Times New Roman"/>
          <w:b/>
          <w:color w:val="auto"/>
          <w:sz w:val="72"/>
          <w:szCs w:val="72"/>
          <w:highlight w:val="none"/>
        </w:rPr>
      </w:pPr>
    </w:p>
    <w:p w14:paraId="0529C11C">
      <w:pPr>
        <w:pStyle w:val="5"/>
        <w:jc w:val="both"/>
        <w:rPr>
          <w:rFonts w:ascii="Times New Roman" w:hAnsi="Times New Roman" w:eastAsia="宋体"/>
          <w:color w:val="auto"/>
          <w:highlight w:val="none"/>
        </w:rPr>
      </w:pPr>
    </w:p>
    <w:p w14:paraId="38950D93">
      <w:pPr>
        <w:pStyle w:val="12"/>
        <w:jc w:val="center"/>
        <w:rPr>
          <w:rFonts w:ascii="Times New Roman" w:hAnsi="Times New Roman" w:eastAsia="宋体"/>
          <w:b/>
          <w:color w:val="auto"/>
          <w:spacing w:val="-2"/>
          <w:sz w:val="72"/>
          <w:szCs w:val="72"/>
          <w:highlight w:val="none"/>
        </w:rPr>
      </w:pPr>
      <w:r>
        <w:rPr>
          <w:rFonts w:ascii="Times New Roman" w:hAnsi="Times New Roman" w:eastAsia="宋体"/>
          <w:b/>
          <w:color w:val="auto"/>
          <w:spacing w:val="-2"/>
          <w:sz w:val="72"/>
          <w:szCs w:val="72"/>
          <w:highlight w:val="none"/>
        </w:rPr>
        <w:t>公开招标文件</w:t>
      </w:r>
    </w:p>
    <w:p w14:paraId="721D58B3">
      <w:pPr>
        <w:snapToGrid w:val="0"/>
        <w:spacing w:before="156" w:beforeLines="50" w:line="360" w:lineRule="auto"/>
        <w:rPr>
          <w:rFonts w:ascii="Times New Roman" w:hAnsi="Times New Roman"/>
          <w:b/>
          <w:color w:val="auto"/>
          <w:sz w:val="30"/>
          <w:szCs w:val="72"/>
          <w:highlight w:val="none"/>
        </w:rPr>
      </w:pPr>
      <w:r>
        <w:rPr>
          <w:rFonts w:hint="eastAsia" w:ascii="Times New Roman" w:hAnsi="Times New Roman"/>
          <w:b/>
          <w:color w:val="auto"/>
          <w:sz w:val="30"/>
          <w:szCs w:val="72"/>
          <w:highlight w:val="none"/>
        </w:rPr>
        <w:t xml:space="preserve">                        </w:t>
      </w:r>
      <w:r>
        <w:rPr>
          <w:rFonts w:hint="eastAsia"/>
          <w:color w:val="auto"/>
          <w:sz w:val="24"/>
          <w:szCs w:val="32"/>
          <w:highlight w:val="none"/>
        </w:rPr>
        <w:t>（全流程电子化评标）</w:t>
      </w:r>
    </w:p>
    <w:p w14:paraId="1C717BB0">
      <w:pPr>
        <w:snapToGrid w:val="0"/>
        <w:spacing w:before="156" w:beforeLines="50" w:line="360" w:lineRule="auto"/>
        <w:rPr>
          <w:rFonts w:ascii="Times New Roman" w:hAnsi="Times New Roman"/>
          <w:b/>
          <w:color w:val="auto"/>
          <w:sz w:val="30"/>
          <w:szCs w:val="72"/>
          <w:highlight w:val="none"/>
        </w:rPr>
      </w:pPr>
    </w:p>
    <w:p w14:paraId="452EBC80">
      <w:pPr>
        <w:pStyle w:val="12"/>
        <w:snapToGrid w:val="0"/>
        <w:spacing w:before="120" w:after="120" w:line="360" w:lineRule="auto"/>
        <w:ind w:left="962" w:leftChars="152" w:right="-197" w:rightChars="-94" w:hanging="643" w:hangingChars="200"/>
        <w:rPr>
          <w:rFonts w:hint="eastAsia" w:eastAsia="宋体"/>
          <w:color w:val="auto"/>
          <w:highlight w:val="none"/>
          <w:lang w:eastAsia="zh-CN"/>
        </w:rPr>
      </w:pPr>
      <w:r>
        <w:rPr>
          <w:rFonts w:ascii="Times New Roman" w:hAnsi="Times New Roman" w:eastAsia="宋体"/>
          <w:b/>
          <w:color w:val="auto"/>
          <w:sz w:val="32"/>
          <w:szCs w:val="32"/>
          <w:highlight w:val="none"/>
        </w:rPr>
        <w:t>项目名称：</w:t>
      </w:r>
      <w:r>
        <w:rPr>
          <w:rFonts w:hint="eastAsia" w:ascii="Times New Roman" w:hAnsi="Times New Roman" w:eastAsia="宋体"/>
          <w:b/>
          <w:color w:val="auto"/>
          <w:sz w:val="32"/>
          <w:szCs w:val="32"/>
          <w:highlight w:val="none"/>
          <w:lang w:eastAsia="zh-CN"/>
        </w:rPr>
        <w:t>桂平市燃气管网生命线及老旧燃气管网更新改造工程项目智慧燃气管理平台服务</w:t>
      </w:r>
    </w:p>
    <w:p w14:paraId="49CA6423">
      <w:pPr>
        <w:pStyle w:val="12"/>
        <w:snapToGrid w:val="0"/>
        <w:spacing w:before="120" w:after="120" w:line="360" w:lineRule="auto"/>
        <w:ind w:right="-197" w:rightChars="-94" w:firstLine="321" w:firstLineChars="100"/>
        <w:rPr>
          <w:rFonts w:hint="eastAsia" w:ascii="Times New Roman" w:hAnsi="Times New Roman" w:eastAsia="宋体"/>
          <w:b/>
          <w:color w:val="auto"/>
          <w:sz w:val="32"/>
          <w:szCs w:val="32"/>
          <w:highlight w:val="none"/>
          <w:lang w:eastAsia="zh-CN"/>
        </w:rPr>
      </w:pPr>
      <w:r>
        <w:rPr>
          <w:rFonts w:ascii="Times New Roman" w:hAnsi="Times New Roman" w:eastAsia="宋体"/>
          <w:b/>
          <w:color w:val="auto"/>
          <w:sz w:val="32"/>
          <w:szCs w:val="32"/>
          <w:highlight w:val="none"/>
        </w:rPr>
        <w:t>项目编号：</w:t>
      </w:r>
      <w:r>
        <w:rPr>
          <w:rFonts w:hint="eastAsia" w:ascii="Times New Roman" w:hAnsi="Times New Roman" w:eastAsia="宋体"/>
          <w:b/>
          <w:color w:val="auto"/>
          <w:sz w:val="32"/>
          <w:szCs w:val="32"/>
          <w:highlight w:val="none"/>
          <w:lang w:eastAsia="zh-CN"/>
        </w:rPr>
        <w:t>GGZC2025-G3-810144-GXCJ</w:t>
      </w:r>
    </w:p>
    <w:p w14:paraId="027C609E">
      <w:pPr>
        <w:pStyle w:val="12"/>
        <w:snapToGrid w:val="0"/>
        <w:spacing w:before="120" w:after="120" w:line="360" w:lineRule="auto"/>
        <w:ind w:left="2575" w:leftChars="472" w:right="-197" w:rightChars="-94" w:hanging="1584" w:hangingChars="493"/>
        <w:rPr>
          <w:rFonts w:ascii="Times New Roman" w:hAnsi="Times New Roman" w:eastAsia="宋体"/>
          <w:b/>
          <w:color w:val="auto"/>
          <w:sz w:val="32"/>
          <w:szCs w:val="32"/>
          <w:highlight w:val="none"/>
        </w:rPr>
      </w:pPr>
    </w:p>
    <w:p w14:paraId="5FDB4952">
      <w:pPr>
        <w:pStyle w:val="12"/>
        <w:snapToGrid w:val="0"/>
        <w:spacing w:before="120" w:after="120" w:line="360" w:lineRule="auto"/>
        <w:ind w:left="2568" w:leftChars="472" w:right="-197" w:rightChars="-94" w:hanging="1577" w:hangingChars="493"/>
        <w:jc w:val="center"/>
        <w:rPr>
          <w:rFonts w:ascii="Times New Roman" w:hAnsi="Times New Roman" w:eastAsia="宋体"/>
          <w:b/>
          <w:color w:val="auto"/>
          <w:sz w:val="32"/>
          <w:szCs w:val="32"/>
          <w:highlight w:val="none"/>
        </w:rPr>
      </w:pPr>
      <w:r>
        <w:rPr>
          <w:rFonts w:ascii="Times New Roman" w:hAnsi="Times New Roman" w:eastAsia="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146050</wp:posOffset>
                </wp:positionV>
                <wp:extent cx="6229350" cy="635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45pt;margin-top:11.5pt;height:0.5pt;width:490.5pt;z-index:251660288;mso-width-relative:page;mso-height-relative:page;" filled="f" stroked="t" coordsize="21600,21600" o:gfxdata="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WHj7NQAAAAIAQAADwAAAAAAAAABACAAAAAiAAAAZHJzL2Rvd25yZXYueG1sUEsB&#10;AhQAFAAAAAgAh07iQNEUeMT5AQAA9AMAAA4AAAAAAAAAAQAgAAAAIwEAAGRycy9lMm9Eb2MueG1s&#10;UEsFBgAAAAAGAAYAWQEAAI4FAAAAAA==&#10;">
                <v:fill on="f" focussize="0,0"/>
                <v:stroke weight="2.25pt" color="#000000" joinstyle="round"/>
                <v:imagedata o:title=""/>
                <o:lock v:ext="edit" aspectratio="f"/>
              </v:line>
            </w:pict>
          </mc:Fallback>
        </mc:AlternateContent>
      </w:r>
    </w:p>
    <w:p w14:paraId="390AD1A9">
      <w:pPr>
        <w:pStyle w:val="12"/>
        <w:snapToGrid w:val="0"/>
        <w:spacing w:before="120" w:after="120" w:line="360" w:lineRule="auto"/>
        <w:ind w:right="-197" w:rightChars="-94" w:firstLine="1285" w:firstLineChars="400"/>
        <w:rPr>
          <w:rFonts w:ascii="Times New Roman" w:hAnsi="Times New Roman" w:eastAsia="宋体"/>
          <w:b/>
          <w:color w:val="auto"/>
          <w:sz w:val="32"/>
          <w:szCs w:val="32"/>
          <w:highlight w:val="none"/>
        </w:rPr>
      </w:pPr>
    </w:p>
    <w:p w14:paraId="139B39C0">
      <w:pPr>
        <w:pStyle w:val="12"/>
        <w:snapToGrid w:val="0"/>
        <w:spacing w:before="120" w:after="120" w:line="360" w:lineRule="auto"/>
        <w:ind w:right="-197" w:rightChars="-94" w:firstLine="1606" w:firstLineChars="500"/>
        <w:rPr>
          <w:rFonts w:ascii="Times New Roman" w:hAnsi="Times New Roman" w:eastAsia="宋体"/>
          <w:b/>
          <w:color w:val="auto"/>
          <w:sz w:val="32"/>
          <w:szCs w:val="32"/>
          <w:highlight w:val="none"/>
        </w:rPr>
      </w:pPr>
      <w:r>
        <w:rPr>
          <w:rFonts w:ascii="Times New Roman" w:hAnsi="Times New Roman" w:eastAsia="宋体"/>
          <w:b/>
          <w:color w:val="auto"/>
          <w:sz w:val="32"/>
          <w:szCs w:val="32"/>
          <w:highlight w:val="none"/>
        </w:rPr>
        <w:t>采 购  单 位：</w:t>
      </w:r>
      <w:r>
        <w:rPr>
          <w:rFonts w:hint="eastAsia" w:ascii="Times New Roman" w:hAnsi="Times New Roman" w:eastAsia="宋体"/>
          <w:b/>
          <w:color w:val="auto"/>
          <w:sz w:val="32"/>
          <w:szCs w:val="32"/>
          <w:highlight w:val="none"/>
        </w:rPr>
        <w:t xml:space="preserve">桂平市城市管理监督局 </w:t>
      </w:r>
    </w:p>
    <w:p w14:paraId="3CA8C563">
      <w:pPr>
        <w:pStyle w:val="12"/>
        <w:snapToGrid w:val="0"/>
        <w:spacing w:before="120" w:after="120" w:line="360" w:lineRule="auto"/>
        <w:ind w:right="-197" w:rightChars="-94" w:firstLine="1606" w:firstLineChars="500"/>
        <w:rPr>
          <w:rFonts w:ascii="Times New Roman" w:hAnsi="Times New Roman" w:eastAsia="宋体"/>
          <w:b/>
          <w:color w:val="auto"/>
          <w:sz w:val="32"/>
          <w:szCs w:val="32"/>
          <w:highlight w:val="none"/>
        </w:rPr>
      </w:pPr>
      <w:r>
        <w:rPr>
          <w:rFonts w:ascii="Times New Roman" w:hAnsi="Times New Roman" w:eastAsia="宋体"/>
          <w:b/>
          <w:color w:val="auto"/>
          <w:sz w:val="32"/>
          <w:szCs w:val="32"/>
          <w:highlight w:val="none"/>
        </w:rPr>
        <w:t>采购代理机构：</w:t>
      </w:r>
      <w:r>
        <w:rPr>
          <w:rFonts w:hint="eastAsia" w:ascii="Times New Roman" w:hAnsi="Times New Roman" w:eastAsia="宋体"/>
          <w:b/>
          <w:color w:val="auto"/>
          <w:sz w:val="32"/>
          <w:szCs w:val="32"/>
          <w:highlight w:val="none"/>
        </w:rPr>
        <w:t>广西创佳项目管理有限公司</w:t>
      </w:r>
    </w:p>
    <w:p w14:paraId="0191848D">
      <w:pPr>
        <w:pStyle w:val="24"/>
        <w:ind w:firstLine="4176" w:firstLineChars="1300"/>
        <w:rPr>
          <w:rFonts w:ascii="Times New Roman" w:hAnsi="Times New Roman"/>
          <w:color w:val="auto"/>
          <w:highlight w:val="none"/>
        </w:rPr>
      </w:pPr>
      <w:r>
        <w:rPr>
          <w:rFonts w:hint="eastAsia" w:ascii="Times New Roman" w:hAnsi="Times New Roman"/>
          <w:b/>
          <w:color w:val="auto"/>
          <w:sz w:val="32"/>
          <w:szCs w:val="32"/>
          <w:highlight w:val="none"/>
        </w:rPr>
        <w:t>2025年</w:t>
      </w:r>
      <w:r>
        <w:rPr>
          <w:rFonts w:hint="eastAsia" w:ascii="Times New Roman" w:hAnsi="Times New Roman"/>
          <w:b/>
          <w:color w:val="auto"/>
          <w:sz w:val="32"/>
          <w:szCs w:val="32"/>
          <w:highlight w:val="none"/>
          <w:lang w:val="en-US" w:eastAsia="zh-CN"/>
        </w:rPr>
        <w:t>7</w:t>
      </w:r>
      <w:r>
        <w:rPr>
          <w:rFonts w:hint="eastAsia" w:ascii="Times New Roman" w:hAnsi="Times New Roman"/>
          <w:b/>
          <w:color w:val="auto"/>
          <w:sz w:val="32"/>
          <w:szCs w:val="32"/>
          <w:highlight w:val="none"/>
        </w:rPr>
        <w:t>月</w:t>
      </w:r>
    </w:p>
    <w:p w14:paraId="0FD10F78">
      <w:pPr>
        <w:pStyle w:val="12"/>
        <w:snapToGrid w:val="0"/>
        <w:spacing w:before="120" w:after="120" w:line="360" w:lineRule="auto"/>
        <w:rPr>
          <w:rFonts w:ascii="Times New Roman" w:hAnsi="Times New Roman" w:eastAsia="宋体"/>
          <w:b/>
          <w:color w:val="auto"/>
          <w:sz w:val="44"/>
          <w:szCs w:val="44"/>
          <w:highlight w:val="none"/>
        </w:rPr>
        <w:sectPr>
          <w:headerReference r:id="rId4" w:type="first"/>
          <w:headerReference r:id="rId3" w:type="default"/>
          <w:pgSz w:w="11906" w:h="16838"/>
          <w:pgMar w:top="1020" w:right="1134" w:bottom="1440" w:left="1134" w:header="851" w:footer="992" w:gutter="0"/>
          <w:pgNumType w:start="1"/>
          <w:cols w:space="720" w:num="1"/>
          <w:titlePg/>
          <w:docGrid w:type="lines" w:linePitch="312" w:charSpace="0"/>
        </w:sectPr>
      </w:pPr>
    </w:p>
    <w:p w14:paraId="4D21F934">
      <w:pPr>
        <w:pStyle w:val="12"/>
        <w:snapToGrid w:val="0"/>
        <w:spacing w:before="120" w:after="120" w:line="360" w:lineRule="auto"/>
        <w:jc w:val="center"/>
        <w:rPr>
          <w:rFonts w:ascii="Times New Roman" w:hAnsi="Times New Roman" w:eastAsia="宋体"/>
          <w:b/>
          <w:color w:val="auto"/>
          <w:sz w:val="44"/>
          <w:szCs w:val="44"/>
          <w:highlight w:val="none"/>
        </w:rPr>
      </w:pPr>
      <w:r>
        <w:rPr>
          <w:rFonts w:ascii="Times New Roman" w:hAnsi="Times New Roman" w:eastAsia="宋体"/>
          <w:b/>
          <w:color w:val="auto"/>
          <w:sz w:val="44"/>
          <w:szCs w:val="44"/>
          <w:highlight w:val="none"/>
        </w:rPr>
        <w:t>目    录</w:t>
      </w:r>
    </w:p>
    <w:p w14:paraId="3AA037BE">
      <w:pPr>
        <w:snapToGrid w:val="0"/>
        <w:spacing w:line="404" w:lineRule="exact"/>
        <w:jc w:val="center"/>
        <w:rPr>
          <w:rFonts w:ascii="Times New Roman" w:hAnsi="Times New Roman"/>
          <w:color w:val="auto"/>
          <w:sz w:val="24"/>
          <w:highlight w:val="none"/>
        </w:rPr>
      </w:pPr>
      <w:bookmarkStart w:id="0" w:name="_Toc254970489"/>
      <w:bookmarkStart w:id="1" w:name="_Toc483327789"/>
      <w:bookmarkStart w:id="2" w:name="_Toc482865300"/>
      <w:bookmarkStart w:id="3" w:name="_Toc254970630"/>
      <w:bookmarkStart w:id="4" w:name="_Toc482865130"/>
    </w:p>
    <w:p w14:paraId="4D2C667D">
      <w:pPr>
        <w:pStyle w:val="16"/>
        <w:tabs>
          <w:tab w:val="right" w:leader="dot" w:pos="9638"/>
          <w:tab w:val="clear" w:pos="9870"/>
        </w:tabs>
        <w:rPr>
          <w:color w:val="auto"/>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TOC \o "1-1" \h \u </w:instrText>
      </w:r>
      <w:r>
        <w:rPr>
          <w:rFonts w:ascii="Times New Roman" w:hAnsi="Times New Roman" w:eastAsia="宋体" w:cs="Times New Roman"/>
          <w:color w:val="auto"/>
          <w:sz w:val="28"/>
          <w:szCs w:val="28"/>
          <w:highlight w:val="none"/>
        </w:rPr>
        <w:fldChar w:fldCharType="separate"/>
      </w: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_Toc5031 </w:instrText>
      </w:r>
      <w:r>
        <w:rPr>
          <w:rFonts w:ascii="Times New Roman" w:hAnsi="Times New Roman"/>
          <w:color w:val="auto"/>
          <w:szCs w:val="28"/>
          <w:highlight w:val="none"/>
        </w:rPr>
        <w:fldChar w:fldCharType="separate"/>
      </w:r>
      <w:r>
        <w:rPr>
          <w:color w:val="auto"/>
          <w:highlight w:val="none"/>
        </w:rPr>
        <w:t>第一章  公开招标公告</w:t>
      </w:r>
      <w:r>
        <w:rPr>
          <w:color w:val="auto"/>
          <w:highlight w:val="none"/>
        </w:rPr>
        <w:tab/>
      </w:r>
      <w:r>
        <w:rPr>
          <w:color w:val="auto"/>
          <w:highlight w:val="none"/>
        </w:rPr>
        <w:fldChar w:fldCharType="begin"/>
      </w:r>
      <w:r>
        <w:rPr>
          <w:color w:val="auto"/>
          <w:highlight w:val="none"/>
        </w:rPr>
        <w:instrText xml:space="preserve"> PAGEREF _Toc5031 \h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olor w:val="auto"/>
          <w:szCs w:val="28"/>
          <w:highlight w:val="none"/>
        </w:rPr>
        <w:fldChar w:fldCharType="end"/>
      </w:r>
    </w:p>
    <w:p w14:paraId="1F700FD4">
      <w:pPr>
        <w:pStyle w:val="16"/>
        <w:tabs>
          <w:tab w:val="right" w:leader="dot" w:pos="9638"/>
          <w:tab w:val="clear" w:pos="9870"/>
        </w:tabs>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_Toc22390 </w:instrText>
      </w:r>
      <w:r>
        <w:rPr>
          <w:rFonts w:ascii="Times New Roman" w:hAnsi="Times New Roman"/>
          <w:color w:val="auto"/>
          <w:szCs w:val="28"/>
          <w:highlight w:val="none"/>
        </w:rPr>
        <w:fldChar w:fldCharType="separate"/>
      </w:r>
      <w:r>
        <w:rPr>
          <w:color w:val="auto"/>
          <w:highlight w:val="none"/>
        </w:rPr>
        <w:t>第二章  投标人须知及前附表</w:t>
      </w:r>
      <w:r>
        <w:rPr>
          <w:color w:val="auto"/>
          <w:highlight w:val="none"/>
        </w:rPr>
        <w:tab/>
      </w:r>
      <w:r>
        <w:rPr>
          <w:color w:val="auto"/>
          <w:highlight w:val="none"/>
        </w:rPr>
        <w:fldChar w:fldCharType="begin"/>
      </w:r>
      <w:r>
        <w:rPr>
          <w:color w:val="auto"/>
          <w:highlight w:val="none"/>
        </w:rPr>
        <w:instrText xml:space="preserve"> PAGEREF _Toc22390 \h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color w:val="auto"/>
          <w:szCs w:val="28"/>
          <w:highlight w:val="none"/>
        </w:rPr>
        <w:fldChar w:fldCharType="end"/>
      </w:r>
    </w:p>
    <w:p w14:paraId="150C6B00">
      <w:pPr>
        <w:pStyle w:val="16"/>
        <w:tabs>
          <w:tab w:val="right" w:leader="dot" w:pos="9638"/>
          <w:tab w:val="clear" w:pos="9870"/>
        </w:tabs>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_Toc20375 </w:instrText>
      </w:r>
      <w:r>
        <w:rPr>
          <w:rFonts w:ascii="Times New Roman" w:hAnsi="Times New Roman"/>
          <w:color w:val="auto"/>
          <w:szCs w:val="28"/>
          <w:highlight w:val="none"/>
        </w:rPr>
        <w:fldChar w:fldCharType="separate"/>
      </w:r>
      <w:r>
        <w:rPr>
          <w:rFonts w:hint="eastAsia"/>
          <w:color w:val="auto"/>
          <w:highlight w:val="none"/>
        </w:rPr>
        <w:t>第三章 项目采购需求</w:t>
      </w:r>
      <w:r>
        <w:rPr>
          <w:color w:val="auto"/>
          <w:highlight w:val="none"/>
        </w:rPr>
        <w:tab/>
      </w:r>
      <w:r>
        <w:rPr>
          <w:color w:val="auto"/>
          <w:highlight w:val="none"/>
        </w:rPr>
        <w:fldChar w:fldCharType="begin"/>
      </w:r>
      <w:r>
        <w:rPr>
          <w:color w:val="auto"/>
          <w:highlight w:val="none"/>
        </w:rPr>
        <w:instrText xml:space="preserve"> PAGEREF _Toc20375 \h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szCs w:val="28"/>
          <w:highlight w:val="none"/>
        </w:rPr>
        <w:fldChar w:fldCharType="end"/>
      </w:r>
    </w:p>
    <w:p w14:paraId="3901D5B3">
      <w:pPr>
        <w:pStyle w:val="16"/>
        <w:tabs>
          <w:tab w:val="right" w:leader="dot" w:pos="9638"/>
          <w:tab w:val="clear" w:pos="9870"/>
        </w:tabs>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_Toc11395 </w:instrText>
      </w:r>
      <w:r>
        <w:rPr>
          <w:rFonts w:ascii="Times New Roman" w:hAnsi="Times New Roman"/>
          <w:color w:val="auto"/>
          <w:szCs w:val="28"/>
          <w:highlight w:val="none"/>
        </w:rPr>
        <w:fldChar w:fldCharType="separate"/>
      </w:r>
      <w:r>
        <w:rPr>
          <w:rFonts w:hint="eastAsia"/>
          <w:color w:val="auto"/>
          <w:highlight w:val="none"/>
          <w:lang w:val="en-US" w:eastAsia="zh-CN"/>
        </w:rPr>
        <w:t xml:space="preserve">第四章 </w:t>
      </w:r>
      <w:r>
        <w:rPr>
          <w:color w:val="auto"/>
          <w:highlight w:val="none"/>
        </w:rPr>
        <w:t>评标原则及评分标准</w:t>
      </w:r>
      <w:r>
        <w:rPr>
          <w:color w:val="auto"/>
          <w:highlight w:val="none"/>
        </w:rPr>
        <w:tab/>
      </w:r>
      <w:r>
        <w:rPr>
          <w:color w:val="auto"/>
          <w:highlight w:val="none"/>
        </w:rPr>
        <w:fldChar w:fldCharType="begin"/>
      </w:r>
      <w:r>
        <w:rPr>
          <w:color w:val="auto"/>
          <w:highlight w:val="none"/>
        </w:rPr>
        <w:instrText xml:space="preserve"> PAGEREF _Toc11395 \h </w:instrText>
      </w:r>
      <w:r>
        <w:rPr>
          <w:color w:val="auto"/>
          <w:highlight w:val="none"/>
        </w:rPr>
        <w:fldChar w:fldCharType="separate"/>
      </w:r>
      <w:r>
        <w:rPr>
          <w:color w:val="auto"/>
          <w:highlight w:val="none"/>
        </w:rPr>
        <w:t>118</w:t>
      </w:r>
      <w:r>
        <w:rPr>
          <w:color w:val="auto"/>
          <w:highlight w:val="none"/>
        </w:rPr>
        <w:fldChar w:fldCharType="end"/>
      </w:r>
      <w:r>
        <w:rPr>
          <w:rFonts w:ascii="Times New Roman" w:hAnsi="Times New Roman"/>
          <w:color w:val="auto"/>
          <w:szCs w:val="28"/>
          <w:highlight w:val="none"/>
        </w:rPr>
        <w:fldChar w:fldCharType="end"/>
      </w:r>
    </w:p>
    <w:p w14:paraId="06D8D475">
      <w:pPr>
        <w:pStyle w:val="16"/>
        <w:tabs>
          <w:tab w:val="right" w:leader="dot" w:pos="9638"/>
          <w:tab w:val="clear" w:pos="9870"/>
        </w:tabs>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_Toc7097 </w:instrText>
      </w:r>
      <w:r>
        <w:rPr>
          <w:rFonts w:ascii="Times New Roman" w:hAnsi="Times New Roman"/>
          <w:color w:val="auto"/>
          <w:szCs w:val="28"/>
          <w:highlight w:val="none"/>
        </w:rPr>
        <w:fldChar w:fldCharType="separate"/>
      </w:r>
      <w:r>
        <w:rPr>
          <w:color w:val="auto"/>
          <w:highlight w:val="none"/>
        </w:rPr>
        <w:t>第五章 合同主要条款</w:t>
      </w:r>
      <w:r>
        <w:rPr>
          <w:rFonts w:hint="eastAsia"/>
          <w:color w:val="auto"/>
          <w:highlight w:val="none"/>
        </w:rPr>
        <w:t>（</w:t>
      </w:r>
      <w:r>
        <w:rPr>
          <w:color w:val="auto"/>
          <w:highlight w:val="none"/>
        </w:rPr>
        <w:t>格式</w:t>
      </w:r>
      <w:r>
        <w:rPr>
          <w:rFonts w:hint="eastAsia"/>
          <w:color w:val="auto"/>
          <w:highlight w:val="none"/>
        </w:rPr>
        <w:t>）</w:t>
      </w:r>
      <w:r>
        <w:rPr>
          <w:color w:val="auto"/>
          <w:highlight w:val="none"/>
        </w:rPr>
        <w:tab/>
      </w:r>
      <w:r>
        <w:rPr>
          <w:color w:val="auto"/>
          <w:highlight w:val="none"/>
        </w:rPr>
        <w:fldChar w:fldCharType="begin"/>
      </w:r>
      <w:r>
        <w:rPr>
          <w:color w:val="auto"/>
          <w:highlight w:val="none"/>
        </w:rPr>
        <w:instrText xml:space="preserve"> PAGEREF _Toc7097 \h </w:instrText>
      </w:r>
      <w:r>
        <w:rPr>
          <w:color w:val="auto"/>
          <w:highlight w:val="none"/>
        </w:rPr>
        <w:fldChar w:fldCharType="separate"/>
      </w:r>
      <w:r>
        <w:rPr>
          <w:color w:val="auto"/>
          <w:highlight w:val="none"/>
        </w:rPr>
        <w:t>123</w:t>
      </w:r>
      <w:r>
        <w:rPr>
          <w:color w:val="auto"/>
          <w:highlight w:val="none"/>
        </w:rPr>
        <w:fldChar w:fldCharType="end"/>
      </w:r>
      <w:r>
        <w:rPr>
          <w:rFonts w:ascii="Times New Roman" w:hAnsi="Times New Roman"/>
          <w:color w:val="auto"/>
          <w:szCs w:val="28"/>
          <w:highlight w:val="none"/>
        </w:rPr>
        <w:fldChar w:fldCharType="end"/>
      </w:r>
    </w:p>
    <w:p w14:paraId="7548FE4D">
      <w:pPr>
        <w:pStyle w:val="16"/>
        <w:tabs>
          <w:tab w:val="right" w:leader="dot" w:pos="9638"/>
          <w:tab w:val="clear" w:pos="9870"/>
        </w:tabs>
        <w:rPr>
          <w:color w:val="auto"/>
          <w:highlight w:val="none"/>
        </w:rPr>
      </w:pPr>
      <w:r>
        <w:rPr>
          <w:rFonts w:ascii="Times New Roman" w:hAnsi="Times New Roman"/>
          <w:color w:val="auto"/>
          <w:szCs w:val="28"/>
          <w:highlight w:val="none"/>
        </w:rPr>
        <w:fldChar w:fldCharType="begin"/>
      </w:r>
      <w:r>
        <w:rPr>
          <w:rFonts w:ascii="Times New Roman" w:hAnsi="Times New Roman"/>
          <w:color w:val="auto"/>
          <w:szCs w:val="28"/>
          <w:highlight w:val="none"/>
        </w:rPr>
        <w:instrText xml:space="preserve"> HYPERLINK \l _Toc32336 </w:instrText>
      </w:r>
      <w:r>
        <w:rPr>
          <w:rFonts w:ascii="Times New Roman" w:hAnsi="Times New Roman"/>
          <w:color w:val="auto"/>
          <w:szCs w:val="28"/>
          <w:highlight w:val="none"/>
        </w:rPr>
        <w:fldChar w:fldCharType="separate"/>
      </w:r>
      <w:r>
        <w:rPr>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_Toc32336 \h </w:instrText>
      </w:r>
      <w:r>
        <w:rPr>
          <w:color w:val="auto"/>
          <w:highlight w:val="none"/>
        </w:rPr>
        <w:fldChar w:fldCharType="separate"/>
      </w:r>
      <w:r>
        <w:rPr>
          <w:color w:val="auto"/>
          <w:highlight w:val="none"/>
        </w:rPr>
        <w:t>128</w:t>
      </w:r>
      <w:r>
        <w:rPr>
          <w:color w:val="auto"/>
          <w:highlight w:val="none"/>
        </w:rPr>
        <w:fldChar w:fldCharType="end"/>
      </w:r>
      <w:r>
        <w:rPr>
          <w:rFonts w:ascii="Times New Roman" w:hAnsi="Times New Roman"/>
          <w:color w:val="auto"/>
          <w:szCs w:val="28"/>
          <w:highlight w:val="none"/>
        </w:rPr>
        <w:fldChar w:fldCharType="end"/>
      </w:r>
    </w:p>
    <w:p w14:paraId="3AE3DF4C">
      <w:pPr>
        <w:pStyle w:val="2"/>
        <w:rPr>
          <w:rFonts w:ascii="Times New Roman" w:hAnsi="Times New Roman"/>
          <w:color w:val="auto"/>
          <w:sz w:val="28"/>
          <w:szCs w:val="28"/>
          <w:highlight w:val="none"/>
        </w:rPr>
      </w:pPr>
      <w:r>
        <w:rPr>
          <w:rFonts w:ascii="Times New Roman" w:hAnsi="Times New Roman"/>
          <w:color w:val="auto"/>
          <w:szCs w:val="28"/>
          <w:highlight w:val="none"/>
        </w:rPr>
        <w:fldChar w:fldCharType="end"/>
      </w:r>
    </w:p>
    <w:p w14:paraId="0D9A43EC">
      <w:pPr>
        <w:rPr>
          <w:rFonts w:ascii="Times New Roman" w:hAnsi="Times New Roman"/>
          <w:color w:val="auto"/>
          <w:sz w:val="28"/>
          <w:szCs w:val="28"/>
          <w:highlight w:val="none"/>
        </w:rPr>
      </w:pPr>
    </w:p>
    <w:p w14:paraId="29F783A9">
      <w:pPr>
        <w:pStyle w:val="5"/>
        <w:rPr>
          <w:rFonts w:ascii="Times New Roman" w:hAnsi="Times New Roman" w:eastAsia="宋体"/>
          <w:color w:val="auto"/>
          <w:szCs w:val="28"/>
          <w:highlight w:val="none"/>
        </w:rPr>
      </w:pPr>
    </w:p>
    <w:p w14:paraId="7AEE5869">
      <w:pPr>
        <w:rPr>
          <w:rFonts w:ascii="Times New Roman" w:hAnsi="Times New Roman"/>
          <w:color w:val="auto"/>
          <w:sz w:val="28"/>
          <w:szCs w:val="28"/>
          <w:highlight w:val="none"/>
        </w:rPr>
      </w:pPr>
    </w:p>
    <w:p w14:paraId="670EA34F">
      <w:pPr>
        <w:pStyle w:val="5"/>
        <w:rPr>
          <w:rFonts w:ascii="Times New Roman" w:hAnsi="Times New Roman" w:eastAsia="宋体"/>
          <w:color w:val="auto"/>
          <w:szCs w:val="28"/>
          <w:highlight w:val="none"/>
        </w:rPr>
      </w:pPr>
    </w:p>
    <w:p w14:paraId="278F8982">
      <w:pPr>
        <w:rPr>
          <w:rFonts w:ascii="Times New Roman" w:hAnsi="Times New Roman"/>
          <w:color w:val="auto"/>
          <w:sz w:val="28"/>
          <w:szCs w:val="28"/>
          <w:highlight w:val="none"/>
        </w:rPr>
      </w:pPr>
    </w:p>
    <w:p w14:paraId="45FF9619">
      <w:pPr>
        <w:pStyle w:val="5"/>
        <w:rPr>
          <w:rFonts w:ascii="Times New Roman" w:hAnsi="Times New Roman" w:eastAsia="宋体"/>
          <w:color w:val="auto"/>
          <w:szCs w:val="28"/>
          <w:highlight w:val="none"/>
        </w:rPr>
      </w:pPr>
    </w:p>
    <w:p w14:paraId="76C3589A">
      <w:pPr>
        <w:rPr>
          <w:rFonts w:ascii="Times New Roman" w:hAnsi="Times New Roman"/>
          <w:color w:val="auto"/>
          <w:sz w:val="28"/>
          <w:szCs w:val="28"/>
          <w:highlight w:val="none"/>
        </w:rPr>
      </w:pPr>
    </w:p>
    <w:p w14:paraId="1B59D313">
      <w:pPr>
        <w:pStyle w:val="5"/>
        <w:rPr>
          <w:rFonts w:ascii="Times New Roman" w:hAnsi="Times New Roman" w:eastAsia="宋体"/>
          <w:color w:val="auto"/>
          <w:szCs w:val="28"/>
          <w:highlight w:val="none"/>
        </w:rPr>
      </w:pPr>
    </w:p>
    <w:p w14:paraId="74969A21">
      <w:pPr>
        <w:rPr>
          <w:rFonts w:ascii="Times New Roman" w:hAnsi="Times New Roman"/>
          <w:color w:val="auto"/>
          <w:highlight w:val="none"/>
        </w:rPr>
      </w:pPr>
    </w:p>
    <w:p w14:paraId="52DE15E7">
      <w:pPr>
        <w:pStyle w:val="5"/>
        <w:rPr>
          <w:rFonts w:ascii="Times New Roman" w:hAnsi="Times New Roman" w:eastAsia="宋体"/>
          <w:color w:val="auto"/>
          <w:highlight w:val="none"/>
        </w:rPr>
      </w:pPr>
    </w:p>
    <w:p w14:paraId="134ABC97">
      <w:pPr>
        <w:rPr>
          <w:rFonts w:ascii="Times New Roman" w:hAnsi="Times New Roman"/>
          <w:color w:val="auto"/>
          <w:highlight w:val="none"/>
        </w:rPr>
      </w:pPr>
    </w:p>
    <w:p w14:paraId="112C02E2">
      <w:pPr>
        <w:pStyle w:val="5"/>
        <w:rPr>
          <w:rFonts w:ascii="Times New Roman" w:hAnsi="Times New Roman" w:eastAsia="宋体"/>
          <w:color w:val="auto"/>
          <w:highlight w:val="none"/>
        </w:rPr>
      </w:pPr>
    </w:p>
    <w:p w14:paraId="64C17F54">
      <w:pPr>
        <w:rPr>
          <w:rFonts w:ascii="Times New Roman" w:hAnsi="Times New Roman"/>
          <w:color w:val="auto"/>
          <w:highlight w:val="none"/>
        </w:rPr>
      </w:pPr>
    </w:p>
    <w:p w14:paraId="4171FB7A">
      <w:pPr>
        <w:pStyle w:val="5"/>
        <w:rPr>
          <w:rFonts w:ascii="Times New Roman" w:hAnsi="Times New Roman" w:eastAsia="宋体"/>
          <w:color w:val="auto"/>
          <w:highlight w:val="none"/>
        </w:rPr>
      </w:pPr>
    </w:p>
    <w:p w14:paraId="1E09BDC8">
      <w:pPr>
        <w:rPr>
          <w:rFonts w:ascii="Times New Roman" w:hAnsi="Times New Roman"/>
          <w:color w:val="auto"/>
          <w:highlight w:val="none"/>
        </w:rPr>
      </w:pPr>
    </w:p>
    <w:p w14:paraId="14FE7D88">
      <w:pPr>
        <w:pStyle w:val="5"/>
        <w:rPr>
          <w:color w:val="auto"/>
          <w:highlight w:val="none"/>
        </w:rPr>
      </w:pPr>
    </w:p>
    <w:p w14:paraId="484438D9">
      <w:pPr>
        <w:rPr>
          <w:rFonts w:ascii="Times New Roman" w:hAnsi="Times New Roman"/>
          <w:b/>
          <w:bCs/>
          <w:color w:val="auto"/>
          <w:kern w:val="0"/>
          <w:sz w:val="28"/>
          <w:szCs w:val="28"/>
          <w:highlight w:val="none"/>
          <w:lang w:bidi="ar"/>
        </w:rPr>
      </w:pPr>
      <w:bookmarkStart w:id="5" w:name="_Toc21786"/>
      <w:bookmarkStart w:id="6" w:name="_Toc6436"/>
      <w:bookmarkStart w:id="7" w:name="_Toc20925"/>
      <w:bookmarkStart w:id="8" w:name="_Toc29592"/>
      <w:bookmarkStart w:id="9" w:name="_Toc11989"/>
      <w:bookmarkStart w:id="10" w:name="_Toc4838"/>
    </w:p>
    <w:p w14:paraId="15A80A81">
      <w:pPr>
        <w:pStyle w:val="5"/>
        <w:rPr>
          <w:rFonts w:ascii="Times New Roman" w:hAnsi="Times New Roman" w:eastAsia="宋体"/>
          <w:b/>
          <w:bCs/>
          <w:color w:val="auto"/>
          <w:szCs w:val="28"/>
          <w:highlight w:val="none"/>
          <w:lang w:bidi="ar"/>
        </w:rPr>
      </w:pPr>
    </w:p>
    <w:p w14:paraId="62BA3E4B">
      <w:pPr>
        <w:rPr>
          <w:color w:val="auto"/>
          <w:highlight w:val="none"/>
        </w:rPr>
      </w:pPr>
    </w:p>
    <w:bookmarkEnd w:id="0"/>
    <w:bookmarkEnd w:id="1"/>
    <w:bookmarkEnd w:id="2"/>
    <w:bookmarkEnd w:id="3"/>
    <w:bookmarkEnd w:id="4"/>
    <w:bookmarkEnd w:id="5"/>
    <w:bookmarkEnd w:id="6"/>
    <w:bookmarkEnd w:id="7"/>
    <w:bookmarkEnd w:id="8"/>
    <w:bookmarkEnd w:id="9"/>
    <w:bookmarkEnd w:id="10"/>
    <w:p w14:paraId="057BB044">
      <w:pPr>
        <w:pStyle w:val="2"/>
        <w:rPr>
          <w:color w:val="auto"/>
          <w:highlight w:val="none"/>
        </w:rPr>
      </w:pPr>
      <w:bookmarkStart w:id="11" w:name="_Toc24440"/>
      <w:bookmarkStart w:id="12" w:name="_Toc5031"/>
      <w:r>
        <w:rPr>
          <w:color w:val="auto"/>
          <w:highlight w:val="none"/>
        </w:rPr>
        <w:t>第一章  公开招标公告</w:t>
      </w:r>
      <w:bookmarkEnd w:id="11"/>
      <w:bookmarkEnd w:id="12"/>
    </w:p>
    <w:p w14:paraId="3D4450CF">
      <w:pPr>
        <w:jc w:val="center"/>
        <w:rPr>
          <w:rFonts w:ascii="Times New Roman" w:hAnsi="Times New Roman"/>
          <w:b/>
          <w:bCs/>
          <w:color w:val="auto"/>
          <w:kern w:val="0"/>
          <w:sz w:val="32"/>
          <w:szCs w:val="32"/>
          <w:highlight w:val="none"/>
          <w:lang w:bidi="ar"/>
        </w:rPr>
      </w:pPr>
    </w:p>
    <w:p w14:paraId="3ED1B4DA">
      <w:pPr>
        <w:jc w:val="center"/>
        <w:rPr>
          <w:rFonts w:ascii="Times New Roman" w:hAnsi="Times New Roman"/>
          <w:b/>
          <w:bCs/>
          <w:color w:val="auto"/>
          <w:kern w:val="0"/>
          <w:sz w:val="32"/>
          <w:szCs w:val="32"/>
          <w:highlight w:val="none"/>
          <w:lang w:bidi="ar"/>
        </w:rPr>
      </w:pPr>
    </w:p>
    <w:p w14:paraId="7C1CDBB0">
      <w:pPr>
        <w:pStyle w:val="5"/>
        <w:rPr>
          <w:rFonts w:ascii="Times New Roman" w:hAnsi="Times New Roman" w:eastAsia="宋体"/>
          <w:b/>
          <w:bCs/>
          <w:color w:val="auto"/>
          <w:sz w:val="32"/>
          <w:szCs w:val="32"/>
          <w:highlight w:val="none"/>
          <w:lang w:bidi="ar"/>
        </w:rPr>
      </w:pPr>
    </w:p>
    <w:p w14:paraId="09A854DE">
      <w:pPr>
        <w:rPr>
          <w:rFonts w:ascii="Times New Roman" w:hAnsi="Times New Roman"/>
          <w:b/>
          <w:bCs/>
          <w:color w:val="auto"/>
          <w:kern w:val="0"/>
          <w:sz w:val="32"/>
          <w:szCs w:val="32"/>
          <w:highlight w:val="none"/>
          <w:lang w:bidi="ar"/>
        </w:rPr>
      </w:pPr>
    </w:p>
    <w:p w14:paraId="0FE69CCF">
      <w:pPr>
        <w:pStyle w:val="5"/>
        <w:rPr>
          <w:rFonts w:ascii="Times New Roman" w:hAnsi="Times New Roman" w:eastAsia="宋体"/>
          <w:b/>
          <w:bCs/>
          <w:color w:val="auto"/>
          <w:sz w:val="32"/>
          <w:szCs w:val="32"/>
          <w:highlight w:val="none"/>
          <w:lang w:bidi="ar"/>
        </w:rPr>
      </w:pPr>
    </w:p>
    <w:p w14:paraId="024C47DD">
      <w:pPr>
        <w:rPr>
          <w:rFonts w:ascii="Times New Roman" w:hAnsi="Times New Roman"/>
          <w:b/>
          <w:bCs/>
          <w:color w:val="auto"/>
          <w:kern w:val="0"/>
          <w:sz w:val="32"/>
          <w:szCs w:val="32"/>
          <w:highlight w:val="none"/>
          <w:lang w:bidi="ar"/>
        </w:rPr>
      </w:pPr>
    </w:p>
    <w:p w14:paraId="729F87E5">
      <w:pPr>
        <w:pStyle w:val="5"/>
        <w:rPr>
          <w:rFonts w:ascii="Times New Roman" w:hAnsi="Times New Roman" w:eastAsia="宋体"/>
          <w:b/>
          <w:bCs/>
          <w:color w:val="auto"/>
          <w:sz w:val="32"/>
          <w:szCs w:val="32"/>
          <w:highlight w:val="none"/>
          <w:lang w:bidi="ar"/>
        </w:rPr>
      </w:pPr>
    </w:p>
    <w:p w14:paraId="1997F948">
      <w:pPr>
        <w:rPr>
          <w:rFonts w:ascii="Times New Roman" w:hAnsi="Times New Roman"/>
          <w:b/>
          <w:bCs/>
          <w:color w:val="auto"/>
          <w:kern w:val="0"/>
          <w:sz w:val="32"/>
          <w:szCs w:val="32"/>
          <w:highlight w:val="none"/>
          <w:lang w:bidi="ar"/>
        </w:rPr>
      </w:pPr>
    </w:p>
    <w:p w14:paraId="6C16AFBE">
      <w:pPr>
        <w:rPr>
          <w:rFonts w:ascii="Times New Roman" w:hAnsi="Times New Roman"/>
          <w:b/>
          <w:bCs/>
          <w:color w:val="auto"/>
          <w:kern w:val="0"/>
          <w:sz w:val="32"/>
          <w:szCs w:val="32"/>
          <w:highlight w:val="none"/>
          <w:lang w:bidi="ar"/>
        </w:rPr>
      </w:pPr>
    </w:p>
    <w:p w14:paraId="77A73D0A">
      <w:pPr>
        <w:rPr>
          <w:rFonts w:ascii="Times New Roman" w:hAnsi="Times New Roman"/>
          <w:b/>
          <w:bCs/>
          <w:color w:val="auto"/>
          <w:kern w:val="0"/>
          <w:sz w:val="32"/>
          <w:szCs w:val="32"/>
          <w:highlight w:val="none"/>
          <w:lang w:bidi="ar"/>
        </w:rPr>
      </w:pPr>
    </w:p>
    <w:p w14:paraId="40EEAF6B">
      <w:pPr>
        <w:jc w:val="center"/>
        <w:rPr>
          <w:rFonts w:ascii="Times New Roman" w:hAnsi="Times New Roman"/>
          <w:b/>
          <w:bCs/>
          <w:color w:val="auto"/>
          <w:kern w:val="0"/>
          <w:sz w:val="32"/>
          <w:szCs w:val="32"/>
          <w:highlight w:val="none"/>
          <w:lang w:bidi="ar"/>
        </w:rPr>
      </w:pPr>
    </w:p>
    <w:p w14:paraId="188A60BD">
      <w:pPr>
        <w:jc w:val="center"/>
        <w:rPr>
          <w:rFonts w:ascii="Times New Roman" w:hAnsi="Times New Roman"/>
          <w:b/>
          <w:bCs/>
          <w:color w:val="auto"/>
          <w:kern w:val="0"/>
          <w:sz w:val="32"/>
          <w:szCs w:val="32"/>
          <w:highlight w:val="none"/>
          <w:lang w:bidi="ar"/>
        </w:rPr>
      </w:pPr>
    </w:p>
    <w:p w14:paraId="428C794E">
      <w:pPr>
        <w:jc w:val="center"/>
        <w:rPr>
          <w:rFonts w:ascii="Times New Roman" w:hAnsi="Times New Roman"/>
          <w:b/>
          <w:bCs/>
          <w:color w:val="auto"/>
          <w:kern w:val="0"/>
          <w:sz w:val="28"/>
          <w:szCs w:val="28"/>
          <w:highlight w:val="none"/>
          <w:lang w:bidi="ar"/>
        </w:rPr>
      </w:pPr>
      <w:r>
        <w:rPr>
          <w:rFonts w:hint="eastAsia" w:ascii="Times New Roman" w:hAnsi="Times New Roman"/>
          <w:b/>
          <w:bCs/>
          <w:color w:val="auto"/>
          <w:kern w:val="0"/>
          <w:sz w:val="28"/>
          <w:szCs w:val="28"/>
          <w:highlight w:val="none"/>
          <w:lang w:bidi="ar"/>
        </w:rPr>
        <w:t>广西创佳项目管理有限公司关于</w:t>
      </w:r>
    </w:p>
    <w:p w14:paraId="453FAFFC">
      <w:pPr>
        <w:jc w:val="center"/>
        <w:rPr>
          <w:rFonts w:ascii="Times New Roman" w:hAnsi="Times New Roman"/>
          <w:b/>
          <w:bCs/>
          <w:color w:val="auto"/>
          <w:kern w:val="0"/>
          <w:sz w:val="28"/>
          <w:szCs w:val="28"/>
          <w:highlight w:val="none"/>
          <w:lang w:bidi="ar"/>
        </w:rPr>
      </w:pPr>
      <w:r>
        <w:rPr>
          <w:rFonts w:hint="eastAsia" w:ascii="Times New Roman" w:hAnsi="Times New Roman"/>
          <w:b/>
          <w:bCs/>
          <w:color w:val="auto"/>
          <w:kern w:val="0"/>
          <w:sz w:val="28"/>
          <w:szCs w:val="28"/>
          <w:highlight w:val="none"/>
          <w:lang w:eastAsia="zh-CN" w:bidi="ar"/>
        </w:rPr>
        <w:t>桂平市燃气管网生命线及老旧燃气管网更新改造工程项目智慧燃气管理平台服务</w:t>
      </w:r>
      <w:r>
        <w:rPr>
          <w:rFonts w:ascii="Times New Roman" w:hAnsi="Times New Roman"/>
          <w:b/>
          <w:bCs/>
          <w:color w:val="auto"/>
          <w:kern w:val="0"/>
          <w:sz w:val="28"/>
          <w:szCs w:val="28"/>
          <w:highlight w:val="none"/>
          <w:lang w:bidi="ar"/>
        </w:rPr>
        <w:t>(项目编号</w:t>
      </w:r>
      <w:r>
        <w:rPr>
          <w:rFonts w:hint="eastAsia" w:ascii="Times New Roman" w:hAnsi="Times New Roman"/>
          <w:b/>
          <w:bCs/>
          <w:color w:val="auto"/>
          <w:kern w:val="0"/>
          <w:sz w:val="28"/>
          <w:szCs w:val="28"/>
          <w:highlight w:val="none"/>
          <w:lang w:bidi="ar"/>
        </w:rPr>
        <w:t>：</w:t>
      </w:r>
      <w:r>
        <w:rPr>
          <w:rFonts w:hint="eastAsia" w:ascii="Times New Roman" w:hAnsi="Times New Roman"/>
          <w:b/>
          <w:bCs/>
          <w:color w:val="auto"/>
          <w:kern w:val="0"/>
          <w:sz w:val="28"/>
          <w:szCs w:val="28"/>
          <w:highlight w:val="none"/>
          <w:lang w:eastAsia="zh-CN" w:bidi="ar"/>
        </w:rPr>
        <w:t>GGZC2025-G3-810144-GXCJ</w:t>
      </w:r>
      <w:r>
        <w:rPr>
          <w:rFonts w:ascii="Times New Roman" w:hAnsi="Times New Roman"/>
          <w:b/>
          <w:bCs/>
          <w:color w:val="auto"/>
          <w:kern w:val="0"/>
          <w:sz w:val="28"/>
          <w:szCs w:val="28"/>
          <w:highlight w:val="none"/>
          <w:lang w:bidi="ar"/>
        </w:rPr>
        <w:t>)</w:t>
      </w:r>
    </w:p>
    <w:p w14:paraId="52FD2C90">
      <w:pPr>
        <w:pStyle w:val="32"/>
        <w:ind w:firstLine="3654" w:firstLineChars="1300"/>
        <w:rPr>
          <w:rFonts w:hint="eastAsia" w:ascii="Times New Roman" w:hAnsi="Times New Roman" w:eastAsia="宋体"/>
          <w:bCs/>
          <w:color w:val="auto"/>
          <w:sz w:val="28"/>
          <w:szCs w:val="28"/>
          <w:highlight w:val="none"/>
          <w:lang w:bidi="ar"/>
        </w:rPr>
      </w:pPr>
      <w:r>
        <w:rPr>
          <w:rFonts w:hint="eastAsia" w:ascii="Times New Roman" w:hAnsi="Times New Roman" w:eastAsia="宋体"/>
          <w:bCs/>
          <w:color w:val="auto"/>
          <w:sz w:val="28"/>
          <w:szCs w:val="28"/>
          <w:highlight w:val="none"/>
          <w:lang w:bidi="ar"/>
        </w:rPr>
        <w:t>公开招标公告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60F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318647E5">
            <w:pPr>
              <w:pStyle w:val="17"/>
              <w:spacing w:before="75" w:beforeAutospacing="0" w:after="75"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 xml:space="preserve">项目概况 </w:t>
            </w:r>
          </w:p>
          <w:p w14:paraId="1C82B7FD">
            <w:pPr>
              <w:pStyle w:val="17"/>
              <w:spacing w:before="75" w:beforeAutospacing="0" w:after="75" w:afterAutospacing="0" w:line="360" w:lineRule="auto"/>
              <w:ind w:firstLine="480" w:firstLineChars="200"/>
              <w:rPr>
                <w:rStyle w:val="21"/>
                <w:rFonts w:ascii="Times New Roman" w:hAnsi="Times New Roman"/>
                <w:color w:val="auto"/>
                <w:highlight w:val="none"/>
              </w:rPr>
            </w:pPr>
            <w:r>
              <w:rPr>
                <w:rFonts w:hint="eastAsia" w:ascii="Times New Roman" w:hAnsi="Times New Roman"/>
                <w:color w:val="auto"/>
                <w:highlight w:val="none"/>
                <w:u w:val="single"/>
                <w:lang w:eastAsia="zh-CN"/>
              </w:rPr>
              <w:t>桂平市燃气管网生命线及老旧燃气管网更新改造工程项目智慧燃气管理平台服务</w:t>
            </w:r>
            <w:r>
              <w:rPr>
                <w:rFonts w:ascii="Times New Roman" w:hAnsi="Times New Roman"/>
                <w:color w:val="auto"/>
                <w:highlight w:val="none"/>
              </w:rPr>
              <w:t>招标项目的潜在投标人应在</w:t>
            </w:r>
            <w:r>
              <w:rPr>
                <w:rFonts w:hint="eastAsia" w:ascii="Times New Roman" w:hAnsi="Times New Roman"/>
                <w:color w:val="auto"/>
                <w:highlight w:val="none"/>
                <w:u w:val="single"/>
              </w:rPr>
              <w:t>广西政府采购云平台（https://www.gcy.zfcg.gxzf.gov.cn/）</w:t>
            </w:r>
            <w:r>
              <w:rPr>
                <w:rFonts w:ascii="Times New Roman" w:hAnsi="Times New Roman"/>
                <w:color w:val="auto"/>
                <w:highlight w:val="none"/>
              </w:rPr>
              <w:t>获取招标文件，并于</w:t>
            </w:r>
            <w:r>
              <w:rPr>
                <w:rFonts w:hint="eastAsia" w:ascii="Times New Roman" w:hAnsi="Times New Roman"/>
                <w:color w:val="auto"/>
                <w:highlight w:val="none"/>
              </w:rPr>
              <w:t>2025年</w:t>
            </w:r>
            <w:r>
              <w:rPr>
                <w:rFonts w:hint="eastAsia" w:ascii="Times New Roman" w:hAnsi="Times New Roman"/>
                <w:color w:val="auto"/>
                <w:highlight w:val="none"/>
                <w:lang w:val="en-US" w:eastAsia="zh-CN"/>
              </w:rPr>
              <w:t>8</w:t>
            </w:r>
            <w:r>
              <w:rPr>
                <w:rFonts w:hint="eastAsia" w:ascii="Times New Roman" w:hAnsi="Times New Roman"/>
                <w:color w:val="auto"/>
                <w:highlight w:val="none"/>
              </w:rPr>
              <w:t>月</w:t>
            </w:r>
            <w:r>
              <w:rPr>
                <w:rFonts w:hint="eastAsia" w:ascii="Times New Roman" w:hAnsi="Times New Roman"/>
                <w:color w:val="auto"/>
                <w:highlight w:val="none"/>
                <w:lang w:val="en-US" w:eastAsia="zh-CN"/>
              </w:rPr>
              <w:t>19</w:t>
            </w:r>
            <w:r>
              <w:rPr>
                <w:rFonts w:hint="eastAsia" w:ascii="Times New Roman" w:hAnsi="Times New Roman"/>
                <w:color w:val="auto"/>
                <w:highlight w:val="none"/>
              </w:rPr>
              <w:t>日09:00</w:t>
            </w:r>
            <w:r>
              <w:rPr>
                <w:rFonts w:ascii="Times New Roman" w:hAnsi="Times New Roman"/>
                <w:color w:val="auto"/>
                <w:highlight w:val="none"/>
              </w:rPr>
              <w:t>（北京时间）前递交投标文件。</w:t>
            </w:r>
          </w:p>
        </w:tc>
      </w:tr>
    </w:tbl>
    <w:p w14:paraId="31421F05">
      <w:pPr>
        <w:pStyle w:val="17"/>
        <w:spacing w:before="255" w:beforeAutospacing="0" w:after="255" w:afterAutospacing="0" w:line="300" w:lineRule="atLeast"/>
        <w:rPr>
          <w:rFonts w:ascii="Times New Roman" w:hAnsi="Times New Roman"/>
          <w:color w:val="auto"/>
          <w:highlight w:val="none"/>
        </w:rPr>
      </w:pPr>
      <w:r>
        <w:rPr>
          <w:rStyle w:val="21"/>
          <w:rFonts w:ascii="Times New Roman" w:hAnsi="Times New Roman"/>
          <w:color w:val="auto"/>
          <w:highlight w:val="none"/>
        </w:rPr>
        <w:t>一、项目基本情况</w:t>
      </w:r>
    </w:p>
    <w:p w14:paraId="177AA098">
      <w:pPr>
        <w:spacing w:line="360" w:lineRule="auto"/>
        <w:rPr>
          <w:rFonts w:ascii="Times New Roman" w:hAnsi="Times New Roman"/>
          <w:color w:val="auto"/>
          <w:sz w:val="24"/>
          <w:highlight w:val="none"/>
        </w:rPr>
      </w:pPr>
      <w:r>
        <w:rPr>
          <w:rFonts w:ascii="Times New Roman" w:hAnsi="Times New Roman"/>
          <w:color w:val="auto"/>
          <w:highlight w:val="none"/>
        </w:rPr>
        <w:t> </w:t>
      </w:r>
      <w:r>
        <w:rPr>
          <w:rFonts w:ascii="Times New Roman" w:hAnsi="Times New Roman"/>
          <w:color w:val="auto"/>
          <w:sz w:val="24"/>
          <w:highlight w:val="none"/>
        </w:rPr>
        <w:t xml:space="preserve">   项目编号：</w:t>
      </w:r>
      <w:r>
        <w:rPr>
          <w:rFonts w:hint="eastAsia" w:ascii="Times New Roman" w:hAnsi="Times New Roman"/>
          <w:color w:val="auto"/>
          <w:sz w:val="24"/>
          <w:highlight w:val="none"/>
          <w:lang w:eastAsia="zh-CN"/>
        </w:rPr>
        <w:t>GGZC2025-G3-810144-GXCJ</w:t>
      </w:r>
      <w:r>
        <w:rPr>
          <w:rFonts w:hint="eastAsia" w:ascii="Times New Roman" w:hAnsi="Times New Roman"/>
          <w:color w:val="auto"/>
          <w:sz w:val="24"/>
          <w:highlight w:val="none"/>
        </w:rPr>
        <w:t> </w:t>
      </w:r>
    </w:p>
    <w:p w14:paraId="1B9FA6DB">
      <w:pPr>
        <w:spacing w:line="360" w:lineRule="auto"/>
        <w:rPr>
          <w:rFonts w:hint="eastAsia" w:ascii="Times New Roman" w:hAnsi="Times New Roman" w:eastAsia="宋体"/>
          <w:color w:val="auto"/>
          <w:sz w:val="24"/>
          <w:highlight w:val="none"/>
          <w:lang w:eastAsia="zh-CN"/>
        </w:rPr>
      </w:pPr>
      <w:r>
        <w:rPr>
          <w:rFonts w:ascii="Times New Roman" w:hAnsi="Times New Roman"/>
          <w:color w:val="auto"/>
          <w:sz w:val="24"/>
          <w:highlight w:val="none"/>
        </w:rPr>
        <w:t>    项目名称：</w:t>
      </w:r>
      <w:r>
        <w:rPr>
          <w:rFonts w:hint="eastAsia" w:ascii="Times New Roman" w:hAnsi="Times New Roman"/>
          <w:color w:val="auto"/>
          <w:sz w:val="24"/>
          <w:highlight w:val="none"/>
          <w:lang w:eastAsia="zh-CN"/>
        </w:rPr>
        <w:t>桂平市燃气管网生命线及老旧燃气管网更新改造工程项目智慧燃气管理平台服务</w:t>
      </w:r>
    </w:p>
    <w:p w14:paraId="0C70D65B">
      <w:pPr>
        <w:spacing w:line="360" w:lineRule="auto"/>
        <w:ind w:firstLine="482" w:firstLineChars="200"/>
        <w:rPr>
          <w:rFonts w:hint="eastAsia" w:ascii="Times New Roman" w:hAnsi="Times New Roman" w:eastAsia="宋体"/>
          <w:color w:val="auto"/>
          <w:sz w:val="24"/>
          <w:highlight w:val="none"/>
          <w:lang w:val="en-US" w:eastAsia="zh-CN"/>
        </w:rPr>
      </w:pPr>
      <w:r>
        <w:rPr>
          <w:rFonts w:ascii="Times New Roman" w:hAnsi="Times New Roman"/>
          <w:b/>
          <w:bCs/>
          <w:color w:val="auto"/>
          <w:sz w:val="24"/>
          <w:highlight w:val="none"/>
        </w:rPr>
        <w:t>预算总金额（元）：</w:t>
      </w:r>
      <w:r>
        <w:rPr>
          <w:rFonts w:hint="eastAsia" w:ascii="Times New Roman" w:hAnsi="Times New Roman"/>
          <w:b/>
          <w:bCs/>
          <w:color w:val="auto"/>
          <w:sz w:val="24"/>
          <w:highlight w:val="none"/>
          <w:lang w:eastAsia="zh-CN"/>
        </w:rPr>
        <w:t>24940592.58</w:t>
      </w:r>
    </w:p>
    <w:p w14:paraId="6A5949DB">
      <w:pPr>
        <w:spacing w:line="360" w:lineRule="auto"/>
        <w:ind w:firstLine="480" w:firstLineChars="200"/>
        <w:rPr>
          <w:color w:val="auto"/>
          <w:highlight w:val="none"/>
        </w:rPr>
      </w:pPr>
      <w:r>
        <w:rPr>
          <w:rFonts w:ascii="Times New Roman" w:hAnsi="Times New Roman"/>
          <w:color w:val="auto"/>
          <w:sz w:val="24"/>
          <w:highlight w:val="none"/>
        </w:rPr>
        <w:t>采购需求：</w:t>
      </w:r>
    </w:p>
    <w:p w14:paraId="3CBEB846">
      <w:pPr>
        <w:spacing w:line="360" w:lineRule="auto"/>
        <w:ind w:firstLine="480" w:firstLineChars="200"/>
        <w:rPr>
          <w:rFonts w:hint="eastAsia" w:ascii="Times New Roman" w:hAnsi="Times New Roman" w:eastAsia="宋体"/>
          <w:color w:val="auto"/>
          <w:sz w:val="24"/>
          <w:highlight w:val="none"/>
          <w:lang w:eastAsia="zh-CN"/>
        </w:rPr>
      </w:pPr>
      <w:r>
        <w:rPr>
          <w:rFonts w:ascii="Times New Roman" w:hAnsi="Times New Roman"/>
          <w:color w:val="auto"/>
          <w:sz w:val="24"/>
          <w:highlight w:val="none"/>
        </w:rPr>
        <w:t>标项名称</w:t>
      </w:r>
      <w:r>
        <w:rPr>
          <w:rFonts w:hint="eastAsia" w:ascii="Times New Roman" w:hAnsi="Times New Roman"/>
          <w:color w:val="auto"/>
          <w:sz w:val="24"/>
          <w:highlight w:val="none"/>
        </w:rPr>
        <w:t>：</w:t>
      </w:r>
      <w:r>
        <w:rPr>
          <w:rFonts w:hint="eastAsia" w:ascii="Times New Roman" w:hAnsi="Times New Roman"/>
          <w:color w:val="auto"/>
          <w:sz w:val="24"/>
          <w:highlight w:val="none"/>
          <w:lang w:eastAsia="zh-CN"/>
        </w:rPr>
        <w:t>桂平市燃气管网生命线及老旧燃气管网更新改造工程项目智慧燃气管理平台服务</w:t>
      </w:r>
    </w:p>
    <w:p w14:paraId="4DFB45D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数量</w:t>
      </w:r>
      <w:r>
        <w:rPr>
          <w:rFonts w:hint="eastAsia" w:ascii="Times New Roman" w:hAnsi="Times New Roman"/>
          <w:color w:val="auto"/>
          <w:sz w:val="24"/>
          <w:highlight w:val="none"/>
        </w:rPr>
        <w:t>：</w:t>
      </w:r>
      <w:r>
        <w:rPr>
          <w:rFonts w:ascii="Times New Roman" w:hAnsi="Times New Roman"/>
          <w:color w:val="auto"/>
          <w:sz w:val="24"/>
          <w:highlight w:val="none"/>
        </w:rPr>
        <w:t>1</w:t>
      </w:r>
    </w:p>
    <w:p w14:paraId="3F63A46E">
      <w:pPr>
        <w:pStyle w:val="12"/>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简要规格描述或项目基本概况介绍、用途：</w:t>
      </w:r>
      <w:r>
        <w:rPr>
          <w:rFonts w:hint="eastAsia" w:ascii="Times New Roman" w:hAnsi="Times New Roman" w:eastAsia="宋体"/>
          <w:color w:val="auto"/>
          <w:sz w:val="24"/>
          <w:highlight w:val="none"/>
          <w:lang w:eastAsia="zh-CN"/>
        </w:rPr>
        <w:t>桂平市燃气管网生命线及老旧燃气管网更新改造工程项目智慧燃气管理平台服务</w:t>
      </w:r>
      <w:r>
        <w:rPr>
          <w:rFonts w:hint="eastAsia" w:ascii="Times New Roman" w:hAnsi="Times New Roman"/>
          <w:color w:val="auto"/>
          <w:sz w:val="24"/>
          <w:highlight w:val="none"/>
        </w:rPr>
        <w:t>采购1项（包括： 1、智慧燃气监管平台建设、2、支撑环境建设、3、智慧燃气调度指挥中心建设、4、机柜租赁服务、5、系统安全评测、6、项目运维、7、通信服务、8、系统集成）。如需进一步了解详细内容，详见公开招标文件。</w:t>
      </w:r>
    </w:p>
    <w:p w14:paraId="345C7912">
      <w:pPr>
        <w:ind w:firstLine="480" w:firstLineChars="200"/>
        <w:rPr>
          <w:rFonts w:ascii="Times New Roman" w:hAnsi="Times New Roman"/>
          <w:color w:val="auto"/>
          <w:sz w:val="24"/>
          <w:highlight w:val="none"/>
        </w:rPr>
      </w:pPr>
    </w:p>
    <w:p w14:paraId="6D75B73B">
      <w:pPr>
        <w:ind w:firstLine="480" w:firstLineChars="200"/>
        <w:rPr>
          <w:rFonts w:hint="eastAsia" w:ascii="仿宋" w:hAnsi="仿宋" w:eastAsia="宋体"/>
          <w:color w:val="auto"/>
          <w:sz w:val="28"/>
          <w:szCs w:val="28"/>
          <w:highlight w:val="none"/>
          <w:lang w:eastAsia="zh-CN"/>
        </w:rPr>
      </w:pPr>
      <w:r>
        <w:rPr>
          <w:rFonts w:ascii="Times New Roman" w:hAnsi="Times New Roman"/>
          <w:color w:val="auto"/>
          <w:sz w:val="24"/>
          <w:highlight w:val="none"/>
        </w:rPr>
        <w:t>最高限价</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元</w:t>
      </w:r>
      <w:r>
        <w:rPr>
          <w:rFonts w:hint="eastAsia" w:ascii="Times New Roman" w:hAnsi="Times New Roman"/>
          <w:color w:val="auto"/>
          <w:sz w:val="24"/>
          <w:highlight w:val="none"/>
          <w:lang w:eastAsia="zh-CN"/>
        </w:rPr>
        <w:t>）</w:t>
      </w:r>
      <w:r>
        <w:rPr>
          <w:rFonts w:ascii="Times New Roman" w:hAnsi="Times New Roman"/>
          <w:color w:val="auto"/>
          <w:sz w:val="24"/>
          <w:highlight w:val="none"/>
        </w:rPr>
        <w:t>：</w:t>
      </w:r>
      <w:r>
        <w:rPr>
          <w:rFonts w:hint="eastAsia" w:ascii="Times New Roman" w:hAnsi="Times New Roman"/>
          <w:b/>
          <w:bCs/>
          <w:color w:val="auto"/>
          <w:sz w:val="24"/>
          <w:highlight w:val="none"/>
          <w:lang w:eastAsia="zh-CN"/>
        </w:rPr>
        <w:t>24940592.58</w:t>
      </w:r>
    </w:p>
    <w:p w14:paraId="75CC41C5">
      <w:pPr>
        <w:spacing w:line="360" w:lineRule="auto"/>
        <w:ind w:firstLine="240" w:firstLineChars="100"/>
        <w:rPr>
          <w:rFonts w:ascii="Times New Roman" w:hAnsi="Times New Roman"/>
          <w:color w:val="auto"/>
          <w:sz w:val="24"/>
          <w:highlight w:val="none"/>
        </w:rPr>
      </w:pPr>
    </w:p>
    <w:p w14:paraId="1602A097">
      <w:pPr>
        <w:spacing w:line="360" w:lineRule="auto"/>
        <w:ind w:firstLine="240" w:firstLineChars="100"/>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合同履约期限</w:t>
      </w:r>
      <w:r>
        <w:rPr>
          <w:rFonts w:hint="eastAsia" w:ascii="Times New Roman" w:hAnsi="Times New Roman"/>
          <w:color w:val="auto"/>
          <w:sz w:val="24"/>
          <w:highlight w:val="none"/>
        </w:rPr>
        <w:t>：</w:t>
      </w:r>
      <w:bookmarkStart w:id="13" w:name="OLE_LINK1"/>
      <w:r>
        <w:rPr>
          <w:rFonts w:hint="eastAsia" w:ascii="Times New Roman" w:hAnsi="Times New Roman"/>
          <w:color w:val="auto"/>
          <w:sz w:val="24"/>
          <w:highlight w:val="none"/>
          <w:lang w:eastAsia="zh-CN"/>
        </w:rPr>
        <w:t>自合同签订之日起一年内完成开发、安装调试工作，验收合格正式交付使用之日起提供2年的运维服务。</w:t>
      </w:r>
    </w:p>
    <w:bookmarkEnd w:id="13"/>
    <w:p w14:paraId="737BA06C">
      <w:pPr>
        <w:spacing w:line="360" w:lineRule="auto"/>
        <w:ind w:firstLine="240" w:firstLineChars="100"/>
        <w:rPr>
          <w:rFonts w:ascii="Times New Roman" w:hAnsi="Times New Roman"/>
          <w:color w:val="auto"/>
          <w:sz w:val="24"/>
          <w:highlight w:val="none"/>
        </w:rPr>
      </w:pPr>
      <w:r>
        <w:rPr>
          <w:rFonts w:ascii="Times New Roman" w:hAnsi="Times New Roman"/>
          <w:color w:val="auto"/>
          <w:sz w:val="24"/>
          <w:highlight w:val="none"/>
        </w:rPr>
        <w:t>本标项（</w:t>
      </w:r>
      <w:r>
        <w:rPr>
          <w:rFonts w:hint="eastAsia" w:ascii="Times New Roman" w:hAnsi="Times New Roman"/>
          <w:color w:val="auto"/>
          <w:sz w:val="24"/>
          <w:highlight w:val="none"/>
        </w:rPr>
        <w:t>是</w:t>
      </w:r>
      <w:r>
        <w:rPr>
          <w:rFonts w:ascii="Times New Roman" w:hAnsi="Times New Roman"/>
          <w:color w:val="auto"/>
          <w:sz w:val="24"/>
          <w:highlight w:val="none"/>
        </w:rPr>
        <w:t>）接受联合体投标。</w:t>
      </w:r>
    </w:p>
    <w:p w14:paraId="3B9C9A7D">
      <w:pPr>
        <w:spacing w:line="360" w:lineRule="auto"/>
        <w:ind w:firstLine="240" w:firstLineChars="100"/>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备注：/</w:t>
      </w:r>
    </w:p>
    <w:p w14:paraId="2C2C94DB">
      <w:pPr>
        <w:pStyle w:val="13"/>
        <w:rPr>
          <w:color w:val="auto"/>
          <w:highlight w:val="none"/>
        </w:rPr>
      </w:pPr>
    </w:p>
    <w:p w14:paraId="1E8F1F6C">
      <w:pPr>
        <w:pStyle w:val="17"/>
        <w:spacing w:before="255" w:beforeAutospacing="0" w:after="255" w:afterAutospacing="0" w:line="300" w:lineRule="atLeast"/>
        <w:jc w:val="both"/>
        <w:rPr>
          <w:rStyle w:val="21"/>
          <w:rFonts w:ascii="Times New Roman" w:hAnsi="Times New Roman"/>
          <w:color w:val="auto"/>
          <w:highlight w:val="none"/>
        </w:rPr>
      </w:pPr>
      <w:r>
        <w:rPr>
          <w:rStyle w:val="21"/>
          <w:rFonts w:ascii="Times New Roman" w:hAnsi="Times New Roman"/>
          <w:color w:val="auto"/>
          <w:highlight w:val="none"/>
        </w:rPr>
        <w:t>二、申请人的资格要求：</w:t>
      </w:r>
    </w:p>
    <w:p w14:paraId="4C77AB6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1.满足《中华人民共和国政府采购法》第二十二条规定；</w:t>
      </w:r>
    </w:p>
    <w:p w14:paraId="473F8EE2">
      <w:pPr>
        <w:spacing w:line="360" w:lineRule="auto"/>
        <w:ind w:left="239" w:leftChars="114" w:firstLine="240" w:firstLineChars="100"/>
        <w:rPr>
          <w:rFonts w:ascii="Times New Roman" w:hAnsi="Times New Roman"/>
          <w:color w:val="auto"/>
          <w:sz w:val="24"/>
          <w:highlight w:val="none"/>
        </w:rPr>
      </w:pPr>
      <w:r>
        <w:rPr>
          <w:rFonts w:ascii="Times New Roman" w:hAnsi="Times New Roman"/>
          <w:color w:val="auto"/>
          <w:sz w:val="24"/>
          <w:highlight w:val="none"/>
        </w:rPr>
        <w:t>2.落实政府采购政策需满足的资格要求：无 </w:t>
      </w:r>
    </w:p>
    <w:p w14:paraId="2E7CAC23">
      <w:pPr>
        <w:spacing w:line="360" w:lineRule="auto"/>
        <w:ind w:left="239" w:leftChars="114" w:firstLine="240" w:firstLineChars="100"/>
        <w:rPr>
          <w:rStyle w:val="21"/>
          <w:rFonts w:hint="eastAsia" w:ascii="Times New Roman" w:hAnsi="Times New Roman" w:eastAsia="宋体"/>
          <w:color w:val="auto"/>
          <w:highlight w:val="none"/>
          <w:lang w:eastAsia="zh-CN"/>
        </w:rPr>
      </w:pPr>
      <w:r>
        <w:rPr>
          <w:rFonts w:ascii="Times New Roman" w:hAnsi="Times New Roman"/>
          <w:color w:val="auto"/>
          <w:sz w:val="24"/>
          <w:highlight w:val="none"/>
        </w:rPr>
        <w:t>3.本项目的特定资格要求</w:t>
      </w:r>
      <w:r>
        <w:rPr>
          <w:rFonts w:hint="eastAsia" w:ascii="Times New Roman" w:hAnsi="Times New Roman"/>
          <w:color w:val="auto"/>
          <w:kern w:val="0"/>
          <w:sz w:val="24"/>
          <w:highlight w:val="none"/>
          <w:lang w:bidi="ar"/>
        </w:rPr>
        <w:t>：</w:t>
      </w:r>
      <w:r>
        <w:rPr>
          <w:rFonts w:hint="eastAsia" w:ascii="Times New Roman" w:hAnsi="Times New Roman"/>
          <w:color w:val="auto"/>
          <w:kern w:val="0"/>
          <w:sz w:val="24"/>
          <w:highlight w:val="none"/>
          <w:lang w:eastAsia="zh-CN" w:bidi="ar"/>
        </w:rPr>
        <w:t>无</w:t>
      </w:r>
    </w:p>
    <w:p w14:paraId="5D727412">
      <w:pPr>
        <w:pStyle w:val="17"/>
        <w:spacing w:before="255" w:beforeAutospacing="0" w:after="255" w:afterAutospacing="0" w:line="300" w:lineRule="atLeast"/>
        <w:jc w:val="both"/>
        <w:rPr>
          <w:rStyle w:val="21"/>
          <w:rFonts w:ascii="Times New Roman" w:hAnsi="Times New Roman"/>
          <w:color w:val="auto"/>
          <w:highlight w:val="none"/>
        </w:rPr>
      </w:pPr>
      <w:r>
        <w:rPr>
          <w:rStyle w:val="21"/>
          <w:rFonts w:ascii="Times New Roman" w:hAnsi="Times New Roman"/>
          <w:color w:val="auto"/>
          <w:highlight w:val="none"/>
        </w:rPr>
        <w:t>三、获取招标文件 </w:t>
      </w:r>
    </w:p>
    <w:p w14:paraId="781DBD86">
      <w:pPr>
        <w:pStyle w:val="17"/>
        <w:spacing w:before="255" w:beforeAutospacing="0" w:after="255" w:afterAutospacing="0" w:line="300" w:lineRule="atLeast"/>
        <w:ind w:left="239" w:leftChars="114" w:firstLine="480" w:firstLineChars="200"/>
        <w:jc w:val="both"/>
        <w:rPr>
          <w:rFonts w:ascii="Times New Roman" w:hAnsi="Times New Roman"/>
          <w:color w:val="auto"/>
          <w:highlight w:val="none"/>
        </w:rPr>
      </w:pPr>
      <w:r>
        <w:rPr>
          <w:rFonts w:ascii="Times New Roman" w:hAnsi="Times New Roman"/>
          <w:color w:val="auto"/>
          <w:highlight w:val="none"/>
        </w:rPr>
        <w:t>时间：</w:t>
      </w:r>
      <w:r>
        <w:rPr>
          <w:rFonts w:hint="eastAsia" w:ascii="Times New Roman" w:hAnsi="Times New Roman"/>
          <w:color w:val="auto"/>
          <w:highlight w:val="none"/>
        </w:rPr>
        <w:t>2025</w:t>
      </w:r>
      <w:r>
        <w:rPr>
          <w:rFonts w:ascii="Times New Roman" w:hAnsi="Times New Roman"/>
          <w:color w:val="auto"/>
          <w:highlight w:val="none"/>
        </w:rPr>
        <w:t>年</w:t>
      </w:r>
      <w:r>
        <w:rPr>
          <w:rFonts w:hint="eastAsia" w:ascii="Times New Roman" w:hAnsi="Times New Roman"/>
          <w:color w:val="auto"/>
          <w:highlight w:val="none"/>
          <w:lang w:val="en-US" w:eastAsia="zh-CN"/>
        </w:rPr>
        <w:t>7</w:t>
      </w:r>
      <w:r>
        <w:rPr>
          <w:rFonts w:ascii="Times New Roman" w:hAnsi="Times New Roman"/>
          <w:color w:val="auto"/>
          <w:highlight w:val="none"/>
        </w:rPr>
        <w:t>月</w:t>
      </w:r>
      <w:r>
        <w:rPr>
          <w:rFonts w:hint="eastAsia" w:ascii="Times New Roman" w:hAnsi="Times New Roman"/>
          <w:color w:val="auto"/>
          <w:highlight w:val="none"/>
          <w:lang w:val="en-US" w:eastAsia="zh-CN"/>
        </w:rPr>
        <w:t>28</w:t>
      </w:r>
      <w:r>
        <w:rPr>
          <w:rFonts w:ascii="Times New Roman" w:hAnsi="Times New Roman"/>
          <w:color w:val="auto"/>
          <w:highlight w:val="none"/>
        </w:rPr>
        <w:t>日至</w:t>
      </w:r>
      <w:r>
        <w:rPr>
          <w:rFonts w:hint="eastAsia" w:ascii="Times New Roman" w:hAnsi="Times New Roman"/>
          <w:color w:val="auto"/>
          <w:highlight w:val="none"/>
        </w:rPr>
        <w:t>2025年</w:t>
      </w:r>
      <w:r>
        <w:rPr>
          <w:rFonts w:hint="eastAsia" w:ascii="Times New Roman" w:hAnsi="Times New Roman"/>
          <w:color w:val="auto"/>
          <w:highlight w:val="none"/>
          <w:lang w:val="en-US" w:eastAsia="zh-CN"/>
        </w:rPr>
        <w:t>8</w:t>
      </w:r>
      <w:r>
        <w:rPr>
          <w:rFonts w:hint="eastAsia" w:ascii="Times New Roman" w:hAnsi="Times New Roman"/>
          <w:color w:val="auto"/>
          <w:highlight w:val="none"/>
        </w:rPr>
        <w:t>月</w:t>
      </w:r>
      <w:r>
        <w:rPr>
          <w:rFonts w:hint="eastAsia" w:ascii="Times New Roman" w:hAnsi="Times New Roman"/>
          <w:color w:val="auto"/>
          <w:highlight w:val="none"/>
          <w:lang w:val="en-US" w:eastAsia="zh-CN"/>
        </w:rPr>
        <w:t>19</w:t>
      </w:r>
      <w:r>
        <w:rPr>
          <w:rFonts w:hint="eastAsia" w:ascii="Times New Roman" w:hAnsi="Times New Roman"/>
          <w:color w:val="auto"/>
          <w:highlight w:val="none"/>
        </w:rPr>
        <w:t>日</w:t>
      </w:r>
      <w:r>
        <w:rPr>
          <w:rFonts w:ascii="Times New Roman" w:hAnsi="Times New Roman"/>
          <w:color w:val="auto"/>
          <w:highlight w:val="none"/>
        </w:rPr>
        <w:t> ，每天上午00</w:t>
      </w:r>
      <w:r>
        <w:rPr>
          <w:rFonts w:hint="eastAsia" w:ascii="Times New Roman" w:hAnsi="Times New Roman"/>
          <w:color w:val="auto"/>
          <w:highlight w:val="none"/>
        </w:rPr>
        <w:t>：</w:t>
      </w:r>
      <w:r>
        <w:rPr>
          <w:rFonts w:ascii="Times New Roman" w:hAnsi="Times New Roman"/>
          <w:color w:val="auto"/>
          <w:highlight w:val="none"/>
        </w:rPr>
        <w:t>00至12</w:t>
      </w:r>
      <w:r>
        <w:rPr>
          <w:rFonts w:hint="eastAsia" w:ascii="Times New Roman" w:hAnsi="Times New Roman"/>
          <w:color w:val="auto"/>
          <w:highlight w:val="none"/>
        </w:rPr>
        <w:t>：</w:t>
      </w:r>
      <w:r>
        <w:rPr>
          <w:rFonts w:ascii="Times New Roman" w:hAnsi="Times New Roman"/>
          <w:color w:val="auto"/>
          <w:highlight w:val="none"/>
        </w:rPr>
        <w:t>00 ，下午12</w:t>
      </w:r>
      <w:r>
        <w:rPr>
          <w:rFonts w:hint="eastAsia" w:ascii="Times New Roman" w:hAnsi="Times New Roman"/>
          <w:color w:val="auto"/>
          <w:highlight w:val="none"/>
        </w:rPr>
        <w:t>：</w:t>
      </w:r>
      <w:r>
        <w:rPr>
          <w:rFonts w:ascii="Times New Roman" w:hAnsi="Times New Roman"/>
          <w:color w:val="auto"/>
          <w:highlight w:val="none"/>
        </w:rPr>
        <w:t>00至23</w:t>
      </w:r>
      <w:r>
        <w:rPr>
          <w:rFonts w:hint="eastAsia" w:ascii="Times New Roman" w:hAnsi="Times New Roman"/>
          <w:color w:val="auto"/>
          <w:highlight w:val="none"/>
        </w:rPr>
        <w:t>：</w:t>
      </w:r>
      <w:r>
        <w:rPr>
          <w:rFonts w:ascii="Times New Roman" w:hAnsi="Times New Roman"/>
          <w:color w:val="auto"/>
          <w:highlight w:val="none"/>
        </w:rPr>
        <w:t>59（北京时间，法定节假日除外）</w:t>
      </w:r>
    </w:p>
    <w:p w14:paraId="7C7E55B2">
      <w:pPr>
        <w:pStyle w:val="17"/>
        <w:spacing w:before="255" w:beforeAutospacing="0" w:after="255" w:afterAutospacing="0" w:line="300" w:lineRule="atLeast"/>
        <w:ind w:left="239" w:leftChars="114" w:firstLine="480" w:firstLineChars="200"/>
        <w:jc w:val="both"/>
        <w:rPr>
          <w:rFonts w:ascii="Times New Roman" w:hAnsi="Times New Roman"/>
          <w:color w:val="auto"/>
          <w:highlight w:val="none"/>
        </w:rPr>
      </w:pPr>
      <w:r>
        <w:rPr>
          <w:rFonts w:ascii="Times New Roman" w:hAnsi="Times New Roman"/>
          <w:color w:val="auto"/>
          <w:highlight w:val="none"/>
        </w:rPr>
        <w:t>地点（网址）：</w:t>
      </w:r>
      <w:r>
        <w:rPr>
          <w:color w:val="auto"/>
          <w:highlight w:val="none"/>
        </w:rPr>
        <w:fldChar w:fldCharType="begin"/>
      </w:r>
      <w:r>
        <w:rPr>
          <w:color w:val="auto"/>
          <w:highlight w:val="none"/>
        </w:rPr>
        <w:instrText xml:space="preserve"> HYPERLINK "https://www.zcygov.cn/（政采云）" </w:instrText>
      </w:r>
      <w:r>
        <w:rPr>
          <w:color w:val="auto"/>
          <w:highlight w:val="none"/>
        </w:rPr>
        <w:fldChar w:fldCharType="separate"/>
      </w:r>
      <w:r>
        <w:rPr>
          <w:rFonts w:hint="eastAsia" w:ascii="Times New Roman" w:hAnsi="Times New Roman"/>
          <w:color w:val="auto"/>
          <w:highlight w:val="none"/>
        </w:rPr>
        <w:t>广西政府采购云平台（https://www.gcy.zfcg.gxzf.gov.cn/）</w:t>
      </w:r>
      <w:r>
        <w:rPr>
          <w:rFonts w:hint="eastAsia" w:ascii="Times New Roman" w:hAnsi="Times New Roman"/>
          <w:color w:val="auto"/>
          <w:highlight w:val="none"/>
        </w:rPr>
        <w:fldChar w:fldCharType="end"/>
      </w:r>
    </w:p>
    <w:p w14:paraId="7B1A57D6">
      <w:pPr>
        <w:spacing w:line="360" w:lineRule="auto"/>
        <w:ind w:left="239" w:leftChars="114" w:firstLine="480" w:firstLineChars="200"/>
        <w:rPr>
          <w:rFonts w:ascii="Times New Roman" w:hAnsi="Times New Roman"/>
          <w:color w:val="auto"/>
          <w:sz w:val="24"/>
          <w:highlight w:val="none"/>
        </w:rPr>
      </w:pPr>
      <w:r>
        <w:rPr>
          <w:rFonts w:ascii="Times New Roman" w:hAnsi="Times New Roman"/>
          <w:color w:val="auto"/>
          <w:sz w:val="24"/>
          <w:highlight w:val="none"/>
        </w:rPr>
        <w:t>方式：由潜在</w:t>
      </w:r>
      <w:r>
        <w:rPr>
          <w:rFonts w:hint="eastAsia" w:ascii="Times New Roman" w:hAnsi="Times New Roman"/>
          <w:color w:val="auto"/>
          <w:sz w:val="24"/>
          <w:highlight w:val="none"/>
        </w:rPr>
        <w:t>投标人</w:t>
      </w:r>
      <w:r>
        <w:rPr>
          <w:rFonts w:ascii="Times New Roman" w:hAnsi="Times New Roman"/>
          <w:color w:val="auto"/>
          <w:sz w:val="24"/>
          <w:highlight w:val="none"/>
        </w:rPr>
        <w:t>在</w:t>
      </w:r>
      <w:r>
        <w:rPr>
          <w:rFonts w:hint="eastAsia" w:ascii="Times New Roman" w:hAnsi="Times New Roman"/>
          <w:color w:val="auto"/>
          <w:sz w:val="24"/>
          <w:highlight w:val="none"/>
        </w:rPr>
        <w:t>广西政府采购云平台（https://www.gcy.zfcg.gxzf.gov.cn/）</w:t>
      </w:r>
      <w:r>
        <w:rPr>
          <w:rFonts w:ascii="Times New Roman" w:hAnsi="Times New Roman"/>
          <w:color w:val="auto"/>
          <w:sz w:val="24"/>
          <w:highlight w:val="none"/>
        </w:rPr>
        <w:t>完成账号注册后，登录</w:t>
      </w:r>
      <w:r>
        <w:rPr>
          <w:rFonts w:hint="eastAsia" w:ascii="Times New Roman" w:hAnsi="Times New Roman"/>
          <w:color w:val="auto"/>
          <w:sz w:val="24"/>
          <w:highlight w:val="none"/>
        </w:rPr>
        <w:t>广西政府采购云平台</w:t>
      </w:r>
      <w:r>
        <w:rPr>
          <w:rFonts w:ascii="Times New Roman" w:hAnsi="Times New Roman"/>
          <w:color w:val="auto"/>
          <w:sz w:val="24"/>
          <w:highlight w:val="none"/>
        </w:rPr>
        <w:t>"项目采购—获取采购文件"模块自行下载公开招标文件，未在</w:t>
      </w:r>
      <w:r>
        <w:rPr>
          <w:rFonts w:hint="eastAsia" w:ascii="Times New Roman" w:hAnsi="Times New Roman"/>
          <w:color w:val="auto"/>
          <w:sz w:val="24"/>
          <w:highlight w:val="none"/>
        </w:rPr>
        <w:t>广西政府采购云平台</w:t>
      </w:r>
      <w:r>
        <w:rPr>
          <w:rFonts w:ascii="Times New Roman" w:hAnsi="Times New Roman"/>
          <w:color w:val="auto"/>
          <w:sz w:val="24"/>
          <w:highlight w:val="none"/>
        </w:rPr>
        <w:t>注册的</w:t>
      </w:r>
      <w:r>
        <w:rPr>
          <w:rFonts w:hint="eastAsia" w:ascii="Times New Roman" w:hAnsi="Times New Roman"/>
          <w:color w:val="auto"/>
          <w:sz w:val="24"/>
          <w:highlight w:val="none"/>
        </w:rPr>
        <w:t>投标人</w:t>
      </w:r>
      <w:r>
        <w:rPr>
          <w:rFonts w:ascii="Times New Roman" w:hAnsi="Times New Roman"/>
          <w:color w:val="auto"/>
          <w:sz w:val="24"/>
          <w:highlight w:val="none"/>
        </w:rPr>
        <w:t>可在获取公开招标文件前登录</w:t>
      </w:r>
      <w:r>
        <w:rPr>
          <w:rFonts w:hint="eastAsia" w:ascii="Times New Roman" w:hAnsi="Times New Roman"/>
          <w:color w:val="auto"/>
          <w:sz w:val="24"/>
          <w:highlight w:val="none"/>
        </w:rPr>
        <w:t>广西政府采购云平台（https://www.gcy.zfcg.gxzf.gov.cn/）</w:t>
      </w:r>
      <w:r>
        <w:rPr>
          <w:rFonts w:ascii="Times New Roman" w:hAnsi="Times New Roman"/>
          <w:color w:val="auto"/>
          <w:sz w:val="24"/>
          <w:highlight w:val="none"/>
        </w:rPr>
        <w:t>进行注册。如在操作过程中遇到问题或需技术支持，请致电</w:t>
      </w:r>
      <w:r>
        <w:rPr>
          <w:rFonts w:hint="eastAsia" w:ascii="Times New Roman" w:hAnsi="Times New Roman"/>
          <w:color w:val="auto"/>
          <w:sz w:val="24"/>
          <w:highlight w:val="none"/>
        </w:rPr>
        <w:t>广西政府采购云平台</w:t>
      </w:r>
      <w:r>
        <w:rPr>
          <w:rFonts w:ascii="Times New Roman" w:hAnsi="Times New Roman"/>
          <w:color w:val="auto"/>
          <w:sz w:val="24"/>
          <w:highlight w:val="none"/>
        </w:rPr>
        <w:t>客服热线：</w:t>
      </w:r>
      <w:r>
        <w:rPr>
          <w:rFonts w:hint="eastAsia" w:ascii="Times New Roman" w:hAnsi="Times New Roman"/>
          <w:color w:val="auto"/>
          <w:sz w:val="24"/>
          <w:highlight w:val="none"/>
        </w:rPr>
        <w:t>95763</w:t>
      </w:r>
      <w:r>
        <w:rPr>
          <w:rFonts w:ascii="Times New Roman" w:hAnsi="Times New Roman"/>
          <w:color w:val="auto"/>
          <w:sz w:val="24"/>
          <w:highlight w:val="none"/>
        </w:rPr>
        <w:t>。 </w:t>
      </w:r>
    </w:p>
    <w:p w14:paraId="1153C861">
      <w:pPr>
        <w:spacing w:line="360" w:lineRule="auto"/>
        <w:ind w:left="239" w:leftChars="114" w:firstLine="240" w:firstLineChars="100"/>
        <w:rPr>
          <w:rFonts w:ascii="Times New Roman" w:hAnsi="Times New Roman"/>
          <w:color w:val="auto"/>
          <w:sz w:val="24"/>
          <w:highlight w:val="none"/>
        </w:rPr>
      </w:pPr>
      <w:r>
        <w:rPr>
          <w:rFonts w:ascii="Times New Roman" w:hAnsi="Times New Roman"/>
          <w:color w:val="auto"/>
          <w:sz w:val="24"/>
          <w:highlight w:val="none"/>
        </w:rPr>
        <w:t>  售价（元）：0 </w:t>
      </w:r>
    </w:p>
    <w:p w14:paraId="2DAF32D6">
      <w:pPr>
        <w:spacing w:line="360" w:lineRule="auto"/>
        <w:rPr>
          <w:rFonts w:hint="eastAsia" w:ascii="Times New Roman" w:hAnsi="Times New Roman" w:eastAsia="宋体"/>
          <w:b/>
          <w:bCs/>
          <w:color w:val="auto"/>
          <w:sz w:val="24"/>
          <w:highlight w:val="none"/>
          <w:lang w:eastAsia="zh-CN"/>
        </w:rPr>
      </w:pPr>
      <w:r>
        <w:rPr>
          <w:rFonts w:ascii="Times New Roman" w:hAnsi="Times New Roman"/>
          <w:b/>
          <w:bCs/>
          <w:color w:val="auto"/>
          <w:sz w:val="24"/>
          <w:highlight w:val="none"/>
        </w:rPr>
        <w:t>四、提交</w:t>
      </w:r>
      <w:r>
        <w:rPr>
          <w:rFonts w:hint="eastAsia" w:ascii="Times New Roman" w:hAnsi="Times New Roman"/>
          <w:b/>
          <w:bCs/>
          <w:color w:val="auto"/>
          <w:sz w:val="24"/>
          <w:highlight w:val="none"/>
        </w:rPr>
        <w:t>投标文件</w:t>
      </w:r>
      <w:r>
        <w:rPr>
          <w:rFonts w:hint="eastAsia" w:ascii="Times New Roman" w:hAnsi="Times New Roman"/>
          <w:b/>
          <w:bCs/>
          <w:color w:val="auto"/>
          <w:sz w:val="24"/>
          <w:highlight w:val="none"/>
          <w:lang w:eastAsia="zh-CN"/>
        </w:rPr>
        <w:t>截止时间、开标时间和地点</w:t>
      </w:r>
    </w:p>
    <w:p w14:paraId="36EEA1A8">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lang w:eastAsia="zh-CN"/>
        </w:rPr>
        <w:t>提交投标文件</w:t>
      </w:r>
      <w:r>
        <w:rPr>
          <w:rFonts w:ascii="Times New Roman" w:hAnsi="Times New Roman"/>
          <w:color w:val="auto"/>
          <w:sz w:val="24"/>
          <w:highlight w:val="none"/>
        </w:rPr>
        <w:t>截止时间：</w:t>
      </w:r>
      <w:r>
        <w:rPr>
          <w:rFonts w:hint="eastAsia" w:ascii="Times New Roman" w:hAnsi="Times New Roman"/>
          <w:color w:val="auto"/>
          <w:sz w:val="24"/>
          <w:highlight w:val="none"/>
        </w:rPr>
        <w:t>2025年</w:t>
      </w: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月</w:t>
      </w:r>
      <w:r>
        <w:rPr>
          <w:rFonts w:hint="eastAsia" w:ascii="Times New Roman" w:hAnsi="Times New Roman"/>
          <w:color w:val="auto"/>
          <w:sz w:val="24"/>
          <w:highlight w:val="none"/>
          <w:lang w:val="en-US" w:eastAsia="zh-CN"/>
        </w:rPr>
        <w:t>19</w:t>
      </w:r>
      <w:r>
        <w:rPr>
          <w:rFonts w:hint="eastAsia" w:ascii="Times New Roman" w:hAnsi="Times New Roman"/>
          <w:color w:val="auto"/>
          <w:sz w:val="24"/>
          <w:highlight w:val="none"/>
        </w:rPr>
        <w:t>日09:00</w:t>
      </w:r>
      <w:r>
        <w:rPr>
          <w:rFonts w:ascii="Times New Roman" w:hAnsi="Times New Roman"/>
          <w:color w:val="auto"/>
          <w:sz w:val="24"/>
          <w:highlight w:val="none"/>
        </w:rPr>
        <w:t>（北京时间）</w:t>
      </w:r>
    </w:p>
    <w:p w14:paraId="63A68A04">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lang w:eastAsia="zh-CN"/>
        </w:rPr>
        <w:t>投标</w:t>
      </w:r>
      <w:r>
        <w:rPr>
          <w:rFonts w:ascii="Times New Roman" w:hAnsi="Times New Roman"/>
          <w:color w:val="auto"/>
          <w:sz w:val="24"/>
          <w:highlight w:val="none"/>
        </w:rPr>
        <w:t>地点（网址）：通过</w:t>
      </w:r>
      <w:r>
        <w:rPr>
          <w:rFonts w:hint="eastAsia" w:ascii="Times New Roman" w:hAnsi="Times New Roman"/>
          <w:color w:val="auto"/>
          <w:sz w:val="24"/>
          <w:highlight w:val="none"/>
        </w:rPr>
        <w:t>广西政府采购云平台</w:t>
      </w:r>
      <w:r>
        <w:rPr>
          <w:rFonts w:ascii="Times New Roman" w:hAnsi="Times New Roman"/>
          <w:color w:val="auto"/>
          <w:sz w:val="24"/>
          <w:highlight w:val="none"/>
        </w:rPr>
        <w:t>实行在线投标响应（本项目不要求</w:t>
      </w:r>
      <w:r>
        <w:rPr>
          <w:rFonts w:hint="eastAsia" w:ascii="Times New Roman" w:hAnsi="Times New Roman"/>
          <w:color w:val="auto"/>
          <w:sz w:val="24"/>
          <w:highlight w:val="none"/>
        </w:rPr>
        <w:t>投标人</w:t>
      </w:r>
      <w:r>
        <w:rPr>
          <w:rFonts w:ascii="Times New Roman" w:hAnsi="Times New Roman"/>
          <w:color w:val="auto"/>
          <w:sz w:val="24"/>
          <w:highlight w:val="none"/>
        </w:rPr>
        <w:t>到达开标现场，但</w:t>
      </w:r>
      <w:r>
        <w:rPr>
          <w:rFonts w:hint="eastAsia" w:ascii="Times New Roman" w:hAnsi="Times New Roman"/>
          <w:color w:val="auto"/>
          <w:sz w:val="24"/>
          <w:highlight w:val="none"/>
        </w:rPr>
        <w:t>投标人</w:t>
      </w:r>
      <w:r>
        <w:rPr>
          <w:rFonts w:ascii="Times New Roman" w:hAnsi="Times New Roman"/>
          <w:color w:val="auto"/>
          <w:sz w:val="24"/>
          <w:highlight w:val="none"/>
        </w:rPr>
        <w:t>应派法定代表人或委托代理人准时在线出席电子开评标会议，随时关注开评标进度，如在开评标过程中有电子询标，应在规定的时间内对电子询标函进行澄清回复</w:t>
      </w:r>
      <w:r>
        <w:rPr>
          <w:rFonts w:hint="eastAsia" w:ascii="Times New Roman" w:hAnsi="Times New Roman"/>
          <w:color w:val="auto"/>
          <w:sz w:val="24"/>
          <w:highlight w:val="none"/>
        </w:rPr>
        <w:t>）</w:t>
      </w:r>
      <w:r>
        <w:rPr>
          <w:rFonts w:ascii="Times New Roman" w:hAnsi="Times New Roman"/>
          <w:color w:val="auto"/>
          <w:sz w:val="24"/>
          <w:highlight w:val="none"/>
        </w:rPr>
        <w:t xml:space="preserve">。 </w:t>
      </w:r>
    </w:p>
    <w:p w14:paraId="4369577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开</w:t>
      </w:r>
      <w:r>
        <w:rPr>
          <w:rFonts w:hint="eastAsia" w:ascii="Times New Roman" w:hAnsi="Times New Roman"/>
          <w:color w:val="auto"/>
          <w:sz w:val="24"/>
          <w:highlight w:val="none"/>
          <w:lang w:eastAsia="zh-CN"/>
        </w:rPr>
        <w:t>标</w:t>
      </w:r>
      <w:r>
        <w:rPr>
          <w:rFonts w:ascii="Times New Roman" w:hAnsi="Times New Roman"/>
          <w:color w:val="auto"/>
          <w:sz w:val="24"/>
          <w:highlight w:val="none"/>
        </w:rPr>
        <w:t>时间：</w:t>
      </w:r>
      <w:r>
        <w:rPr>
          <w:rFonts w:hint="eastAsia" w:ascii="Times New Roman" w:hAnsi="Times New Roman"/>
          <w:color w:val="auto"/>
          <w:sz w:val="24"/>
          <w:highlight w:val="none"/>
        </w:rPr>
        <w:t>2025年</w:t>
      </w: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月</w:t>
      </w:r>
      <w:r>
        <w:rPr>
          <w:rFonts w:hint="eastAsia" w:ascii="Times New Roman" w:hAnsi="Times New Roman"/>
          <w:color w:val="auto"/>
          <w:sz w:val="24"/>
          <w:highlight w:val="none"/>
          <w:lang w:val="en-US" w:eastAsia="zh-CN"/>
        </w:rPr>
        <w:t>19</w:t>
      </w:r>
      <w:r>
        <w:rPr>
          <w:rFonts w:hint="eastAsia" w:ascii="Times New Roman" w:hAnsi="Times New Roman"/>
          <w:color w:val="auto"/>
          <w:sz w:val="24"/>
          <w:highlight w:val="none"/>
        </w:rPr>
        <w:t>日09:00</w:t>
      </w:r>
      <w:r>
        <w:rPr>
          <w:rFonts w:ascii="Times New Roman" w:hAnsi="Times New Roman"/>
          <w:color w:val="auto"/>
          <w:sz w:val="24"/>
          <w:highlight w:val="none"/>
        </w:rPr>
        <w:t>（北京时间）</w:t>
      </w:r>
    </w:p>
    <w:p w14:paraId="5C6ED3FA">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lang w:eastAsia="zh-CN"/>
        </w:rPr>
        <w:t>开标</w:t>
      </w:r>
      <w:r>
        <w:rPr>
          <w:rFonts w:ascii="Times New Roman" w:hAnsi="Times New Roman"/>
          <w:color w:val="auto"/>
          <w:sz w:val="24"/>
          <w:highlight w:val="none"/>
        </w:rPr>
        <w:t>地点：通过</w:t>
      </w:r>
      <w:r>
        <w:rPr>
          <w:rFonts w:hint="eastAsia" w:ascii="Times New Roman" w:hAnsi="Times New Roman"/>
          <w:color w:val="auto"/>
          <w:sz w:val="24"/>
          <w:highlight w:val="none"/>
        </w:rPr>
        <w:t>广西政府采购云平台</w:t>
      </w:r>
      <w:r>
        <w:rPr>
          <w:rFonts w:ascii="Times New Roman" w:hAnsi="Times New Roman"/>
          <w:color w:val="auto"/>
          <w:sz w:val="24"/>
          <w:highlight w:val="none"/>
        </w:rPr>
        <w:t>实行在线解密开启。</w:t>
      </w:r>
    </w:p>
    <w:p w14:paraId="43FB2A6E">
      <w:pPr>
        <w:spacing w:line="360" w:lineRule="auto"/>
        <w:rPr>
          <w:rFonts w:hint="eastAsia" w:ascii="Times New Roman" w:hAnsi="Times New Roman"/>
          <w:b/>
          <w:bCs/>
          <w:color w:val="auto"/>
          <w:sz w:val="24"/>
          <w:highlight w:val="none"/>
        </w:rPr>
      </w:pPr>
    </w:p>
    <w:p w14:paraId="75FA76FE">
      <w:pPr>
        <w:spacing w:line="360" w:lineRule="auto"/>
        <w:rPr>
          <w:rFonts w:ascii="Times New Roman" w:hAnsi="Times New Roman"/>
          <w:b/>
          <w:bCs/>
          <w:color w:val="auto"/>
          <w:sz w:val="24"/>
          <w:highlight w:val="none"/>
        </w:rPr>
      </w:pPr>
      <w:r>
        <w:rPr>
          <w:rFonts w:hint="eastAsia" w:ascii="Times New Roman" w:hAnsi="Times New Roman"/>
          <w:b/>
          <w:bCs/>
          <w:color w:val="auto"/>
          <w:sz w:val="24"/>
          <w:highlight w:val="none"/>
          <w:lang w:eastAsia="zh-CN"/>
        </w:rPr>
        <w:t>五</w:t>
      </w:r>
      <w:r>
        <w:rPr>
          <w:rFonts w:ascii="Times New Roman" w:hAnsi="Times New Roman"/>
          <w:b/>
          <w:bCs/>
          <w:color w:val="auto"/>
          <w:sz w:val="24"/>
          <w:highlight w:val="none"/>
        </w:rPr>
        <w:t>、公告期限 </w:t>
      </w:r>
    </w:p>
    <w:p w14:paraId="679FC599">
      <w:pPr>
        <w:pStyle w:val="17"/>
        <w:spacing w:before="75" w:beforeAutospacing="0" w:after="75" w:afterAutospacing="0" w:line="360" w:lineRule="auto"/>
        <w:rPr>
          <w:rFonts w:ascii="Times New Roman" w:hAnsi="Times New Roman"/>
          <w:color w:val="auto"/>
          <w:kern w:val="2"/>
          <w:highlight w:val="none"/>
        </w:rPr>
      </w:pPr>
      <w:r>
        <w:rPr>
          <w:rFonts w:ascii="Times New Roman" w:hAnsi="Times New Roman"/>
          <w:color w:val="auto"/>
          <w:highlight w:val="none"/>
        </w:rPr>
        <w:t xml:space="preserve">     </w:t>
      </w:r>
      <w:r>
        <w:rPr>
          <w:rFonts w:ascii="Times New Roman" w:hAnsi="Times New Roman"/>
          <w:color w:val="auto"/>
          <w:kern w:val="2"/>
          <w:highlight w:val="none"/>
        </w:rPr>
        <w:t>自本公告发布之日起5个工作日。</w:t>
      </w:r>
    </w:p>
    <w:p w14:paraId="7CC01EFC">
      <w:pPr>
        <w:numPr>
          <w:ilvl w:val="-1"/>
          <w:numId w:val="0"/>
        </w:numPr>
        <w:spacing w:line="360" w:lineRule="auto"/>
        <w:rPr>
          <w:rFonts w:ascii="Times New Roman" w:hAnsi="Times New Roman"/>
          <w:b/>
          <w:bCs/>
          <w:color w:val="auto"/>
          <w:sz w:val="24"/>
          <w:highlight w:val="none"/>
        </w:rPr>
      </w:pPr>
      <w:r>
        <w:rPr>
          <w:rFonts w:hint="eastAsia" w:ascii="Times New Roman" w:hAnsi="Times New Roman"/>
          <w:b/>
          <w:bCs/>
          <w:color w:val="auto"/>
          <w:sz w:val="24"/>
          <w:highlight w:val="none"/>
          <w:lang w:eastAsia="zh-CN"/>
        </w:rPr>
        <w:t>六、</w:t>
      </w:r>
      <w:r>
        <w:rPr>
          <w:rFonts w:ascii="Times New Roman" w:hAnsi="Times New Roman"/>
          <w:b/>
          <w:bCs/>
          <w:color w:val="auto"/>
          <w:sz w:val="24"/>
          <w:highlight w:val="none"/>
        </w:rPr>
        <w:t>其他补充事宜</w:t>
      </w:r>
    </w:p>
    <w:p w14:paraId="044EF52B">
      <w:pPr>
        <w:spacing w:line="360" w:lineRule="auto"/>
        <w:rPr>
          <w:rFonts w:ascii="Times New Roman" w:hAnsi="Times New Roman"/>
          <w:b/>
          <w:bCs/>
          <w:color w:val="auto"/>
          <w:sz w:val="24"/>
          <w:highlight w:val="none"/>
        </w:rPr>
      </w:pPr>
      <w:r>
        <w:rPr>
          <w:rFonts w:ascii="Times New Roman" w:hAnsi="Times New Roman"/>
          <w:b/>
          <w:bCs/>
          <w:color w:val="auto"/>
          <w:sz w:val="24"/>
          <w:highlight w:val="none"/>
        </w:rPr>
        <w:t>（一）本项目需要落实的政府采购政策：</w:t>
      </w:r>
    </w:p>
    <w:p w14:paraId="4D176703">
      <w:pPr>
        <w:spacing w:line="360" w:lineRule="auto"/>
        <w:ind w:left="239" w:leftChars="114" w:firstLine="480" w:firstLineChars="200"/>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）政府采购支持采用本国产品的政策。</w:t>
      </w:r>
    </w:p>
    <w:p w14:paraId="2647EB33">
      <w:pPr>
        <w:spacing w:line="360" w:lineRule="auto"/>
        <w:ind w:left="239" w:leftChars="114" w:firstLine="480" w:firstLineChars="200"/>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）强制采购、优先采购环境标志产品、节能产品。</w:t>
      </w:r>
    </w:p>
    <w:p w14:paraId="6E18E825">
      <w:pPr>
        <w:spacing w:line="360" w:lineRule="auto"/>
        <w:ind w:left="239" w:leftChars="114" w:firstLine="480" w:firstLineChars="200"/>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）政府采购促进残疾人就业政策。</w:t>
      </w:r>
    </w:p>
    <w:p w14:paraId="59368FE8">
      <w:pPr>
        <w:spacing w:line="360" w:lineRule="auto"/>
        <w:ind w:left="239" w:leftChars="114" w:firstLine="480" w:firstLineChars="200"/>
        <w:rPr>
          <w:rFonts w:ascii="Times New Roman" w:hAnsi="Times New Roman"/>
          <w:color w:val="auto"/>
          <w:sz w:val="24"/>
          <w:highlight w:val="none"/>
        </w:rPr>
      </w:pPr>
      <w:r>
        <w:rPr>
          <w:rFonts w:hint="eastAsia" w:ascii="Times New Roman" w:hAnsi="Times New Roman"/>
          <w:color w:val="auto"/>
          <w:sz w:val="24"/>
          <w:highlight w:val="none"/>
        </w:rPr>
        <w:t>4</w:t>
      </w:r>
      <w:r>
        <w:rPr>
          <w:rFonts w:ascii="Times New Roman" w:hAnsi="Times New Roman"/>
          <w:color w:val="auto"/>
          <w:sz w:val="24"/>
          <w:highlight w:val="none"/>
        </w:rPr>
        <w:t>）政府采购支持监狱企业发展。</w:t>
      </w:r>
    </w:p>
    <w:p w14:paraId="6ACC30DF">
      <w:pPr>
        <w:spacing w:line="360" w:lineRule="auto"/>
        <w:ind w:left="239" w:leftChars="114" w:firstLine="480" w:firstLineChars="200"/>
        <w:rPr>
          <w:rFonts w:ascii="Times New Roman" w:hAnsi="Times New Roman"/>
          <w:color w:val="auto"/>
          <w:sz w:val="24"/>
          <w:highlight w:val="none"/>
        </w:rPr>
      </w:pPr>
      <w:r>
        <w:rPr>
          <w:rFonts w:hint="eastAsia" w:ascii="Times New Roman" w:hAnsi="Times New Roman"/>
          <w:color w:val="auto"/>
          <w:sz w:val="24"/>
          <w:highlight w:val="none"/>
        </w:rPr>
        <w:t>5</w:t>
      </w:r>
      <w:r>
        <w:rPr>
          <w:rFonts w:ascii="Times New Roman" w:hAnsi="Times New Roman"/>
          <w:color w:val="auto"/>
          <w:sz w:val="24"/>
          <w:highlight w:val="none"/>
        </w:rPr>
        <w:t>）扶持不发达地区和少数民族地区政策等政府采购相关政策。</w:t>
      </w:r>
    </w:p>
    <w:p w14:paraId="20ADC519">
      <w:pPr>
        <w:pStyle w:val="25"/>
        <w:spacing w:line="460" w:lineRule="exact"/>
        <w:ind w:firstLine="482"/>
        <w:jc w:val="left"/>
        <w:rPr>
          <w:rFonts w:ascii="Times New Roman" w:hAnsi="Times New Roman"/>
          <w:color w:val="auto"/>
          <w:sz w:val="24"/>
          <w:highlight w:val="none"/>
        </w:rPr>
      </w:pPr>
      <w:r>
        <w:rPr>
          <w:rFonts w:ascii="Times New Roman" w:hAnsi="Times New Roman" w:cs="Times New Roman"/>
          <w:b/>
          <w:bCs/>
          <w:color w:val="auto"/>
          <w:sz w:val="24"/>
          <w:szCs w:val="24"/>
          <w:highlight w:val="none"/>
        </w:rPr>
        <w:t>（二）</w:t>
      </w:r>
      <w:r>
        <w:rPr>
          <w:rFonts w:hint="eastAsia" w:ascii="Times New Roman" w:hAnsi="Times New Roman" w:cs="Times New Roman"/>
          <w:b/>
          <w:bCs/>
          <w:color w:val="auto"/>
          <w:sz w:val="24"/>
          <w:szCs w:val="24"/>
          <w:highlight w:val="none"/>
        </w:rPr>
        <w:t>其他要求</w:t>
      </w:r>
      <w:r>
        <w:rPr>
          <w:rFonts w:ascii="Times New Roman" w:hAnsi="Times New Roman" w:cs="Times New Roman"/>
          <w:b/>
          <w:bCs/>
          <w:color w:val="auto"/>
          <w:sz w:val="24"/>
          <w:szCs w:val="24"/>
          <w:highlight w:val="none"/>
        </w:rPr>
        <w:t>：</w:t>
      </w:r>
      <w:r>
        <w:rPr>
          <w:rFonts w:ascii="Times New Roman" w:hAnsi="Times New Roman"/>
          <w:color w:val="auto"/>
          <w:sz w:val="24"/>
          <w:highlight w:val="none"/>
        </w:rPr>
        <w:t xml:space="preserve"> </w:t>
      </w:r>
    </w:p>
    <w:p w14:paraId="6ADDB23D">
      <w:pPr>
        <w:spacing w:line="360" w:lineRule="auto"/>
        <w:ind w:left="239" w:leftChars="114" w:firstLine="240" w:firstLineChars="1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1</w:t>
      </w:r>
      <w:r>
        <w:rPr>
          <w:rFonts w:ascii="Times New Roman" w:hAnsi="Times New Roman"/>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imes New Roman" w:hAnsi="Times New Roman"/>
          <w:color w:val="auto"/>
          <w:sz w:val="24"/>
          <w:highlight w:val="none"/>
        </w:rPr>
        <w:t>投标人</w:t>
      </w:r>
      <w:r>
        <w:rPr>
          <w:rFonts w:ascii="Times New Roman" w:hAnsi="Times New Roman"/>
          <w:color w:val="auto"/>
          <w:sz w:val="24"/>
          <w:highlight w:val="none"/>
        </w:rPr>
        <w:t xml:space="preserve">，不得参与政府采购活动； </w:t>
      </w:r>
    </w:p>
    <w:p w14:paraId="2EBBF46A">
      <w:pPr>
        <w:spacing w:line="360" w:lineRule="auto"/>
        <w:ind w:left="239" w:leftChars="114" w:firstLine="240" w:firstLineChars="1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2</w:t>
      </w:r>
      <w:r>
        <w:rPr>
          <w:rFonts w:ascii="Times New Roman" w:hAnsi="Times New Roman"/>
          <w:color w:val="auto"/>
          <w:sz w:val="24"/>
          <w:highlight w:val="none"/>
        </w:rPr>
        <w:t>）单位负责人为同一人或者存在直接控股、管理关系的不同</w:t>
      </w:r>
      <w:r>
        <w:rPr>
          <w:rFonts w:hint="eastAsia" w:ascii="Times New Roman" w:hAnsi="Times New Roman"/>
          <w:color w:val="auto"/>
          <w:sz w:val="24"/>
          <w:highlight w:val="none"/>
        </w:rPr>
        <w:t>投标人</w:t>
      </w:r>
      <w:r>
        <w:rPr>
          <w:rFonts w:ascii="Times New Roman" w:hAnsi="Times New Roman"/>
          <w:color w:val="auto"/>
          <w:sz w:val="24"/>
          <w:highlight w:val="none"/>
        </w:rPr>
        <w:t>，不得参加同一合同项下的政府采购活动。除单一来源采购项目外，为采购项目提供整体设计、规范编制或者项目管理、监理、检测等服务的</w:t>
      </w:r>
      <w:r>
        <w:rPr>
          <w:rFonts w:hint="eastAsia" w:ascii="Times New Roman" w:hAnsi="Times New Roman"/>
          <w:color w:val="auto"/>
          <w:sz w:val="24"/>
          <w:highlight w:val="none"/>
        </w:rPr>
        <w:t>投标人</w:t>
      </w:r>
      <w:r>
        <w:rPr>
          <w:rFonts w:ascii="Times New Roman" w:hAnsi="Times New Roman"/>
          <w:color w:val="auto"/>
          <w:sz w:val="24"/>
          <w:highlight w:val="none"/>
        </w:rPr>
        <w:t>，不得再参加该采购项目的其他采购活动；</w:t>
      </w:r>
    </w:p>
    <w:p w14:paraId="0217C4F8">
      <w:pPr>
        <w:spacing w:line="360" w:lineRule="auto"/>
        <w:ind w:left="239" w:leftChars="114" w:firstLine="240" w:firstLineChars="1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rPr>
        <w:t>3</w:t>
      </w:r>
      <w:r>
        <w:rPr>
          <w:rFonts w:ascii="Times New Roman" w:hAnsi="Times New Roman"/>
          <w:color w:val="auto"/>
          <w:sz w:val="24"/>
          <w:highlight w:val="none"/>
        </w:rPr>
        <w:t>）本项目不接受未完成网上下载文件的投标人参加投标。</w:t>
      </w:r>
    </w:p>
    <w:p w14:paraId="1BCB57CC">
      <w:pPr>
        <w:pStyle w:val="16"/>
        <w:ind w:firstLine="480" w:firstLineChars="200"/>
        <w:jc w:val="both"/>
        <w:rPr>
          <w:rFonts w:hint="eastAsia" w:eastAsia="宋体"/>
          <w:color w:val="auto"/>
          <w:highlight w:val="none"/>
        </w:rPr>
      </w:pPr>
      <w:r>
        <w:rPr>
          <w:rFonts w:hint="eastAsia" w:ascii="Times New Roman" w:hAnsi="Times New Roman" w:eastAsia="宋体"/>
          <w:color w:val="auto"/>
          <w:sz w:val="24"/>
          <w:highlight w:val="none"/>
        </w:rPr>
        <w:t>（4）</w:t>
      </w:r>
      <w:r>
        <w:rPr>
          <w:rFonts w:hint="eastAsia" w:ascii="Times New Roman" w:hAnsi="Times New Roman"/>
          <w:b/>
          <w:bCs w:val="0"/>
          <w:color w:val="auto"/>
          <w:sz w:val="24"/>
          <w:highlight w:val="none"/>
        </w:rPr>
        <w:t>评标方式：本项目采用异地评标方式。</w:t>
      </w:r>
    </w:p>
    <w:p w14:paraId="53648284">
      <w:pPr>
        <w:spacing w:line="360" w:lineRule="auto"/>
        <w:ind w:firstLine="241" w:firstLineChars="100"/>
        <w:rPr>
          <w:rFonts w:ascii="Times New Roman" w:hAnsi="Times New Roman"/>
          <w:color w:val="auto"/>
          <w:sz w:val="24"/>
          <w:highlight w:val="none"/>
        </w:rPr>
      </w:pPr>
      <w:r>
        <w:rPr>
          <w:rFonts w:ascii="Times New Roman" w:hAnsi="Times New Roman"/>
          <w:b/>
          <w:bCs/>
          <w:color w:val="auto"/>
          <w:sz w:val="24"/>
          <w:highlight w:val="none"/>
        </w:rPr>
        <w:t>（</w:t>
      </w:r>
      <w:r>
        <w:rPr>
          <w:rFonts w:hint="eastAsia" w:ascii="Times New Roman" w:hAnsi="Times New Roman"/>
          <w:b/>
          <w:bCs/>
          <w:color w:val="auto"/>
          <w:sz w:val="24"/>
          <w:highlight w:val="none"/>
        </w:rPr>
        <w:t>三</w:t>
      </w:r>
      <w:r>
        <w:rPr>
          <w:rFonts w:ascii="Times New Roman" w:hAnsi="Times New Roman"/>
          <w:b/>
          <w:bCs/>
          <w:color w:val="auto"/>
          <w:sz w:val="24"/>
          <w:highlight w:val="none"/>
        </w:rPr>
        <w:t>）公告网址</w:t>
      </w:r>
      <w:r>
        <w:rPr>
          <w:rFonts w:ascii="Times New Roman" w:hAnsi="Times New Roman"/>
          <w:color w:val="auto"/>
          <w:sz w:val="24"/>
          <w:highlight w:val="none"/>
        </w:rPr>
        <w:t>：http</w:t>
      </w:r>
      <w:r>
        <w:rPr>
          <w:rFonts w:hint="eastAsia" w:ascii="Times New Roman" w:hAnsi="Times New Roman"/>
          <w:color w:val="auto"/>
          <w:sz w:val="24"/>
          <w:highlight w:val="none"/>
        </w:rPr>
        <w:t>：</w:t>
      </w:r>
      <w:r>
        <w:rPr>
          <w:rFonts w:ascii="Times New Roman" w:hAnsi="Times New Roman"/>
          <w:color w:val="auto"/>
          <w:sz w:val="24"/>
          <w:highlight w:val="none"/>
        </w:rPr>
        <w:t>//www.ccgp.gov.cn（中国政府采购网）、http</w:t>
      </w:r>
      <w:r>
        <w:rPr>
          <w:rFonts w:hint="eastAsia" w:ascii="Times New Roman" w:hAnsi="Times New Roman"/>
          <w:color w:val="auto"/>
          <w:sz w:val="24"/>
          <w:highlight w:val="none"/>
        </w:rPr>
        <w:t>：</w:t>
      </w:r>
      <w:r>
        <w:rPr>
          <w:rFonts w:ascii="Times New Roman" w:hAnsi="Times New Roman"/>
          <w:color w:val="auto"/>
          <w:sz w:val="24"/>
          <w:highlight w:val="none"/>
        </w:rPr>
        <w:t>//zfcg.gxzf.gov.cn/（广西壮族自治区政府采购网）、http</w:t>
      </w:r>
      <w:r>
        <w:rPr>
          <w:rFonts w:hint="eastAsia" w:ascii="Times New Roman" w:hAnsi="Times New Roman"/>
          <w:color w:val="auto"/>
          <w:sz w:val="24"/>
          <w:highlight w:val="none"/>
        </w:rPr>
        <w:t>：</w:t>
      </w:r>
      <w:r>
        <w:rPr>
          <w:rFonts w:ascii="Times New Roman" w:hAnsi="Times New Roman"/>
          <w:color w:val="auto"/>
          <w:sz w:val="24"/>
          <w:highlight w:val="none"/>
        </w:rPr>
        <w:t>//zfcg.czj.gxgg.gov.cn（贵港市政府采购网）、http</w:t>
      </w:r>
      <w:r>
        <w:rPr>
          <w:rFonts w:hint="eastAsia" w:ascii="Times New Roman" w:hAnsi="Times New Roman"/>
          <w:color w:val="auto"/>
          <w:sz w:val="24"/>
          <w:highlight w:val="none"/>
        </w:rPr>
        <w:t>：</w:t>
      </w:r>
      <w:r>
        <w:rPr>
          <w:rFonts w:ascii="Times New Roman" w:hAnsi="Times New Roman"/>
          <w:color w:val="auto"/>
          <w:sz w:val="24"/>
          <w:highlight w:val="none"/>
        </w:rPr>
        <w:t>//ggggjy.gxgg.gov.cn</w:t>
      </w:r>
      <w:r>
        <w:rPr>
          <w:rFonts w:hint="eastAsia" w:ascii="Times New Roman" w:hAnsi="Times New Roman"/>
          <w:color w:val="auto"/>
          <w:sz w:val="24"/>
          <w:highlight w:val="none"/>
        </w:rPr>
        <w:t>：</w:t>
      </w:r>
      <w:r>
        <w:rPr>
          <w:rFonts w:ascii="Times New Roman" w:hAnsi="Times New Roman"/>
          <w:color w:val="auto"/>
          <w:sz w:val="24"/>
          <w:highlight w:val="none"/>
        </w:rPr>
        <w:t>9005/ (贵港市公共资源交易中心网）、http</w:t>
      </w:r>
      <w:r>
        <w:rPr>
          <w:rFonts w:hint="eastAsia" w:ascii="Times New Roman" w:hAnsi="Times New Roman"/>
          <w:color w:val="auto"/>
          <w:sz w:val="24"/>
          <w:highlight w:val="none"/>
        </w:rPr>
        <w:t>：</w:t>
      </w:r>
      <w:r>
        <w:rPr>
          <w:rFonts w:ascii="Times New Roman" w:hAnsi="Times New Roman"/>
          <w:color w:val="auto"/>
          <w:sz w:val="24"/>
          <w:highlight w:val="none"/>
        </w:rPr>
        <w:t>//ggzy.jgswj.gxzf.gov.cn/ggggzy/（全国公共资源交易平台（广西·贵港））。</w:t>
      </w:r>
    </w:p>
    <w:p w14:paraId="036D1388">
      <w:pPr>
        <w:spacing w:line="360" w:lineRule="auto"/>
        <w:ind w:firstLine="241" w:firstLineChars="100"/>
        <w:rPr>
          <w:rFonts w:ascii="Times New Roman" w:hAnsi="Times New Roman"/>
          <w:b/>
          <w:bCs/>
          <w:color w:val="auto"/>
          <w:sz w:val="24"/>
          <w:highlight w:val="none"/>
        </w:rPr>
      </w:pPr>
      <w:r>
        <w:rPr>
          <w:rFonts w:ascii="Times New Roman" w:hAnsi="Times New Roman"/>
          <w:b/>
          <w:bCs/>
          <w:color w:val="auto"/>
          <w:sz w:val="24"/>
          <w:highlight w:val="none"/>
        </w:rPr>
        <w:t>（</w:t>
      </w:r>
      <w:r>
        <w:rPr>
          <w:rFonts w:hint="eastAsia" w:ascii="Times New Roman" w:hAnsi="Times New Roman"/>
          <w:b/>
          <w:bCs/>
          <w:color w:val="auto"/>
          <w:sz w:val="24"/>
          <w:highlight w:val="none"/>
        </w:rPr>
        <w:t>四</w:t>
      </w:r>
      <w:r>
        <w:rPr>
          <w:rFonts w:ascii="Times New Roman" w:hAnsi="Times New Roman"/>
          <w:b/>
          <w:bCs/>
          <w:color w:val="auto"/>
          <w:sz w:val="24"/>
          <w:highlight w:val="none"/>
        </w:rPr>
        <w:t>）在线投标响应（电子投标）说明</w:t>
      </w:r>
    </w:p>
    <w:p w14:paraId="337E9441">
      <w:pPr>
        <w:pStyle w:val="17"/>
        <w:spacing w:before="0" w:beforeAutospacing="0" w:after="0" w:afterAutospacing="0" w:line="360" w:lineRule="auto"/>
        <w:ind w:firstLine="480" w:firstLineChars="200"/>
        <w:rPr>
          <w:rFonts w:hint="eastAsia"/>
          <w:color w:val="auto"/>
          <w:highlight w:val="none"/>
        </w:rPr>
      </w:pPr>
      <w:r>
        <w:rPr>
          <w:rFonts w:ascii="Times New Roman" w:hAnsi="Times New Roman"/>
          <w:color w:val="auto"/>
          <w:kern w:val="2"/>
          <w:highlight w:val="none"/>
        </w:rPr>
        <w:t>（1）投标文件提交方式：本项目为全流程电子化项目，通过广西政府采购云平台（https://www.gcy.zfcg.gxzf.gov.cn/）实行在线电子投标，供应商应先安装“广西政府采购云平台电子交易客户端”（客户端下载路径：广西政府采购网（访问地址 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r>
        <w:rPr>
          <w:rFonts w:hint="eastAsia" w:ascii="Times New Roman" w:hAnsi="Times New Roman"/>
          <w:color w:val="auto"/>
          <w:kern w:val="2"/>
          <w:highlight w:val="none"/>
        </w:rPr>
        <w:br w:type="textWrapping"/>
      </w:r>
      <w:r>
        <w:rPr>
          <w:rFonts w:hint="eastAsia" w:ascii="Times New Roman" w:hAnsi="Times New Roman"/>
          <w:color w:val="auto"/>
          <w:kern w:val="2"/>
          <w:highlight w:val="none"/>
        </w:rPr>
        <w:t xml:space="preserve">   （2）未进行网上注册并办理数字证书（CA认证）的供应商将无法参与本项目政府采购活动，潜在投标人应当在投标截止时间前，完成电子交易平台上的CA数字证书办理及投标文件的提交。</w:t>
      </w:r>
      <w:r>
        <w:rPr>
          <w:rFonts w:hint="eastAsia" w:ascii="Times New Roman" w:hAnsi="Times New Roman"/>
          <w:color w:val="auto"/>
          <w:kern w:val="2"/>
          <w:highlight w:val="none"/>
        </w:rPr>
        <w:br w:type="textWrapping"/>
      </w:r>
      <w:r>
        <w:rPr>
          <w:rFonts w:hint="eastAsia" w:ascii="Times New Roman" w:hAnsi="Times New Roman"/>
          <w:color w:val="auto"/>
          <w:kern w:val="2"/>
          <w:highlight w:val="none"/>
        </w:rPr>
        <w:t xml:space="preserve">   （3）为确保网上操作合法、有效和安全，请投标人确保在电子投标过程中能够对相关数据电文进行加密和使用电子签章，妥善保管CA数字证书并使用有效的CA数字证书参与整个招标活动。</w:t>
      </w:r>
      <w:r>
        <w:rPr>
          <w:rFonts w:hint="eastAsia" w:ascii="Times New Roman" w:hAnsi="Times New Roman"/>
          <w:color w:val="auto"/>
          <w:kern w:val="2"/>
          <w:highlight w:val="none"/>
        </w:rPr>
        <w:br w:type="textWrapping"/>
      </w:r>
      <w:r>
        <w:rPr>
          <w:rFonts w:hint="eastAsia" w:ascii="Times New Roman" w:hAnsi="Times New Roman"/>
          <w:color w:val="auto"/>
          <w:kern w:val="2"/>
          <w:highlight w:val="none"/>
        </w:rPr>
        <w:t xml:space="preserve">   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Times New Roman" w:hAnsi="Times New Roman"/>
          <w:color w:val="auto"/>
          <w:kern w:val="2"/>
          <w:highlight w:val="none"/>
        </w:rPr>
        <w:br w:type="textWrapping"/>
      </w:r>
      <w:r>
        <w:rPr>
          <w:rFonts w:hint="eastAsia" w:ascii="Times New Roman" w:hAnsi="Times New Roman"/>
          <w:color w:val="auto"/>
          <w:kern w:val="2"/>
          <w:highlight w:val="none"/>
        </w:rPr>
        <w:t xml:space="preserve">    （4）CA证书在线解密：投标人投标时，需携带制作投标文件时用来加密的有效数字证书（CA认证）登录广西政府采购云平台电子开标大厅现场按规定时间对加密的投标文件进行解密。</w:t>
      </w:r>
      <w:r>
        <w:rPr>
          <w:rFonts w:hint="eastAsia" w:ascii="Times New Roman" w:hAnsi="Times New Roman"/>
          <w:color w:val="auto"/>
          <w:kern w:val="2"/>
          <w:highlight w:val="none"/>
        </w:rPr>
        <w:br w:type="textWrapping"/>
      </w:r>
      <w:r>
        <w:rPr>
          <w:rFonts w:hint="eastAsia" w:ascii="Times New Roman" w:hAnsi="Times New Roman"/>
          <w:color w:val="auto"/>
          <w:kern w:val="2"/>
          <w:highlight w:val="none"/>
        </w:rPr>
        <w:t xml:space="preserve">    （5）若对项目采购电子交易系统操作有疑问，可登录广西政府采购云平台（https://www.gcy.zfcg.gxzf.gov.cn/），点击右侧咨询小采，获取采小蜜智能服务管家帮助，或拨打广西政府采购云平台服务热线95763获取热线服务帮助。</w:t>
      </w:r>
    </w:p>
    <w:p w14:paraId="1F971E75">
      <w:pPr>
        <w:spacing w:line="360" w:lineRule="auto"/>
        <w:ind w:firstLine="482" w:firstLineChars="200"/>
        <w:rPr>
          <w:rFonts w:ascii="Times New Roman" w:hAnsi="Times New Roman"/>
          <w:color w:val="auto"/>
          <w:sz w:val="24"/>
          <w:highlight w:val="none"/>
        </w:rPr>
      </w:pPr>
      <w:r>
        <w:rPr>
          <w:rFonts w:ascii="Times New Roman" w:hAnsi="Times New Roman"/>
          <w:b/>
          <w:bCs/>
          <w:color w:val="auto"/>
          <w:sz w:val="24"/>
          <w:highlight w:val="none"/>
        </w:rPr>
        <w:t>(</w:t>
      </w:r>
      <w:r>
        <w:rPr>
          <w:rFonts w:hint="eastAsia" w:ascii="Times New Roman" w:hAnsi="Times New Roman"/>
          <w:b/>
          <w:bCs/>
          <w:color w:val="auto"/>
          <w:sz w:val="24"/>
          <w:highlight w:val="none"/>
        </w:rPr>
        <w:t>五</w:t>
      </w:r>
      <w:r>
        <w:rPr>
          <w:rFonts w:ascii="Times New Roman" w:hAnsi="Times New Roman"/>
          <w:b/>
          <w:bCs/>
          <w:color w:val="auto"/>
          <w:sz w:val="24"/>
          <w:highlight w:val="none"/>
        </w:rPr>
        <w:t>)、</w:t>
      </w:r>
      <w:r>
        <w:rPr>
          <w:rFonts w:ascii="Times New Roman" w:hAnsi="Times New Roman"/>
          <w:color w:val="auto"/>
          <w:sz w:val="24"/>
          <w:highlight w:val="none"/>
        </w:rPr>
        <w:t>政府采购监督部门</w:t>
      </w:r>
      <w:r>
        <w:rPr>
          <w:rFonts w:hint="eastAsia" w:ascii="Times New Roman" w:hAnsi="Times New Roman"/>
          <w:color w:val="auto"/>
          <w:sz w:val="24"/>
          <w:highlight w:val="none"/>
        </w:rPr>
        <w:t>：</w:t>
      </w:r>
      <w:r>
        <w:rPr>
          <w:rFonts w:ascii="Times New Roman" w:hAnsi="Times New Roman"/>
          <w:color w:val="auto"/>
          <w:sz w:val="24"/>
          <w:highlight w:val="none"/>
        </w:rPr>
        <w:t>桂平市政府采购监督管理股 0775-3380263</w:t>
      </w:r>
    </w:p>
    <w:p w14:paraId="70106A32">
      <w:pPr>
        <w:pStyle w:val="17"/>
        <w:spacing w:before="255" w:beforeAutospacing="0" w:after="255" w:afterAutospacing="0" w:line="400" w:lineRule="exact"/>
        <w:jc w:val="both"/>
        <w:rPr>
          <w:rFonts w:ascii="Times New Roman" w:hAnsi="Times New Roman"/>
          <w:color w:val="auto"/>
          <w:highlight w:val="none"/>
        </w:rPr>
      </w:pPr>
      <w:r>
        <w:rPr>
          <w:rStyle w:val="21"/>
          <w:rFonts w:ascii="Times New Roman" w:hAnsi="Times New Roman"/>
          <w:color w:val="auto"/>
          <w:highlight w:val="none"/>
        </w:rPr>
        <w:t>七、对本次采购提出询问，请按以下方式联系</w:t>
      </w:r>
    </w:p>
    <w:p w14:paraId="5F896410">
      <w:pPr>
        <w:pStyle w:val="17"/>
        <w:spacing w:before="75" w:beforeAutospacing="0" w:after="75" w:afterAutospacing="0" w:line="300" w:lineRule="atLeast"/>
        <w:rPr>
          <w:rFonts w:ascii="Times New Roman" w:hAnsi="Times New Roman"/>
          <w:color w:val="auto"/>
          <w:highlight w:val="none"/>
        </w:rPr>
      </w:pPr>
      <w:r>
        <w:rPr>
          <w:rFonts w:ascii="Times New Roman" w:hAnsi="Times New Roman"/>
          <w:color w:val="auto"/>
          <w:highlight w:val="none"/>
        </w:rPr>
        <w:t>   1.招标人信息</w:t>
      </w:r>
    </w:p>
    <w:p w14:paraId="1E376968">
      <w:pPr>
        <w:pStyle w:val="17"/>
        <w:spacing w:before="75" w:beforeAutospacing="0" w:after="75" w:afterAutospacing="0" w:line="300" w:lineRule="atLeast"/>
        <w:rPr>
          <w:rFonts w:ascii="Times New Roman" w:hAnsi="Times New Roman"/>
          <w:color w:val="auto"/>
          <w:highlight w:val="none"/>
        </w:rPr>
      </w:pPr>
      <w:r>
        <w:rPr>
          <w:rFonts w:ascii="Times New Roman" w:hAnsi="Times New Roman"/>
          <w:color w:val="auto"/>
          <w:highlight w:val="none"/>
        </w:rPr>
        <w:t>   名    称：</w:t>
      </w:r>
      <w:r>
        <w:rPr>
          <w:rFonts w:hint="eastAsia" w:ascii="Times New Roman" w:hAnsi="Times New Roman"/>
          <w:color w:val="auto"/>
          <w:highlight w:val="none"/>
        </w:rPr>
        <w:t xml:space="preserve">桂平市城市管理监督局 </w:t>
      </w:r>
    </w:p>
    <w:p w14:paraId="0B03E767">
      <w:pPr>
        <w:pStyle w:val="17"/>
        <w:spacing w:before="75" w:beforeAutospacing="0" w:after="75" w:afterAutospacing="0" w:line="300" w:lineRule="atLeast"/>
        <w:rPr>
          <w:rFonts w:ascii="Times New Roman" w:hAnsi="Times New Roman"/>
          <w:color w:val="auto"/>
          <w:highlight w:val="none"/>
        </w:rPr>
      </w:pPr>
      <w:r>
        <w:rPr>
          <w:rFonts w:ascii="Times New Roman" w:hAnsi="Times New Roman"/>
          <w:color w:val="auto"/>
          <w:highlight w:val="none"/>
        </w:rPr>
        <w:t>   地    址：</w:t>
      </w:r>
      <w:r>
        <w:rPr>
          <w:rFonts w:hint="eastAsia" w:ascii="Times New Roman" w:hAnsi="Times New Roman"/>
          <w:color w:val="auto"/>
          <w:highlight w:val="none"/>
        </w:rPr>
        <w:t>桂平市人民东路118号</w:t>
      </w:r>
    </w:p>
    <w:p w14:paraId="62B71172">
      <w:pPr>
        <w:pStyle w:val="17"/>
        <w:spacing w:before="75" w:beforeAutospacing="0" w:after="75" w:afterAutospacing="0" w:line="300" w:lineRule="atLeast"/>
        <w:rPr>
          <w:rFonts w:ascii="Times New Roman" w:hAnsi="Times New Roman"/>
          <w:color w:val="auto"/>
          <w:highlight w:val="none"/>
        </w:rPr>
      </w:pPr>
      <w:r>
        <w:rPr>
          <w:rFonts w:hint="eastAsia" w:ascii="Times New Roman" w:hAnsi="Times New Roman"/>
          <w:color w:val="auto"/>
          <w:highlight w:val="none"/>
        </w:rPr>
        <w:t>   项目联系人：陈工</w:t>
      </w:r>
    </w:p>
    <w:p w14:paraId="07954FA5">
      <w:pPr>
        <w:pStyle w:val="17"/>
        <w:spacing w:before="75" w:beforeAutospacing="0" w:after="75" w:afterAutospacing="0" w:line="300" w:lineRule="atLeast"/>
        <w:rPr>
          <w:rFonts w:ascii="Times New Roman" w:hAnsi="Times New Roman"/>
          <w:color w:val="auto"/>
          <w:highlight w:val="none"/>
        </w:rPr>
      </w:pPr>
      <w:r>
        <w:rPr>
          <w:rFonts w:hint="eastAsia" w:ascii="Times New Roman" w:hAnsi="Times New Roman"/>
          <w:color w:val="auto"/>
          <w:highlight w:val="none"/>
        </w:rPr>
        <w:t>   项目联系方式：0775-3380615</w:t>
      </w:r>
    </w:p>
    <w:p w14:paraId="34A40E7B">
      <w:pPr>
        <w:pStyle w:val="17"/>
        <w:spacing w:before="75" w:beforeAutospacing="0" w:after="75" w:afterAutospacing="0" w:line="300" w:lineRule="atLeast"/>
        <w:rPr>
          <w:rFonts w:ascii="Times New Roman" w:hAnsi="Times New Roman"/>
          <w:color w:val="auto"/>
          <w:highlight w:val="none"/>
        </w:rPr>
      </w:pPr>
      <w:r>
        <w:rPr>
          <w:rFonts w:hint="eastAsia" w:ascii="Times New Roman" w:hAnsi="Times New Roman"/>
          <w:color w:val="auto"/>
          <w:highlight w:val="none"/>
        </w:rPr>
        <w:t xml:space="preserve">  </w:t>
      </w:r>
    </w:p>
    <w:p w14:paraId="6C153A18">
      <w:pPr>
        <w:pStyle w:val="17"/>
        <w:spacing w:before="75" w:beforeAutospacing="0" w:after="75" w:afterAutospacing="0" w:line="300" w:lineRule="atLeast"/>
        <w:rPr>
          <w:rFonts w:ascii="Times New Roman" w:hAnsi="Times New Roman"/>
          <w:color w:val="auto"/>
          <w:highlight w:val="none"/>
        </w:rPr>
      </w:pPr>
      <w:r>
        <w:rPr>
          <w:rFonts w:ascii="Times New Roman" w:hAnsi="Times New Roman"/>
          <w:color w:val="auto"/>
          <w:highlight w:val="none"/>
        </w:rPr>
        <w:t> 2.采购代理机构信息</w:t>
      </w:r>
    </w:p>
    <w:p w14:paraId="2BFB4FC7">
      <w:pPr>
        <w:pStyle w:val="17"/>
        <w:spacing w:before="75" w:beforeAutospacing="0" w:after="75" w:afterAutospacing="0" w:line="300" w:lineRule="atLeast"/>
        <w:rPr>
          <w:rFonts w:ascii="Times New Roman" w:hAnsi="Times New Roman"/>
          <w:color w:val="auto"/>
          <w:highlight w:val="none"/>
        </w:rPr>
      </w:pPr>
      <w:bookmarkStart w:id="14" w:name="_Toc293863301"/>
      <w:bookmarkStart w:id="15" w:name="_Toc482865302"/>
      <w:bookmarkStart w:id="16" w:name="_Toc482865132"/>
      <w:bookmarkStart w:id="17" w:name="_Toc483327791"/>
      <w:r>
        <w:rPr>
          <w:rFonts w:ascii="Times New Roman" w:hAnsi="Times New Roman"/>
          <w:color w:val="auto"/>
          <w:highlight w:val="none"/>
        </w:rPr>
        <w:t>名    称：</w:t>
      </w:r>
      <w:r>
        <w:rPr>
          <w:rFonts w:hint="eastAsia" w:ascii="Times New Roman" w:hAnsi="Times New Roman"/>
          <w:color w:val="auto"/>
          <w:highlight w:val="none"/>
        </w:rPr>
        <w:t>广西创佳项目管理有限公司</w:t>
      </w:r>
      <w:r>
        <w:rPr>
          <w:rFonts w:ascii="Times New Roman" w:hAnsi="Times New Roman"/>
          <w:color w:val="auto"/>
          <w:highlight w:val="none"/>
        </w:rPr>
        <w:t>　</w:t>
      </w:r>
    </w:p>
    <w:p w14:paraId="41746628">
      <w:pPr>
        <w:pStyle w:val="17"/>
        <w:spacing w:before="75" w:beforeAutospacing="0" w:after="75" w:afterAutospacing="0" w:line="300" w:lineRule="atLeast"/>
        <w:rPr>
          <w:rFonts w:ascii="Times New Roman" w:hAnsi="Times New Roman"/>
          <w:color w:val="auto"/>
          <w:highlight w:val="none"/>
        </w:rPr>
      </w:pPr>
      <w:r>
        <w:rPr>
          <w:rFonts w:ascii="Times New Roman" w:hAnsi="Times New Roman"/>
          <w:color w:val="auto"/>
          <w:highlight w:val="none"/>
        </w:rPr>
        <w:t>地　　址：</w:t>
      </w:r>
      <w:r>
        <w:rPr>
          <w:rFonts w:hint="eastAsia" w:ascii="Times New Roman" w:hAnsi="Times New Roman"/>
          <w:color w:val="auto"/>
          <w:highlight w:val="none"/>
        </w:rPr>
        <w:t>桂平市政务服务中心后面</w:t>
      </w:r>
    </w:p>
    <w:p w14:paraId="7F025835">
      <w:pPr>
        <w:pStyle w:val="17"/>
        <w:spacing w:before="75" w:beforeAutospacing="0" w:after="75" w:afterAutospacing="0" w:line="300" w:lineRule="atLeast"/>
        <w:rPr>
          <w:rFonts w:ascii="Times New Roman" w:hAnsi="Times New Roman"/>
          <w:color w:val="auto"/>
          <w:highlight w:val="none"/>
        </w:rPr>
      </w:pPr>
      <w:r>
        <w:rPr>
          <w:rFonts w:ascii="Times New Roman" w:hAnsi="Times New Roman"/>
          <w:color w:val="auto"/>
          <w:highlight w:val="none"/>
        </w:rPr>
        <w:t>项目联系人：</w:t>
      </w:r>
      <w:r>
        <w:rPr>
          <w:rFonts w:hint="eastAsia" w:ascii="Times New Roman" w:hAnsi="Times New Roman"/>
          <w:color w:val="auto"/>
          <w:highlight w:val="none"/>
        </w:rPr>
        <w:t>覃骞稼、唐维平</w:t>
      </w:r>
      <w:r>
        <w:rPr>
          <w:rFonts w:ascii="Times New Roman" w:hAnsi="Times New Roman"/>
          <w:color w:val="auto"/>
          <w:highlight w:val="none"/>
        </w:rPr>
        <w:t>　</w:t>
      </w:r>
      <w:r>
        <w:rPr>
          <w:rFonts w:hint="eastAsia" w:ascii="Times New Roman" w:hAnsi="Times New Roman"/>
          <w:color w:val="auto"/>
          <w:highlight w:val="none"/>
        </w:rPr>
        <w:t xml:space="preserve">    </w:t>
      </w:r>
    </w:p>
    <w:p w14:paraId="76A7FCBC">
      <w:pPr>
        <w:pStyle w:val="17"/>
        <w:spacing w:before="75" w:beforeAutospacing="0" w:after="75" w:afterAutospacing="0" w:line="300" w:lineRule="atLeast"/>
        <w:rPr>
          <w:rFonts w:ascii="Times New Roman" w:hAnsi="Times New Roman"/>
          <w:color w:val="auto"/>
          <w:highlight w:val="none"/>
        </w:rPr>
      </w:pPr>
      <w:r>
        <w:rPr>
          <w:rFonts w:ascii="Times New Roman" w:hAnsi="Times New Roman"/>
          <w:color w:val="auto"/>
          <w:highlight w:val="none"/>
        </w:rPr>
        <w:t>项目联系方式：</w:t>
      </w:r>
      <w:r>
        <w:rPr>
          <w:rFonts w:hint="eastAsia" w:ascii="Times New Roman" w:hAnsi="Times New Roman"/>
          <w:color w:val="auto"/>
          <w:highlight w:val="none"/>
        </w:rPr>
        <w:t>0775-3360111</w:t>
      </w:r>
    </w:p>
    <w:p w14:paraId="43898613">
      <w:pPr>
        <w:ind w:firstLine="210" w:firstLineChars="100"/>
        <w:rPr>
          <w:color w:val="auto"/>
          <w:highlight w:val="none"/>
        </w:rPr>
      </w:pPr>
    </w:p>
    <w:p w14:paraId="17CCD48E">
      <w:pPr>
        <w:jc w:val="center"/>
        <w:rPr>
          <w:rStyle w:val="26"/>
          <w:color w:val="auto"/>
          <w:highlight w:val="none"/>
        </w:rPr>
      </w:pPr>
    </w:p>
    <w:p w14:paraId="014368C8">
      <w:pPr>
        <w:jc w:val="center"/>
        <w:rPr>
          <w:rStyle w:val="26"/>
          <w:color w:val="auto"/>
          <w:highlight w:val="none"/>
        </w:rPr>
      </w:pPr>
    </w:p>
    <w:p w14:paraId="75A3B327">
      <w:pPr>
        <w:jc w:val="center"/>
        <w:rPr>
          <w:rStyle w:val="26"/>
          <w:color w:val="auto"/>
          <w:highlight w:val="none"/>
        </w:rPr>
      </w:pPr>
    </w:p>
    <w:p w14:paraId="4927E787">
      <w:pPr>
        <w:jc w:val="center"/>
        <w:rPr>
          <w:rStyle w:val="26"/>
          <w:color w:val="auto"/>
          <w:highlight w:val="none"/>
        </w:rPr>
      </w:pPr>
    </w:p>
    <w:p w14:paraId="7DF1197E">
      <w:pPr>
        <w:jc w:val="center"/>
        <w:rPr>
          <w:rStyle w:val="26"/>
          <w:color w:val="auto"/>
          <w:highlight w:val="none"/>
        </w:rPr>
      </w:pPr>
    </w:p>
    <w:p w14:paraId="3CB8025A">
      <w:pPr>
        <w:rPr>
          <w:rStyle w:val="26"/>
          <w:color w:val="auto"/>
          <w:highlight w:val="none"/>
        </w:rPr>
      </w:pPr>
      <w:bookmarkStart w:id="18" w:name="_Toc27723"/>
    </w:p>
    <w:p w14:paraId="01DA8535">
      <w:pPr>
        <w:jc w:val="center"/>
        <w:rPr>
          <w:color w:val="auto"/>
          <w:highlight w:val="none"/>
        </w:rPr>
      </w:pPr>
      <w:bookmarkStart w:id="19" w:name="_Toc22390"/>
      <w:r>
        <w:rPr>
          <w:rStyle w:val="26"/>
          <w:color w:val="auto"/>
          <w:highlight w:val="none"/>
        </w:rPr>
        <w:t>第二章  投标人须知</w:t>
      </w:r>
      <w:bookmarkEnd w:id="14"/>
      <w:bookmarkEnd w:id="15"/>
      <w:bookmarkEnd w:id="16"/>
      <w:bookmarkEnd w:id="17"/>
      <w:r>
        <w:rPr>
          <w:rStyle w:val="26"/>
          <w:color w:val="auto"/>
          <w:highlight w:val="none"/>
        </w:rPr>
        <w:t>及前附表</w:t>
      </w:r>
      <w:bookmarkEnd w:id="18"/>
      <w:bookmarkEnd w:id="19"/>
    </w:p>
    <w:p w14:paraId="13530599">
      <w:pPr>
        <w:jc w:val="center"/>
        <w:rPr>
          <w:color w:val="auto"/>
          <w:sz w:val="28"/>
          <w:szCs w:val="28"/>
          <w:highlight w:val="none"/>
        </w:rPr>
      </w:pPr>
      <w:bookmarkStart w:id="20" w:name="_Toc448421123"/>
      <w:bookmarkStart w:id="21" w:name="_Toc400465695"/>
      <w:bookmarkStart w:id="22" w:name="_Toc482865303"/>
      <w:bookmarkStart w:id="23" w:name="_Toc482864532"/>
      <w:bookmarkStart w:id="24" w:name="_Toc482865133"/>
      <w:bookmarkStart w:id="25" w:name="_Toc445223662"/>
      <w:bookmarkStart w:id="26" w:name="_Toc293863035"/>
      <w:bookmarkStart w:id="27" w:name="_Toc254970526"/>
      <w:bookmarkStart w:id="28" w:name="_Toc293863302"/>
      <w:bookmarkStart w:id="29" w:name="_Toc254970667"/>
      <w:bookmarkStart w:id="30" w:name="_Toc308018659"/>
      <w:bookmarkStart w:id="31" w:name="_Toc483327792"/>
      <w:r>
        <w:rPr>
          <w:color w:val="auto"/>
          <w:sz w:val="28"/>
          <w:szCs w:val="28"/>
          <w:highlight w:val="none"/>
        </w:rPr>
        <w:t>前  附  表</w:t>
      </w:r>
      <w:bookmarkEnd w:id="20"/>
      <w:bookmarkEnd w:id="21"/>
      <w:bookmarkEnd w:id="22"/>
      <w:bookmarkEnd w:id="23"/>
      <w:bookmarkEnd w:id="24"/>
      <w:bookmarkEnd w:id="25"/>
      <w:bookmarkEnd w:id="26"/>
      <w:bookmarkEnd w:id="27"/>
      <w:bookmarkEnd w:id="28"/>
      <w:bookmarkEnd w:id="29"/>
      <w:bookmarkEnd w:id="30"/>
      <w:bookmarkEnd w:id="31"/>
    </w:p>
    <w:tbl>
      <w:tblPr>
        <w:tblStyle w:val="19"/>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905"/>
        <w:gridCol w:w="6843"/>
      </w:tblGrid>
      <w:tr w14:paraId="057D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84" w:type="dxa"/>
            <w:vAlign w:val="center"/>
          </w:tcPr>
          <w:p w14:paraId="0C63C20A">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905" w:type="dxa"/>
            <w:vAlign w:val="center"/>
          </w:tcPr>
          <w:p w14:paraId="7AD37A72">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条款名称</w:t>
            </w:r>
          </w:p>
        </w:tc>
        <w:tc>
          <w:tcPr>
            <w:tcW w:w="6843" w:type="dxa"/>
            <w:vAlign w:val="center"/>
          </w:tcPr>
          <w:p w14:paraId="2AFCEF8E">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内容、要求</w:t>
            </w:r>
          </w:p>
        </w:tc>
      </w:tr>
      <w:tr w14:paraId="3192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284" w:type="dxa"/>
            <w:vAlign w:val="center"/>
          </w:tcPr>
          <w:p w14:paraId="5FA8B6F7">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1</w:t>
            </w:r>
          </w:p>
        </w:tc>
        <w:tc>
          <w:tcPr>
            <w:tcW w:w="1905" w:type="dxa"/>
            <w:vAlign w:val="center"/>
          </w:tcPr>
          <w:p w14:paraId="764FEA73">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项目名称及</w:t>
            </w:r>
          </w:p>
          <w:p w14:paraId="10E06F07">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项目编号</w:t>
            </w:r>
          </w:p>
        </w:tc>
        <w:tc>
          <w:tcPr>
            <w:tcW w:w="6843" w:type="dxa"/>
            <w:vAlign w:val="center"/>
          </w:tcPr>
          <w:p w14:paraId="6DB6E708">
            <w:pPr>
              <w:spacing w:line="360" w:lineRule="auto"/>
              <w:rPr>
                <w:rFonts w:hint="eastAsia" w:ascii="Times New Roman" w:hAnsi="Times New Roman" w:eastAsia="宋体"/>
                <w:color w:val="auto"/>
                <w:sz w:val="24"/>
                <w:highlight w:val="none"/>
                <w:lang w:eastAsia="zh-CN"/>
              </w:rPr>
            </w:pPr>
            <w:r>
              <w:rPr>
                <w:rFonts w:ascii="Times New Roman" w:hAnsi="Times New Roman"/>
                <w:color w:val="auto"/>
                <w:sz w:val="24"/>
                <w:highlight w:val="none"/>
              </w:rPr>
              <w:t>项目名称：</w:t>
            </w:r>
            <w:r>
              <w:rPr>
                <w:rFonts w:hint="eastAsia" w:ascii="Times New Roman" w:hAnsi="Times New Roman"/>
                <w:color w:val="auto"/>
                <w:sz w:val="24"/>
                <w:highlight w:val="none"/>
                <w:lang w:eastAsia="zh-CN"/>
              </w:rPr>
              <w:t>桂平市燃气管网生命线及老旧燃气管网更新改造工程项目智慧燃气管理平台服务</w:t>
            </w:r>
          </w:p>
          <w:p w14:paraId="0AF798AB">
            <w:pPr>
              <w:spacing w:line="360" w:lineRule="auto"/>
              <w:rPr>
                <w:rFonts w:hint="eastAsia" w:ascii="Times New Roman" w:hAnsi="Times New Roman" w:eastAsia="宋体"/>
                <w:color w:val="auto"/>
                <w:sz w:val="24"/>
                <w:highlight w:val="none"/>
                <w:lang w:eastAsia="zh-CN"/>
              </w:rPr>
            </w:pPr>
            <w:r>
              <w:rPr>
                <w:rFonts w:ascii="Times New Roman" w:hAnsi="Times New Roman"/>
                <w:color w:val="auto"/>
                <w:sz w:val="24"/>
                <w:highlight w:val="none"/>
              </w:rPr>
              <w:t>项</w:t>
            </w:r>
            <w:r>
              <w:rPr>
                <w:rFonts w:hint="eastAsia" w:ascii="Times New Roman" w:hAnsi="Times New Roman"/>
                <w:color w:val="auto"/>
                <w:sz w:val="24"/>
                <w:highlight w:val="none"/>
              </w:rPr>
              <w:t>目编号：</w:t>
            </w:r>
            <w:r>
              <w:rPr>
                <w:rFonts w:hint="eastAsia" w:ascii="Times New Roman" w:hAnsi="Times New Roman"/>
                <w:color w:val="auto"/>
                <w:sz w:val="24"/>
                <w:highlight w:val="none"/>
                <w:lang w:eastAsia="zh-CN"/>
              </w:rPr>
              <w:t>GGZC2025-G3-810144-GXCJ</w:t>
            </w:r>
          </w:p>
        </w:tc>
      </w:tr>
      <w:tr w14:paraId="0A37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vAlign w:val="center"/>
          </w:tcPr>
          <w:p w14:paraId="6E864609">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2</w:t>
            </w:r>
          </w:p>
        </w:tc>
        <w:tc>
          <w:tcPr>
            <w:tcW w:w="1905" w:type="dxa"/>
            <w:vAlign w:val="center"/>
          </w:tcPr>
          <w:p w14:paraId="0A704B8A">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投标人资格</w:t>
            </w:r>
          </w:p>
        </w:tc>
        <w:tc>
          <w:tcPr>
            <w:tcW w:w="6843" w:type="dxa"/>
            <w:vAlign w:val="center"/>
          </w:tcPr>
          <w:p w14:paraId="3E039B31">
            <w:pPr>
              <w:widowControl/>
              <w:spacing w:line="360" w:lineRule="auto"/>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 xml:space="preserve">1.满足《中华人民共和国政府采购法》第二十二条规定； </w:t>
            </w:r>
          </w:p>
          <w:p w14:paraId="6CF2E173">
            <w:pPr>
              <w:widowControl/>
              <w:spacing w:line="360" w:lineRule="auto"/>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 xml:space="preserve">2.落实政府采购政策需满足的资格要求：无。 </w:t>
            </w:r>
          </w:p>
          <w:p w14:paraId="2B688DDF">
            <w:pPr>
              <w:widowControl/>
              <w:spacing w:line="360" w:lineRule="auto"/>
              <w:rPr>
                <w:rFonts w:hint="eastAsia" w:ascii="Times New Roman" w:hAnsi="Times New Roman" w:eastAsia="宋体"/>
                <w:color w:val="auto"/>
                <w:kern w:val="0"/>
                <w:sz w:val="24"/>
                <w:highlight w:val="none"/>
                <w:lang w:eastAsia="zh-CN" w:bidi="ar"/>
              </w:rPr>
            </w:pPr>
            <w:r>
              <w:rPr>
                <w:rFonts w:ascii="Times New Roman" w:hAnsi="Times New Roman"/>
                <w:color w:val="auto"/>
                <w:kern w:val="0"/>
                <w:sz w:val="24"/>
                <w:highlight w:val="none"/>
                <w:lang w:bidi="ar"/>
              </w:rPr>
              <w:t>3.本项目的特定资格要求：</w:t>
            </w:r>
            <w:r>
              <w:rPr>
                <w:rFonts w:hint="eastAsia" w:ascii="Times New Roman" w:hAnsi="Times New Roman"/>
                <w:color w:val="auto"/>
                <w:kern w:val="0"/>
                <w:sz w:val="24"/>
                <w:highlight w:val="none"/>
                <w:lang w:eastAsia="zh-CN" w:bidi="ar"/>
              </w:rPr>
              <w:t>无</w:t>
            </w:r>
          </w:p>
          <w:p w14:paraId="579E55F6">
            <w:pPr>
              <w:pStyle w:val="13"/>
              <w:spacing w:line="360" w:lineRule="auto"/>
              <w:rPr>
                <w:rFonts w:hint="eastAsia" w:ascii="Times New Roman" w:hAnsi="Times New Roman"/>
                <w:color w:val="auto"/>
                <w:sz w:val="24"/>
                <w:highlight w:val="none"/>
                <w:lang w:bidi="ar"/>
              </w:rPr>
            </w:pPr>
            <w:r>
              <w:rPr>
                <w:rFonts w:hint="eastAsia" w:ascii="Times New Roman" w:hAnsi="Times New Roman"/>
                <w:color w:val="auto"/>
                <w:sz w:val="24"/>
                <w:highlight w:val="none"/>
                <w:lang w:bidi="ar"/>
              </w:rPr>
              <w:t>4.本项目接受联合体投标。</w:t>
            </w:r>
          </w:p>
          <w:p w14:paraId="1893A654">
            <w:pPr>
              <w:pStyle w:val="13"/>
              <w:spacing w:line="360" w:lineRule="auto"/>
              <w:rPr>
                <w:rFonts w:ascii="Times New Roman" w:hAnsi="Times New Roman"/>
                <w:color w:val="auto"/>
                <w:sz w:val="24"/>
                <w:highlight w:val="none"/>
                <w:lang w:bidi="ar"/>
              </w:rPr>
            </w:pPr>
            <w:r>
              <w:rPr>
                <w:rFonts w:hint="eastAsia" w:ascii="Times New Roman" w:hAnsi="Times New Roman" w:eastAsia="宋体"/>
                <w:color w:val="auto"/>
                <w:sz w:val="24"/>
                <w:highlight w:val="none"/>
                <w:lang w:val="en-US" w:eastAsia="zh-CN" w:bidi="ar"/>
              </w:rPr>
              <w:t>5.</w:t>
            </w:r>
            <w:r>
              <w:rPr>
                <w:rFonts w:hint="eastAsia" w:ascii="Times New Roman" w:hAnsi="Times New Roman"/>
                <w:color w:val="auto"/>
                <w:sz w:val="24"/>
                <w:highlight w:val="none"/>
                <w:lang w:bidi="ar"/>
              </w:rPr>
              <w:t>其他要求：</w:t>
            </w:r>
            <w:r>
              <w:rPr>
                <w:rFonts w:hint="eastAsia" w:ascii="Arial" w:hAnsi="Arial" w:cs="Arial"/>
                <w:color w:val="auto"/>
                <w:sz w:val="24"/>
                <w:szCs w:val="24"/>
                <w:highlight w:val="none"/>
              </w:rPr>
              <w:t>无</w:t>
            </w:r>
          </w:p>
          <w:p w14:paraId="5A42C685">
            <w:pPr>
              <w:widowControl/>
              <w:spacing w:line="360" w:lineRule="auto"/>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bidi="ar"/>
              </w:rPr>
              <w:t>1</w:t>
            </w:r>
            <w:r>
              <w:rPr>
                <w:rFonts w:ascii="Times New Roman" w:hAnsi="Times New Roman"/>
                <w:color w:val="auto"/>
                <w:kern w:val="0"/>
                <w:sz w:val="24"/>
                <w:highlight w:val="none"/>
                <w:lang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，不得参与政府采购活动； </w:t>
            </w:r>
          </w:p>
          <w:p w14:paraId="02AC1B92">
            <w:pPr>
              <w:widowControl/>
              <w:spacing w:line="360" w:lineRule="auto"/>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bidi="ar"/>
              </w:rPr>
              <w:t>2</w:t>
            </w:r>
            <w:r>
              <w:rPr>
                <w:rFonts w:ascii="Times New Roman" w:hAnsi="Times New Roman"/>
                <w:color w:val="auto"/>
                <w:kern w:val="0"/>
                <w:sz w:val="24"/>
                <w:highlight w:val="none"/>
                <w:lang w:bidi="ar"/>
              </w:rPr>
              <w:t>）单位负责人为同一人或者存在直接控股、管理关系的不同</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，不得参加同一合同项下的政府采购活动。除单一来源采购项目外，为采购项目提供整体设计、规范编制或者项目管理、监理、检测等服务的</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，不得再参加该采购项目的其他采购活动。</w:t>
            </w:r>
          </w:p>
          <w:p w14:paraId="49235B6F">
            <w:pPr>
              <w:widowControl/>
              <w:spacing w:line="360" w:lineRule="auto"/>
              <w:rPr>
                <w:rFonts w:ascii="Times New Roman" w:hAnsi="Times New Roman"/>
                <w:color w:val="auto"/>
                <w:highlight w:val="none"/>
              </w:rPr>
            </w:pP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bidi="ar"/>
              </w:rPr>
              <w:t>3</w:t>
            </w:r>
            <w:r>
              <w:rPr>
                <w:rFonts w:ascii="Times New Roman" w:hAnsi="Times New Roman"/>
                <w:color w:val="auto"/>
                <w:kern w:val="0"/>
                <w:sz w:val="24"/>
                <w:highlight w:val="none"/>
                <w:lang w:bidi="ar"/>
              </w:rPr>
              <w:t xml:space="preserve">）本项目不接受未完成网上下载文件的投标人参加投标。 </w:t>
            </w:r>
          </w:p>
        </w:tc>
      </w:tr>
      <w:tr w14:paraId="3C12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284" w:type="dxa"/>
            <w:vAlign w:val="center"/>
          </w:tcPr>
          <w:p w14:paraId="1C2C4598">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3</w:t>
            </w:r>
          </w:p>
        </w:tc>
        <w:tc>
          <w:tcPr>
            <w:tcW w:w="1905" w:type="dxa"/>
            <w:vAlign w:val="center"/>
          </w:tcPr>
          <w:p w14:paraId="21BBD59E">
            <w:pPr>
              <w:spacing w:line="360" w:lineRule="auto"/>
              <w:jc w:val="center"/>
              <w:rPr>
                <w:rFonts w:ascii="Times New Roman" w:hAnsi="Times New Roman"/>
                <w:color w:val="auto"/>
                <w:position w:val="-2"/>
                <w:sz w:val="24"/>
                <w:highlight w:val="none"/>
              </w:rPr>
            </w:pPr>
            <w:r>
              <w:rPr>
                <w:rFonts w:ascii="Times New Roman" w:hAnsi="Times New Roman"/>
                <w:color w:val="auto"/>
                <w:sz w:val="24"/>
                <w:highlight w:val="none"/>
              </w:rPr>
              <w:t>投标费用</w:t>
            </w:r>
          </w:p>
        </w:tc>
        <w:tc>
          <w:tcPr>
            <w:tcW w:w="6843" w:type="dxa"/>
            <w:vAlign w:val="center"/>
          </w:tcPr>
          <w:p w14:paraId="1F413F18">
            <w:pPr>
              <w:spacing w:line="360" w:lineRule="auto"/>
              <w:rPr>
                <w:rFonts w:ascii="Times New Roman" w:hAnsi="Times New Roman"/>
                <w:color w:val="auto"/>
                <w:sz w:val="24"/>
                <w:highlight w:val="none"/>
              </w:rPr>
            </w:pPr>
            <w:r>
              <w:rPr>
                <w:rFonts w:hint="eastAsia" w:ascii="Times New Roman" w:hAnsi="Times New Roman"/>
                <w:bCs/>
                <w:color w:val="auto"/>
                <w:sz w:val="24"/>
                <w:highlight w:val="none"/>
              </w:rPr>
              <w:t>投标人</w:t>
            </w:r>
            <w:r>
              <w:rPr>
                <w:rFonts w:ascii="Times New Roman" w:hAnsi="Times New Roman"/>
                <w:bCs/>
                <w:color w:val="auto"/>
                <w:sz w:val="24"/>
                <w:highlight w:val="none"/>
              </w:rPr>
              <w:t>应自行承担所有与编写和提交投标</w:t>
            </w:r>
            <w:r>
              <w:rPr>
                <w:rFonts w:hint="eastAsia" w:ascii="Times New Roman" w:hAnsi="Times New Roman"/>
                <w:bCs/>
                <w:color w:val="auto"/>
                <w:sz w:val="24"/>
                <w:highlight w:val="none"/>
              </w:rPr>
              <w:t>投标文件</w:t>
            </w:r>
            <w:r>
              <w:rPr>
                <w:rFonts w:ascii="Times New Roman" w:hAnsi="Times New Roman"/>
                <w:bCs/>
                <w:color w:val="auto"/>
                <w:sz w:val="24"/>
                <w:highlight w:val="none"/>
              </w:rPr>
              <w:t>有关的费用，</w:t>
            </w:r>
            <w:r>
              <w:rPr>
                <w:rFonts w:ascii="Times New Roman" w:hAnsi="Times New Roman"/>
                <w:color w:val="auto"/>
                <w:sz w:val="24"/>
                <w:highlight w:val="none"/>
              </w:rPr>
              <w:t>不论投标结果如何，投标人均应自行承担所有与投标有关的全部费用。</w:t>
            </w:r>
          </w:p>
        </w:tc>
      </w:tr>
      <w:tr w14:paraId="2381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84" w:type="dxa"/>
            <w:vAlign w:val="center"/>
          </w:tcPr>
          <w:p w14:paraId="45C256B1">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4</w:t>
            </w:r>
          </w:p>
        </w:tc>
        <w:tc>
          <w:tcPr>
            <w:tcW w:w="1905" w:type="dxa"/>
            <w:vAlign w:val="center"/>
          </w:tcPr>
          <w:p w14:paraId="2FCFEFC4">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投标报价及采购</w:t>
            </w:r>
          </w:p>
          <w:p w14:paraId="7AC68A81">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预算金额</w:t>
            </w:r>
          </w:p>
        </w:tc>
        <w:tc>
          <w:tcPr>
            <w:tcW w:w="6843" w:type="dxa"/>
            <w:vAlign w:val="center"/>
          </w:tcPr>
          <w:p w14:paraId="6C359C49">
            <w:pPr>
              <w:spacing w:line="360" w:lineRule="auto"/>
              <w:rPr>
                <w:rFonts w:ascii="Times New Roman" w:hAnsi="Times New Roman"/>
                <w:color w:val="auto"/>
                <w:sz w:val="24"/>
                <w:highlight w:val="none"/>
              </w:rPr>
            </w:pPr>
            <w:r>
              <w:rPr>
                <w:rFonts w:ascii="Times New Roman" w:hAnsi="Times New Roman"/>
                <w:color w:val="auto"/>
                <w:sz w:val="24"/>
                <w:highlight w:val="none"/>
              </w:rPr>
              <w:t>1、投标人必须就“</w:t>
            </w:r>
            <w:r>
              <w:rPr>
                <w:rFonts w:hint="eastAsia" w:ascii="Times New Roman" w:hAnsi="Times New Roman"/>
                <w:color w:val="auto"/>
                <w:sz w:val="24"/>
                <w:highlight w:val="none"/>
              </w:rPr>
              <w:t>项目采购需求</w:t>
            </w:r>
            <w:r>
              <w:rPr>
                <w:rFonts w:ascii="Times New Roman" w:hAnsi="Times New Roman"/>
                <w:color w:val="auto"/>
                <w:sz w:val="24"/>
                <w:highlight w:val="none"/>
              </w:rPr>
              <w:t>”中所有内容作完整唯一报价。</w:t>
            </w:r>
          </w:p>
          <w:p w14:paraId="5D10D1DA">
            <w:pPr>
              <w:spacing w:line="360" w:lineRule="auto"/>
              <w:rPr>
                <w:rFonts w:ascii="Times New Roman" w:hAnsi="Times New Roman"/>
                <w:color w:val="auto"/>
                <w:sz w:val="24"/>
                <w:highlight w:val="none"/>
              </w:rPr>
            </w:pPr>
            <w:r>
              <w:rPr>
                <w:rFonts w:ascii="Times New Roman" w:hAnsi="Times New Roman"/>
                <w:color w:val="auto"/>
                <w:sz w:val="24"/>
                <w:highlight w:val="none"/>
              </w:rPr>
              <w:t>2、本项目政府采购预算总金额（人民币）：</w:t>
            </w:r>
            <w:r>
              <w:rPr>
                <w:rFonts w:hint="eastAsia" w:ascii="Times New Roman" w:hAnsi="Times New Roman"/>
                <w:color w:val="auto"/>
                <w:sz w:val="24"/>
                <w:highlight w:val="none"/>
                <w:lang w:val="en-US" w:eastAsia="zh-CN"/>
              </w:rPr>
              <w:t>贰仟肆佰玖拾肆万零伍佰玖拾贰元伍角捌分</w:t>
            </w:r>
            <w:r>
              <w:rPr>
                <w:rFonts w:ascii="Times New Roman" w:hAnsi="Times New Roman"/>
                <w:color w:val="auto"/>
                <w:sz w:val="24"/>
                <w:highlight w:val="none"/>
              </w:rPr>
              <w:t>（￥</w:t>
            </w:r>
            <w:r>
              <w:rPr>
                <w:rFonts w:hint="eastAsia" w:ascii="Times New Roman" w:hAnsi="Times New Roman"/>
                <w:color w:val="auto"/>
                <w:sz w:val="24"/>
                <w:highlight w:val="none"/>
                <w:lang w:eastAsia="zh-CN"/>
              </w:rPr>
              <w:t>24940592.58</w:t>
            </w:r>
            <w:r>
              <w:rPr>
                <w:rFonts w:ascii="Times New Roman" w:hAnsi="Times New Roman"/>
                <w:color w:val="auto"/>
                <w:sz w:val="24"/>
                <w:highlight w:val="none"/>
              </w:rPr>
              <w:t>元）；</w:t>
            </w:r>
          </w:p>
          <w:p w14:paraId="6506A19A">
            <w:pPr>
              <w:spacing w:line="360" w:lineRule="auto"/>
              <w:rPr>
                <w:rFonts w:ascii="Times New Roman" w:hAnsi="Times New Roman"/>
                <w:color w:val="auto"/>
                <w:sz w:val="24"/>
                <w:highlight w:val="none"/>
              </w:rPr>
            </w:pPr>
            <w:r>
              <w:rPr>
                <w:rFonts w:ascii="Times New Roman" w:hAnsi="Times New Roman"/>
                <w:color w:val="auto"/>
                <w:sz w:val="24"/>
                <w:highlight w:val="none"/>
              </w:rPr>
              <w:t>超出政府采购预算总金额的将被视为无效投标。</w:t>
            </w:r>
          </w:p>
        </w:tc>
      </w:tr>
      <w:tr w14:paraId="51D4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84" w:type="dxa"/>
            <w:vAlign w:val="center"/>
          </w:tcPr>
          <w:p w14:paraId="2159E73C">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5</w:t>
            </w:r>
          </w:p>
        </w:tc>
        <w:tc>
          <w:tcPr>
            <w:tcW w:w="1905" w:type="dxa"/>
            <w:vAlign w:val="center"/>
          </w:tcPr>
          <w:p w14:paraId="064EA59D">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投标有效期</w:t>
            </w:r>
          </w:p>
        </w:tc>
        <w:tc>
          <w:tcPr>
            <w:tcW w:w="6843" w:type="dxa"/>
            <w:vAlign w:val="center"/>
          </w:tcPr>
          <w:p w14:paraId="41EA6832">
            <w:pPr>
              <w:spacing w:line="360" w:lineRule="auto"/>
              <w:rPr>
                <w:rFonts w:ascii="Times New Roman" w:hAnsi="Times New Roman"/>
                <w:color w:val="auto"/>
                <w:sz w:val="24"/>
                <w:highlight w:val="none"/>
              </w:rPr>
            </w:pPr>
            <w:r>
              <w:rPr>
                <w:rFonts w:ascii="Times New Roman" w:hAnsi="Times New Roman"/>
                <w:color w:val="auto"/>
                <w:sz w:val="24"/>
                <w:highlight w:val="none"/>
              </w:rPr>
              <w:t>投标截止时间之日起</w:t>
            </w:r>
            <w:r>
              <w:rPr>
                <w:rFonts w:hint="eastAsia" w:ascii="Times New Roman" w:hAnsi="Times New Roman"/>
                <w:color w:val="auto"/>
                <w:sz w:val="24"/>
                <w:highlight w:val="none"/>
                <w:u w:val="single"/>
              </w:rPr>
              <w:t>90</w:t>
            </w:r>
            <w:r>
              <w:rPr>
                <w:rFonts w:ascii="Times New Roman" w:hAnsi="Times New Roman"/>
                <w:color w:val="auto"/>
                <w:sz w:val="24"/>
                <w:highlight w:val="none"/>
              </w:rPr>
              <w:t>天。</w:t>
            </w:r>
          </w:p>
        </w:tc>
      </w:tr>
      <w:tr w14:paraId="3F5E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Align w:val="center"/>
          </w:tcPr>
          <w:p w14:paraId="4E2C2EE0">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6</w:t>
            </w:r>
          </w:p>
        </w:tc>
        <w:tc>
          <w:tcPr>
            <w:tcW w:w="1905" w:type="dxa"/>
            <w:vAlign w:val="center"/>
          </w:tcPr>
          <w:p w14:paraId="5F1C93C9">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投标保证金</w:t>
            </w:r>
          </w:p>
        </w:tc>
        <w:tc>
          <w:tcPr>
            <w:tcW w:w="6843" w:type="dxa"/>
          </w:tcPr>
          <w:p w14:paraId="3C8FC115">
            <w:pPr>
              <w:spacing w:line="360" w:lineRule="auto"/>
              <w:rPr>
                <w:rFonts w:ascii="Times New Roman" w:hAnsi="Times New Roman"/>
                <w:color w:val="auto"/>
                <w:sz w:val="24"/>
                <w:highlight w:val="none"/>
              </w:rPr>
            </w:pPr>
            <w:r>
              <w:rPr>
                <w:rFonts w:ascii="Times New Roman" w:hAnsi="Times New Roman"/>
                <w:color w:val="auto"/>
                <w:sz w:val="24"/>
                <w:highlight w:val="none"/>
              </w:rPr>
              <w:t>投标保证金（人民币）：无。</w:t>
            </w:r>
          </w:p>
        </w:tc>
      </w:tr>
      <w:tr w14:paraId="5CE2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84" w:type="dxa"/>
            <w:vAlign w:val="center"/>
          </w:tcPr>
          <w:p w14:paraId="2E8D44D3">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7</w:t>
            </w:r>
          </w:p>
        </w:tc>
        <w:tc>
          <w:tcPr>
            <w:tcW w:w="1905" w:type="dxa"/>
            <w:vAlign w:val="center"/>
          </w:tcPr>
          <w:p w14:paraId="27A2F048">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投标文件份数</w:t>
            </w:r>
          </w:p>
        </w:tc>
        <w:tc>
          <w:tcPr>
            <w:tcW w:w="6843" w:type="dxa"/>
            <w:vAlign w:val="center"/>
          </w:tcPr>
          <w:p w14:paraId="6985A9C1">
            <w:pPr>
              <w:spacing w:line="400" w:lineRule="exact"/>
              <w:rPr>
                <w:rFonts w:ascii="Times New Roman" w:hAnsi="Times New Roman"/>
                <w:color w:val="auto"/>
                <w:sz w:val="24"/>
                <w:highlight w:val="none"/>
              </w:rPr>
            </w:pPr>
            <w:r>
              <w:rPr>
                <w:rFonts w:ascii="Times New Roman" w:hAnsi="Times New Roman"/>
                <w:color w:val="auto"/>
                <w:sz w:val="24"/>
                <w:highlight w:val="none"/>
              </w:rPr>
              <w:t>投标文件份数：</w:t>
            </w:r>
            <w:r>
              <w:rPr>
                <w:rFonts w:ascii="Times New Roman" w:hAnsi="Times New Roman"/>
                <w:color w:val="auto"/>
                <w:kern w:val="0"/>
                <w:sz w:val="24"/>
                <w:highlight w:val="none"/>
              </w:rPr>
              <w:t>电子版一份。</w:t>
            </w:r>
          </w:p>
        </w:tc>
      </w:tr>
      <w:tr w14:paraId="75BF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1284" w:type="dxa"/>
            <w:vAlign w:val="center"/>
          </w:tcPr>
          <w:p w14:paraId="6D7D7573">
            <w:pPr>
              <w:spacing w:line="360" w:lineRule="auto"/>
              <w:jc w:val="center"/>
              <w:rPr>
                <w:rFonts w:ascii="Times New Roman" w:hAnsi="Times New Roman"/>
                <w:color w:val="auto"/>
                <w:highlight w:val="none"/>
              </w:rPr>
            </w:pPr>
            <w:r>
              <w:rPr>
                <w:rFonts w:ascii="Times New Roman" w:hAnsi="Times New Roman"/>
                <w:color w:val="auto"/>
                <w:highlight w:val="none"/>
              </w:rPr>
              <w:t>8</w:t>
            </w:r>
          </w:p>
          <w:p w14:paraId="3192D899">
            <w:pPr>
              <w:rPr>
                <w:rFonts w:ascii="Times New Roman" w:hAnsi="Times New Roman"/>
                <w:color w:val="auto"/>
                <w:highlight w:val="none"/>
              </w:rPr>
            </w:pPr>
          </w:p>
        </w:tc>
        <w:tc>
          <w:tcPr>
            <w:tcW w:w="1905" w:type="dxa"/>
            <w:vAlign w:val="center"/>
          </w:tcPr>
          <w:p w14:paraId="106424FA">
            <w:pPr>
              <w:spacing w:line="360" w:lineRule="auto"/>
              <w:jc w:val="center"/>
              <w:rPr>
                <w:rFonts w:ascii="Times New Roman" w:hAnsi="Times New Roman"/>
                <w:color w:val="auto"/>
                <w:position w:val="-2"/>
                <w:sz w:val="24"/>
                <w:highlight w:val="none"/>
              </w:rPr>
            </w:pPr>
            <w:r>
              <w:rPr>
                <w:rFonts w:ascii="Times New Roman" w:hAnsi="Times New Roman"/>
                <w:color w:val="auto"/>
                <w:sz w:val="24"/>
                <w:highlight w:val="none"/>
              </w:rPr>
              <w:t>投标文件递交起止时间及投标截止时间</w:t>
            </w:r>
          </w:p>
        </w:tc>
        <w:tc>
          <w:tcPr>
            <w:tcW w:w="6843" w:type="dxa"/>
            <w:vAlign w:val="center"/>
          </w:tcPr>
          <w:p w14:paraId="0C696458">
            <w:pPr>
              <w:spacing w:line="360" w:lineRule="auto"/>
              <w:rPr>
                <w:rFonts w:ascii="Times New Roman" w:hAnsi="Times New Roman"/>
                <w:color w:val="auto"/>
                <w:sz w:val="24"/>
                <w:highlight w:val="none"/>
              </w:rPr>
            </w:pPr>
            <w:r>
              <w:rPr>
                <w:rFonts w:ascii="Times New Roman" w:hAnsi="Times New Roman"/>
                <w:color w:val="auto"/>
                <w:sz w:val="24"/>
                <w:highlight w:val="none"/>
              </w:rPr>
              <w:t>投标截止时间及开标地点：</w:t>
            </w:r>
            <w:r>
              <w:rPr>
                <w:rFonts w:hint="eastAsia" w:ascii="Times New Roman" w:hAnsi="Times New Roman"/>
                <w:color w:val="auto"/>
                <w:sz w:val="24"/>
                <w:highlight w:val="none"/>
              </w:rPr>
              <w:t>2025年</w:t>
            </w:r>
            <w:r>
              <w:rPr>
                <w:rFonts w:hint="eastAsia" w:ascii="Times New Roman" w:hAnsi="Times New Roman"/>
                <w:color w:val="auto"/>
                <w:sz w:val="24"/>
                <w:highlight w:val="none"/>
                <w:lang w:val="en-US" w:eastAsia="zh-CN"/>
              </w:rPr>
              <w:t>8</w:t>
            </w:r>
            <w:r>
              <w:rPr>
                <w:rFonts w:hint="eastAsia" w:ascii="Times New Roman" w:hAnsi="Times New Roman"/>
                <w:color w:val="auto"/>
                <w:sz w:val="24"/>
                <w:highlight w:val="none"/>
              </w:rPr>
              <w:t>月</w:t>
            </w:r>
            <w:r>
              <w:rPr>
                <w:rFonts w:hint="eastAsia" w:ascii="Times New Roman" w:hAnsi="Times New Roman"/>
                <w:color w:val="auto"/>
                <w:sz w:val="24"/>
                <w:highlight w:val="none"/>
                <w:lang w:val="en-US" w:eastAsia="zh-CN"/>
              </w:rPr>
              <w:t>19</w:t>
            </w:r>
            <w:r>
              <w:rPr>
                <w:rFonts w:hint="eastAsia" w:ascii="Times New Roman" w:hAnsi="Times New Roman"/>
                <w:color w:val="auto"/>
                <w:sz w:val="24"/>
                <w:highlight w:val="none"/>
              </w:rPr>
              <w:t>日09:00；</w:t>
            </w:r>
            <w:r>
              <w:rPr>
                <w:rFonts w:ascii="Times New Roman" w:hAnsi="Times New Roman"/>
                <w:color w:val="auto"/>
                <w:sz w:val="24"/>
                <w:highlight w:val="none"/>
              </w:rPr>
              <w:t xml:space="preserve"> </w:t>
            </w:r>
          </w:p>
          <w:p w14:paraId="178D132E">
            <w:pPr>
              <w:spacing w:line="360" w:lineRule="auto"/>
              <w:rPr>
                <w:rFonts w:ascii="Times New Roman" w:hAnsi="Times New Roman"/>
                <w:color w:val="auto"/>
                <w:sz w:val="24"/>
                <w:highlight w:val="none"/>
              </w:rPr>
            </w:pPr>
            <w:r>
              <w:rPr>
                <w:rFonts w:ascii="Times New Roman" w:hAnsi="Times New Roman"/>
                <w:color w:val="auto"/>
                <w:sz w:val="24"/>
                <w:highlight w:val="none"/>
              </w:rPr>
              <w:t>通过</w:t>
            </w:r>
            <w:r>
              <w:rPr>
                <w:rFonts w:hint="eastAsia" w:ascii="Times New Roman" w:hAnsi="Times New Roman"/>
                <w:color w:val="auto"/>
                <w:sz w:val="24"/>
                <w:highlight w:val="none"/>
              </w:rPr>
              <w:t>广西政府采购云平台（https://www.gcy.zfcg.gxzf.gov.cn/）</w:t>
            </w:r>
            <w:r>
              <w:rPr>
                <w:rFonts w:ascii="Times New Roman" w:hAnsi="Times New Roman"/>
                <w:color w:val="auto"/>
                <w:sz w:val="24"/>
                <w:highlight w:val="none"/>
              </w:rPr>
              <w:t>实行在线投标（本项目不要求投标</w:t>
            </w:r>
            <w:r>
              <w:rPr>
                <w:rFonts w:hint="eastAsia" w:ascii="Times New Roman" w:hAnsi="Times New Roman"/>
                <w:color w:val="auto"/>
                <w:sz w:val="24"/>
                <w:highlight w:val="none"/>
              </w:rPr>
              <w:t>投标人</w:t>
            </w:r>
            <w:r>
              <w:rPr>
                <w:rFonts w:ascii="Times New Roman" w:hAnsi="Times New Roman"/>
                <w:color w:val="auto"/>
                <w:sz w:val="24"/>
                <w:highlight w:val="none"/>
              </w:rPr>
              <w:t>到达开标现场，但</w:t>
            </w:r>
            <w:r>
              <w:rPr>
                <w:rFonts w:hint="eastAsia" w:ascii="Times New Roman" w:hAnsi="Times New Roman"/>
                <w:color w:val="auto"/>
                <w:sz w:val="24"/>
                <w:highlight w:val="none"/>
              </w:rPr>
              <w:t>投标人</w:t>
            </w:r>
            <w:r>
              <w:rPr>
                <w:rFonts w:ascii="Times New Roman" w:hAnsi="Times New Roman"/>
                <w:color w:val="auto"/>
                <w:sz w:val="24"/>
                <w:highlight w:val="none"/>
              </w:rPr>
              <w:t>应派法定代表人或委托代理人准时在线出席电子开评标会议，随时关注开评标进度，如在开评标</w:t>
            </w:r>
            <w:r>
              <w:rPr>
                <w:rFonts w:ascii="Times New Roman" w:hAnsi="Times New Roman"/>
                <w:color w:val="auto"/>
                <w:kern w:val="0"/>
                <w:sz w:val="24"/>
                <w:highlight w:val="none"/>
                <w:lang w:bidi="ar"/>
              </w:rPr>
              <w:t>过程中有电子询标，应在规定的时间内对电子询标函进行澄清回复）</w:t>
            </w:r>
            <w:r>
              <w:rPr>
                <w:rFonts w:hint="eastAsia" w:ascii="Times New Roman" w:hAnsi="Times New Roman"/>
                <w:color w:val="auto"/>
                <w:kern w:val="0"/>
                <w:sz w:val="24"/>
                <w:highlight w:val="none"/>
                <w:lang w:bidi="ar"/>
              </w:rPr>
              <w:t>。</w:t>
            </w:r>
          </w:p>
        </w:tc>
      </w:tr>
      <w:tr w14:paraId="0DB8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84" w:type="dxa"/>
            <w:vAlign w:val="center"/>
          </w:tcPr>
          <w:p w14:paraId="289D1E2D">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9</w:t>
            </w:r>
          </w:p>
        </w:tc>
        <w:tc>
          <w:tcPr>
            <w:tcW w:w="1905" w:type="dxa"/>
            <w:vAlign w:val="center"/>
          </w:tcPr>
          <w:p w14:paraId="1F6A473E">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投标文件解密时间</w:t>
            </w:r>
          </w:p>
        </w:tc>
        <w:tc>
          <w:tcPr>
            <w:tcW w:w="6843" w:type="dxa"/>
          </w:tcPr>
          <w:p w14:paraId="5731FD4C">
            <w:pPr>
              <w:widowControl/>
              <w:spacing w:line="460" w:lineRule="exact"/>
              <w:jc w:val="left"/>
              <w:rPr>
                <w:rFonts w:ascii="Times New Roman" w:hAnsi="Times New Roman"/>
                <w:color w:val="auto"/>
                <w:kern w:val="0"/>
                <w:sz w:val="24"/>
                <w:highlight w:val="none"/>
              </w:rPr>
            </w:pPr>
            <w:r>
              <w:rPr>
                <w:rFonts w:ascii="Times New Roman" w:hAnsi="Times New Roman"/>
                <w:color w:val="auto"/>
                <w:kern w:val="0"/>
                <w:sz w:val="24"/>
                <w:highlight w:val="none"/>
              </w:rPr>
              <w:t>开标前准备：</w:t>
            </w:r>
          </w:p>
          <w:p w14:paraId="67FE8C7A">
            <w:pPr>
              <w:widowControl/>
              <w:spacing w:line="460" w:lineRule="exact"/>
              <w:jc w:val="left"/>
              <w:rPr>
                <w:rFonts w:ascii="Times New Roman" w:hAnsi="Times New Roman"/>
                <w:color w:val="auto"/>
                <w:kern w:val="0"/>
                <w:sz w:val="24"/>
                <w:highlight w:val="none"/>
              </w:rPr>
            </w:pPr>
            <w:r>
              <w:rPr>
                <w:rFonts w:ascii="Times New Roman" w:hAnsi="Times New Roman"/>
                <w:color w:val="auto"/>
                <w:kern w:val="0"/>
                <w:sz w:val="24"/>
                <w:highlight w:val="none"/>
              </w:rPr>
              <w:t>1、本项目实行网上开标，采用电子投标文件。</w:t>
            </w:r>
          </w:p>
          <w:p w14:paraId="34D9936C">
            <w:pPr>
              <w:widowControl/>
              <w:spacing w:line="460" w:lineRule="exact"/>
              <w:jc w:val="left"/>
              <w:rPr>
                <w:rFonts w:ascii="Times New Roman" w:hAnsi="Times New Roman"/>
                <w:color w:val="auto"/>
                <w:kern w:val="0"/>
                <w:sz w:val="24"/>
                <w:highlight w:val="none"/>
              </w:rPr>
            </w:pPr>
            <w:r>
              <w:rPr>
                <w:rFonts w:ascii="Times New Roman" w:hAnsi="Times New Roman"/>
                <w:color w:val="auto"/>
                <w:kern w:val="0"/>
                <w:sz w:val="24"/>
                <w:highlight w:val="none"/>
              </w:rPr>
              <w:t>2、各投标人应在截标前应确保成为</w:t>
            </w:r>
            <w:r>
              <w:rPr>
                <w:rFonts w:hint="eastAsia" w:ascii="Times New Roman" w:hAnsi="Times New Roman"/>
                <w:color w:val="auto"/>
                <w:kern w:val="0"/>
                <w:sz w:val="24"/>
                <w:highlight w:val="none"/>
              </w:rPr>
              <w:t>广西政府采购云平台</w:t>
            </w:r>
            <w:r>
              <w:rPr>
                <w:rFonts w:ascii="Times New Roman" w:hAnsi="Times New Roman"/>
                <w:color w:val="auto"/>
                <w:kern w:val="0"/>
                <w:sz w:val="24"/>
                <w:highlight w:val="none"/>
              </w:rPr>
              <w:t>正式注册入库</w:t>
            </w:r>
            <w:r>
              <w:rPr>
                <w:rFonts w:hint="eastAsia" w:ascii="Times New Roman" w:hAnsi="Times New Roman"/>
                <w:color w:val="auto"/>
                <w:kern w:val="0"/>
                <w:sz w:val="24"/>
                <w:highlight w:val="none"/>
              </w:rPr>
              <w:t>投标人</w:t>
            </w:r>
            <w:r>
              <w:rPr>
                <w:rFonts w:ascii="Times New Roman" w:hAnsi="Times New Roman"/>
                <w:color w:val="auto"/>
                <w:kern w:val="0"/>
                <w:sz w:val="24"/>
                <w:highlight w:val="none"/>
              </w:rPr>
              <w:t>，并完成CA数字证书申领。如因未注册入库、未办理CA数字证书等原因造成无法投标或投标失败等后果由投标</w:t>
            </w:r>
            <w:r>
              <w:rPr>
                <w:rFonts w:hint="eastAsia" w:ascii="Times New Roman" w:hAnsi="Times New Roman"/>
                <w:color w:val="auto"/>
                <w:kern w:val="0"/>
                <w:sz w:val="24"/>
                <w:highlight w:val="none"/>
              </w:rPr>
              <w:t>投标人</w:t>
            </w:r>
            <w:r>
              <w:rPr>
                <w:rFonts w:ascii="Times New Roman" w:hAnsi="Times New Roman"/>
                <w:color w:val="auto"/>
                <w:kern w:val="0"/>
                <w:sz w:val="24"/>
                <w:highlight w:val="none"/>
              </w:rPr>
              <w:t>自行承担。</w:t>
            </w:r>
          </w:p>
          <w:p w14:paraId="5858CB45">
            <w:pPr>
              <w:spacing w:line="460" w:lineRule="exact"/>
              <w:jc w:val="left"/>
              <w:rPr>
                <w:rFonts w:ascii="Times New Roman" w:hAnsi="Times New Roman"/>
                <w:color w:val="auto"/>
                <w:kern w:val="0"/>
                <w:sz w:val="24"/>
                <w:highlight w:val="none"/>
              </w:rPr>
            </w:pPr>
            <w:r>
              <w:rPr>
                <w:rFonts w:ascii="Times New Roman" w:hAnsi="Times New Roman"/>
                <w:color w:val="auto"/>
                <w:kern w:val="0"/>
                <w:sz w:val="24"/>
                <w:highlight w:val="none"/>
              </w:rPr>
              <w:t>3、投标人将</w:t>
            </w:r>
            <w:r>
              <w:rPr>
                <w:rFonts w:hint="eastAsia" w:ascii="Times New Roman" w:hAnsi="Times New Roman"/>
                <w:color w:val="auto"/>
                <w:kern w:val="0"/>
                <w:sz w:val="24"/>
                <w:highlight w:val="none"/>
              </w:rPr>
              <w:t>广西政府采购云平台</w:t>
            </w:r>
            <w:r>
              <w:rPr>
                <w:rFonts w:ascii="Times New Roman" w:hAnsi="Times New Roman"/>
                <w:color w:val="auto"/>
                <w:kern w:val="0"/>
                <w:sz w:val="24"/>
                <w:highlight w:val="none"/>
              </w:rPr>
              <w:t>电子交易客户端下载、安装完成后，可通过账号密码或CA登录客户端进行投标文件制作。客户端请至网站下载专区查看，如有问题可拨打</w:t>
            </w:r>
            <w:r>
              <w:rPr>
                <w:rFonts w:hint="eastAsia" w:ascii="Times New Roman" w:hAnsi="Times New Roman"/>
                <w:color w:val="auto"/>
                <w:kern w:val="0"/>
                <w:sz w:val="24"/>
                <w:highlight w:val="none"/>
              </w:rPr>
              <w:t>广西政府采购云平台</w:t>
            </w:r>
            <w:r>
              <w:rPr>
                <w:rFonts w:ascii="Times New Roman" w:hAnsi="Times New Roman"/>
                <w:color w:val="auto"/>
                <w:kern w:val="0"/>
                <w:sz w:val="24"/>
                <w:highlight w:val="none"/>
              </w:rPr>
              <w:t>客户服务热线：</w:t>
            </w:r>
            <w:r>
              <w:rPr>
                <w:rFonts w:hint="eastAsia" w:ascii="Times New Roman" w:hAnsi="Times New Roman"/>
                <w:color w:val="auto"/>
                <w:kern w:val="0"/>
                <w:sz w:val="24"/>
                <w:highlight w:val="none"/>
              </w:rPr>
              <w:t>95763</w:t>
            </w:r>
            <w:r>
              <w:rPr>
                <w:rFonts w:ascii="Times New Roman" w:hAnsi="Times New Roman"/>
                <w:color w:val="auto"/>
                <w:kern w:val="0"/>
                <w:sz w:val="24"/>
                <w:highlight w:val="none"/>
              </w:rPr>
              <w:t>进行咨询。</w:t>
            </w:r>
          </w:p>
          <w:p w14:paraId="22241B8A">
            <w:pPr>
              <w:spacing w:line="460" w:lineRule="exact"/>
              <w:jc w:val="left"/>
              <w:rPr>
                <w:rFonts w:ascii="Times New Roman" w:hAnsi="Times New Roman"/>
                <w:b/>
                <w:bCs/>
                <w:color w:val="auto"/>
                <w:sz w:val="24"/>
                <w:highlight w:val="none"/>
              </w:rPr>
            </w:pPr>
            <w:r>
              <w:rPr>
                <w:rFonts w:ascii="Times New Roman" w:hAnsi="Times New Roman"/>
                <w:b/>
                <w:bCs/>
                <w:color w:val="auto"/>
                <w:sz w:val="24"/>
                <w:highlight w:val="none"/>
              </w:rPr>
              <w:t>投标文件解密时间：</w:t>
            </w:r>
          </w:p>
          <w:p w14:paraId="69E8922F">
            <w:pPr>
              <w:spacing w:line="360" w:lineRule="auto"/>
              <w:rPr>
                <w:rFonts w:ascii="Times New Roman" w:hAnsi="Times New Roman"/>
                <w:color w:val="auto"/>
                <w:sz w:val="24"/>
                <w:highlight w:val="none"/>
              </w:rPr>
            </w:pPr>
            <w:r>
              <w:rPr>
                <w:rFonts w:ascii="Times New Roman" w:hAnsi="Times New Roman"/>
                <w:color w:val="auto"/>
                <w:sz w:val="24"/>
                <w:highlight w:val="none"/>
              </w:rPr>
              <w:t>截标时间后30分内投标人可以登录</w:t>
            </w:r>
            <w:r>
              <w:rPr>
                <w:rFonts w:hint="eastAsia" w:ascii="Times New Roman" w:hAnsi="Times New Roman"/>
                <w:color w:val="auto"/>
                <w:sz w:val="24"/>
                <w:highlight w:val="none"/>
              </w:rPr>
              <w:t>广西政府采购云平台</w:t>
            </w:r>
            <w:r>
              <w:rPr>
                <w:rFonts w:ascii="Times New Roman" w:hAnsi="Times New Roman"/>
                <w:color w:val="auto"/>
                <w:sz w:val="24"/>
                <w:highlight w:val="none"/>
              </w:rPr>
              <w:t>，用“项目采购-开标评标”功能进行解密投标文件。</w:t>
            </w:r>
          </w:p>
        </w:tc>
      </w:tr>
      <w:tr w14:paraId="1093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84" w:type="dxa"/>
            <w:vAlign w:val="center"/>
          </w:tcPr>
          <w:p w14:paraId="5D4F3CCF">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10</w:t>
            </w:r>
          </w:p>
        </w:tc>
        <w:tc>
          <w:tcPr>
            <w:tcW w:w="1905" w:type="dxa"/>
            <w:vAlign w:val="center"/>
          </w:tcPr>
          <w:p w14:paraId="0B8E9FE5">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评标办法</w:t>
            </w:r>
          </w:p>
        </w:tc>
        <w:tc>
          <w:tcPr>
            <w:tcW w:w="6843" w:type="dxa"/>
            <w:vAlign w:val="center"/>
          </w:tcPr>
          <w:p w14:paraId="6904EACE">
            <w:pPr>
              <w:spacing w:line="360" w:lineRule="auto"/>
              <w:rPr>
                <w:rFonts w:ascii="Times New Roman" w:hAnsi="Times New Roman"/>
                <w:color w:val="auto"/>
                <w:sz w:val="24"/>
                <w:highlight w:val="none"/>
              </w:rPr>
            </w:pPr>
            <w:r>
              <w:rPr>
                <w:rFonts w:ascii="Times New Roman" w:hAnsi="Times New Roman"/>
                <w:color w:val="auto"/>
                <w:sz w:val="24"/>
                <w:highlight w:val="none"/>
              </w:rPr>
              <w:t>综合评分法，具体评标内容及标准详见第四章：评标原则及评分标准。</w:t>
            </w:r>
          </w:p>
        </w:tc>
      </w:tr>
      <w:tr w14:paraId="63A3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84" w:type="dxa"/>
            <w:vAlign w:val="center"/>
          </w:tcPr>
          <w:p w14:paraId="4200DF38">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11</w:t>
            </w:r>
          </w:p>
        </w:tc>
        <w:tc>
          <w:tcPr>
            <w:tcW w:w="1905" w:type="dxa"/>
            <w:vAlign w:val="center"/>
          </w:tcPr>
          <w:p w14:paraId="0D6A3E5E">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是否接受联合体投标</w:t>
            </w:r>
          </w:p>
        </w:tc>
        <w:tc>
          <w:tcPr>
            <w:tcW w:w="6843" w:type="dxa"/>
            <w:vAlign w:val="center"/>
          </w:tcPr>
          <w:p w14:paraId="14D7DAD9">
            <w:pPr>
              <w:widowControl/>
              <w:spacing w:line="360" w:lineRule="auto"/>
              <w:jc w:val="left"/>
              <w:rPr>
                <w:color w:val="auto"/>
                <w:highlight w:val="none"/>
              </w:rPr>
            </w:pPr>
            <w:r>
              <w:rPr>
                <w:rFonts w:ascii="Times New Roman" w:hAnsi="Times New Roman"/>
                <w:color w:val="auto"/>
                <w:sz w:val="24"/>
                <w:highlight w:val="none"/>
                <w:lang w:bidi="ar"/>
              </w:rPr>
              <w:t>接受联合体投标。</w:t>
            </w:r>
          </w:p>
        </w:tc>
      </w:tr>
      <w:tr w14:paraId="609F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84" w:type="dxa"/>
            <w:vAlign w:val="center"/>
          </w:tcPr>
          <w:p w14:paraId="2D546066">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12</w:t>
            </w:r>
          </w:p>
        </w:tc>
        <w:tc>
          <w:tcPr>
            <w:tcW w:w="1905" w:type="dxa"/>
            <w:vAlign w:val="center"/>
          </w:tcPr>
          <w:p w14:paraId="7A70A3B6">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联合体投标要求</w:t>
            </w:r>
          </w:p>
        </w:tc>
        <w:tc>
          <w:tcPr>
            <w:tcW w:w="6843" w:type="dxa"/>
            <w:vAlign w:val="center"/>
          </w:tcPr>
          <w:p w14:paraId="204D83DF">
            <w:pPr>
              <w:widowControl/>
              <w:spacing w:line="360" w:lineRule="auto"/>
              <w:jc w:val="left"/>
              <w:rPr>
                <w:rFonts w:ascii="Times New Roman" w:hAnsi="Times New Roman"/>
                <w:color w:val="auto"/>
                <w:sz w:val="24"/>
                <w:highlight w:val="none"/>
                <w:lang w:bidi="ar"/>
              </w:rPr>
            </w:pPr>
            <w:r>
              <w:rPr>
                <w:rFonts w:ascii="Times New Roman" w:hAnsi="Times New Roman"/>
                <w:color w:val="auto"/>
                <w:sz w:val="24"/>
                <w:highlight w:val="none"/>
                <w:lang w:bidi="ar"/>
              </w:rPr>
              <w:t xml:space="preserve">联合体投标要求如下： </w:t>
            </w:r>
          </w:p>
          <w:p w14:paraId="64A5A622">
            <w:pPr>
              <w:widowControl/>
              <w:spacing w:line="360" w:lineRule="auto"/>
              <w:jc w:val="left"/>
              <w:rPr>
                <w:rFonts w:ascii="Times New Roman" w:hAnsi="Times New Roman"/>
                <w:color w:val="auto"/>
                <w:sz w:val="24"/>
                <w:highlight w:val="none"/>
                <w:lang w:bidi="ar"/>
              </w:rPr>
            </w:pPr>
            <w:r>
              <w:rPr>
                <w:rFonts w:ascii="Times New Roman" w:hAnsi="Times New Roman"/>
                <w:color w:val="auto"/>
                <w:sz w:val="24"/>
                <w:highlight w:val="none"/>
                <w:lang w:bidi="ar"/>
              </w:rPr>
              <w:t>1.投标联合体</w:t>
            </w:r>
            <w:r>
              <w:rPr>
                <w:rFonts w:hint="eastAsia" w:ascii="Times New Roman" w:hAnsi="Times New Roman"/>
                <w:color w:val="auto"/>
                <w:sz w:val="24"/>
                <w:highlight w:val="none"/>
                <w:lang w:bidi="ar"/>
              </w:rPr>
              <w:t>数量不超过3家（含3家）</w:t>
            </w:r>
            <w:r>
              <w:rPr>
                <w:rFonts w:ascii="Times New Roman" w:hAnsi="Times New Roman"/>
                <w:color w:val="auto"/>
                <w:sz w:val="24"/>
                <w:highlight w:val="none"/>
                <w:lang w:bidi="ar"/>
              </w:rPr>
              <w:t>，以一个</w:t>
            </w:r>
            <w:r>
              <w:rPr>
                <w:rFonts w:hint="eastAsia" w:ascii="Times New Roman" w:hAnsi="Times New Roman"/>
                <w:color w:val="auto"/>
                <w:sz w:val="24"/>
                <w:highlight w:val="none"/>
                <w:lang w:bidi="ar"/>
              </w:rPr>
              <w:t>投标人</w:t>
            </w:r>
            <w:r>
              <w:rPr>
                <w:rFonts w:ascii="Times New Roman" w:hAnsi="Times New Roman"/>
                <w:color w:val="auto"/>
                <w:sz w:val="24"/>
                <w:highlight w:val="none"/>
                <w:lang w:bidi="ar"/>
              </w:rPr>
              <w:t xml:space="preserve">的身份共同参加投标。联合体投标的，须提供《联合体投标协议书》（格式后附）。 </w:t>
            </w:r>
          </w:p>
          <w:p w14:paraId="12DF6257">
            <w:pPr>
              <w:widowControl/>
              <w:spacing w:line="360" w:lineRule="auto"/>
              <w:jc w:val="left"/>
              <w:rPr>
                <w:rFonts w:ascii="Times New Roman" w:hAnsi="Times New Roman"/>
                <w:color w:val="auto"/>
                <w:sz w:val="24"/>
                <w:highlight w:val="none"/>
                <w:lang w:bidi="ar"/>
              </w:rPr>
            </w:pPr>
            <w:r>
              <w:rPr>
                <w:rFonts w:ascii="Times New Roman" w:hAnsi="Times New Roman"/>
                <w:color w:val="auto"/>
                <w:sz w:val="24"/>
                <w:highlight w:val="none"/>
                <w:lang w:bidi="ar"/>
              </w:rPr>
              <w:t xml:space="preserve">2.以联合体形式参加投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投标文件规定的特定条件。 </w:t>
            </w:r>
          </w:p>
          <w:p w14:paraId="0874A4FF">
            <w:pPr>
              <w:widowControl/>
              <w:spacing w:line="360" w:lineRule="auto"/>
              <w:jc w:val="left"/>
              <w:rPr>
                <w:rFonts w:ascii="Times New Roman" w:hAnsi="Times New Roman"/>
                <w:color w:val="auto"/>
                <w:sz w:val="24"/>
                <w:highlight w:val="none"/>
                <w:lang w:bidi="ar"/>
              </w:rPr>
            </w:pPr>
            <w:r>
              <w:rPr>
                <w:rFonts w:ascii="Times New Roman" w:hAnsi="Times New Roman"/>
                <w:color w:val="auto"/>
                <w:sz w:val="24"/>
                <w:highlight w:val="none"/>
                <w:lang w:bidi="ar"/>
              </w:rPr>
              <w:t>3.联合体各方之间必须签订联合投标协议，协议书必须明确主体方（或者牵头方）并明确约定联合体各方承担的工作和相应的责任（各方承担责任与义务的分工必须符合采购需求，否则，联合体投标无效），并将联合投标协议放入响应文件。联合体各方必须共同与采购人签订采购合同，就采购合同约定的事项对采购人承担连带责任。</w:t>
            </w:r>
          </w:p>
          <w:p w14:paraId="3F4F7DB4">
            <w:pPr>
              <w:widowControl/>
              <w:spacing w:line="360" w:lineRule="auto"/>
              <w:jc w:val="left"/>
              <w:rPr>
                <w:rFonts w:ascii="Times New Roman" w:hAnsi="Times New Roman"/>
                <w:color w:val="auto"/>
                <w:sz w:val="24"/>
                <w:highlight w:val="none"/>
                <w:lang w:bidi="ar"/>
              </w:rPr>
            </w:pPr>
            <w:r>
              <w:rPr>
                <w:rFonts w:ascii="Times New Roman" w:hAnsi="Times New Roman"/>
                <w:color w:val="auto"/>
                <w:sz w:val="24"/>
                <w:highlight w:val="none"/>
                <w:lang w:bidi="ar"/>
              </w:rPr>
              <w:t xml:space="preserve"> 4.以联合体形式参加政府采购活动的，联合体各方不得再单独参加或者与其他供应商另外组成联合体参加同一合同项下的政府采购活动。 </w:t>
            </w:r>
          </w:p>
          <w:p w14:paraId="37DA5EB5">
            <w:pPr>
              <w:widowControl/>
              <w:spacing w:line="360" w:lineRule="auto"/>
              <w:jc w:val="left"/>
              <w:rPr>
                <w:rFonts w:ascii="Times New Roman" w:hAnsi="Times New Roman"/>
                <w:color w:val="auto"/>
                <w:sz w:val="24"/>
                <w:highlight w:val="none"/>
                <w:lang w:bidi="ar"/>
              </w:rPr>
            </w:pPr>
            <w:r>
              <w:rPr>
                <w:rFonts w:ascii="Times New Roman" w:hAnsi="Times New Roman"/>
                <w:color w:val="auto"/>
                <w:sz w:val="24"/>
                <w:highlight w:val="none"/>
                <w:lang w:bidi="ar"/>
              </w:rPr>
              <w:t xml:space="preserve">5.联合体中有同类资质的供应商按照联合体分工承担相同工作的，应当按照资质等级较低的供应商确定资质等级。 </w:t>
            </w:r>
          </w:p>
          <w:p w14:paraId="000419E2">
            <w:pPr>
              <w:widowControl/>
              <w:spacing w:line="360" w:lineRule="auto"/>
              <w:jc w:val="left"/>
              <w:rPr>
                <w:rFonts w:ascii="Times New Roman" w:hAnsi="Times New Roman"/>
                <w:color w:val="auto"/>
                <w:sz w:val="24"/>
                <w:highlight w:val="none"/>
                <w:lang w:bidi="ar"/>
              </w:rPr>
            </w:pPr>
            <w:r>
              <w:rPr>
                <w:rFonts w:ascii="Times New Roman" w:hAnsi="Times New Roman"/>
                <w:color w:val="auto"/>
                <w:sz w:val="24"/>
                <w:highlight w:val="none"/>
                <w:lang w:bidi="ar"/>
              </w:rPr>
              <w:t xml:space="preserve">6.联合体投标业绩、履约能力按照联合体各方合并认定并计算。 </w:t>
            </w:r>
          </w:p>
          <w:p w14:paraId="7E374D0D">
            <w:pPr>
              <w:widowControl/>
              <w:spacing w:line="360" w:lineRule="auto"/>
              <w:jc w:val="left"/>
              <w:rPr>
                <w:rFonts w:ascii="Times New Roman" w:hAnsi="Times New Roman"/>
                <w:color w:val="auto"/>
                <w:sz w:val="24"/>
                <w:highlight w:val="none"/>
                <w:lang w:bidi="ar"/>
              </w:rPr>
            </w:pPr>
            <w:r>
              <w:rPr>
                <w:rFonts w:ascii="Times New Roman" w:hAnsi="Times New Roman"/>
                <w:color w:val="auto"/>
                <w:sz w:val="24"/>
                <w:highlight w:val="none"/>
                <w:lang w:bidi="ar"/>
              </w:rPr>
              <w:t xml:space="preserve">7.联合体各方均应按照投标文件的规定提交资格证明文件。 </w:t>
            </w:r>
          </w:p>
          <w:p w14:paraId="7866FFE7">
            <w:pPr>
              <w:widowControl/>
              <w:spacing w:line="360" w:lineRule="auto"/>
              <w:jc w:val="left"/>
              <w:rPr>
                <w:rFonts w:ascii="Times New Roman" w:hAnsi="Times New Roman"/>
                <w:color w:val="auto"/>
                <w:sz w:val="24"/>
                <w:highlight w:val="none"/>
                <w:lang w:bidi="ar"/>
              </w:rPr>
            </w:pPr>
            <w:r>
              <w:rPr>
                <w:rFonts w:ascii="Times New Roman" w:hAnsi="Times New Roman"/>
                <w:color w:val="auto"/>
                <w:sz w:val="24"/>
                <w:highlight w:val="none"/>
                <w:lang w:bidi="ar"/>
              </w:rPr>
              <w:t>8.投标文件中的供应商名称写为“xx 单位（牵头人）和 xx 单位联合体”，需盖公章处由联合体牵头方盖公章即可，需法定代表人签字或者盖章或者电子签名处由联合体牵头方法定代表人签字或者盖章或者电子签名即可。</w:t>
            </w:r>
          </w:p>
          <w:p w14:paraId="7C4CB2DF">
            <w:pPr>
              <w:pStyle w:val="16"/>
              <w:jc w:val="both"/>
              <w:rPr>
                <w:rFonts w:hint="eastAsia"/>
                <w:color w:val="auto"/>
                <w:highlight w:val="none"/>
              </w:rPr>
            </w:pPr>
          </w:p>
        </w:tc>
      </w:tr>
      <w:tr w14:paraId="159C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2" w:hRule="atLeast"/>
        </w:trPr>
        <w:tc>
          <w:tcPr>
            <w:tcW w:w="1284" w:type="dxa"/>
            <w:vAlign w:val="center"/>
          </w:tcPr>
          <w:p w14:paraId="7316E5BC">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11</w:t>
            </w:r>
          </w:p>
        </w:tc>
        <w:tc>
          <w:tcPr>
            <w:tcW w:w="1905" w:type="dxa"/>
            <w:vAlign w:val="center"/>
          </w:tcPr>
          <w:p w14:paraId="2150995F">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信用查询</w:t>
            </w:r>
          </w:p>
        </w:tc>
        <w:tc>
          <w:tcPr>
            <w:tcW w:w="6843" w:type="dxa"/>
          </w:tcPr>
          <w:p w14:paraId="15EC428C">
            <w:pPr>
              <w:pStyle w:val="12"/>
              <w:tabs>
                <w:tab w:val="left" w:pos="455"/>
              </w:tabs>
              <w:spacing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根据《关于做好政府采购有关信用主体标识码登记及在政府采购活动中查询使用信用记录有关问题的通知》桂财采〔2016〕37号的通知，中标通知书发出前，由采购代理机构对第一中标候选人进行信用查询：</w:t>
            </w:r>
          </w:p>
          <w:p w14:paraId="035CF3EB">
            <w:pPr>
              <w:pStyle w:val="12"/>
              <w:tabs>
                <w:tab w:val="left" w:pos="455"/>
              </w:tabs>
              <w:spacing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(1)查询渠道：“信用中国”网站(www.creditchina.gov.cn)、中国政府采购网(www.ccgp.gov.cn)等</w:t>
            </w:r>
          </w:p>
          <w:p w14:paraId="649CD6F6">
            <w:pPr>
              <w:pStyle w:val="12"/>
              <w:tabs>
                <w:tab w:val="left" w:pos="455"/>
              </w:tabs>
              <w:spacing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(2)查询起止时间：投标截止时间前三年内。</w:t>
            </w:r>
          </w:p>
          <w:p w14:paraId="4943E331">
            <w:pPr>
              <w:pStyle w:val="12"/>
              <w:tabs>
                <w:tab w:val="left" w:pos="455"/>
              </w:tabs>
              <w:spacing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(3)查询记录和证据留存方式：由代理公司开标后在查询网站中直接打印查询记录，打印材料作为评审资料保存。</w:t>
            </w:r>
          </w:p>
          <w:p w14:paraId="39D00BCA">
            <w:pPr>
              <w:pStyle w:val="12"/>
              <w:tabs>
                <w:tab w:val="left" w:pos="455"/>
              </w:tabs>
              <w:spacing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，资格审查不通过，不得参与政府采购活动。</w:t>
            </w:r>
          </w:p>
        </w:tc>
      </w:tr>
      <w:tr w14:paraId="1DB0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284" w:type="dxa"/>
            <w:vAlign w:val="center"/>
          </w:tcPr>
          <w:p w14:paraId="4ABB65FE">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12</w:t>
            </w:r>
          </w:p>
        </w:tc>
        <w:tc>
          <w:tcPr>
            <w:tcW w:w="1905" w:type="dxa"/>
            <w:vAlign w:val="center"/>
          </w:tcPr>
          <w:p w14:paraId="37E01094">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签订合同</w:t>
            </w:r>
          </w:p>
          <w:p w14:paraId="415B6134">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时间</w:t>
            </w:r>
          </w:p>
        </w:tc>
        <w:tc>
          <w:tcPr>
            <w:tcW w:w="6843" w:type="dxa"/>
            <w:vAlign w:val="center"/>
          </w:tcPr>
          <w:p w14:paraId="5B71DD4C">
            <w:pPr>
              <w:spacing w:line="360" w:lineRule="auto"/>
              <w:rPr>
                <w:rFonts w:ascii="Times New Roman" w:hAnsi="Times New Roman"/>
                <w:color w:val="auto"/>
                <w:sz w:val="24"/>
                <w:highlight w:val="none"/>
              </w:rPr>
            </w:pPr>
            <w:r>
              <w:rPr>
                <w:rFonts w:ascii="Times New Roman" w:hAnsi="Times New Roman"/>
                <w:color w:val="auto"/>
                <w:sz w:val="24"/>
                <w:highlight w:val="none"/>
              </w:rPr>
              <w:t>签订合同时间：</w:t>
            </w:r>
            <w:r>
              <w:rPr>
                <w:rFonts w:hint="eastAsia" w:ascii="Times New Roman" w:hAnsi="Times New Roman"/>
                <w:color w:val="auto"/>
                <w:sz w:val="24"/>
                <w:highlight w:val="none"/>
              </w:rPr>
              <w:t>中标</w:t>
            </w:r>
            <w:r>
              <w:rPr>
                <w:rFonts w:ascii="Times New Roman" w:hAnsi="Times New Roman"/>
                <w:color w:val="auto"/>
                <w:sz w:val="24"/>
                <w:highlight w:val="none"/>
              </w:rPr>
              <w:t>通知书发出之日起</w:t>
            </w:r>
            <w:r>
              <w:rPr>
                <w:rFonts w:hint="eastAsia" w:ascii="Times New Roman" w:hAnsi="Times New Roman"/>
                <w:color w:val="auto"/>
                <w:sz w:val="24"/>
                <w:highlight w:val="none"/>
              </w:rPr>
              <w:t>20日</w:t>
            </w:r>
            <w:r>
              <w:rPr>
                <w:rFonts w:ascii="Times New Roman" w:hAnsi="Times New Roman"/>
                <w:color w:val="auto"/>
                <w:sz w:val="24"/>
                <w:highlight w:val="none"/>
              </w:rPr>
              <w:t>内。</w:t>
            </w:r>
          </w:p>
        </w:tc>
      </w:tr>
      <w:tr w14:paraId="58E0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284" w:type="dxa"/>
            <w:vAlign w:val="center"/>
          </w:tcPr>
          <w:p w14:paraId="7B483137">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13</w:t>
            </w:r>
          </w:p>
        </w:tc>
        <w:tc>
          <w:tcPr>
            <w:tcW w:w="1905" w:type="dxa"/>
            <w:vAlign w:val="center"/>
          </w:tcPr>
          <w:p w14:paraId="43305640">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招标代理</w:t>
            </w:r>
          </w:p>
          <w:p w14:paraId="795BA61C">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服务费</w:t>
            </w:r>
          </w:p>
        </w:tc>
        <w:tc>
          <w:tcPr>
            <w:tcW w:w="6843" w:type="dxa"/>
            <w:vAlign w:val="center"/>
          </w:tcPr>
          <w:p w14:paraId="58D54688">
            <w:pPr>
              <w:spacing w:line="360" w:lineRule="auto"/>
              <w:rPr>
                <w:rFonts w:ascii="Arial" w:hAnsi="Arial" w:cs="Arial"/>
                <w:color w:val="auto"/>
                <w:sz w:val="24"/>
                <w:highlight w:val="none"/>
              </w:rPr>
            </w:pPr>
            <w:r>
              <w:rPr>
                <w:rFonts w:ascii="Times New Roman" w:hAnsi="Times New Roman"/>
                <w:color w:val="auto"/>
                <w:sz w:val="24"/>
                <w:highlight w:val="none"/>
              </w:rPr>
              <w:t>本项目招标代理服务费按国家发展改革委《关于进一步放开建设项目专业服务价格的通知》发改价格〔2015〕299 号文执行。领取</w:t>
            </w:r>
            <w:r>
              <w:rPr>
                <w:rFonts w:hint="eastAsia" w:ascii="Times New Roman" w:hAnsi="Times New Roman"/>
                <w:color w:val="auto"/>
                <w:sz w:val="24"/>
                <w:highlight w:val="none"/>
              </w:rPr>
              <w:t>中标</w:t>
            </w:r>
            <w:r>
              <w:rPr>
                <w:rFonts w:ascii="Times New Roman" w:hAnsi="Times New Roman"/>
                <w:color w:val="auto"/>
                <w:sz w:val="24"/>
                <w:highlight w:val="none"/>
              </w:rPr>
              <w:t>通知书前，中标人应向采购代理机构一次性付清采购代理服务费。</w:t>
            </w:r>
            <w:r>
              <w:rPr>
                <w:rFonts w:ascii="Arial" w:hAnsi="Arial" w:cs="Arial"/>
                <w:color w:val="auto"/>
                <w:sz w:val="24"/>
                <w:highlight w:val="none"/>
              </w:rPr>
              <w:t>代理服务费为：</w:t>
            </w:r>
            <w:r>
              <w:rPr>
                <w:rFonts w:hint="eastAsia" w:ascii="Arial" w:hAnsi="Arial" w:cs="Arial"/>
                <w:color w:val="auto"/>
                <w:sz w:val="24"/>
                <w:highlight w:val="none"/>
              </w:rPr>
              <w:t>人民币</w:t>
            </w:r>
            <w:r>
              <w:rPr>
                <w:rFonts w:hint="eastAsia" w:ascii="Arial" w:hAnsi="Arial" w:cs="Arial"/>
                <w:color w:val="auto"/>
                <w:sz w:val="24"/>
                <w:highlight w:val="none"/>
                <w:lang w:val="en-US" w:eastAsia="zh-CN"/>
              </w:rPr>
              <w:t>壹拾万零陆仟捌佰伍拾壹元</w:t>
            </w:r>
            <w:bookmarkStart w:id="100" w:name="_GoBack"/>
            <w:bookmarkEnd w:id="100"/>
            <w:r>
              <w:rPr>
                <w:rFonts w:hint="eastAsia" w:ascii="Arial" w:hAnsi="Arial" w:cs="Arial"/>
                <w:color w:val="auto"/>
                <w:sz w:val="24"/>
                <w:highlight w:val="none"/>
              </w:rPr>
              <w:t>整（¥1068</w:t>
            </w:r>
            <w:r>
              <w:rPr>
                <w:rFonts w:hint="eastAsia" w:ascii="Arial" w:hAnsi="Arial" w:cs="Arial"/>
                <w:color w:val="auto"/>
                <w:sz w:val="24"/>
                <w:highlight w:val="none"/>
                <w:lang w:val="en-US" w:eastAsia="zh-CN"/>
              </w:rPr>
              <w:t>5</w:t>
            </w:r>
            <w:r>
              <w:rPr>
                <w:rFonts w:hint="eastAsia" w:ascii="Arial" w:hAnsi="Arial" w:cs="Arial"/>
                <w:color w:val="auto"/>
                <w:sz w:val="24"/>
                <w:highlight w:val="none"/>
              </w:rPr>
              <w:t>1.00元）</w:t>
            </w:r>
          </w:p>
          <w:p w14:paraId="03C31598">
            <w:pPr>
              <w:spacing w:line="360" w:lineRule="auto"/>
              <w:rPr>
                <w:rFonts w:ascii="Times New Roman" w:hAnsi="Times New Roman"/>
                <w:color w:val="auto"/>
                <w:sz w:val="24"/>
                <w:highlight w:val="none"/>
              </w:rPr>
            </w:pPr>
            <w:r>
              <w:rPr>
                <w:rFonts w:ascii="Times New Roman" w:hAnsi="Times New Roman"/>
                <w:color w:val="auto"/>
                <w:sz w:val="24"/>
                <w:highlight w:val="none"/>
              </w:rPr>
              <w:t>招标代理服务费专用帐户：</w:t>
            </w:r>
          </w:p>
          <w:p w14:paraId="435F81DC">
            <w:pPr>
              <w:adjustRightInd w:val="0"/>
              <w:spacing w:line="440" w:lineRule="exact"/>
              <w:textAlignment w:val="baseline"/>
              <w:rPr>
                <w:color w:val="auto"/>
                <w:kern w:val="0"/>
                <w:sz w:val="24"/>
                <w:highlight w:val="none"/>
              </w:rPr>
            </w:pPr>
            <w:r>
              <w:rPr>
                <w:rFonts w:hint="eastAsia"/>
                <w:color w:val="auto"/>
                <w:kern w:val="0"/>
                <w:sz w:val="24"/>
                <w:highlight w:val="none"/>
              </w:rPr>
              <w:t>开户名称：广西创佳项目管理有限公司</w:t>
            </w:r>
          </w:p>
          <w:p w14:paraId="57E03D62">
            <w:pPr>
              <w:adjustRightInd w:val="0"/>
              <w:spacing w:line="440" w:lineRule="exact"/>
              <w:textAlignment w:val="baseline"/>
              <w:rPr>
                <w:color w:val="auto"/>
                <w:kern w:val="0"/>
                <w:sz w:val="24"/>
                <w:highlight w:val="none"/>
              </w:rPr>
            </w:pPr>
            <w:r>
              <w:rPr>
                <w:rFonts w:hint="eastAsia"/>
                <w:color w:val="auto"/>
                <w:kern w:val="0"/>
                <w:sz w:val="24"/>
                <w:highlight w:val="none"/>
              </w:rPr>
              <w:t>开户银行：中国工商银行股份有限公司桂平市新区支行</w:t>
            </w:r>
          </w:p>
          <w:p w14:paraId="7B9B9AF0">
            <w:pPr>
              <w:spacing w:line="360" w:lineRule="auto"/>
              <w:rPr>
                <w:rFonts w:ascii="Times New Roman" w:hAnsi="Times New Roman"/>
                <w:color w:val="auto"/>
                <w:highlight w:val="none"/>
              </w:rPr>
            </w:pPr>
            <w:r>
              <w:rPr>
                <w:rFonts w:hint="eastAsia"/>
                <w:color w:val="auto"/>
                <w:kern w:val="0"/>
                <w:sz w:val="24"/>
                <w:highlight w:val="none"/>
              </w:rPr>
              <w:t>银行账号：2116006809100057549</w:t>
            </w:r>
          </w:p>
        </w:tc>
      </w:tr>
      <w:tr w14:paraId="2F97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84" w:type="dxa"/>
            <w:vAlign w:val="center"/>
          </w:tcPr>
          <w:p w14:paraId="6C4C3514">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14</w:t>
            </w:r>
          </w:p>
        </w:tc>
        <w:tc>
          <w:tcPr>
            <w:tcW w:w="1905" w:type="dxa"/>
            <w:vAlign w:val="center"/>
          </w:tcPr>
          <w:p w14:paraId="0B1AB3AA">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解释权</w:t>
            </w:r>
          </w:p>
        </w:tc>
        <w:tc>
          <w:tcPr>
            <w:tcW w:w="6843" w:type="dxa"/>
            <w:vAlign w:val="center"/>
          </w:tcPr>
          <w:p w14:paraId="512D8EAF">
            <w:pPr>
              <w:spacing w:line="360" w:lineRule="auto"/>
              <w:rPr>
                <w:rFonts w:ascii="Times New Roman" w:hAnsi="Times New Roman"/>
                <w:color w:val="auto"/>
                <w:sz w:val="24"/>
                <w:highlight w:val="none"/>
              </w:rPr>
            </w:pPr>
            <w:r>
              <w:rPr>
                <w:rFonts w:ascii="Times New Roman" w:hAnsi="Times New Roman"/>
                <w:color w:val="auto"/>
                <w:sz w:val="24"/>
                <w:highlight w:val="none"/>
              </w:rPr>
              <w:t>本招标文件是根据《中华人民共和国政府采购法》和政府采购管理有关规定编制，本招标文件的解释权</w:t>
            </w:r>
            <w:r>
              <w:rPr>
                <w:rFonts w:hint="eastAsia" w:ascii="Times New Roman" w:hAnsi="Times New Roman"/>
                <w:color w:val="auto"/>
                <w:sz w:val="24"/>
                <w:highlight w:val="none"/>
                <w:lang w:val="en-US" w:eastAsia="zh-CN"/>
              </w:rPr>
              <w:t>由</w:t>
            </w:r>
            <w:r>
              <w:rPr>
                <w:rFonts w:hint="eastAsia" w:ascii="Times New Roman" w:hAnsi="Times New Roman"/>
                <w:color w:val="auto"/>
                <w:sz w:val="24"/>
                <w:highlight w:val="none"/>
              </w:rPr>
              <w:t>采购人和代理机构共同负责</w:t>
            </w:r>
            <w:r>
              <w:rPr>
                <w:rFonts w:ascii="Times New Roman" w:hAnsi="Times New Roman"/>
                <w:color w:val="auto"/>
                <w:sz w:val="24"/>
                <w:highlight w:val="none"/>
              </w:rPr>
              <w:t>。</w:t>
            </w:r>
          </w:p>
        </w:tc>
      </w:tr>
      <w:tr w14:paraId="61B5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84" w:type="dxa"/>
            <w:vAlign w:val="center"/>
          </w:tcPr>
          <w:p w14:paraId="491CD2B7">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15</w:t>
            </w:r>
          </w:p>
        </w:tc>
        <w:tc>
          <w:tcPr>
            <w:tcW w:w="1905" w:type="dxa"/>
            <w:vAlign w:val="center"/>
          </w:tcPr>
          <w:p w14:paraId="7318594D">
            <w:pPr>
              <w:pStyle w:val="12"/>
              <w:spacing w:line="360" w:lineRule="auto"/>
              <w:jc w:val="center"/>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highlight w:val="none"/>
                <w:lang w:eastAsia="zh-CN"/>
              </w:rPr>
              <w:t>合同履约期限</w:t>
            </w:r>
          </w:p>
        </w:tc>
        <w:tc>
          <w:tcPr>
            <w:tcW w:w="6843" w:type="dxa"/>
            <w:vAlign w:val="center"/>
          </w:tcPr>
          <w:p w14:paraId="0DCCD477">
            <w:pPr>
              <w:spacing w:line="360" w:lineRule="auto"/>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自合同签订之日起一年内完成开发、安装调试工作，验收合格正式交付使用之日起提供2年的运维服务。</w:t>
            </w:r>
          </w:p>
        </w:tc>
      </w:tr>
      <w:tr w14:paraId="592B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284" w:type="dxa"/>
            <w:vAlign w:val="center"/>
          </w:tcPr>
          <w:p w14:paraId="3A96A9F4">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17</w:t>
            </w:r>
          </w:p>
        </w:tc>
        <w:tc>
          <w:tcPr>
            <w:tcW w:w="1905" w:type="dxa"/>
            <w:vAlign w:val="center"/>
          </w:tcPr>
          <w:p w14:paraId="28C97D8E">
            <w:pPr>
              <w:pStyle w:val="12"/>
              <w:adjustRightInd w:val="0"/>
              <w:snapToGrid w:val="0"/>
              <w:spacing w:line="360" w:lineRule="auto"/>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lang w:eastAsia="en-US"/>
              </w:rPr>
              <w:t>质疑受理</w:t>
            </w:r>
          </w:p>
        </w:tc>
        <w:tc>
          <w:tcPr>
            <w:tcW w:w="6843" w:type="dxa"/>
            <w:vAlign w:val="center"/>
          </w:tcPr>
          <w:p w14:paraId="1FF49665">
            <w:pPr>
              <w:pStyle w:val="12"/>
              <w:adjustRightInd w:val="0"/>
              <w:snapToGrid w:val="0"/>
              <w:spacing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质疑书的提交地点：</w:t>
            </w:r>
            <w:r>
              <w:rPr>
                <w:rFonts w:hint="eastAsia" w:ascii="Times New Roman" w:hAnsi="Times New Roman" w:eastAsia="宋体"/>
                <w:color w:val="auto"/>
                <w:sz w:val="24"/>
                <w:szCs w:val="24"/>
                <w:highlight w:val="none"/>
              </w:rPr>
              <w:t>广西创佳项目管理有限公司（</w:t>
            </w:r>
            <w:r>
              <w:rPr>
                <w:rFonts w:hint="eastAsia" w:ascii="Times New Roman" w:hAnsi="Times New Roman" w:eastAsia="宋体"/>
                <w:color w:val="auto"/>
                <w:sz w:val="24"/>
                <w:highlight w:val="none"/>
              </w:rPr>
              <w:t>桂平市政务服务中心后面</w:t>
            </w:r>
            <w:r>
              <w:rPr>
                <w:rFonts w:hint="eastAsia" w:ascii="Times New Roman" w:hAnsi="Times New Roman" w:eastAsia="宋体"/>
                <w:color w:val="auto"/>
                <w:sz w:val="24"/>
                <w:szCs w:val="24"/>
                <w:highlight w:val="none"/>
              </w:rPr>
              <w:t>）</w:t>
            </w:r>
            <w:r>
              <w:rPr>
                <w:rFonts w:ascii="Times New Roman" w:hAnsi="Times New Roman" w:eastAsia="宋体"/>
                <w:color w:val="auto"/>
                <w:sz w:val="24"/>
                <w:szCs w:val="24"/>
                <w:highlight w:val="none"/>
              </w:rPr>
              <w:t>；</w:t>
            </w:r>
          </w:p>
          <w:p w14:paraId="127ED104">
            <w:pPr>
              <w:pStyle w:val="12"/>
              <w:adjustRightInd w:val="0"/>
              <w:snapToGrid w:val="0"/>
              <w:spacing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lang w:eastAsia="en-US"/>
              </w:rPr>
              <w:t>质疑咨询电话：</w:t>
            </w:r>
            <w:r>
              <w:rPr>
                <w:rFonts w:hint="eastAsia" w:ascii="Times New Roman" w:hAnsi="Times New Roman" w:eastAsia="宋体"/>
                <w:color w:val="auto"/>
                <w:sz w:val="24"/>
                <w:szCs w:val="24"/>
                <w:highlight w:val="none"/>
              </w:rPr>
              <w:t>0775-3360111</w:t>
            </w:r>
            <w:r>
              <w:rPr>
                <w:rFonts w:ascii="Times New Roman" w:hAnsi="Times New Roman" w:eastAsia="宋体"/>
                <w:color w:val="auto"/>
                <w:sz w:val="24"/>
                <w:szCs w:val="24"/>
                <w:highlight w:val="none"/>
              </w:rPr>
              <w:t>。</w:t>
            </w:r>
          </w:p>
        </w:tc>
      </w:tr>
      <w:tr w14:paraId="15FA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284" w:type="dxa"/>
            <w:vAlign w:val="center"/>
          </w:tcPr>
          <w:p w14:paraId="024E887B">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18</w:t>
            </w:r>
          </w:p>
        </w:tc>
        <w:tc>
          <w:tcPr>
            <w:tcW w:w="1905" w:type="dxa"/>
            <w:vAlign w:val="center"/>
          </w:tcPr>
          <w:p w14:paraId="0CE0CC58">
            <w:pPr>
              <w:pStyle w:val="12"/>
              <w:adjustRightInd w:val="0"/>
              <w:snapToGrid w:val="0"/>
              <w:spacing w:line="360" w:lineRule="auto"/>
              <w:jc w:val="center"/>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其他说明</w:t>
            </w:r>
          </w:p>
        </w:tc>
        <w:tc>
          <w:tcPr>
            <w:tcW w:w="6843" w:type="dxa"/>
            <w:vAlign w:val="center"/>
          </w:tcPr>
          <w:p w14:paraId="44C4C66F">
            <w:pPr>
              <w:pStyle w:val="27"/>
              <w:numPr>
                <w:ilvl w:val="0"/>
                <w:numId w:val="2"/>
              </w:numPr>
              <w:spacing w:before="90" w:line="321" w:lineRule="auto"/>
              <w:ind w:right="89"/>
              <w:rPr>
                <w:rFonts w:ascii="Times New Roman" w:hAnsi="Times New Roman" w:cs="Times New Roman"/>
                <w:bCs/>
                <w:color w:val="auto"/>
                <w:sz w:val="24"/>
                <w:highlight w:val="none"/>
                <w:lang w:val="en-US" w:bidi="ar-SA"/>
              </w:rPr>
            </w:pPr>
            <w:r>
              <w:rPr>
                <w:rFonts w:ascii="Times New Roman" w:hAnsi="Times New Roman" w:cs="Times New Roman"/>
                <w:bCs/>
                <w:color w:val="auto"/>
                <w:sz w:val="24"/>
                <w:highlight w:val="none"/>
                <w:lang w:val="en-US" w:bidi="ar-SA"/>
              </w:rPr>
              <w:t>本</w:t>
            </w:r>
            <w:r>
              <w:rPr>
                <w:rFonts w:hint="eastAsia" w:ascii="Times New Roman" w:hAnsi="Times New Roman" w:cs="Times New Roman"/>
                <w:bCs/>
                <w:color w:val="auto"/>
                <w:sz w:val="24"/>
                <w:highlight w:val="none"/>
                <w:lang w:val="en-US" w:bidi="ar-SA"/>
              </w:rPr>
              <w:t>招标</w:t>
            </w:r>
            <w:r>
              <w:rPr>
                <w:rFonts w:ascii="Times New Roman" w:hAnsi="Times New Roman" w:cs="Times New Roman"/>
                <w:bCs/>
                <w:color w:val="auto"/>
                <w:sz w:val="24"/>
                <w:highlight w:val="none"/>
                <w:lang w:val="en-US" w:bidi="ar-SA"/>
              </w:rPr>
              <w:t>文件中描述</w:t>
            </w:r>
            <w:r>
              <w:rPr>
                <w:rFonts w:hint="eastAsia" w:ascii="Times New Roman" w:hAnsi="Times New Roman" w:cs="Times New Roman"/>
                <w:bCs/>
                <w:color w:val="auto"/>
                <w:sz w:val="24"/>
                <w:highlight w:val="none"/>
                <w:lang w:val="en-US" w:bidi="ar-SA"/>
              </w:rPr>
              <w:t>投标投标人</w:t>
            </w:r>
            <w:r>
              <w:rPr>
                <w:rFonts w:ascii="Times New Roman" w:hAnsi="Times New Roman" w:cs="Times New Roman"/>
                <w:bCs/>
                <w:color w:val="auto"/>
                <w:sz w:val="24"/>
                <w:highlight w:val="none"/>
                <w:lang w:val="en-US" w:bidi="ar-SA"/>
              </w:rPr>
              <w:t>的“公章”是指根据我国对公章的管理规定，用</w:t>
            </w:r>
            <w:r>
              <w:rPr>
                <w:rFonts w:hint="eastAsia" w:ascii="Times New Roman" w:hAnsi="Times New Roman" w:cs="Times New Roman"/>
                <w:bCs/>
                <w:color w:val="auto"/>
                <w:sz w:val="24"/>
                <w:highlight w:val="none"/>
                <w:lang w:val="en-US" w:bidi="ar-SA"/>
              </w:rPr>
              <w:t>投标投标人</w:t>
            </w:r>
            <w:r>
              <w:rPr>
                <w:rFonts w:ascii="Times New Roman" w:hAnsi="Times New Roman" w:cs="Times New Roman"/>
                <w:bCs/>
                <w:color w:val="auto"/>
                <w:sz w:val="24"/>
                <w:highlight w:val="none"/>
                <w:lang w:val="en-US" w:bidi="ar-SA"/>
              </w:rPr>
              <w:t>法定主体行为名称制作的印章，除本文件有特殊规定外，</w:t>
            </w:r>
            <w:r>
              <w:rPr>
                <w:rFonts w:hint="eastAsia" w:ascii="Times New Roman" w:hAnsi="Times New Roman" w:cs="Times New Roman"/>
                <w:bCs/>
                <w:color w:val="auto"/>
                <w:sz w:val="24"/>
                <w:highlight w:val="none"/>
                <w:lang w:val="en-US" w:bidi="ar-SA"/>
              </w:rPr>
              <w:t>投标投标人</w:t>
            </w:r>
            <w:r>
              <w:rPr>
                <w:rFonts w:ascii="Times New Roman" w:hAnsi="Times New Roman" w:cs="Times New Roman"/>
                <w:bCs/>
                <w:color w:val="auto"/>
                <w:sz w:val="24"/>
                <w:highlight w:val="none"/>
                <w:lang w:val="en-US" w:bidi="ar-SA"/>
              </w:rPr>
              <w:t>的财务章、部门章、分公司章、工会章、合同章、投标专用章、业务专用章及银行的转账章、现金收讫章、现金付讫章等其它形式印章均不能代替公章。</w:t>
            </w:r>
          </w:p>
          <w:p w14:paraId="47B7885E">
            <w:pPr>
              <w:pStyle w:val="12"/>
              <w:numPr>
                <w:ilvl w:val="0"/>
                <w:numId w:val="2"/>
              </w:numPr>
              <w:adjustRightInd w:val="0"/>
              <w:snapToGrid w:val="0"/>
              <w:spacing w:line="360" w:lineRule="auto"/>
              <w:rPr>
                <w:rFonts w:ascii="Times New Roman" w:hAnsi="Times New Roman"/>
                <w:bCs/>
                <w:color w:val="auto"/>
                <w:sz w:val="24"/>
                <w:highlight w:val="none"/>
              </w:rPr>
            </w:pPr>
            <w:r>
              <w:rPr>
                <w:rFonts w:hint="eastAsia" w:ascii="Times New Roman" w:hAnsi="Times New Roman"/>
                <w:bCs/>
                <w:color w:val="auto"/>
                <w:sz w:val="24"/>
                <w:highlight w:val="none"/>
              </w:rPr>
              <w:t>本</w:t>
            </w:r>
            <w:r>
              <w:rPr>
                <w:rFonts w:hint="eastAsia" w:ascii="Times New Roman" w:hAnsi="Times New Roman" w:eastAsia="宋体"/>
                <w:bCs/>
                <w:color w:val="auto"/>
                <w:sz w:val="24"/>
                <w:highlight w:val="none"/>
              </w:rPr>
              <w:t>招标</w:t>
            </w:r>
            <w:r>
              <w:rPr>
                <w:rFonts w:hint="eastAsia" w:ascii="Times New Roman" w:hAnsi="Times New Roman"/>
                <w:bCs/>
                <w:color w:val="auto"/>
                <w:sz w:val="24"/>
                <w:highlight w:val="none"/>
              </w:rPr>
              <w:t>文件</w:t>
            </w:r>
            <w:r>
              <w:rPr>
                <w:rFonts w:hint="eastAsia" w:ascii="Times New Roman" w:hAnsi="Times New Roman" w:eastAsia="宋体"/>
                <w:bCs/>
                <w:color w:val="auto"/>
                <w:sz w:val="24"/>
                <w:highlight w:val="none"/>
              </w:rPr>
              <w:t>中</w:t>
            </w:r>
            <w:r>
              <w:rPr>
                <w:rFonts w:hint="eastAsia" w:ascii="Times New Roman" w:hAnsi="Times New Roman"/>
                <w:bCs/>
                <w:color w:val="auto"/>
                <w:sz w:val="24"/>
                <w:highlight w:val="none"/>
              </w:rPr>
              <w:t>所称的“电子签章”、“电子签名”，是指经“</w:t>
            </w:r>
            <w:r>
              <w:rPr>
                <w:rFonts w:hint="eastAsia" w:ascii="Times New Roman" w:hAnsi="Times New Roman" w:eastAsia="宋体"/>
                <w:bCs/>
                <w:color w:val="auto"/>
                <w:sz w:val="24"/>
                <w:highlight w:val="none"/>
              </w:rPr>
              <w:t>广西政府采购云平台</w:t>
            </w:r>
            <w:r>
              <w:rPr>
                <w:rFonts w:hint="eastAsia" w:ascii="Times New Roman" w:hAnsi="Times New Roman"/>
                <w:bCs/>
                <w:color w:val="auto"/>
                <w:sz w:val="24"/>
                <w:highlight w:val="none"/>
              </w:rPr>
              <w:t>”认可的 CA 认证的电子签名数据为表现形式的印章，可用于签署电子</w:t>
            </w:r>
            <w:r>
              <w:rPr>
                <w:rFonts w:hint="eastAsia" w:ascii="Times New Roman" w:hAnsi="Times New Roman" w:eastAsia="宋体"/>
                <w:bCs/>
                <w:color w:val="auto"/>
                <w:sz w:val="24"/>
                <w:highlight w:val="none"/>
              </w:rPr>
              <w:t>投标文件</w:t>
            </w:r>
            <w:r>
              <w:rPr>
                <w:rFonts w:hint="eastAsia" w:ascii="Times New Roman" w:hAnsi="Times New Roman"/>
                <w:bCs/>
                <w:color w:val="auto"/>
                <w:sz w:val="24"/>
                <w:highlight w:val="none"/>
              </w:rPr>
              <w:t>，电子印章与实物印章具有同等法律效力，不因其采用电子化表现形式而否定其法律效力。</w:t>
            </w:r>
          </w:p>
          <w:p w14:paraId="4F6F3FDF">
            <w:pPr>
              <w:pStyle w:val="27"/>
              <w:numPr>
                <w:ilvl w:val="0"/>
                <w:numId w:val="2"/>
              </w:numPr>
              <w:spacing w:before="90" w:line="321" w:lineRule="auto"/>
              <w:ind w:right="89"/>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本招标文件中描述投标人的“签字”是指投标人的法定代表人或者委托代理人亲自在文件规定签字处亲笔写上个人的名字的行为，私章、签字章、印鉴、影印等其他形式均不能代替亲笔签字。</w:t>
            </w:r>
          </w:p>
          <w:p w14:paraId="2BAFF593">
            <w:pPr>
              <w:rPr>
                <w:color w:val="auto"/>
                <w:highlight w:val="none"/>
              </w:rPr>
            </w:pPr>
          </w:p>
        </w:tc>
      </w:tr>
      <w:tr w14:paraId="34C8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84" w:type="dxa"/>
            <w:vAlign w:val="center"/>
          </w:tcPr>
          <w:p w14:paraId="37154545">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19</w:t>
            </w:r>
          </w:p>
        </w:tc>
        <w:tc>
          <w:tcPr>
            <w:tcW w:w="1905" w:type="dxa"/>
            <w:vAlign w:val="center"/>
          </w:tcPr>
          <w:p w14:paraId="1A339B2B">
            <w:pPr>
              <w:spacing w:line="360" w:lineRule="auto"/>
              <w:jc w:val="center"/>
              <w:rPr>
                <w:rFonts w:ascii="Times New Roman" w:hAnsi="Times New Roman"/>
                <w:color w:val="auto"/>
                <w:sz w:val="24"/>
                <w:highlight w:val="none"/>
              </w:rPr>
            </w:pPr>
            <w:r>
              <w:rPr>
                <w:rFonts w:ascii="Times New Roman" w:hAnsi="Times New Roman"/>
                <w:color w:val="auto"/>
                <w:sz w:val="24"/>
                <w:highlight w:val="none"/>
              </w:rPr>
              <w:t>监督管理</w:t>
            </w:r>
          </w:p>
          <w:p w14:paraId="12EEFF23">
            <w:pPr>
              <w:spacing w:line="360" w:lineRule="auto"/>
              <w:jc w:val="center"/>
              <w:rPr>
                <w:rFonts w:ascii="Times New Roman" w:hAnsi="Times New Roman"/>
                <w:color w:val="auto"/>
                <w:position w:val="10"/>
                <w:sz w:val="24"/>
                <w:highlight w:val="none"/>
              </w:rPr>
            </w:pPr>
            <w:r>
              <w:rPr>
                <w:rFonts w:ascii="Times New Roman" w:hAnsi="Times New Roman"/>
                <w:color w:val="auto"/>
                <w:sz w:val="24"/>
                <w:highlight w:val="none"/>
              </w:rPr>
              <w:t>部门</w:t>
            </w:r>
          </w:p>
        </w:tc>
        <w:tc>
          <w:tcPr>
            <w:tcW w:w="6843" w:type="dxa"/>
            <w:vAlign w:val="center"/>
          </w:tcPr>
          <w:p w14:paraId="03D183CC">
            <w:pPr>
              <w:spacing w:line="360" w:lineRule="auto"/>
              <w:jc w:val="left"/>
              <w:rPr>
                <w:rFonts w:ascii="Times New Roman" w:hAnsi="Times New Roman"/>
                <w:color w:val="auto"/>
                <w:sz w:val="24"/>
                <w:highlight w:val="none"/>
              </w:rPr>
            </w:pPr>
            <w:r>
              <w:rPr>
                <w:rFonts w:ascii="Times New Roman" w:hAnsi="Times New Roman"/>
                <w:color w:val="auto"/>
                <w:sz w:val="24"/>
                <w:highlight w:val="none"/>
              </w:rPr>
              <w:t xml:space="preserve">桂平市财政局政府采购监督管理股；    </w:t>
            </w:r>
          </w:p>
          <w:p w14:paraId="20723B15">
            <w:pPr>
              <w:spacing w:line="360" w:lineRule="auto"/>
              <w:jc w:val="left"/>
              <w:rPr>
                <w:rFonts w:ascii="Times New Roman" w:hAnsi="Times New Roman"/>
                <w:color w:val="auto"/>
                <w:sz w:val="24"/>
                <w:highlight w:val="none"/>
              </w:rPr>
            </w:pPr>
            <w:r>
              <w:rPr>
                <w:rFonts w:ascii="Times New Roman" w:hAnsi="Times New Roman"/>
                <w:color w:val="auto"/>
                <w:sz w:val="24"/>
                <w:highlight w:val="none"/>
              </w:rPr>
              <w:t>电话：0775-3380263。</w:t>
            </w:r>
          </w:p>
        </w:tc>
      </w:tr>
      <w:tr w14:paraId="5AD7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284" w:type="dxa"/>
            <w:vAlign w:val="center"/>
          </w:tcPr>
          <w:p w14:paraId="4123F2A1">
            <w:pPr>
              <w:spacing w:line="360" w:lineRule="auto"/>
              <w:jc w:val="center"/>
              <w:rPr>
                <w:rFonts w:ascii="Times New Roman" w:hAnsi="Times New Roman"/>
                <w:color w:val="auto"/>
                <w:sz w:val="24"/>
                <w:highlight w:val="none"/>
              </w:rPr>
            </w:pPr>
            <w:r>
              <w:rPr>
                <w:rFonts w:hint="eastAsia" w:ascii="Times New Roman" w:hAnsi="Times New Roman"/>
                <w:color w:val="auto"/>
                <w:sz w:val="24"/>
                <w:highlight w:val="none"/>
              </w:rPr>
              <w:t>20</w:t>
            </w:r>
          </w:p>
        </w:tc>
        <w:tc>
          <w:tcPr>
            <w:tcW w:w="1905" w:type="dxa"/>
            <w:vAlign w:val="center"/>
          </w:tcPr>
          <w:p w14:paraId="63691787">
            <w:pPr>
              <w:spacing w:line="360" w:lineRule="auto"/>
              <w:jc w:val="center"/>
              <w:rPr>
                <w:rFonts w:ascii="Times New Roman" w:hAnsi="Times New Roman"/>
                <w:color w:val="auto"/>
                <w:sz w:val="24"/>
                <w:highlight w:val="none"/>
              </w:rPr>
            </w:pPr>
          </w:p>
        </w:tc>
        <w:tc>
          <w:tcPr>
            <w:tcW w:w="6843" w:type="dxa"/>
            <w:vAlign w:val="center"/>
          </w:tcPr>
          <w:p w14:paraId="3BE19433">
            <w:pPr>
              <w:pStyle w:val="12"/>
              <w:spacing w:line="400" w:lineRule="exact"/>
              <w:ind w:left="2" w:leftChars="1" w:firstLine="1446" w:firstLineChars="600"/>
              <w:jc w:val="left"/>
              <w:rPr>
                <w:rFonts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桂平市政府采购合同融资政策告知函</w:t>
            </w:r>
          </w:p>
          <w:p w14:paraId="33834675">
            <w:pPr>
              <w:pStyle w:val="12"/>
              <w:spacing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各政府采购</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w:t>
            </w:r>
          </w:p>
          <w:p w14:paraId="7D56D418">
            <w:pPr>
              <w:pStyle w:val="12"/>
              <w:spacing w:line="360" w:lineRule="auto"/>
              <w:ind w:firstLine="960" w:firstLineChars="400"/>
              <w:rPr>
                <w:rFonts w:ascii="Times New Roman" w:hAnsi="Times New Roman" w:eastAsia="宋体"/>
                <w:b/>
                <w:color w:val="auto"/>
                <w:sz w:val="48"/>
                <w:szCs w:val="48"/>
                <w:highlight w:val="none"/>
              </w:rPr>
            </w:pPr>
            <w:r>
              <w:rPr>
                <w:rFonts w:ascii="Times New Roman" w:hAnsi="Times New Roman" w:eastAsia="宋体"/>
                <w:color w:val="auto"/>
                <w:sz w:val="24"/>
                <w:szCs w:val="24"/>
                <w:highlight w:val="none"/>
              </w:rPr>
              <w:t>欢迎贵公司参与桂平市政府采购活动!政府采购合同融资是政府加强与银行联动，支持中小微企业发展，针对参与政府采购活动的</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融资难、融资贵问题推出的一项融资政策。贵公司若成为本次政府采购项目的中标成交</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可持政府采购合同向建设银行桂平支行申请信用贷款，单户最高可贷额度3000万元、办理"桂惠贷"后总融资成本可低至2.435％，全流程在线操作便捷。建设银行桂平支行作为目前桂平市唯一一家在政府采购云平台上线"政采贷"业务的金融机构，将根据当地政府采购合同融资工作相关要求，按照双方自愿的原则提供便捷、优惠的融资服务。详情咨询建设银行桂平支行覃经理，咨询电话：0775-3383361；13768559451。</w:t>
            </w:r>
            <w:r>
              <w:rPr>
                <w:rFonts w:hint="eastAsia" w:ascii="Times New Roman" w:hAnsi="Times New Roman" w:eastAsia="宋体"/>
                <w:color w:val="auto"/>
                <w:sz w:val="24"/>
                <w:szCs w:val="24"/>
                <w:highlight w:val="none"/>
              </w:rPr>
              <w:t xml:space="preserve">       </w:t>
            </w:r>
            <w:r>
              <w:rPr>
                <w:rFonts w:ascii="Times New Roman" w:hAnsi="Times New Roman" w:eastAsia="宋体"/>
                <w:color w:val="auto"/>
                <w:sz w:val="24"/>
                <w:highlight w:val="none"/>
              </w:rPr>
              <w:t>桂平市财政局</w:t>
            </w:r>
          </w:p>
          <w:p w14:paraId="70CBD289">
            <w:pPr>
              <w:spacing w:line="360" w:lineRule="auto"/>
              <w:jc w:val="left"/>
              <w:rPr>
                <w:rFonts w:ascii="Times New Roman" w:hAnsi="Times New Roman"/>
                <w:color w:val="auto"/>
                <w:sz w:val="24"/>
                <w:highlight w:val="none"/>
              </w:rPr>
            </w:pPr>
          </w:p>
        </w:tc>
      </w:tr>
    </w:tbl>
    <w:p w14:paraId="4FAF0F66">
      <w:pPr>
        <w:pStyle w:val="12"/>
        <w:snapToGrid w:val="0"/>
        <w:spacing w:before="120" w:after="120" w:line="400" w:lineRule="exact"/>
        <w:rPr>
          <w:rFonts w:hint="eastAsia" w:ascii="宋体" w:hAnsi="宋体" w:eastAsia="宋体" w:cs="宋体"/>
          <w:b/>
          <w:bCs/>
          <w:color w:val="auto"/>
          <w:sz w:val="32"/>
          <w:szCs w:val="36"/>
          <w:highlight w:val="none"/>
        </w:rPr>
      </w:pPr>
    </w:p>
    <w:p w14:paraId="7D8605F8">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13C593DE">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06F8A605">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1C9FC57E">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5370955E">
      <w:pPr>
        <w:pStyle w:val="12"/>
        <w:snapToGrid w:val="0"/>
        <w:spacing w:before="120" w:after="120" w:line="400" w:lineRule="exact"/>
        <w:rPr>
          <w:rFonts w:hint="eastAsia" w:ascii="宋体" w:hAnsi="宋体" w:eastAsia="宋体" w:cs="宋体"/>
          <w:b/>
          <w:bCs/>
          <w:color w:val="auto"/>
          <w:sz w:val="32"/>
          <w:szCs w:val="36"/>
          <w:highlight w:val="none"/>
        </w:rPr>
      </w:pPr>
    </w:p>
    <w:p w14:paraId="6129A664">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0BA38A3B">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099F4048">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494B4DB3">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615B1215">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4452CEF3">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2EFE9230">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7E802792">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7CF8D3DE">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6E724994">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3BAC595F">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5EC109DE">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39BADF35">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7179DFDD">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13D4FA7C">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1E800331">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38D5C630">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p>
    <w:p w14:paraId="3CC3B394">
      <w:pPr>
        <w:pStyle w:val="12"/>
        <w:snapToGrid w:val="0"/>
        <w:spacing w:before="120" w:after="120" w:line="400" w:lineRule="exact"/>
        <w:ind w:firstLine="787" w:firstLineChars="245"/>
        <w:jc w:val="center"/>
        <w:rPr>
          <w:rFonts w:hint="eastAsia" w:ascii="宋体" w:hAnsi="宋体" w:eastAsia="宋体" w:cs="宋体"/>
          <w:b/>
          <w:bCs/>
          <w:color w:val="auto"/>
          <w:sz w:val="32"/>
          <w:szCs w:val="36"/>
          <w:highlight w:val="none"/>
        </w:rPr>
      </w:pPr>
      <w:r>
        <w:rPr>
          <w:rFonts w:hint="eastAsia" w:ascii="宋体" w:hAnsi="宋体" w:eastAsia="宋体" w:cs="宋体"/>
          <w:b/>
          <w:bCs/>
          <w:color w:val="auto"/>
          <w:sz w:val="32"/>
          <w:szCs w:val="36"/>
          <w:highlight w:val="none"/>
        </w:rPr>
        <w:t>投标人须知</w:t>
      </w:r>
    </w:p>
    <w:p w14:paraId="181AB192">
      <w:pPr>
        <w:pStyle w:val="12"/>
        <w:snapToGrid w:val="0"/>
        <w:spacing w:before="120" w:after="120" w:line="400" w:lineRule="exact"/>
        <w:ind w:firstLine="590" w:firstLineChars="245"/>
        <w:jc w:val="left"/>
        <w:rPr>
          <w:rFonts w:ascii="Times New Roman" w:hAnsi="Times New Roman" w:eastAsia="宋体"/>
          <w:b/>
          <w:color w:val="auto"/>
          <w:sz w:val="21"/>
          <w:highlight w:val="none"/>
        </w:rPr>
      </w:pPr>
      <w:r>
        <w:rPr>
          <w:rFonts w:ascii="Times New Roman" w:hAnsi="Times New Roman" w:eastAsia="宋体"/>
          <w:b/>
          <w:color w:val="auto"/>
          <w:sz w:val="24"/>
          <w:szCs w:val="24"/>
          <w:highlight w:val="none"/>
        </w:rPr>
        <w:t>一、总  则</w:t>
      </w:r>
    </w:p>
    <w:p w14:paraId="262F96C6">
      <w:pPr>
        <w:spacing w:line="440" w:lineRule="exact"/>
        <w:ind w:firstLine="472" w:firstLineChars="196"/>
        <w:rPr>
          <w:rFonts w:ascii="Times New Roman" w:hAnsi="Times New Roman"/>
          <w:b/>
          <w:color w:val="auto"/>
          <w:sz w:val="24"/>
          <w:highlight w:val="none"/>
        </w:rPr>
      </w:pPr>
      <w:r>
        <w:rPr>
          <w:rFonts w:ascii="Times New Roman" w:hAnsi="Times New Roman"/>
          <w:b/>
          <w:color w:val="auto"/>
          <w:sz w:val="24"/>
          <w:highlight w:val="none"/>
        </w:rPr>
        <w:t>1、项目名称及项目编号</w:t>
      </w:r>
    </w:p>
    <w:p w14:paraId="1C415B17">
      <w:pPr>
        <w:spacing w:line="440" w:lineRule="exact"/>
        <w:ind w:firstLine="480" w:firstLineChars="200"/>
        <w:rPr>
          <w:rFonts w:hint="eastAsia" w:ascii="Times New Roman" w:hAnsi="Times New Roman" w:eastAsia="宋体"/>
          <w:color w:val="auto"/>
          <w:sz w:val="24"/>
          <w:highlight w:val="none"/>
          <w:lang w:eastAsia="zh-CN"/>
        </w:rPr>
      </w:pPr>
      <w:r>
        <w:rPr>
          <w:rFonts w:ascii="Times New Roman" w:hAnsi="Times New Roman"/>
          <w:color w:val="auto"/>
          <w:sz w:val="24"/>
          <w:highlight w:val="none"/>
        </w:rPr>
        <w:t>项目名称：</w:t>
      </w:r>
      <w:r>
        <w:rPr>
          <w:rFonts w:hint="eastAsia" w:ascii="Times New Roman" w:hAnsi="Times New Roman"/>
          <w:color w:val="auto"/>
          <w:sz w:val="24"/>
          <w:highlight w:val="none"/>
          <w:lang w:eastAsia="zh-CN"/>
        </w:rPr>
        <w:t>桂平市燃气管网生命线及老旧燃气管网更新改造工程项目智慧燃气管理平台服务</w:t>
      </w:r>
    </w:p>
    <w:p w14:paraId="5358E31D">
      <w:pPr>
        <w:spacing w:line="440" w:lineRule="exact"/>
        <w:ind w:firstLine="480" w:firstLineChars="200"/>
        <w:rPr>
          <w:rFonts w:hint="eastAsia" w:ascii="Times New Roman" w:hAnsi="Times New Roman" w:eastAsia="宋体"/>
          <w:color w:val="auto"/>
          <w:sz w:val="24"/>
          <w:highlight w:val="none"/>
          <w:lang w:eastAsia="zh-CN"/>
        </w:rPr>
      </w:pPr>
      <w:r>
        <w:rPr>
          <w:rFonts w:ascii="Times New Roman" w:hAnsi="Times New Roman"/>
          <w:color w:val="auto"/>
          <w:sz w:val="24"/>
          <w:highlight w:val="none"/>
        </w:rPr>
        <w:t>项目编号：</w:t>
      </w:r>
      <w:r>
        <w:rPr>
          <w:rFonts w:hint="eastAsia" w:ascii="Times New Roman" w:hAnsi="Times New Roman"/>
          <w:color w:val="auto"/>
          <w:sz w:val="24"/>
          <w:highlight w:val="none"/>
          <w:lang w:eastAsia="zh-CN"/>
        </w:rPr>
        <w:t>GGZC2025-G3-810144-GXCJ</w:t>
      </w:r>
    </w:p>
    <w:p w14:paraId="7F02F972">
      <w:pPr>
        <w:spacing w:line="440" w:lineRule="exact"/>
        <w:ind w:firstLine="472" w:firstLineChars="196"/>
        <w:rPr>
          <w:rFonts w:ascii="Times New Roman" w:hAnsi="Times New Roman"/>
          <w:b/>
          <w:color w:val="auto"/>
          <w:sz w:val="24"/>
          <w:highlight w:val="none"/>
        </w:rPr>
      </w:pPr>
      <w:r>
        <w:rPr>
          <w:rFonts w:ascii="Times New Roman" w:hAnsi="Times New Roman"/>
          <w:b/>
          <w:color w:val="auto"/>
          <w:sz w:val="24"/>
          <w:highlight w:val="none"/>
        </w:rPr>
        <w:t>2、适应范围</w:t>
      </w:r>
    </w:p>
    <w:p w14:paraId="7E118DD0">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本招标文件适用本招标采购项目的招标、投标、评标、合同履约、验收、付款等行为（法律、法规另有规定的，从其规定）。</w:t>
      </w:r>
    </w:p>
    <w:p w14:paraId="0514FBA3">
      <w:pPr>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3、定义</w:t>
      </w:r>
    </w:p>
    <w:p w14:paraId="0F5B1EBC">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3.1、"招标采购单位"是指组织本次招标的招标人和采购代理机构。</w:t>
      </w:r>
    </w:p>
    <w:p w14:paraId="51F0B97D">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3.2、"投标人"是指向招标方提交投标文件的</w:t>
      </w:r>
      <w:r>
        <w:rPr>
          <w:rFonts w:hint="eastAsia" w:ascii="Times New Roman" w:hAnsi="Times New Roman"/>
          <w:color w:val="auto"/>
          <w:sz w:val="24"/>
          <w:highlight w:val="none"/>
        </w:rPr>
        <w:t>投标人</w:t>
      </w:r>
      <w:r>
        <w:rPr>
          <w:rFonts w:ascii="Times New Roman" w:hAnsi="Times New Roman"/>
          <w:color w:val="auto"/>
          <w:sz w:val="24"/>
          <w:highlight w:val="none"/>
        </w:rPr>
        <w:t>。</w:t>
      </w:r>
    </w:p>
    <w:p w14:paraId="6483EC9E">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3.3、"货物"是指按招标文件规定，投标人须向招标人提供的一切设备、保险、税金、备品备件、工具、手册及其它有关技术资料和材料。</w:t>
      </w:r>
    </w:p>
    <w:p w14:paraId="53532416">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3.4、"服务"是指招标文件规定，投标人须承担的安装、调试、技术协助、校准、培训、技术指导以及其他类似的义务。</w:t>
      </w:r>
    </w:p>
    <w:p w14:paraId="30BA2643">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3.5、"项目"是指投标人按招标文件规定向招标人提供的货物和服务。</w:t>
      </w:r>
    </w:p>
    <w:p w14:paraId="6EAC68B7">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3.6、"书面形式"包括信函、传真、电报。</w:t>
      </w:r>
    </w:p>
    <w:p w14:paraId="3FBA6B2E">
      <w:pPr>
        <w:pStyle w:val="6"/>
        <w:spacing w:line="360" w:lineRule="auto"/>
        <w:ind w:firstLine="482" w:firstLineChars="200"/>
        <w:rPr>
          <w:rFonts w:ascii="Times New Roman" w:hAnsi="Times New Roman"/>
          <w:color w:val="auto"/>
          <w:sz w:val="24"/>
          <w:highlight w:val="none"/>
        </w:rPr>
      </w:pPr>
      <w:r>
        <w:rPr>
          <w:rFonts w:ascii="Times New Roman" w:hAnsi="Times New Roman"/>
          <w:color w:val="auto"/>
          <w:sz w:val="24"/>
          <w:highlight w:val="none"/>
        </w:rPr>
        <w:t>3.7、实质性要求：</w:t>
      </w:r>
      <w:r>
        <w:rPr>
          <w:rFonts w:hint="eastAsia" w:ascii="宋体" w:hAnsi="宋体" w:cs="宋体"/>
          <w:b w:val="0"/>
          <w:color w:val="auto"/>
          <w:sz w:val="24"/>
          <w:szCs w:val="24"/>
          <w:highlight w:val="none"/>
        </w:rPr>
        <w:t>指招标文件中已经指明不满足则投标无效的条款，或者不能负偏离的条款，或者采购需求中带“▲”的条款。</w:t>
      </w:r>
    </w:p>
    <w:p w14:paraId="4FF83105">
      <w:pPr>
        <w:pStyle w:val="12"/>
        <w:spacing w:line="440" w:lineRule="exact"/>
        <w:ind w:firstLine="480" w:firstLineChars="200"/>
        <w:jc w:val="lef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3.8、</w:t>
      </w:r>
      <w:r>
        <w:rPr>
          <w:rFonts w:ascii="Times New Roman" w:hAnsi="Times New Roman" w:eastAsia="宋体"/>
          <w:bCs/>
          <w:color w:val="auto"/>
          <w:sz w:val="24"/>
          <w:szCs w:val="24"/>
          <w:highlight w:val="none"/>
        </w:rPr>
        <w:t>资金来源：</w:t>
      </w:r>
      <w:r>
        <w:rPr>
          <w:rFonts w:hint="eastAsia" w:ascii="Times New Roman" w:hAnsi="Times New Roman" w:eastAsia="宋体"/>
          <w:color w:val="auto"/>
          <w:kern w:val="2"/>
          <w:sz w:val="24"/>
          <w:szCs w:val="24"/>
          <w:highlight w:val="none"/>
        </w:rPr>
        <w:t>财政资金</w:t>
      </w:r>
    </w:p>
    <w:p w14:paraId="5AF2FE2F">
      <w:pPr>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4、招标方式</w:t>
      </w:r>
    </w:p>
    <w:p w14:paraId="6FBF49BE">
      <w:pPr>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公开招标方式。</w:t>
      </w:r>
    </w:p>
    <w:p w14:paraId="0A7FF4F4">
      <w:pPr>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5、投标人资格</w:t>
      </w:r>
    </w:p>
    <w:p w14:paraId="78D4521B">
      <w:pPr>
        <w:tabs>
          <w:tab w:val="left" w:pos="1635"/>
        </w:tabs>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详见投标人须知前附表。</w:t>
      </w:r>
    </w:p>
    <w:p w14:paraId="28421DBA">
      <w:pPr>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6、投标费用</w:t>
      </w:r>
    </w:p>
    <w:p w14:paraId="4F640940">
      <w:pPr>
        <w:tabs>
          <w:tab w:val="left" w:pos="1635"/>
        </w:tabs>
        <w:spacing w:line="440" w:lineRule="exact"/>
        <w:ind w:firstLine="435"/>
        <w:rPr>
          <w:rFonts w:ascii="Times New Roman" w:hAnsi="Times New Roman"/>
          <w:color w:val="auto"/>
          <w:sz w:val="24"/>
          <w:highlight w:val="none"/>
        </w:rPr>
      </w:pPr>
      <w:r>
        <w:rPr>
          <w:rFonts w:hint="eastAsia" w:ascii="Times New Roman" w:hAnsi="Times New Roman"/>
          <w:bCs/>
          <w:color w:val="auto"/>
          <w:sz w:val="24"/>
          <w:highlight w:val="none"/>
        </w:rPr>
        <w:t>投标人</w:t>
      </w:r>
      <w:r>
        <w:rPr>
          <w:rFonts w:ascii="Times New Roman" w:hAnsi="Times New Roman"/>
          <w:bCs/>
          <w:color w:val="auto"/>
          <w:sz w:val="24"/>
          <w:highlight w:val="none"/>
        </w:rPr>
        <w:t>应自行承担所有与编写和提交投标</w:t>
      </w:r>
      <w:r>
        <w:rPr>
          <w:rFonts w:hint="eastAsia" w:ascii="Times New Roman" w:hAnsi="Times New Roman"/>
          <w:bCs/>
          <w:color w:val="auto"/>
          <w:sz w:val="24"/>
          <w:highlight w:val="none"/>
        </w:rPr>
        <w:t>投标文件</w:t>
      </w:r>
      <w:r>
        <w:rPr>
          <w:rFonts w:ascii="Times New Roman" w:hAnsi="Times New Roman"/>
          <w:bCs/>
          <w:color w:val="auto"/>
          <w:sz w:val="24"/>
          <w:highlight w:val="none"/>
        </w:rPr>
        <w:t>有关的费用，</w:t>
      </w:r>
      <w:r>
        <w:rPr>
          <w:rFonts w:ascii="Times New Roman" w:hAnsi="Times New Roman"/>
          <w:color w:val="auto"/>
          <w:sz w:val="24"/>
          <w:highlight w:val="none"/>
        </w:rPr>
        <w:t>不论投标结果如何，投标人均应自行承担所有与投标有关的全部费用。</w:t>
      </w:r>
    </w:p>
    <w:p w14:paraId="3656560B">
      <w:pPr>
        <w:tabs>
          <w:tab w:val="left" w:pos="1635"/>
        </w:tabs>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7、联合体投标要求：本项目接受联合体投标。</w:t>
      </w:r>
    </w:p>
    <w:p w14:paraId="76F3F9C9">
      <w:pPr>
        <w:tabs>
          <w:tab w:val="left" w:pos="1635"/>
        </w:tabs>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8、转包与分包</w:t>
      </w:r>
    </w:p>
    <w:p w14:paraId="202482A6">
      <w:pPr>
        <w:tabs>
          <w:tab w:val="left" w:pos="1635"/>
        </w:tabs>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8.1、本项目不允许转包。</w:t>
      </w:r>
    </w:p>
    <w:p w14:paraId="3D9FDFF1">
      <w:pPr>
        <w:tabs>
          <w:tab w:val="left" w:pos="1635"/>
        </w:tabs>
        <w:spacing w:line="440" w:lineRule="exact"/>
        <w:ind w:firstLine="435"/>
        <w:rPr>
          <w:rFonts w:ascii="Times New Roman" w:hAnsi="Times New Roman"/>
          <w:color w:val="auto"/>
          <w:sz w:val="24"/>
          <w:highlight w:val="none"/>
        </w:rPr>
      </w:pPr>
      <w:r>
        <w:rPr>
          <w:rFonts w:ascii="Times New Roman" w:hAnsi="Times New Roman"/>
          <w:color w:val="auto"/>
          <w:sz w:val="24"/>
          <w:highlight w:val="none"/>
        </w:rPr>
        <w:t>8.2、本项目不可以分包。</w:t>
      </w:r>
    </w:p>
    <w:p w14:paraId="3437D49B">
      <w:pPr>
        <w:tabs>
          <w:tab w:val="left" w:pos="1635"/>
        </w:tabs>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9、特别说明</w:t>
      </w:r>
    </w:p>
    <w:p w14:paraId="2B87E8AE">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9.1关联</w:t>
      </w:r>
      <w:r>
        <w:rPr>
          <w:rFonts w:hint="eastAsia" w:ascii="Times New Roman" w:hAnsi="Times New Roman"/>
          <w:color w:val="auto"/>
          <w:sz w:val="24"/>
          <w:highlight w:val="none"/>
        </w:rPr>
        <w:t>投标人</w:t>
      </w:r>
      <w:r>
        <w:rPr>
          <w:rFonts w:ascii="Times New Roman" w:hAnsi="Times New Roman"/>
          <w:color w:val="auto"/>
          <w:sz w:val="24"/>
          <w:highlight w:val="none"/>
        </w:rPr>
        <w:t>不得参加同一合同项下政府采购活动，否则投标文件将被视为无效：</w:t>
      </w:r>
    </w:p>
    <w:p w14:paraId="503D7244">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（1）单位负责人为同一人或者存在直接控股、管理关系的，不得参加同一合同项下的政府采购活动。</w:t>
      </w:r>
    </w:p>
    <w:p w14:paraId="4734C22C">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9.2</w:t>
      </w:r>
      <w:r>
        <w:rPr>
          <w:rFonts w:hint="eastAsia" w:ascii="Times New Roman" w:hAnsi="Times New Roman"/>
          <w:color w:val="auto"/>
          <w:sz w:val="24"/>
          <w:highlight w:val="none"/>
        </w:rPr>
        <w:t>投标人投标所使用的资格、信誉、荣誉、业绩与企业认证必须为本法人所拥有或按招标文件规定。投标人投标所使用的采购项目实施人员必须为本法人或控股公司员工或按招标文件规定。</w:t>
      </w:r>
    </w:p>
    <w:p w14:paraId="4DFD9DCD">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9.3投标人应仔细阅读招标文件的所有内容，按照招标文件的要求提交投标文件，并对所提供的全部资料的真实性承担法律责任。</w:t>
      </w:r>
    </w:p>
    <w:p w14:paraId="5C268567">
      <w:pPr>
        <w:tabs>
          <w:tab w:val="left" w:pos="2190"/>
        </w:tabs>
        <w:spacing w:line="440" w:lineRule="exact"/>
        <w:ind w:firstLine="470" w:firstLineChars="196"/>
        <w:rPr>
          <w:rFonts w:ascii="Times New Roman" w:hAnsi="Times New Roman"/>
          <w:color w:val="auto"/>
          <w:sz w:val="24"/>
          <w:highlight w:val="none"/>
        </w:rPr>
      </w:pPr>
      <w:r>
        <w:rPr>
          <w:rFonts w:ascii="Times New Roman" w:hAnsi="Times New Roman"/>
          <w:color w:val="auto"/>
          <w:sz w:val="24"/>
          <w:highlight w:val="none"/>
        </w:rPr>
        <w:t>9.4投标人在投标活动中提供任何虚假材料，其投标无效，并报监管部门查处；中标后发现的，中标人须依照《中华人民共和国消费者权益保护法》第49条之规定双倍赔偿招标人，且民事赔偿并不免除违法投标人的行政与刑事责任。</w:t>
      </w:r>
    </w:p>
    <w:p w14:paraId="7EE1F5D3">
      <w:pPr>
        <w:tabs>
          <w:tab w:val="left" w:pos="2190"/>
        </w:tabs>
        <w:spacing w:line="440" w:lineRule="exact"/>
        <w:ind w:firstLine="472" w:firstLineChars="196"/>
        <w:rPr>
          <w:rFonts w:ascii="Times New Roman" w:hAnsi="Times New Roman"/>
          <w:b/>
          <w:color w:val="auto"/>
          <w:sz w:val="24"/>
          <w:highlight w:val="none"/>
        </w:rPr>
      </w:pPr>
      <w:r>
        <w:rPr>
          <w:rFonts w:ascii="Times New Roman" w:hAnsi="Times New Roman"/>
          <w:b/>
          <w:color w:val="auto"/>
          <w:sz w:val="24"/>
          <w:highlight w:val="none"/>
        </w:rPr>
        <w:t>10、质疑和投诉</w:t>
      </w:r>
      <w:r>
        <w:rPr>
          <w:rFonts w:ascii="Times New Roman" w:hAnsi="Times New Roman"/>
          <w:b/>
          <w:color w:val="auto"/>
          <w:sz w:val="24"/>
          <w:highlight w:val="none"/>
        </w:rPr>
        <w:tab/>
      </w:r>
    </w:p>
    <w:p w14:paraId="696D98FF">
      <w:pPr>
        <w:tabs>
          <w:tab w:val="left" w:pos="2190"/>
        </w:tabs>
        <w:spacing w:line="440" w:lineRule="exact"/>
        <w:ind w:firstLine="435"/>
        <w:jc w:val="left"/>
        <w:rPr>
          <w:rFonts w:ascii="Times New Roman" w:hAnsi="Times New Roman"/>
          <w:color w:val="auto"/>
          <w:sz w:val="24"/>
          <w:highlight w:val="none"/>
        </w:rPr>
      </w:pPr>
      <w:r>
        <w:rPr>
          <w:rFonts w:ascii="Times New Roman" w:hAnsi="Times New Roman"/>
          <w:color w:val="auto"/>
          <w:sz w:val="24"/>
          <w:highlight w:val="none"/>
        </w:rPr>
        <w:t>10.1投标人认为招标文件使自己的合法权益受到损害的，应当在获取招标文件之日起七日内以书面形式向招标代理机构提出质疑（提交质疑函时，需附上</w:t>
      </w:r>
      <w:r>
        <w:rPr>
          <w:rFonts w:hint="eastAsia" w:ascii="Times New Roman" w:hAnsi="Times New Roman"/>
          <w:color w:val="auto"/>
          <w:sz w:val="24"/>
          <w:highlight w:val="none"/>
        </w:rPr>
        <w:t>广西政府采购云平台</w:t>
      </w:r>
      <w:r>
        <w:rPr>
          <w:rFonts w:ascii="Times New Roman" w:hAnsi="Times New Roman"/>
          <w:color w:val="auto"/>
          <w:sz w:val="24"/>
          <w:highlight w:val="none"/>
        </w:rPr>
        <w:t>（https://www.zcygov.cn/）下载的报名回执函，否则代理机构有权拒收）。投标人认为招标过程或中标结果使自己的合法权益受到损害的，应当在各采购程序环节结束之日或中标公告期限届满之日起七个工作日内，以书面形式向招标代理机构提出质疑。超过时限递交的</w:t>
      </w:r>
      <w:r>
        <w:rPr>
          <w:rFonts w:hint="eastAsia" w:ascii="Times New Roman" w:hAnsi="Times New Roman"/>
          <w:color w:val="auto"/>
          <w:sz w:val="24"/>
          <w:highlight w:val="none"/>
        </w:rPr>
        <w:t>质疑函</w:t>
      </w:r>
      <w:r>
        <w:rPr>
          <w:rFonts w:ascii="Times New Roman" w:hAnsi="Times New Roman"/>
          <w:color w:val="auto"/>
          <w:sz w:val="24"/>
          <w:highlight w:val="none"/>
        </w:rPr>
        <w:t>代理机构有权拒收</w:t>
      </w:r>
      <w:r>
        <w:rPr>
          <w:rFonts w:hint="eastAsia" w:ascii="Times New Roman" w:hAnsi="Times New Roman"/>
          <w:color w:val="auto"/>
          <w:sz w:val="24"/>
          <w:highlight w:val="none"/>
        </w:rPr>
        <w:t>。</w:t>
      </w:r>
    </w:p>
    <w:p w14:paraId="7598CFBB">
      <w:pPr>
        <w:tabs>
          <w:tab w:val="left" w:pos="2190"/>
        </w:tabs>
        <w:spacing w:line="440" w:lineRule="exact"/>
        <w:ind w:firstLine="435"/>
        <w:jc w:val="left"/>
        <w:rPr>
          <w:rFonts w:ascii="Times New Roman" w:hAnsi="Times New Roman"/>
          <w:color w:val="auto"/>
          <w:sz w:val="24"/>
          <w:highlight w:val="none"/>
        </w:rPr>
      </w:pPr>
      <w:r>
        <w:rPr>
          <w:rFonts w:ascii="Times New Roman" w:hAnsi="Times New Roman"/>
          <w:color w:val="auto"/>
          <w:sz w:val="24"/>
          <w:highlight w:val="none"/>
        </w:rPr>
        <w:t>10.2投标人对招标代理机构的答复不满意或者招标代理机构未在规定的时间内作出答复的，可以在答复期满后十五个工作日内向桂平市政府采购监督管理部门投诉。</w:t>
      </w:r>
    </w:p>
    <w:p w14:paraId="1F405304">
      <w:pPr>
        <w:tabs>
          <w:tab w:val="left" w:pos="2190"/>
        </w:tabs>
        <w:spacing w:line="440" w:lineRule="exact"/>
        <w:ind w:firstLine="435"/>
        <w:jc w:val="left"/>
        <w:rPr>
          <w:rFonts w:ascii="Times New Roman" w:hAnsi="Times New Roman"/>
          <w:b/>
          <w:color w:val="auto"/>
          <w:sz w:val="28"/>
          <w:szCs w:val="28"/>
          <w:highlight w:val="none"/>
        </w:rPr>
      </w:pPr>
      <w:r>
        <w:rPr>
          <w:rFonts w:ascii="Times New Roman" w:hAnsi="Times New Roman"/>
          <w:color w:val="auto"/>
          <w:sz w:val="24"/>
          <w:highlight w:val="none"/>
        </w:rPr>
        <w:t>10.3质疑、投诉应当采用书面形式，质疑书、投诉书实行实名制，均应明确阐述招标文件、招标过程或中标结果中使自己合法权益受到损害的实质性内容，并提供必要的证明材料。</w:t>
      </w:r>
    </w:p>
    <w:p w14:paraId="582330D0">
      <w:pPr>
        <w:tabs>
          <w:tab w:val="left" w:pos="2190"/>
        </w:tabs>
        <w:spacing w:line="440" w:lineRule="exact"/>
        <w:ind w:firstLine="435"/>
        <w:rPr>
          <w:rFonts w:ascii="Times New Roman" w:hAnsi="Times New Roman"/>
          <w:b/>
          <w:color w:val="auto"/>
          <w:sz w:val="28"/>
          <w:szCs w:val="28"/>
          <w:highlight w:val="none"/>
        </w:rPr>
      </w:pPr>
      <w:r>
        <w:rPr>
          <w:rFonts w:ascii="Times New Roman" w:hAnsi="Times New Roman"/>
          <w:b/>
          <w:color w:val="auto"/>
          <w:sz w:val="28"/>
          <w:szCs w:val="28"/>
          <w:highlight w:val="none"/>
        </w:rPr>
        <w:t>二、招标文件</w:t>
      </w:r>
    </w:p>
    <w:p w14:paraId="6850CF97">
      <w:pPr>
        <w:tabs>
          <w:tab w:val="left" w:pos="2190"/>
        </w:tabs>
        <w:spacing w:line="440" w:lineRule="exact"/>
        <w:ind w:firstLine="437"/>
        <w:rPr>
          <w:rFonts w:ascii="Times New Roman" w:hAnsi="Times New Roman"/>
          <w:b/>
          <w:color w:val="auto"/>
          <w:sz w:val="24"/>
          <w:highlight w:val="none"/>
        </w:rPr>
      </w:pPr>
      <w:r>
        <w:rPr>
          <w:rFonts w:ascii="Times New Roman" w:hAnsi="Times New Roman"/>
          <w:b/>
          <w:color w:val="auto"/>
          <w:sz w:val="24"/>
          <w:highlight w:val="none"/>
        </w:rPr>
        <w:t>11、招标文件的构成</w:t>
      </w:r>
    </w:p>
    <w:p w14:paraId="6346CB9F">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（1）公开招标公告；</w:t>
      </w:r>
    </w:p>
    <w:p w14:paraId="01B30148">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（2）投标人须知及前附表；</w:t>
      </w:r>
    </w:p>
    <w:p w14:paraId="76BC7BDD">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（3）</w:t>
      </w:r>
      <w:r>
        <w:rPr>
          <w:rFonts w:hint="eastAsia" w:ascii="Times New Roman" w:hAnsi="Times New Roman"/>
          <w:color w:val="auto"/>
          <w:sz w:val="24"/>
          <w:highlight w:val="none"/>
        </w:rPr>
        <w:t>项目采购需求</w:t>
      </w:r>
      <w:r>
        <w:rPr>
          <w:rFonts w:ascii="Times New Roman" w:hAnsi="Times New Roman"/>
          <w:color w:val="auto"/>
          <w:sz w:val="24"/>
          <w:highlight w:val="none"/>
        </w:rPr>
        <w:t>；</w:t>
      </w:r>
    </w:p>
    <w:p w14:paraId="3CDDB07C">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（4）评标原则及评分标准；</w:t>
      </w:r>
    </w:p>
    <w:p w14:paraId="124C4CDA">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（5）合同主要条款及格式；</w:t>
      </w:r>
    </w:p>
    <w:p w14:paraId="3FAB8BC7">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（6）投标文件格式。</w:t>
      </w:r>
    </w:p>
    <w:p w14:paraId="7B81C196">
      <w:pPr>
        <w:tabs>
          <w:tab w:val="left" w:pos="2190"/>
        </w:tabs>
        <w:spacing w:line="440" w:lineRule="exact"/>
        <w:ind w:firstLine="437"/>
        <w:rPr>
          <w:rFonts w:ascii="Times New Roman" w:hAnsi="Times New Roman"/>
          <w:b/>
          <w:color w:val="auto"/>
          <w:sz w:val="24"/>
          <w:highlight w:val="none"/>
        </w:rPr>
      </w:pPr>
      <w:r>
        <w:rPr>
          <w:rFonts w:ascii="Times New Roman" w:hAnsi="Times New Roman"/>
          <w:b/>
          <w:color w:val="auto"/>
          <w:sz w:val="24"/>
          <w:highlight w:val="none"/>
        </w:rPr>
        <w:t>12、招标文件的澄清与修改</w:t>
      </w:r>
    </w:p>
    <w:p w14:paraId="303319FC">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12.1、投标人应认真阅读招标文件，发现其中有误或有不合理要求的，投标人必须在招标文件获取之日起七日内以书面形式要求招标代理机构澄清。</w:t>
      </w:r>
    </w:p>
    <w:p w14:paraId="57468292">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12.2、招标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招标代理机构应当在投标截止时间至少15日前在本招标项目招标公告发布的同一媒体上发布更正公告；不足15日的，招标代理机构应当顺延提交投标文件的截止时间。</w:t>
      </w:r>
    </w:p>
    <w:p w14:paraId="23D44CA4">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12.3、投标人获取招标文件后应实时关注相关网站了解澄清、修改等与项目有关的内容，如因投标人未及时登录相关网站了解澄清、修改等与项目有关的内容，从而导致投标无效的，由投标人自行承担责任。</w:t>
      </w:r>
    </w:p>
    <w:p w14:paraId="043DA55F">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12.4、必要的澄清、修改的内容为招标文件的组成部分。当澄清、修改通知就同一内容的表述不一致时，以最后发出的书面文件为准。</w:t>
      </w:r>
    </w:p>
    <w:p w14:paraId="4296A6A9">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12.5、招标文件的澄清、修改都应该通过招标代理机构以法定形式发布，招标人非通过本机构，不得擅自澄清、修改招标文件。</w:t>
      </w:r>
    </w:p>
    <w:p w14:paraId="300F0EDC">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12.6、招标人或者招标代理机构可以视采购具体情况，延长投标截止时间和开标时间，并在本项目招标公告发布的同一媒体上发布变更公告。</w:t>
      </w:r>
    </w:p>
    <w:p w14:paraId="2F6752A4">
      <w:pPr>
        <w:tabs>
          <w:tab w:val="left" w:pos="2190"/>
        </w:tabs>
        <w:spacing w:line="440" w:lineRule="exact"/>
        <w:ind w:firstLine="437"/>
        <w:rPr>
          <w:rFonts w:ascii="Times New Roman" w:hAnsi="Times New Roman"/>
          <w:b/>
          <w:color w:val="auto"/>
          <w:sz w:val="24"/>
          <w:highlight w:val="none"/>
        </w:rPr>
      </w:pPr>
      <w:r>
        <w:rPr>
          <w:rFonts w:ascii="Times New Roman" w:hAnsi="Times New Roman"/>
          <w:b/>
          <w:color w:val="auto"/>
          <w:sz w:val="24"/>
          <w:highlight w:val="none"/>
        </w:rPr>
        <w:t>12.7</w:t>
      </w:r>
      <w:r>
        <w:rPr>
          <w:rFonts w:ascii="Times New Roman" w:hAnsi="Times New Roman"/>
          <w:color w:val="auto"/>
          <w:sz w:val="24"/>
          <w:highlight w:val="none"/>
        </w:rPr>
        <w:t>询问、质疑和投诉</w:t>
      </w:r>
    </w:p>
    <w:p w14:paraId="0CB5807F">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12.7.1.</w:t>
      </w:r>
      <w:r>
        <w:rPr>
          <w:rFonts w:hint="eastAsia" w:ascii="Times New Roman" w:hAnsi="Times New Roman"/>
          <w:color w:val="auto"/>
          <w:sz w:val="24"/>
          <w:highlight w:val="none"/>
        </w:rPr>
        <w:t>投标人</w:t>
      </w:r>
      <w:r>
        <w:rPr>
          <w:rFonts w:ascii="Times New Roman" w:hAnsi="Times New Roman"/>
          <w:color w:val="auto"/>
          <w:sz w:val="24"/>
          <w:highlight w:val="none"/>
        </w:rPr>
        <w:t>对政府采购活动事项有疑问的，可以向招标人、招标代理机构提出询问。</w:t>
      </w:r>
    </w:p>
    <w:p w14:paraId="750759EB">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12.7.2</w:t>
      </w:r>
      <w:r>
        <w:rPr>
          <w:rFonts w:hint="eastAsia" w:ascii="Times New Roman" w:hAnsi="Times New Roman"/>
          <w:color w:val="auto"/>
          <w:sz w:val="24"/>
          <w:highlight w:val="none"/>
        </w:rPr>
        <w:t>投标人</w:t>
      </w:r>
      <w:r>
        <w:rPr>
          <w:rFonts w:ascii="Times New Roman" w:hAnsi="Times New Roman"/>
          <w:color w:val="auto"/>
          <w:sz w:val="24"/>
          <w:highlight w:val="none"/>
        </w:rPr>
        <w:t>认为招标文件、招标过程或中标结果使自己的合法权益受到损害的，应当在知道或者应知其权益受到损害之日起七个工作日内，以书面形式向招标人、招标代理机构提出质疑</w:t>
      </w:r>
      <w:r>
        <w:rPr>
          <w:rFonts w:hint="eastAsia" w:ascii="Times New Roman" w:hAnsi="Times New Roman"/>
          <w:color w:val="auto"/>
          <w:sz w:val="24"/>
          <w:highlight w:val="none"/>
        </w:rPr>
        <w:t>，</w:t>
      </w:r>
      <w:r>
        <w:rPr>
          <w:rFonts w:ascii="Times New Roman" w:hAnsi="Times New Roman"/>
          <w:color w:val="auto"/>
          <w:sz w:val="24"/>
          <w:highlight w:val="none"/>
        </w:rPr>
        <w:t>超过时限递交的</w:t>
      </w:r>
      <w:r>
        <w:rPr>
          <w:rFonts w:hint="eastAsia" w:ascii="Times New Roman" w:hAnsi="Times New Roman"/>
          <w:color w:val="auto"/>
          <w:sz w:val="24"/>
          <w:highlight w:val="none"/>
        </w:rPr>
        <w:t>质疑函</w:t>
      </w:r>
      <w:r>
        <w:rPr>
          <w:rFonts w:ascii="Times New Roman" w:hAnsi="Times New Roman"/>
          <w:color w:val="auto"/>
          <w:sz w:val="24"/>
          <w:highlight w:val="none"/>
        </w:rPr>
        <w:t>代理机构有权拒收</w:t>
      </w:r>
      <w:r>
        <w:rPr>
          <w:rFonts w:hint="eastAsia" w:ascii="Times New Roman" w:hAnsi="Times New Roman"/>
          <w:color w:val="auto"/>
          <w:sz w:val="24"/>
          <w:highlight w:val="none"/>
        </w:rPr>
        <w:t>。</w:t>
      </w:r>
      <w:r>
        <w:rPr>
          <w:rFonts w:ascii="Times New Roman" w:hAnsi="Times New Roman"/>
          <w:color w:val="auto"/>
          <w:sz w:val="24"/>
          <w:highlight w:val="none"/>
        </w:rPr>
        <w:t>具体计算时间如下：</w:t>
      </w:r>
    </w:p>
    <w:p w14:paraId="55C52BA6">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（一）对可以质疑的招标文件提出质疑的，为</w:t>
      </w:r>
      <w:r>
        <w:rPr>
          <w:rFonts w:hint="eastAsia" w:ascii="Times New Roman" w:hAnsi="Times New Roman"/>
          <w:color w:val="auto"/>
          <w:sz w:val="24"/>
          <w:highlight w:val="none"/>
        </w:rPr>
        <w:t>广西政府采购云平台</w:t>
      </w:r>
      <w:r>
        <w:rPr>
          <w:rFonts w:ascii="Times New Roman" w:hAnsi="Times New Roman"/>
          <w:color w:val="auto"/>
          <w:sz w:val="24"/>
          <w:highlight w:val="none"/>
        </w:rPr>
        <w:t>下载招标文件之日；</w:t>
      </w:r>
    </w:p>
    <w:p w14:paraId="10C9B199">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（二）对招标过程提出质疑的，为各招标程序环节结束之日；</w:t>
      </w:r>
    </w:p>
    <w:p w14:paraId="525990C2">
      <w:pPr>
        <w:tabs>
          <w:tab w:val="left" w:pos="2190"/>
        </w:tabs>
        <w:spacing w:line="440" w:lineRule="exact"/>
        <w:ind w:firstLine="437"/>
        <w:rPr>
          <w:rFonts w:ascii="Times New Roman" w:hAnsi="Times New Roman"/>
          <w:color w:val="auto"/>
          <w:sz w:val="24"/>
          <w:highlight w:val="none"/>
        </w:rPr>
      </w:pPr>
      <w:r>
        <w:rPr>
          <w:rFonts w:ascii="Times New Roman" w:hAnsi="Times New Roman"/>
          <w:color w:val="auto"/>
          <w:sz w:val="24"/>
          <w:highlight w:val="none"/>
        </w:rPr>
        <w:t>（三）对中标结果提出质疑的，为中标结果公告期限届满之日。</w:t>
      </w:r>
    </w:p>
    <w:p w14:paraId="23E940D0">
      <w:pPr>
        <w:tabs>
          <w:tab w:val="left" w:pos="2190"/>
        </w:tabs>
        <w:spacing w:line="440" w:lineRule="exact"/>
        <w:ind w:firstLine="437"/>
        <w:rPr>
          <w:rFonts w:ascii="Times New Roman" w:hAnsi="Times New Roman"/>
          <w:color w:val="auto"/>
          <w:sz w:val="24"/>
          <w:highlight w:val="none"/>
        </w:rPr>
      </w:pPr>
      <w:r>
        <w:rPr>
          <w:rFonts w:hint="eastAsia" w:ascii="Times New Roman" w:hAnsi="Times New Roman"/>
          <w:color w:val="auto"/>
          <w:sz w:val="24"/>
          <w:highlight w:val="none"/>
        </w:rPr>
        <w:t>投标人</w:t>
      </w:r>
      <w:r>
        <w:rPr>
          <w:rFonts w:ascii="Times New Roman" w:hAnsi="Times New Roman"/>
          <w:color w:val="auto"/>
          <w:sz w:val="24"/>
          <w:highlight w:val="none"/>
        </w:rPr>
        <w:t>对招标人或招标代理机构的质疑答复不满意或者招标人或招标代理机构未在规定时间内作出答复的，可以在答复期满后十五个工作日内向同级采购监管部门投诉。</w:t>
      </w:r>
    </w:p>
    <w:p w14:paraId="3EFEE0B2">
      <w:pPr>
        <w:tabs>
          <w:tab w:val="left" w:pos="2190"/>
        </w:tabs>
        <w:spacing w:line="440" w:lineRule="exact"/>
        <w:ind w:firstLine="437"/>
        <w:rPr>
          <w:rFonts w:ascii="Times New Roman" w:hAnsi="Times New Roman"/>
          <w:color w:val="auto"/>
          <w:highlight w:val="none"/>
        </w:rPr>
      </w:pPr>
      <w:r>
        <w:rPr>
          <w:rFonts w:ascii="Times New Roman" w:hAnsi="Times New Roman"/>
          <w:color w:val="auto"/>
          <w:sz w:val="24"/>
          <w:highlight w:val="none"/>
        </w:rPr>
        <w:t>12.7.3质疑、投诉应当采用书面形式，质疑书、投诉书均应明确阐述招标文件、招标过程、中标结果中使自己合法权益受到损害的实质性内容，提供相关事实、明确的请求、必要的证明材料，便于有关单位调查、答复和处理。</w:t>
      </w:r>
    </w:p>
    <w:p w14:paraId="5120A5C0">
      <w:pPr>
        <w:tabs>
          <w:tab w:val="left" w:pos="2190"/>
        </w:tabs>
        <w:spacing w:line="440" w:lineRule="exact"/>
        <w:ind w:firstLine="435"/>
        <w:jc w:val="center"/>
        <w:rPr>
          <w:rFonts w:ascii="Times New Roman" w:hAnsi="Times New Roman"/>
          <w:b/>
          <w:color w:val="auto"/>
          <w:sz w:val="28"/>
          <w:szCs w:val="28"/>
          <w:highlight w:val="none"/>
        </w:rPr>
      </w:pPr>
    </w:p>
    <w:p w14:paraId="67CFC47D">
      <w:pPr>
        <w:tabs>
          <w:tab w:val="left" w:pos="2190"/>
        </w:tabs>
        <w:spacing w:line="440" w:lineRule="exact"/>
        <w:ind w:firstLine="435"/>
        <w:jc w:val="center"/>
        <w:rPr>
          <w:rFonts w:ascii="Times New Roman" w:hAnsi="Times New Roman"/>
          <w:b/>
          <w:color w:val="auto"/>
          <w:sz w:val="28"/>
          <w:szCs w:val="28"/>
          <w:highlight w:val="none"/>
        </w:rPr>
      </w:pPr>
      <w:r>
        <w:rPr>
          <w:rFonts w:ascii="Times New Roman" w:hAnsi="Times New Roman"/>
          <w:b/>
          <w:color w:val="auto"/>
          <w:sz w:val="28"/>
          <w:szCs w:val="28"/>
          <w:highlight w:val="none"/>
        </w:rPr>
        <w:t>三、投标文件的编制</w:t>
      </w:r>
    </w:p>
    <w:p w14:paraId="7E6546AF">
      <w:pPr>
        <w:tabs>
          <w:tab w:val="left" w:pos="1305"/>
        </w:tabs>
        <w:spacing w:line="440" w:lineRule="exact"/>
        <w:ind w:firstLine="482" w:firstLineChars="200"/>
        <w:rPr>
          <w:rFonts w:ascii="Times New Roman" w:hAnsi="Times New Roman"/>
          <w:color w:val="auto"/>
          <w:highlight w:val="none"/>
        </w:rPr>
      </w:pPr>
      <w:r>
        <w:rPr>
          <w:rFonts w:ascii="Times New Roman" w:hAnsi="Times New Roman"/>
          <w:b/>
          <w:color w:val="auto"/>
          <w:sz w:val="24"/>
          <w:highlight w:val="none"/>
        </w:rPr>
        <w:t>13、投标文件的组成及要求</w:t>
      </w:r>
    </w:p>
    <w:p w14:paraId="7C93A2EB">
      <w:pPr>
        <w:tabs>
          <w:tab w:val="left" w:pos="2190"/>
        </w:tabs>
        <w:spacing w:line="440" w:lineRule="exact"/>
        <w:ind w:firstLine="435"/>
        <w:rPr>
          <w:rFonts w:ascii="Times New Roman" w:hAnsi="Times New Roman"/>
          <w:b/>
          <w:color w:val="auto"/>
          <w:sz w:val="24"/>
          <w:highlight w:val="none"/>
        </w:rPr>
      </w:pPr>
      <w:r>
        <w:rPr>
          <w:rFonts w:ascii="Times New Roman" w:hAnsi="Times New Roman"/>
          <w:color w:val="auto"/>
          <w:sz w:val="24"/>
          <w:highlight w:val="none"/>
        </w:rPr>
        <w:t>13.1、</w:t>
      </w:r>
      <w:r>
        <w:rPr>
          <w:rFonts w:ascii="Times New Roman" w:hAnsi="Times New Roman"/>
          <w:b/>
          <w:color w:val="auto"/>
          <w:sz w:val="24"/>
          <w:highlight w:val="none"/>
        </w:rPr>
        <w:t>投标文件的组成（格式见第六章投标文件格式）</w:t>
      </w:r>
    </w:p>
    <w:p w14:paraId="62752EB6">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投标文件资格审查文件</w:t>
      </w:r>
      <w:r>
        <w:rPr>
          <w:rFonts w:hint="eastAsia" w:ascii="Times New Roman" w:hAnsi="Times New Roman"/>
          <w:color w:val="auto"/>
          <w:kern w:val="0"/>
          <w:sz w:val="24"/>
          <w:highlight w:val="none"/>
          <w:lang w:bidi="ar"/>
        </w:rPr>
        <w:t>、</w:t>
      </w:r>
      <w:r>
        <w:rPr>
          <w:rFonts w:ascii="Times New Roman" w:hAnsi="Times New Roman"/>
          <w:color w:val="auto"/>
          <w:kern w:val="0"/>
          <w:sz w:val="24"/>
          <w:highlight w:val="none"/>
          <w:lang w:bidi="ar"/>
        </w:rPr>
        <w:t xml:space="preserve">价格文件和商务技术文件三部分组成。 </w:t>
      </w:r>
    </w:p>
    <w:p w14:paraId="1903C08B">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本项目实行电子投标，</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应准备电子投标文件： </w:t>
      </w:r>
    </w:p>
    <w:p w14:paraId="4E59FE68">
      <w:pPr>
        <w:widowControl/>
        <w:spacing w:line="440" w:lineRule="exact"/>
        <w:ind w:firstLine="480" w:firstLineChars="200"/>
        <w:jc w:val="left"/>
        <w:rPr>
          <w:rFonts w:ascii="Times New Roman" w:hAnsi="Times New Roman"/>
          <w:color w:val="auto"/>
          <w:sz w:val="24"/>
          <w:highlight w:val="none"/>
        </w:rPr>
      </w:pPr>
      <w:r>
        <w:rPr>
          <w:rFonts w:ascii="Times New Roman" w:hAnsi="Times New Roman"/>
          <w:color w:val="auto"/>
          <w:kern w:val="0"/>
          <w:sz w:val="24"/>
          <w:highlight w:val="none"/>
          <w:lang w:bidi="ar"/>
        </w:rPr>
        <w:t>（1）电子投标文件按</w:t>
      </w:r>
      <w:r>
        <w:rPr>
          <w:rFonts w:hint="eastAsia" w:ascii="Times New Roman" w:hAnsi="Times New Roman"/>
          <w:color w:val="auto"/>
          <w:kern w:val="0"/>
          <w:sz w:val="24"/>
          <w:highlight w:val="none"/>
          <w:lang w:bidi="ar"/>
        </w:rPr>
        <w:t>广西政府采购云平台</w:t>
      </w:r>
      <w:r>
        <w:rPr>
          <w:rFonts w:ascii="Times New Roman" w:hAnsi="Times New Roman"/>
          <w:color w:val="auto"/>
          <w:kern w:val="0"/>
          <w:sz w:val="24"/>
          <w:highlight w:val="none"/>
          <w:lang w:bidi="ar"/>
        </w:rPr>
        <w:t>要求及本公开招标文件要求制作、加密并递交。具体操作流程可参考 《 政 府 采 购 项 目 电 子 交 易 管 理 操 作 指 南 - 供 应 商 》 ， 指 南 可 在 "http</w:t>
      </w:r>
      <w:r>
        <w:rPr>
          <w:rFonts w:hint="eastAsia" w:ascii="Times New Roman" w:hAnsi="Times New Roman"/>
          <w:color w:val="auto"/>
          <w:kern w:val="0"/>
          <w:sz w:val="24"/>
          <w:highlight w:val="none"/>
          <w:lang w:bidi="ar"/>
        </w:rPr>
        <w:t>：</w:t>
      </w:r>
      <w:r>
        <w:rPr>
          <w:rFonts w:ascii="Times New Roman" w:hAnsi="Times New Roman"/>
          <w:color w:val="auto"/>
          <w:kern w:val="0"/>
          <w:sz w:val="24"/>
          <w:highlight w:val="none"/>
          <w:lang w:bidi="ar"/>
        </w:rPr>
        <w:t xml:space="preserve">//www.ccgp-guangxi.gov.cn/PurchaseAdvisory/ImportantNotice/2866753.html"下载。 </w:t>
      </w:r>
    </w:p>
    <w:p w14:paraId="20AB1B7F">
      <w:pPr>
        <w:tabs>
          <w:tab w:val="left" w:pos="2190"/>
        </w:tabs>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13.1.1资格审查文件：</w:t>
      </w:r>
    </w:p>
    <w:p w14:paraId="07AA8E05">
      <w:pPr>
        <w:numPr>
          <w:ilvl w:val="0"/>
          <w:numId w:val="3"/>
        </w:numPr>
        <w:tabs>
          <w:tab w:val="left" w:pos="1305"/>
        </w:tabs>
        <w:snapToGrid/>
        <w:spacing w:line="440" w:lineRule="exact"/>
        <w:ind w:firstLine="240" w:firstLineChars="100"/>
        <w:jc w:val="left"/>
        <w:rPr>
          <w:rFonts w:hint="eastAsia" w:ascii="宋体" w:hAnsi="宋体" w:cs="宋体"/>
          <w:color w:val="auto"/>
          <w:highlight w:val="none"/>
        </w:rPr>
      </w:pPr>
      <w:r>
        <w:rPr>
          <w:rFonts w:ascii="Times New Roman" w:hAnsi="Times New Roman"/>
          <w:bCs/>
          <w:color w:val="auto"/>
          <w:sz w:val="24"/>
          <w:highlight w:val="none"/>
        </w:rPr>
        <w:t>投标承诺函</w:t>
      </w:r>
      <w:r>
        <w:rPr>
          <w:rFonts w:ascii="Times New Roman" w:hAnsi="Times New Roman"/>
          <w:b/>
          <w:color w:val="auto"/>
          <w:sz w:val="24"/>
          <w:highlight w:val="none"/>
        </w:rPr>
        <w:t>（必须提供，否则投标响应无效</w:t>
      </w:r>
      <w:r>
        <w:rPr>
          <w:rFonts w:hint="eastAsia" w:ascii="Times New Roman" w:hAnsi="Times New Roman"/>
          <w:b/>
          <w:color w:val="auto"/>
          <w:sz w:val="24"/>
          <w:highlight w:val="none"/>
          <w:lang w:eastAsia="zh-CN"/>
        </w:rPr>
        <w:t>，以联合体形式投标的，须提供所有联合体成员的投标承诺函</w:t>
      </w:r>
      <w:r>
        <w:rPr>
          <w:rFonts w:ascii="Times New Roman" w:hAnsi="Times New Roman"/>
          <w:b/>
          <w:color w:val="auto"/>
          <w:sz w:val="24"/>
          <w:highlight w:val="none"/>
        </w:rPr>
        <w:t>）；</w:t>
      </w:r>
    </w:p>
    <w:p w14:paraId="798A898E">
      <w:pPr>
        <w:numPr>
          <w:ilvl w:val="0"/>
          <w:numId w:val="3"/>
        </w:numPr>
        <w:tabs>
          <w:tab w:val="left" w:pos="1305"/>
        </w:tabs>
        <w:spacing w:line="440" w:lineRule="exact"/>
        <w:ind w:firstLine="240" w:firstLineChars="100"/>
        <w:jc w:val="left"/>
        <w:rPr>
          <w:rFonts w:ascii="Times New Roman" w:hAnsi="Times New Roman"/>
          <w:b/>
          <w:color w:val="auto"/>
          <w:sz w:val="24"/>
          <w:highlight w:val="none"/>
        </w:rPr>
      </w:pPr>
      <w:r>
        <w:rPr>
          <w:rFonts w:hint="default" w:ascii="Times New Roman" w:hAnsi="Times New Roman" w:eastAsia="宋体" w:cs="Times New Roman"/>
          <w:bCs/>
          <w:color w:val="auto"/>
          <w:sz w:val="24"/>
          <w:highlight w:val="none"/>
        </w:rPr>
        <w:t>投标声明（</w:t>
      </w:r>
      <w:r>
        <w:rPr>
          <w:rFonts w:hint="default" w:ascii="Times New Roman" w:hAnsi="Times New Roman" w:eastAsia="宋体" w:cs="Times New Roman"/>
          <w:b/>
          <w:bCs w:val="0"/>
          <w:color w:val="auto"/>
          <w:sz w:val="24"/>
          <w:highlight w:val="none"/>
        </w:rPr>
        <w:t>必须提供，否则投标响应无效，以联合体形式投标的，须提供所有联合体成员的投标声明书</w:t>
      </w:r>
      <w:r>
        <w:rPr>
          <w:rFonts w:hint="default" w:ascii="Times New Roman" w:hAnsi="Times New Roman" w:eastAsia="宋体" w:cs="Times New Roman"/>
          <w:b w:val="0"/>
          <w:bCs/>
          <w:color w:val="auto"/>
          <w:sz w:val="24"/>
          <w:highlight w:val="none"/>
        </w:rPr>
        <w:t>）</w:t>
      </w:r>
    </w:p>
    <w:p w14:paraId="4C403C62">
      <w:pPr>
        <w:tabs>
          <w:tab w:val="left" w:pos="1305"/>
        </w:tabs>
        <w:spacing w:line="440" w:lineRule="exact"/>
        <w:ind w:firstLine="240" w:firstLineChars="100"/>
        <w:rPr>
          <w:rFonts w:ascii="Times New Roman" w:hAnsi="Times New Roman"/>
          <w:bCs/>
          <w:color w:val="auto"/>
          <w:sz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val="en-US" w:eastAsia="zh-CN"/>
        </w:rPr>
        <w:t>3</w:t>
      </w:r>
      <w:r>
        <w:rPr>
          <w:rFonts w:ascii="Times New Roman" w:hAnsi="Times New Roman"/>
          <w:bCs/>
          <w:color w:val="auto"/>
          <w:sz w:val="24"/>
          <w:highlight w:val="none"/>
        </w:rPr>
        <w:t>）</w:t>
      </w:r>
      <w:r>
        <w:rPr>
          <w:rFonts w:ascii="Arial" w:hAnsi="Arial" w:cs="Arial"/>
          <w:bCs/>
          <w:color w:val="auto"/>
          <w:sz w:val="24"/>
          <w:highlight w:val="none"/>
        </w:rPr>
        <w:t>法定代表人身份证明书及身份证正反面复印件，要求证件有效并与营业执照中的法定代表人相符</w:t>
      </w:r>
      <w:r>
        <w:rPr>
          <w:rFonts w:ascii="Times New Roman" w:hAnsi="Times New Roman"/>
          <w:b/>
          <w:color w:val="auto"/>
          <w:sz w:val="24"/>
          <w:highlight w:val="none"/>
        </w:rPr>
        <w:t>（必须提供，否则投标响应无效</w:t>
      </w:r>
      <w:r>
        <w:rPr>
          <w:rFonts w:hint="eastAsia" w:ascii="Times New Roman" w:hAnsi="Times New Roman"/>
          <w:b/>
          <w:color w:val="auto"/>
          <w:sz w:val="24"/>
          <w:highlight w:val="none"/>
          <w:lang w:eastAsia="zh-CN"/>
        </w:rPr>
        <w:t>，</w:t>
      </w:r>
      <w:r>
        <w:rPr>
          <w:rFonts w:hint="eastAsia" w:ascii="Times New Roman" w:hAnsi="Times New Roman"/>
          <w:b/>
          <w:bCs w:val="0"/>
          <w:color w:val="auto"/>
          <w:sz w:val="24"/>
          <w:highlight w:val="none"/>
          <w:lang w:eastAsia="zh-CN"/>
        </w:rPr>
        <w:t>以联合体形式投标的，</w:t>
      </w:r>
      <w:r>
        <w:rPr>
          <w:rFonts w:hint="eastAsia" w:ascii="宋体" w:hAnsi="宋体" w:cs="宋体"/>
          <w:b/>
          <w:bCs/>
          <w:color w:val="auto"/>
          <w:sz w:val="24"/>
          <w:szCs w:val="24"/>
          <w:highlight w:val="none"/>
        </w:rPr>
        <w:t>须提供所有联合体成员的法定代表人身份证扫描件</w:t>
      </w:r>
      <w:r>
        <w:rPr>
          <w:rFonts w:ascii="Times New Roman" w:hAnsi="Times New Roman"/>
          <w:b/>
          <w:color w:val="auto"/>
          <w:sz w:val="24"/>
          <w:highlight w:val="none"/>
        </w:rPr>
        <w:t>）；</w:t>
      </w:r>
    </w:p>
    <w:p w14:paraId="661564EF">
      <w:pPr>
        <w:tabs>
          <w:tab w:val="left" w:pos="1305"/>
        </w:tabs>
        <w:spacing w:line="440" w:lineRule="exact"/>
        <w:ind w:firstLine="240" w:firstLineChars="100"/>
        <w:rPr>
          <w:rFonts w:ascii="Times New Roman" w:hAnsi="Times New Roman"/>
          <w:bCs/>
          <w:color w:val="auto"/>
          <w:sz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val="en-US" w:eastAsia="zh-CN"/>
        </w:rPr>
        <w:t>4</w:t>
      </w:r>
      <w:r>
        <w:rPr>
          <w:rFonts w:ascii="Times New Roman" w:hAnsi="Times New Roman"/>
          <w:bCs/>
          <w:color w:val="auto"/>
          <w:sz w:val="24"/>
          <w:highlight w:val="none"/>
        </w:rPr>
        <w:t>）</w:t>
      </w:r>
      <w:r>
        <w:rPr>
          <w:rFonts w:ascii="Arial" w:hAnsi="Arial" w:cs="Arial"/>
          <w:bCs/>
          <w:color w:val="auto"/>
          <w:sz w:val="24"/>
          <w:highlight w:val="none"/>
        </w:rPr>
        <w:t>法定代表人授权委托书原件和委托代理人有效的身份证正反面复印件</w:t>
      </w:r>
      <w:r>
        <w:rPr>
          <w:rFonts w:ascii="Times New Roman" w:hAnsi="Times New Roman"/>
          <w:b/>
          <w:color w:val="auto"/>
          <w:sz w:val="24"/>
          <w:highlight w:val="none"/>
        </w:rPr>
        <w:t>（委托代理时必须提供，否则投标响应无效）；</w:t>
      </w:r>
    </w:p>
    <w:p w14:paraId="4E377E50">
      <w:pPr>
        <w:tabs>
          <w:tab w:val="left" w:pos="1305"/>
        </w:tabs>
        <w:spacing w:line="440" w:lineRule="exact"/>
        <w:ind w:firstLine="240" w:firstLineChars="100"/>
        <w:rPr>
          <w:rFonts w:ascii="Times New Roman" w:hAnsi="Times New Roman"/>
          <w:bCs/>
          <w:color w:val="auto"/>
          <w:sz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val="en-US" w:eastAsia="zh-CN"/>
        </w:rPr>
        <w:t>5</w:t>
      </w:r>
      <w:r>
        <w:rPr>
          <w:rFonts w:ascii="Times New Roman" w:hAnsi="Times New Roman"/>
          <w:bCs/>
          <w:color w:val="auto"/>
          <w:sz w:val="24"/>
          <w:highlight w:val="none"/>
        </w:rPr>
        <w:t>）有效的营业执照</w:t>
      </w:r>
      <w:r>
        <w:rPr>
          <w:rFonts w:hint="eastAsia" w:ascii="Times New Roman" w:hAnsi="Times New Roman"/>
          <w:bCs/>
          <w:color w:val="auto"/>
          <w:sz w:val="24"/>
          <w:highlight w:val="none"/>
        </w:rPr>
        <w:t>正本或副本</w:t>
      </w:r>
      <w:r>
        <w:rPr>
          <w:rFonts w:ascii="Times New Roman" w:hAnsi="Times New Roman"/>
          <w:bCs/>
          <w:color w:val="auto"/>
          <w:sz w:val="24"/>
          <w:highlight w:val="none"/>
        </w:rPr>
        <w:t>复印件</w:t>
      </w:r>
      <w:r>
        <w:rPr>
          <w:rFonts w:ascii="Times New Roman" w:hAnsi="Times New Roman"/>
          <w:b/>
          <w:color w:val="auto"/>
          <w:sz w:val="24"/>
          <w:highlight w:val="none"/>
        </w:rPr>
        <w:t>（必须提供，否则投标响应无效</w:t>
      </w:r>
      <w:r>
        <w:rPr>
          <w:rFonts w:hint="eastAsia" w:ascii="Times New Roman" w:hAnsi="Times New Roman"/>
          <w:b/>
          <w:bCs w:val="0"/>
          <w:color w:val="auto"/>
          <w:sz w:val="24"/>
          <w:highlight w:val="none"/>
          <w:lang w:eastAsia="zh-CN"/>
        </w:rPr>
        <w:t>，以联合体形式投标的，须提供</w:t>
      </w:r>
      <w:r>
        <w:rPr>
          <w:rFonts w:hint="eastAsia" w:ascii="宋体" w:hAnsi="宋体" w:cs="宋体"/>
          <w:b/>
          <w:bCs w:val="0"/>
          <w:color w:val="auto"/>
          <w:sz w:val="24"/>
          <w:szCs w:val="24"/>
          <w:highlight w:val="none"/>
        </w:rPr>
        <w:t>所有联合体成员的营业执照等主体资格证明扫描件</w:t>
      </w:r>
      <w:r>
        <w:rPr>
          <w:rFonts w:ascii="Times New Roman" w:hAnsi="Times New Roman"/>
          <w:b/>
          <w:color w:val="auto"/>
          <w:sz w:val="24"/>
          <w:highlight w:val="none"/>
        </w:rPr>
        <w:t>）；</w:t>
      </w:r>
    </w:p>
    <w:p w14:paraId="64084EAD">
      <w:pPr>
        <w:tabs>
          <w:tab w:val="left" w:pos="1305"/>
        </w:tabs>
        <w:spacing w:line="440" w:lineRule="exact"/>
        <w:ind w:firstLine="240" w:firstLineChars="100"/>
        <w:rPr>
          <w:rFonts w:ascii="Times New Roman" w:hAnsi="Times New Roman"/>
          <w:b/>
          <w:color w:val="auto"/>
          <w:sz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val="en-US" w:eastAsia="zh-CN"/>
        </w:rPr>
        <w:t>6</w:t>
      </w:r>
      <w:r>
        <w:rPr>
          <w:rFonts w:ascii="Times New Roman" w:hAnsi="Times New Roman"/>
          <w:bCs/>
          <w:color w:val="auto"/>
          <w:sz w:val="24"/>
          <w:highlight w:val="none"/>
        </w:rPr>
        <w:t>）桂平市政府采购项目投标资格承诺函</w:t>
      </w:r>
      <w:r>
        <w:rPr>
          <w:rFonts w:ascii="Times New Roman" w:hAnsi="Times New Roman"/>
          <w:b/>
          <w:color w:val="auto"/>
          <w:sz w:val="24"/>
          <w:highlight w:val="none"/>
        </w:rPr>
        <w:t xml:space="preserve">（必须提供，否则投标响应无效）； </w:t>
      </w:r>
    </w:p>
    <w:p w14:paraId="79D9E42E">
      <w:pPr>
        <w:spacing w:line="440" w:lineRule="exact"/>
        <w:ind w:firstLine="240" w:firstLineChars="100"/>
        <w:rPr>
          <w:rFonts w:ascii="Times New Roman" w:hAnsi="Times New Roman"/>
          <w:color w:val="auto"/>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val="en-US" w:eastAsia="zh-CN"/>
        </w:rPr>
        <w:t>7</w:t>
      </w:r>
      <w:r>
        <w:rPr>
          <w:rFonts w:ascii="Times New Roman" w:hAnsi="Times New Roman"/>
          <w:bCs/>
          <w:color w:val="auto"/>
          <w:sz w:val="24"/>
          <w:highlight w:val="none"/>
        </w:rPr>
        <w:t>）</w:t>
      </w:r>
      <w:r>
        <w:rPr>
          <w:rFonts w:ascii="Times New Roman" w:hAnsi="Times New Roman"/>
          <w:color w:val="auto"/>
          <w:sz w:val="24"/>
          <w:szCs w:val="32"/>
          <w:highlight w:val="none"/>
        </w:rPr>
        <w:t>投标人参加本项目无围标串标行为的承诺函</w:t>
      </w:r>
      <w:r>
        <w:rPr>
          <w:rFonts w:ascii="Times New Roman" w:hAnsi="Times New Roman"/>
          <w:b/>
          <w:color w:val="auto"/>
          <w:sz w:val="24"/>
          <w:highlight w:val="none"/>
        </w:rPr>
        <w:t xml:space="preserve">（必须提供，否则投标响应无效）； </w:t>
      </w:r>
    </w:p>
    <w:p w14:paraId="520DF9A7">
      <w:pPr>
        <w:tabs>
          <w:tab w:val="left" w:pos="1305"/>
        </w:tabs>
        <w:spacing w:line="440" w:lineRule="exact"/>
        <w:ind w:firstLine="240" w:firstLineChars="100"/>
        <w:rPr>
          <w:rFonts w:ascii="Times New Roman" w:hAnsi="Times New Roman"/>
          <w:b/>
          <w:color w:val="auto"/>
          <w:sz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val="en-US" w:eastAsia="zh-CN"/>
        </w:rPr>
        <w:t>8</w:t>
      </w:r>
      <w:r>
        <w:rPr>
          <w:rFonts w:ascii="Times New Roman" w:hAnsi="Times New Roman"/>
          <w:bCs/>
          <w:color w:val="auto"/>
          <w:sz w:val="24"/>
          <w:highlight w:val="none"/>
        </w:rPr>
        <w:t>）投标人参加政府采购活动前3年内在经营活动中没有重大违法记录及有关信用信息的书面声明</w:t>
      </w:r>
      <w:r>
        <w:rPr>
          <w:rFonts w:ascii="Times New Roman" w:hAnsi="Times New Roman"/>
          <w:b/>
          <w:color w:val="auto"/>
          <w:sz w:val="24"/>
          <w:highlight w:val="none"/>
        </w:rPr>
        <w:t>（必须提供，否则投标响应无效）；</w:t>
      </w:r>
    </w:p>
    <w:p w14:paraId="00C18873">
      <w:pPr>
        <w:pStyle w:val="16"/>
        <w:ind w:firstLine="240" w:firstLineChars="100"/>
        <w:jc w:val="both"/>
        <w:rPr>
          <w:rFonts w:hint="eastAsia"/>
          <w:color w:val="auto"/>
          <w:highlight w:val="none"/>
        </w:rPr>
      </w:pPr>
      <w:r>
        <w:rPr>
          <w:rFonts w:hint="eastAsia" w:ascii="Times New Roman" w:hAnsi="Times New Roman" w:eastAsia="宋体"/>
          <w:bCs w:val="0"/>
          <w:color w:val="auto"/>
          <w:sz w:val="24"/>
          <w:highlight w:val="none"/>
        </w:rPr>
        <w:t>（</w:t>
      </w:r>
      <w:r>
        <w:rPr>
          <w:rFonts w:hint="eastAsia" w:ascii="Times New Roman" w:hAnsi="Times New Roman" w:eastAsia="宋体"/>
          <w:bCs w:val="0"/>
          <w:color w:val="auto"/>
          <w:sz w:val="24"/>
          <w:highlight w:val="none"/>
          <w:lang w:val="en-US" w:eastAsia="zh-CN"/>
        </w:rPr>
        <w:t>9</w:t>
      </w:r>
      <w:r>
        <w:rPr>
          <w:rFonts w:hint="eastAsia" w:ascii="Times New Roman" w:hAnsi="Times New Roman" w:eastAsia="宋体"/>
          <w:bCs w:val="0"/>
          <w:color w:val="auto"/>
          <w:sz w:val="24"/>
          <w:highlight w:val="none"/>
        </w:rPr>
        <w:t>）联合体协议书</w:t>
      </w:r>
      <w:r>
        <w:rPr>
          <w:rFonts w:hint="eastAsia" w:ascii="Times New Roman" w:hAnsi="Times New Roman" w:eastAsia="宋体"/>
          <w:b/>
          <w:color w:val="auto"/>
          <w:sz w:val="24"/>
          <w:highlight w:val="none"/>
        </w:rPr>
        <w:t>（以联合体形式投标的，须提供联合体协议；供应商不以联合</w:t>
      </w:r>
    </w:p>
    <w:p w14:paraId="4A164FA9">
      <w:pPr>
        <w:pStyle w:val="16"/>
        <w:jc w:val="both"/>
        <w:rPr>
          <w:rFonts w:hint="eastAsia" w:eastAsia="宋体"/>
          <w:color w:val="auto"/>
          <w:highlight w:val="none"/>
          <w:lang w:eastAsia="zh-CN"/>
        </w:rPr>
      </w:pPr>
      <w:r>
        <w:rPr>
          <w:rFonts w:hint="eastAsia" w:ascii="Times New Roman" w:hAnsi="Times New Roman" w:eastAsia="宋体"/>
          <w:b/>
          <w:color w:val="auto"/>
          <w:sz w:val="24"/>
          <w:highlight w:val="none"/>
        </w:rPr>
        <w:t>体形式响应的，则不需要提供）</w:t>
      </w:r>
      <w:r>
        <w:rPr>
          <w:rFonts w:hint="eastAsia" w:ascii="Times New Roman" w:hAnsi="Times New Roman" w:eastAsia="宋体"/>
          <w:b/>
          <w:color w:val="auto"/>
          <w:sz w:val="24"/>
          <w:highlight w:val="none"/>
          <w:lang w:eastAsia="zh-CN"/>
        </w:rPr>
        <w:t>；</w:t>
      </w:r>
    </w:p>
    <w:p w14:paraId="1B1D462F">
      <w:pPr>
        <w:tabs>
          <w:tab w:val="left" w:pos="1305"/>
        </w:tabs>
        <w:spacing w:line="440" w:lineRule="exact"/>
        <w:ind w:firstLine="240" w:firstLineChars="100"/>
        <w:rPr>
          <w:rFonts w:ascii="Times New Roman" w:hAnsi="Times New Roman"/>
          <w:b/>
          <w:bCs/>
          <w:color w:val="auto"/>
          <w:sz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val="en-US" w:eastAsia="zh-CN"/>
        </w:rPr>
        <w:t>10</w:t>
      </w:r>
      <w:r>
        <w:rPr>
          <w:rFonts w:ascii="Times New Roman" w:hAnsi="Times New Roman"/>
          <w:bCs/>
          <w:color w:val="auto"/>
          <w:sz w:val="24"/>
          <w:highlight w:val="none"/>
        </w:rPr>
        <w:t>）</w:t>
      </w:r>
      <w:r>
        <w:rPr>
          <w:rFonts w:hint="eastAsia" w:ascii="Times New Roman" w:hAnsi="Times New Roman"/>
          <w:bCs/>
          <w:color w:val="auto"/>
          <w:sz w:val="24"/>
          <w:highlight w:val="none"/>
          <w:lang w:eastAsia="zh-CN"/>
        </w:rPr>
        <w:t>本项目涉及的</w:t>
      </w:r>
      <w:r>
        <w:rPr>
          <w:rFonts w:hint="eastAsia" w:ascii="宋体" w:hAnsi="宋体" w:cs="宋体"/>
          <w:color w:val="auto"/>
          <w:sz w:val="24"/>
          <w:szCs w:val="24"/>
          <w:highlight w:val="none"/>
        </w:rPr>
        <w:t>强制采购节能产品</w:t>
      </w:r>
      <w:r>
        <w:rPr>
          <w:rFonts w:hint="eastAsia" w:ascii="宋体" w:hAnsi="宋体" w:cs="宋体"/>
          <w:color w:val="auto"/>
          <w:sz w:val="24"/>
          <w:szCs w:val="24"/>
          <w:highlight w:val="none"/>
          <w:lang w:eastAsia="zh-CN"/>
        </w:rPr>
        <w:t>认证证书等</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根据招标文件</w:t>
      </w:r>
      <w:r>
        <w:rPr>
          <w:rFonts w:hint="eastAsia" w:ascii="宋体" w:hAnsi="宋体" w:cs="宋体"/>
          <w:b/>
          <w:bCs/>
          <w:color w:val="auto"/>
          <w:sz w:val="24"/>
          <w:szCs w:val="24"/>
          <w:highlight w:val="none"/>
          <w:lang w:eastAsia="zh-CN"/>
        </w:rPr>
        <w:t>要求，必须提供）；</w:t>
      </w:r>
    </w:p>
    <w:p w14:paraId="3B43372D">
      <w:pPr>
        <w:tabs>
          <w:tab w:val="left" w:pos="1305"/>
        </w:tabs>
        <w:spacing w:line="440" w:lineRule="exact"/>
        <w:ind w:firstLine="240" w:firstLineChars="100"/>
        <w:rPr>
          <w:rFonts w:ascii="Times New Roman" w:hAnsi="Times New Roman"/>
          <w:bCs/>
          <w:color w:val="auto"/>
          <w:sz w:val="24"/>
          <w:highlight w:val="none"/>
        </w:rPr>
      </w:pPr>
      <w:r>
        <w:rPr>
          <w:rFonts w:hint="eastAsia" w:ascii="Times New Roman" w:hAnsi="Times New Roman"/>
          <w:bCs/>
          <w:color w:val="auto"/>
          <w:sz w:val="24"/>
          <w:highlight w:val="none"/>
          <w:lang w:eastAsia="zh-CN"/>
        </w:rPr>
        <w:t>（</w:t>
      </w:r>
      <w:r>
        <w:rPr>
          <w:rFonts w:hint="eastAsia" w:ascii="Times New Roman" w:hAnsi="Times New Roman"/>
          <w:bCs/>
          <w:color w:val="auto"/>
          <w:sz w:val="24"/>
          <w:highlight w:val="none"/>
          <w:lang w:val="en-US" w:eastAsia="zh-CN"/>
        </w:rPr>
        <w:t>11</w:t>
      </w:r>
      <w:r>
        <w:rPr>
          <w:rFonts w:hint="eastAsia" w:ascii="Times New Roman" w:hAnsi="Times New Roman"/>
          <w:bCs/>
          <w:color w:val="auto"/>
          <w:sz w:val="24"/>
          <w:highlight w:val="none"/>
          <w:lang w:eastAsia="zh-CN"/>
        </w:rPr>
        <w:t>）</w:t>
      </w:r>
      <w:r>
        <w:rPr>
          <w:rFonts w:ascii="Times New Roman" w:hAnsi="Times New Roman"/>
          <w:bCs/>
          <w:color w:val="auto"/>
          <w:sz w:val="24"/>
          <w:highlight w:val="none"/>
        </w:rPr>
        <w:t>投标人认为需要提供的其他文件和说明（</w:t>
      </w:r>
      <w:r>
        <w:rPr>
          <w:rFonts w:ascii="Times New Roman" w:hAnsi="Times New Roman"/>
          <w:b/>
          <w:color w:val="auto"/>
          <w:sz w:val="24"/>
          <w:highlight w:val="none"/>
        </w:rPr>
        <w:t>如有请提供</w:t>
      </w:r>
      <w:r>
        <w:rPr>
          <w:rFonts w:ascii="Times New Roman" w:hAnsi="Times New Roman"/>
          <w:bCs/>
          <w:color w:val="auto"/>
          <w:sz w:val="24"/>
          <w:highlight w:val="none"/>
        </w:rPr>
        <w:t>）。</w:t>
      </w:r>
    </w:p>
    <w:p w14:paraId="1101F666">
      <w:pPr>
        <w:tabs>
          <w:tab w:val="left" w:pos="1305"/>
        </w:tabs>
        <w:spacing w:line="440" w:lineRule="exact"/>
        <w:ind w:firstLine="602" w:firstLineChars="250"/>
        <w:rPr>
          <w:rFonts w:ascii="Times New Roman" w:hAnsi="Times New Roman"/>
          <w:b/>
          <w:color w:val="auto"/>
          <w:sz w:val="24"/>
          <w:highlight w:val="none"/>
        </w:rPr>
      </w:pPr>
      <w:r>
        <w:rPr>
          <w:rFonts w:ascii="Times New Roman" w:hAnsi="Times New Roman"/>
          <w:b/>
          <w:color w:val="auto"/>
          <w:sz w:val="24"/>
          <w:highlight w:val="none"/>
        </w:rPr>
        <w:t>投标承诺函必须由法定代表人（负责人或自然人）在规定签章处逐一签字并加盖投标人公章，否则作无效投标处理。</w:t>
      </w:r>
    </w:p>
    <w:p w14:paraId="29793357">
      <w:pPr>
        <w:tabs>
          <w:tab w:val="left" w:pos="2190"/>
        </w:tabs>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13.1.2</w:t>
      </w:r>
      <w:r>
        <w:rPr>
          <w:rFonts w:hint="eastAsia" w:ascii="Times New Roman" w:hAnsi="Times New Roman"/>
          <w:b/>
          <w:color w:val="auto"/>
          <w:sz w:val="24"/>
          <w:highlight w:val="none"/>
        </w:rPr>
        <w:t xml:space="preserve"> </w:t>
      </w:r>
      <w:r>
        <w:rPr>
          <w:rFonts w:ascii="Times New Roman" w:hAnsi="Times New Roman"/>
          <w:b/>
          <w:color w:val="auto"/>
          <w:sz w:val="24"/>
          <w:highlight w:val="none"/>
        </w:rPr>
        <w:t>价格文件：</w:t>
      </w:r>
    </w:p>
    <w:p w14:paraId="6FEC756C">
      <w:pPr>
        <w:tabs>
          <w:tab w:val="left" w:pos="2190"/>
        </w:tabs>
        <w:spacing w:line="44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（1）投标函（</w:t>
      </w:r>
      <w:r>
        <w:rPr>
          <w:rFonts w:ascii="Times New Roman" w:hAnsi="Times New Roman"/>
          <w:b/>
          <w:bCs/>
          <w:color w:val="auto"/>
          <w:sz w:val="24"/>
          <w:highlight w:val="none"/>
        </w:rPr>
        <w:t>必须提供，否则投标响应无效</w:t>
      </w:r>
      <w:r>
        <w:rPr>
          <w:rFonts w:ascii="Times New Roman" w:hAnsi="Times New Roman"/>
          <w:color w:val="auto"/>
          <w:sz w:val="24"/>
          <w:highlight w:val="none"/>
        </w:rPr>
        <w:t xml:space="preserve">）； </w:t>
      </w:r>
    </w:p>
    <w:p w14:paraId="6792914A">
      <w:pPr>
        <w:tabs>
          <w:tab w:val="left" w:pos="2190"/>
        </w:tabs>
        <w:spacing w:line="44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（2）投标报价表（</w:t>
      </w:r>
      <w:r>
        <w:rPr>
          <w:rFonts w:ascii="Times New Roman" w:hAnsi="Times New Roman"/>
          <w:b/>
          <w:bCs/>
          <w:color w:val="auto"/>
          <w:sz w:val="24"/>
          <w:highlight w:val="none"/>
        </w:rPr>
        <w:t>必须提供，否则投标响应无效</w:t>
      </w:r>
      <w:r>
        <w:rPr>
          <w:rFonts w:ascii="Times New Roman" w:hAnsi="Times New Roman"/>
          <w:color w:val="auto"/>
          <w:sz w:val="24"/>
          <w:highlight w:val="none"/>
        </w:rPr>
        <w:t xml:space="preserve">）； </w:t>
      </w:r>
    </w:p>
    <w:p w14:paraId="5352903C">
      <w:pPr>
        <w:tabs>
          <w:tab w:val="left" w:pos="2190"/>
        </w:tabs>
        <w:spacing w:line="44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（3）开标一览表（</w:t>
      </w:r>
      <w:r>
        <w:rPr>
          <w:rFonts w:ascii="Times New Roman" w:hAnsi="Times New Roman"/>
          <w:b/>
          <w:bCs/>
          <w:color w:val="auto"/>
          <w:sz w:val="24"/>
          <w:highlight w:val="none"/>
        </w:rPr>
        <w:t>必须提供，否则投标响应无效</w:t>
      </w:r>
      <w:r>
        <w:rPr>
          <w:rFonts w:ascii="Times New Roman" w:hAnsi="Times New Roman"/>
          <w:color w:val="auto"/>
          <w:sz w:val="24"/>
          <w:highlight w:val="none"/>
        </w:rPr>
        <w:t>）；</w:t>
      </w:r>
    </w:p>
    <w:p w14:paraId="74E103AF">
      <w:pPr>
        <w:tabs>
          <w:tab w:val="left" w:pos="1305"/>
        </w:tabs>
        <w:spacing w:line="440" w:lineRule="exact"/>
        <w:ind w:firstLine="240" w:firstLineChars="100"/>
        <w:rPr>
          <w:rFonts w:ascii="Times New Roman" w:hAnsi="Times New Roman"/>
          <w:color w:val="auto"/>
          <w:highlight w:val="none"/>
        </w:rPr>
      </w:pPr>
      <w:r>
        <w:rPr>
          <w:rFonts w:hint="eastAsia" w:ascii="Arial" w:hAnsi="Arial" w:cs="Arial"/>
          <w:bCs/>
          <w:color w:val="auto"/>
          <w:sz w:val="24"/>
          <w:highlight w:val="none"/>
        </w:rPr>
        <w:t>（4）中小企业声明函或者残疾人福利性单位声明函或者投标人属于监狱企业的需提供由省级以上监狱管理局、戒毒管理局（含新疆生产建设兵团）出具的属于监狱企业的证明文件</w:t>
      </w:r>
      <w:r>
        <w:rPr>
          <w:rFonts w:ascii="Times New Roman" w:hAnsi="Times New Roman"/>
          <w:color w:val="auto"/>
          <w:sz w:val="24"/>
          <w:highlight w:val="none"/>
        </w:rPr>
        <w:t>（</w:t>
      </w:r>
      <w:r>
        <w:rPr>
          <w:rFonts w:ascii="Times New Roman" w:hAnsi="Times New Roman"/>
          <w:b/>
          <w:bCs/>
          <w:color w:val="auto"/>
          <w:sz w:val="24"/>
          <w:highlight w:val="none"/>
        </w:rPr>
        <w:t>如有请提供</w:t>
      </w:r>
      <w:r>
        <w:rPr>
          <w:rFonts w:ascii="Times New Roman" w:hAnsi="Times New Roman"/>
          <w:color w:val="auto"/>
          <w:sz w:val="24"/>
          <w:highlight w:val="none"/>
        </w:rPr>
        <w:t>）；</w:t>
      </w:r>
    </w:p>
    <w:p w14:paraId="331D5D3A">
      <w:pPr>
        <w:tabs>
          <w:tab w:val="left" w:pos="2190"/>
        </w:tabs>
        <w:spacing w:line="440" w:lineRule="exact"/>
        <w:ind w:firstLine="240" w:firstLineChars="100"/>
        <w:rPr>
          <w:rFonts w:ascii="Times New Roman" w:hAnsi="Times New Roman"/>
          <w:color w:val="auto"/>
          <w:highlight w:val="none"/>
        </w:rPr>
      </w:pPr>
      <w:r>
        <w:rPr>
          <w:rFonts w:ascii="Times New Roman" w:hAnsi="Times New Roman"/>
          <w:color w:val="auto"/>
          <w:sz w:val="24"/>
          <w:highlight w:val="none"/>
        </w:rPr>
        <w:t>（</w:t>
      </w:r>
      <w:r>
        <w:rPr>
          <w:rFonts w:hint="eastAsia" w:ascii="Times New Roman" w:hAnsi="Times New Roman"/>
          <w:color w:val="auto"/>
          <w:sz w:val="24"/>
          <w:highlight w:val="none"/>
        </w:rPr>
        <w:t>5</w:t>
      </w:r>
      <w:r>
        <w:rPr>
          <w:rFonts w:ascii="Times New Roman" w:hAnsi="Times New Roman"/>
          <w:color w:val="auto"/>
          <w:sz w:val="24"/>
          <w:highlight w:val="none"/>
        </w:rPr>
        <w:t>）投标人针对报价需要说明的其他文件和说明（</w:t>
      </w:r>
      <w:r>
        <w:rPr>
          <w:rFonts w:ascii="Times New Roman" w:hAnsi="Times New Roman"/>
          <w:b/>
          <w:bCs/>
          <w:color w:val="auto"/>
          <w:sz w:val="24"/>
          <w:highlight w:val="none"/>
        </w:rPr>
        <w:t>格式自拟，如有请提供</w:t>
      </w:r>
      <w:r>
        <w:rPr>
          <w:rFonts w:ascii="Times New Roman" w:hAnsi="Times New Roman"/>
          <w:color w:val="auto"/>
          <w:sz w:val="24"/>
          <w:highlight w:val="none"/>
        </w:rPr>
        <w:t>）。</w:t>
      </w:r>
    </w:p>
    <w:p w14:paraId="496B0831">
      <w:pPr>
        <w:tabs>
          <w:tab w:val="left" w:pos="2190"/>
        </w:tabs>
        <w:spacing w:line="440" w:lineRule="exact"/>
        <w:ind w:firstLine="482" w:firstLineChars="200"/>
        <w:rPr>
          <w:rFonts w:ascii="Times New Roman" w:hAnsi="Times New Roman"/>
          <w:b/>
          <w:color w:val="auto"/>
          <w:sz w:val="24"/>
          <w:highlight w:val="none"/>
        </w:rPr>
      </w:pPr>
      <w:r>
        <w:rPr>
          <w:rFonts w:ascii="Times New Roman" w:hAnsi="Times New Roman"/>
          <w:b/>
          <w:bCs/>
          <w:color w:val="auto"/>
          <w:sz w:val="24"/>
          <w:highlight w:val="none"/>
        </w:rPr>
        <w:t>投标函、投标报价表、开标一览表必须由法定代表人或者委托代理人在规定签章处逐一签字并加盖投标人公章，否则作无效投标处理。</w:t>
      </w:r>
    </w:p>
    <w:p w14:paraId="7BEB2A47">
      <w:pPr>
        <w:tabs>
          <w:tab w:val="left" w:pos="1305"/>
        </w:tabs>
        <w:spacing w:line="440" w:lineRule="exact"/>
        <w:ind w:firstLine="602" w:firstLineChars="250"/>
        <w:rPr>
          <w:rFonts w:ascii="Times New Roman" w:hAnsi="Times New Roman"/>
          <w:b/>
          <w:color w:val="auto"/>
          <w:sz w:val="24"/>
          <w:highlight w:val="none"/>
        </w:rPr>
      </w:pPr>
      <w:r>
        <w:rPr>
          <w:rFonts w:ascii="Times New Roman" w:hAnsi="Times New Roman"/>
          <w:b/>
          <w:color w:val="auto"/>
          <w:sz w:val="24"/>
          <w:highlight w:val="none"/>
        </w:rPr>
        <w:t>13.1.3 商务技术文件</w:t>
      </w:r>
    </w:p>
    <w:p w14:paraId="4F14607C">
      <w:pPr>
        <w:spacing w:line="440" w:lineRule="exact"/>
        <w:ind w:firstLine="240" w:firstLineChars="100"/>
        <w:rPr>
          <w:rFonts w:ascii="Times New Roman" w:hAnsi="Times New Roman"/>
          <w:bCs/>
          <w:color w:val="auto"/>
          <w:sz w:val="24"/>
          <w:highlight w:val="none"/>
        </w:rPr>
      </w:pPr>
      <w:r>
        <w:rPr>
          <w:rFonts w:ascii="Times New Roman" w:hAnsi="Times New Roman"/>
          <w:bCs/>
          <w:color w:val="auto"/>
          <w:sz w:val="24"/>
          <w:highlight w:val="none"/>
        </w:rPr>
        <w:t>（1）商务响应表</w:t>
      </w:r>
      <w:r>
        <w:rPr>
          <w:rFonts w:ascii="Times New Roman" w:hAnsi="Times New Roman"/>
          <w:b/>
          <w:color w:val="auto"/>
          <w:sz w:val="24"/>
          <w:highlight w:val="none"/>
        </w:rPr>
        <w:t>（必须提供，否则投标响应无效）；</w:t>
      </w:r>
    </w:p>
    <w:p w14:paraId="46BDE51D">
      <w:pPr>
        <w:spacing w:line="440" w:lineRule="exact"/>
        <w:ind w:firstLine="240" w:firstLineChars="100"/>
        <w:rPr>
          <w:rFonts w:ascii="Times New Roman" w:hAnsi="Times New Roman"/>
          <w:b/>
          <w:color w:val="auto"/>
          <w:sz w:val="24"/>
          <w:highlight w:val="none"/>
        </w:rPr>
      </w:pPr>
      <w:r>
        <w:rPr>
          <w:rFonts w:ascii="Times New Roman" w:hAnsi="Times New Roman"/>
          <w:bCs/>
          <w:color w:val="auto"/>
          <w:sz w:val="24"/>
          <w:highlight w:val="none"/>
        </w:rPr>
        <w:t>（2）技术响应表</w:t>
      </w:r>
      <w:r>
        <w:rPr>
          <w:rFonts w:ascii="Times New Roman" w:hAnsi="Times New Roman"/>
          <w:b/>
          <w:color w:val="auto"/>
          <w:sz w:val="24"/>
          <w:highlight w:val="none"/>
        </w:rPr>
        <w:t>（必须提供，否则投标响应无效）；</w:t>
      </w:r>
    </w:p>
    <w:p w14:paraId="49DB8CB0">
      <w:pPr>
        <w:spacing w:line="440" w:lineRule="exact"/>
        <w:ind w:firstLine="240" w:firstLineChars="100"/>
        <w:rPr>
          <w:rFonts w:ascii="Times New Roman" w:hAnsi="Times New Roman"/>
          <w:b/>
          <w:color w:val="auto"/>
          <w:sz w:val="24"/>
          <w:highlight w:val="none"/>
        </w:rPr>
      </w:pPr>
      <w:r>
        <w:rPr>
          <w:rFonts w:hint="eastAsia" w:ascii="Times New Roman" w:hAnsi="Times New Roman"/>
          <w:bCs/>
          <w:color w:val="auto"/>
          <w:sz w:val="24"/>
          <w:highlight w:val="none"/>
        </w:rPr>
        <w:t>（3）技术方案</w:t>
      </w:r>
      <w:r>
        <w:rPr>
          <w:rFonts w:hint="eastAsia" w:ascii="Times New Roman" w:hAnsi="Times New Roman"/>
          <w:b/>
          <w:color w:val="auto"/>
          <w:sz w:val="24"/>
          <w:highlight w:val="none"/>
        </w:rPr>
        <w:t>（格式自拟，必须提供，否则投标响应无效）；</w:t>
      </w:r>
    </w:p>
    <w:p w14:paraId="66FAFC39">
      <w:pPr>
        <w:spacing w:line="440" w:lineRule="exact"/>
        <w:ind w:firstLine="240" w:firstLineChars="100"/>
        <w:rPr>
          <w:color w:val="auto"/>
          <w:highlight w:val="none"/>
        </w:rPr>
      </w:pPr>
      <w:r>
        <w:rPr>
          <w:rFonts w:hint="eastAsia" w:ascii="Times New Roman" w:hAnsi="Times New Roman"/>
          <w:bCs/>
          <w:color w:val="auto"/>
          <w:sz w:val="24"/>
          <w:highlight w:val="none"/>
        </w:rPr>
        <w:t>（4）服务实施方案</w:t>
      </w:r>
      <w:r>
        <w:rPr>
          <w:rFonts w:hint="eastAsia" w:ascii="Times New Roman" w:hAnsi="Times New Roman"/>
          <w:b/>
          <w:color w:val="auto"/>
          <w:sz w:val="24"/>
          <w:highlight w:val="none"/>
        </w:rPr>
        <w:t>（格式自拟，必须提供，否则投标响应无效）；</w:t>
      </w:r>
    </w:p>
    <w:p w14:paraId="4C1C3F8A">
      <w:pPr>
        <w:tabs>
          <w:tab w:val="left" w:pos="1305"/>
        </w:tabs>
        <w:spacing w:line="440" w:lineRule="exact"/>
        <w:ind w:firstLine="240" w:firstLineChars="100"/>
        <w:rPr>
          <w:rFonts w:ascii="Times New Roman" w:hAnsi="Times New Roman"/>
          <w:b/>
          <w:color w:val="auto"/>
          <w:sz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rPr>
        <w:t>5</w:t>
      </w:r>
      <w:r>
        <w:rPr>
          <w:rFonts w:ascii="Times New Roman" w:hAnsi="Times New Roman"/>
          <w:bCs/>
          <w:color w:val="auto"/>
          <w:sz w:val="24"/>
          <w:highlight w:val="none"/>
        </w:rPr>
        <w:t>）拟投入本项目实施人员一览表</w:t>
      </w:r>
      <w:r>
        <w:rPr>
          <w:rFonts w:ascii="Times New Roman" w:hAnsi="Times New Roman"/>
          <w:b/>
          <w:color w:val="auto"/>
          <w:sz w:val="24"/>
          <w:highlight w:val="none"/>
        </w:rPr>
        <w:t>（格式自拟，必须提供，否则投标响应无效）；</w:t>
      </w:r>
    </w:p>
    <w:p w14:paraId="1F81BC2F">
      <w:pPr>
        <w:tabs>
          <w:tab w:val="left" w:pos="1305"/>
        </w:tabs>
        <w:spacing w:line="440" w:lineRule="exact"/>
        <w:ind w:firstLine="240" w:firstLineChars="100"/>
        <w:rPr>
          <w:rFonts w:ascii="Times New Roman" w:hAnsi="Times New Roman"/>
          <w:bCs/>
          <w:color w:val="auto"/>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rPr>
        <w:t>6</w:t>
      </w:r>
      <w:r>
        <w:rPr>
          <w:rFonts w:ascii="Times New Roman" w:hAnsi="Times New Roman"/>
          <w:bCs/>
          <w:color w:val="auto"/>
          <w:sz w:val="24"/>
          <w:highlight w:val="none"/>
        </w:rPr>
        <w:t>）服务承</w:t>
      </w:r>
      <w:r>
        <w:rPr>
          <w:rFonts w:hint="eastAsia" w:ascii="Times New Roman" w:hAnsi="Times New Roman"/>
          <w:bCs/>
          <w:color w:val="auto"/>
          <w:sz w:val="24"/>
          <w:highlight w:val="none"/>
        </w:rPr>
        <w:t>诺方案</w:t>
      </w:r>
      <w:r>
        <w:rPr>
          <w:rFonts w:ascii="Times New Roman" w:hAnsi="Times New Roman"/>
          <w:b/>
          <w:color w:val="auto"/>
          <w:sz w:val="24"/>
          <w:highlight w:val="none"/>
        </w:rPr>
        <w:t>（格式自拟，必须提供，否则投标响应无效）；</w:t>
      </w:r>
    </w:p>
    <w:p w14:paraId="59D32230">
      <w:pPr>
        <w:pStyle w:val="9"/>
        <w:spacing w:line="440" w:lineRule="exact"/>
        <w:rPr>
          <w:rFonts w:ascii="Times New Roman" w:hAnsi="Times New Roman" w:eastAsia="宋体"/>
          <w:bCs/>
          <w:color w:val="auto"/>
          <w:highlight w:val="none"/>
        </w:rPr>
      </w:pPr>
      <w:r>
        <w:rPr>
          <w:rFonts w:ascii="Times New Roman" w:hAnsi="Times New Roman" w:eastAsia="宋体"/>
          <w:color w:val="auto"/>
          <w:highlight w:val="none"/>
        </w:rPr>
        <w:t xml:space="preserve">  </w:t>
      </w:r>
      <w:r>
        <w:rPr>
          <w:rFonts w:ascii="Times New Roman" w:hAnsi="Times New Roman" w:eastAsia="宋体"/>
          <w:bCs/>
          <w:color w:val="auto"/>
          <w:highlight w:val="none"/>
        </w:rPr>
        <w:t>（</w:t>
      </w:r>
      <w:r>
        <w:rPr>
          <w:rFonts w:hint="eastAsia" w:ascii="Times New Roman" w:hAnsi="Times New Roman" w:eastAsia="宋体"/>
          <w:bCs/>
          <w:color w:val="auto"/>
          <w:highlight w:val="none"/>
        </w:rPr>
        <w:t>7</w:t>
      </w:r>
      <w:r>
        <w:rPr>
          <w:rFonts w:ascii="Times New Roman" w:hAnsi="Times New Roman" w:eastAsia="宋体"/>
          <w:bCs/>
          <w:color w:val="auto"/>
          <w:highlight w:val="none"/>
        </w:rPr>
        <w:t>）投标人可结合本项目的评标办法视自身情况自行提交相关证明材料</w:t>
      </w:r>
      <w:r>
        <w:rPr>
          <w:rFonts w:ascii="Times New Roman" w:hAnsi="Times New Roman" w:eastAsia="宋体"/>
          <w:color w:val="auto"/>
          <w:highlight w:val="none"/>
        </w:rPr>
        <w:t>（</w:t>
      </w:r>
      <w:r>
        <w:rPr>
          <w:rFonts w:ascii="Times New Roman" w:hAnsi="Times New Roman" w:eastAsia="宋体"/>
          <w:b/>
          <w:bCs/>
          <w:color w:val="auto"/>
          <w:highlight w:val="none"/>
        </w:rPr>
        <w:t>如有请提供</w:t>
      </w:r>
      <w:r>
        <w:rPr>
          <w:rFonts w:ascii="Times New Roman" w:hAnsi="Times New Roman" w:eastAsia="宋体"/>
          <w:color w:val="auto"/>
          <w:highlight w:val="none"/>
        </w:rPr>
        <w:t>）。</w:t>
      </w:r>
    </w:p>
    <w:p w14:paraId="1C922BEA">
      <w:pPr>
        <w:pStyle w:val="12"/>
        <w:spacing w:line="440" w:lineRule="exact"/>
        <w:ind w:firstLine="420"/>
        <w:rPr>
          <w:rFonts w:ascii="Times New Roman" w:hAnsi="Times New Roman" w:eastAsia="宋体"/>
          <w:b/>
          <w:bCs/>
          <w:color w:val="auto"/>
          <w:sz w:val="24"/>
          <w:highlight w:val="none"/>
        </w:rPr>
      </w:pPr>
      <w:r>
        <w:rPr>
          <w:rFonts w:ascii="Times New Roman" w:hAnsi="Times New Roman" w:eastAsia="宋体"/>
          <w:b/>
          <w:bCs/>
          <w:color w:val="auto"/>
          <w:sz w:val="24"/>
          <w:szCs w:val="24"/>
          <w:highlight w:val="none"/>
        </w:rPr>
        <w:t>注：</w:t>
      </w:r>
      <w:r>
        <w:rPr>
          <w:rFonts w:hint="eastAsia" w:ascii="Times New Roman" w:hAnsi="Times New Roman" w:eastAsia="宋体"/>
          <w:b/>
          <w:bCs/>
          <w:color w:val="auto"/>
          <w:sz w:val="24"/>
          <w:szCs w:val="24"/>
          <w:highlight w:val="none"/>
        </w:rPr>
        <w:t>1）</w:t>
      </w:r>
      <w:r>
        <w:rPr>
          <w:rFonts w:ascii="Times New Roman" w:hAnsi="Times New Roman" w:eastAsia="宋体"/>
          <w:b/>
          <w:bCs/>
          <w:color w:val="auto"/>
          <w:sz w:val="24"/>
          <w:highlight w:val="none"/>
        </w:rPr>
        <w:t>以上有关材料应真实有效，属于复印件的，必须加盖投标人公章，否则作无效投标处理。属于"必须提供"的文件均必须于本项目截标前与投标文件同时提交，并加盖投标人公章，否则投标无效。</w:t>
      </w:r>
    </w:p>
    <w:p w14:paraId="54072E96">
      <w:pPr>
        <w:ind w:firstLine="241" w:firstLineChars="100"/>
        <w:rPr>
          <w:rFonts w:ascii="Times New Roman" w:hAnsi="Times New Roman"/>
          <w:b/>
          <w:bCs/>
          <w:color w:val="auto"/>
          <w:kern w:val="0"/>
          <w:sz w:val="24"/>
          <w:szCs w:val="21"/>
          <w:highlight w:val="none"/>
        </w:rPr>
      </w:pPr>
      <w:r>
        <w:rPr>
          <w:rFonts w:hint="eastAsia" w:ascii="Times New Roman" w:hAnsi="Times New Roman"/>
          <w:b/>
          <w:bCs/>
          <w:color w:val="auto"/>
          <w:kern w:val="0"/>
          <w:sz w:val="24"/>
          <w:szCs w:val="21"/>
          <w:highlight w:val="none"/>
        </w:rPr>
        <w:t>2）本项目联合体投标时，投标文件电子签章处，由于政采云系统只认一个CA锁，投标人名称落款处写联合体单位的，但只需加盖牵头人的公章即可。</w:t>
      </w:r>
    </w:p>
    <w:p w14:paraId="01A05F16">
      <w:pPr>
        <w:pStyle w:val="12"/>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13.2、投标人应按招标文件第六章投标文件格式编制投标文件。</w:t>
      </w:r>
    </w:p>
    <w:p w14:paraId="0A71E237">
      <w:pPr>
        <w:pStyle w:val="12"/>
        <w:spacing w:line="440" w:lineRule="exact"/>
        <w:ind w:firstLine="420"/>
        <w:rPr>
          <w:rFonts w:ascii="Times New Roman" w:hAnsi="Times New Roman" w:eastAsia="宋体"/>
          <w:b/>
          <w:color w:val="auto"/>
          <w:sz w:val="24"/>
          <w:szCs w:val="24"/>
          <w:highlight w:val="none"/>
        </w:rPr>
      </w:pPr>
      <w:r>
        <w:rPr>
          <w:rFonts w:ascii="Times New Roman" w:hAnsi="Times New Roman" w:eastAsia="宋体"/>
          <w:color w:val="auto"/>
          <w:sz w:val="24"/>
          <w:szCs w:val="24"/>
          <w:highlight w:val="none"/>
        </w:rPr>
        <w:t>13.3、投标文件应当对招标文件提出的要求和条件作出明确响应。</w:t>
      </w:r>
    </w:p>
    <w:p w14:paraId="16B68DB8">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14、投标文件的语言及计量</w:t>
      </w:r>
    </w:p>
    <w:p w14:paraId="50CE459B">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14:paraId="22831655">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14.2、投标计量单位，招标文件已有明确规定的，使用招标文件规定的计量单位；招标文件没有规定的，应采用中华人民共和国法定计量单位（货币单位：人民币元），否则视同未响应。</w:t>
      </w:r>
    </w:p>
    <w:p w14:paraId="3BE10F99">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15、投标报价</w:t>
      </w:r>
    </w:p>
    <w:p w14:paraId="5AE8C830">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15.1、投标报价应按招标文件中第六章投标文件格式填写，投标报价超过采购预算金额的，投标文件按无效处理。</w:t>
      </w:r>
    </w:p>
    <w:p w14:paraId="43EF72C0">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15.2、投标人必须就"项目采购需求" 中所有内容作完整唯一报价，否则，其投标将被拒绝。投标文件只允许有一个报价，有选择的或有条件的报价将不予接受。</w:t>
      </w:r>
    </w:p>
    <w:p w14:paraId="193E381E">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15.3、投标报价</w:t>
      </w:r>
      <w:r>
        <w:rPr>
          <w:rFonts w:ascii="Times New Roman" w:hAnsi="Times New Roman"/>
          <w:color w:val="auto"/>
          <w:kern w:val="0"/>
          <w:sz w:val="24"/>
          <w:highlight w:val="none"/>
          <w:lang w:bidi="ar"/>
        </w:rPr>
        <w:t>包含全部员工工资、福利、加班费、奖金、服装费、固定资产折旧、生产工具及相关的其它支出，养老、医疗、失业、生育、工伤等社会保险和人身意外险等政府规定缴纳的费用</w:t>
      </w:r>
      <w:r>
        <w:rPr>
          <w:rFonts w:ascii="Times New Roman" w:hAnsi="Times New Roman"/>
          <w:color w:val="auto"/>
          <w:sz w:val="24"/>
          <w:highlight w:val="none"/>
        </w:rPr>
        <w:t>。</w:t>
      </w:r>
    </w:p>
    <w:p w14:paraId="28A45A17">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16、投标有效期</w:t>
      </w:r>
    </w:p>
    <w:p w14:paraId="31C7ED09">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16.1、投标有效期：投标截止时间之日起</w:t>
      </w:r>
      <w:r>
        <w:rPr>
          <w:rFonts w:hint="eastAsia" w:ascii="Times New Roman" w:hAnsi="Times New Roman"/>
          <w:color w:val="auto"/>
          <w:sz w:val="24"/>
          <w:highlight w:val="none"/>
        </w:rPr>
        <w:t>90</w:t>
      </w:r>
      <w:r>
        <w:rPr>
          <w:rFonts w:ascii="Times New Roman" w:hAnsi="Times New Roman"/>
          <w:color w:val="auto"/>
          <w:sz w:val="24"/>
          <w:highlight w:val="none"/>
        </w:rPr>
        <w:t>天。</w:t>
      </w:r>
    </w:p>
    <w:p w14:paraId="45111846">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16.2、出现特殊情况下，需要延长投标有效期的，采购代理机构以书面形式通知所有投标人延长投标有效期。</w:t>
      </w:r>
    </w:p>
    <w:p w14:paraId="3CB8C8C9">
      <w:pPr>
        <w:spacing w:line="440" w:lineRule="exact"/>
        <w:ind w:firstLine="472" w:firstLineChars="196"/>
        <w:rPr>
          <w:rFonts w:ascii="Times New Roman" w:hAnsi="Times New Roman"/>
          <w:b/>
          <w:color w:val="auto"/>
          <w:sz w:val="24"/>
          <w:highlight w:val="none"/>
        </w:rPr>
      </w:pPr>
      <w:r>
        <w:rPr>
          <w:rFonts w:ascii="Times New Roman" w:hAnsi="Times New Roman"/>
          <w:b/>
          <w:color w:val="auto"/>
          <w:sz w:val="24"/>
          <w:highlight w:val="none"/>
        </w:rPr>
        <w:t>17、投标保证金</w:t>
      </w:r>
    </w:p>
    <w:p w14:paraId="44EC41E6">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17.1、</w:t>
      </w:r>
      <w:r>
        <w:rPr>
          <w:rFonts w:ascii="Times New Roman" w:hAnsi="Times New Roman"/>
          <w:b/>
          <w:color w:val="auto"/>
          <w:sz w:val="24"/>
          <w:highlight w:val="none"/>
        </w:rPr>
        <w:t>投标保证金（</w:t>
      </w:r>
      <w:r>
        <w:rPr>
          <w:rFonts w:ascii="Times New Roman" w:hAnsi="Times New Roman"/>
          <w:color w:val="auto"/>
          <w:sz w:val="24"/>
          <w:highlight w:val="none"/>
        </w:rPr>
        <w:t>人民币）：无。</w:t>
      </w:r>
    </w:p>
    <w:p w14:paraId="5C770DC5">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17.2、</w:t>
      </w:r>
      <w:r>
        <w:rPr>
          <w:rFonts w:ascii="Times New Roman" w:hAnsi="Times New Roman"/>
          <w:b/>
          <w:color w:val="auto"/>
          <w:sz w:val="24"/>
          <w:highlight w:val="none"/>
        </w:rPr>
        <w:t>投标保证金交纳方式：</w:t>
      </w:r>
      <w:r>
        <w:rPr>
          <w:rFonts w:ascii="Times New Roman" w:hAnsi="Times New Roman"/>
          <w:bCs/>
          <w:color w:val="auto"/>
          <w:sz w:val="24"/>
          <w:highlight w:val="none"/>
        </w:rPr>
        <w:t>无。</w:t>
      </w:r>
    </w:p>
    <w:p w14:paraId="2B672568">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18、投标文件的签署和份数</w:t>
      </w:r>
    </w:p>
    <w:p w14:paraId="1CAA05CC">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18.1、</w:t>
      </w:r>
      <w:r>
        <w:rPr>
          <w:rFonts w:ascii="Times New Roman" w:hAnsi="Times New Roman"/>
          <w:b/>
          <w:color w:val="auto"/>
          <w:sz w:val="24"/>
          <w:highlight w:val="none"/>
        </w:rPr>
        <w:t>投标文件份数：</w:t>
      </w:r>
      <w:r>
        <w:rPr>
          <w:rFonts w:ascii="Times New Roman" w:hAnsi="Times New Roman"/>
          <w:color w:val="auto"/>
          <w:sz w:val="24"/>
          <w:highlight w:val="none"/>
        </w:rPr>
        <w:t>电子版一份。</w:t>
      </w:r>
    </w:p>
    <w:p w14:paraId="420DEBC8">
      <w:pPr>
        <w:tabs>
          <w:tab w:val="left" w:pos="1305"/>
        </w:tabs>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18.2、投标人应按本招标文件规定的格式和顺序编制投标文件并标注页码，投标文件内容不完整、编排混乱导致投标文件被误读、漏读或者查找不到相关内容的，是投标人的责任。</w:t>
      </w:r>
    </w:p>
    <w:p w14:paraId="3E317CAD">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18.3、投标文件应按</w:t>
      </w:r>
      <w:r>
        <w:rPr>
          <w:rFonts w:ascii="Times New Roman" w:hAnsi="Times New Roman"/>
          <w:color w:val="auto"/>
          <w:kern w:val="0"/>
          <w:sz w:val="24"/>
          <w:highlight w:val="none"/>
          <w:lang w:bidi="ar"/>
        </w:rPr>
        <w:t>价格文件、资格审查文件、商务技术文件</w:t>
      </w:r>
      <w:r>
        <w:rPr>
          <w:rFonts w:ascii="Times New Roman" w:hAnsi="Times New Roman"/>
          <w:color w:val="auto"/>
          <w:sz w:val="24"/>
          <w:highlight w:val="none"/>
        </w:rPr>
        <w:t>三部分组成。</w:t>
      </w:r>
    </w:p>
    <w:p w14:paraId="6567530C">
      <w:pPr>
        <w:snapToGrid w:val="0"/>
        <w:spacing w:line="44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18.4、</w:t>
      </w:r>
      <w:r>
        <w:rPr>
          <w:rFonts w:ascii="Times New Roman" w:hAnsi="Times New Roman"/>
          <w:b/>
          <w:bCs/>
          <w:color w:val="auto"/>
          <w:sz w:val="24"/>
          <w:highlight w:val="none"/>
        </w:rPr>
        <w:t>投标文件中所须加盖公章位置均采用 CA 签章。若公开招标文件中有专门标注的某关联点，并要求</w:t>
      </w:r>
      <w:r>
        <w:rPr>
          <w:rFonts w:hint="eastAsia" w:ascii="Times New Roman" w:hAnsi="Times New Roman"/>
          <w:b/>
          <w:bCs/>
          <w:color w:val="auto"/>
          <w:sz w:val="24"/>
          <w:highlight w:val="none"/>
        </w:rPr>
        <w:t>投标人</w:t>
      </w:r>
      <w:r>
        <w:rPr>
          <w:rFonts w:ascii="Times New Roman" w:hAnsi="Times New Roman"/>
          <w:b/>
          <w:bCs/>
          <w:color w:val="auto"/>
          <w:sz w:val="24"/>
          <w:highlight w:val="none"/>
        </w:rPr>
        <w:t>在电子投标系统中作出投标响应的，如</w:t>
      </w:r>
      <w:r>
        <w:rPr>
          <w:rFonts w:hint="eastAsia" w:ascii="Times New Roman" w:hAnsi="Times New Roman"/>
          <w:b/>
          <w:bCs/>
          <w:color w:val="auto"/>
          <w:sz w:val="24"/>
          <w:highlight w:val="none"/>
        </w:rPr>
        <w:t>投标人</w:t>
      </w:r>
      <w:r>
        <w:rPr>
          <w:rFonts w:ascii="Times New Roman" w:hAnsi="Times New Roman"/>
          <w:b/>
          <w:bCs/>
          <w:color w:val="auto"/>
          <w:sz w:val="24"/>
          <w:highlight w:val="none"/>
        </w:rPr>
        <w:t>未对关联点进行响应或者在投标文件其它内容进行描述，造成电子评审不能查询的责任由</w:t>
      </w:r>
      <w:r>
        <w:rPr>
          <w:rFonts w:hint="eastAsia" w:ascii="Times New Roman" w:hAnsi="Times New Roman"/>
          <w:b/>
          <w:bCs/>
          <w:color w:val="auto"/>
          <w:sz w:val="24"/>
          <w:highlight w:val="none"/>
        </w:rPr>
        <w:t>投标人</w:t>
      </w:r>
      <w:r>
        <w:rPr>
          <w:rFonts w:ascii="Times New Roman" w:hAnsi="Times New Roman"/>
          <w:b/>
          <w:bCs/>
          <w:color w:val="auto"/>
          <w:sz w:val="24"/>
          <w:highlight w:val="none"/>
        </w:rPr>
        <w:t>自行承担。</w:t>
      </w:r>
    </w:p>
    <w:p w14:paraId="50948B91">
      <w:pPr>
        <w:snapToGrid w:val="0"/>
        <w:spacing w:line="44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18.5、公开招标文件要求提供的各种复印件，须加盖投标人CA签章，否则其投标无效。</w:t>
      </w:r>
    </w:p>
    <w:p w14:paraId="587B5973">
      <w:pPr>
        <w:tabs>
          <w:tab w:val="left" w:pos="1305"/>
        </w:tabs>
        <w:spacing w:line="440" w:lineRule="exact"/>
        <w:ind w:firstLine="480" w:firstLineChars="200"/>
        <w:rPr>
          <w:rFonts w:ascii="Times New Roman" w:hAnsi="Times New Roman"/>
          <w:b/>
          <w:color w:val="auto"/>
          <w:sz w:val="24"/>
          <w:highlight w:val="none"/>
        </w:rPr>
      </w:pPr>
      <w:r>
        <w:rPr>
          <w:rFonts w:ascii="Times New Roman" w:hAnsi="Times New Roman"/>
          <w:color w:val="auto"/>
          <w:sz w:val="24"/>
          <w:highlight w:val="none"/>
        </w:rPr>
        <w:t>18.6、公开招标文件要求"必须提供"的证明等材料，投标必须全部提供，缺一不可，否则投标无效。</w:t>
      </w:r>
    </w:p>
    <w:p w14:paraId="68CD6DCA">
      <w:pPr>
        <w:tabs>
          <w:tab w:val="left" w:pos="1305"/>
        </w:tabs>
        <w:spacing w:line="440" w:lineRule="exact"/>
        <w:ind w:firstLine="480" w:firstLineChars="200"/>
        <w:rPr>
          <w:rFonts w:ascii="Times New Roman" w:hAnsi="Times New Roman"/>
          <w:b/>
          <w:bCs/>
          <w:color w:val="auto"/>
          <w:sz w:val="24"/>
          <w:highlight w:val="none"/>
        </w:rPr>
      </w:pPr>
      <w:r>
        <w:rPr>
          <w:rFonts w:ascii="Times New Roman" w:hAnsi="Times New Roman"/>
          <w:color w:val="auto"/>
          <w:sz w:val="24"/>
          <w:highlight w:val="none"/>
        </w:rPr>
        <w:t>18.7、公开招标文件要求法定代表人或委托代理人签字及加盖公章的部分必须签字并加盖公章后然后扫描或者拍照做成pdf格式上传，</w:t>
      </w:r>
      <w:r>
        <w:rPr>
          <w:rFonts w:hint="eastAsia" w:ascii="Times New Roman" w:hAnsi="Times New Roman"/>
          <w:color w:val="auto"/>
          <w:sz w:val="24"/>
          <w:highlight w:val="none"/>
        </w:rPr>
        <w:t>如已经办理有法定代表人签字电子章的，也可以直接签章。</w:t>
      </w:r>
      <w:r>
        <w:rPr>
          <w:rFonts w:ascii="Times New Roman" w:hAnsi="Times New Roman"/>
          <w:color w:val="auto"/>
          <w:sz w:val="24"/>
          <w:highlight w:val="none"/>
        </w:rPr>
        <w:t>无签字或盖章的视为投标无效。</w:t>
      </w:r>
    </w:p>
    <w:p w14:paraId="2280EB4A">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18.8、投标文件须由投标人逐页CA签章投标人单位公章并在规定位置由法定代表人或法定代表人的授权委托人签署，投标人应写全称。</w:t>
      </w:r>
    </w:p>
    <w:p w14:paraId="4326F3CD">
      <w:pPr>
        <w:pStyle w:val="9"/>
        <w:spacing w:line="440" w:lineRule="exact"/>
        <w:ind w:firstLine="480"/>
        <w:rPr>
          <w:rFonts w:ascii="Times New Roman" w:hAnsi="Times New Roman" w:eastAsia="宋体"/>
          <w:color w:val="auto"/>
          <w:highlight w:val="none"/>
        </w:rPr>
      </w:pPr>
      <w:r>
        <w:rPr>
          <w:rFonts w:ascii="Times New Roman" w:hAnsi="Times New Roman" w:eastAsia="宋体"/>
          <w:color w:val="auto"/>
          <w:highlight w:val="none"/>
        </w:rPr>
        <w:t>18.9、投标文件不得涂改，若有修改错漏处，须加盖单位公章及法定代表人（或授权委托人）签字或盖印鉴章。投标文件因字迹潦草或表达不清所引起的后果由投标人负责。</w:t>
      </w:r>
    </w:p>
    <w:p w14:paraId="7477A577">
      <w:pPr>
        <w:spacing w:line="440" w:lineRule="exact"/>
        <w:ind w:firstLine="435"/>
        <w:rPr>
          <w:rFonts w:ascii="Times New Roman" w:hAnsi="Times New Roman"/>
          <w:b/>
          <w:color w:val="auto"/>
          <w:sz w:val="24"/>
          <w:highlight w:val="none"/>
        </w:rPr>
      </w:pPr>
      <w:r>
        <w:rPr>
          <w:rFonts w:ascii="Times New Roman" w:hAnsi="Times New Roman"/>
          <w:b/>
          <w:color w:val="auto"/>
          <w:sz w:val="24"/>
          <w:highlight w:val="none"/>
        </w:rPr>
        <w:t>19、投标文件的签章</w:t>
      </w:r>
    </w:p>
    <w:p w14:paraId="702A4A20">
      <w:pPr>
        <w:widowControl/>
        <w:spacing w:line="440" w:lineRule="exact"/>
        <w:jc w:val="left"/>
        <w:rPr>
          <w:rFonts w:ascii="Times New Roman" w:hAnsi="Times New Roman"/>
          <w:color w:val="auto"/>
          <w:sz w:val="24"/>
          <w:highlight w:val="none"/>
        </w:rPr>
      </w:pPr>
      <w:r>
        <w:rPr>
          <w:rFonts w:ascii="Times New Roman" w:hAnsi="Times New Roman"/>
          <w:color w:val="auto"/>
          <w:sz w:val="24"/>
          <w:highlight w:val="none"/>
        </w:rPr>
        <w:t xml:space="preserve">   19.1、</w:t>
      </w:r>
      <w:r>
        <w:rPr>
          <w:rFonts w:ascii="Times New Roman" w:hAnsi="Times New Roman"/>
          <w:color w:val="auto"/>
          <w:kern w:val="0"/>
          <w:sz w:val="24"/>
          <w:highlight w:val="none"/>
          <w:lang w:bidi="ar"/>
        </w:rPr>
        <w:t xml:space="preserve">投标文件的签章 </w:t>
      </w:r>
    </w:p>
    <w:p w14:paraId="2CDDF4B0">
      <w:pPr>
        <w:widowControl/>
        <w:spacing w:line="440" w:lineRule="exact"/>
        <w:jc w:val="left"/>
        <w:rPr>
          <w:rFonts w:ascii="Times New Roman" w:hAnsi="Times New Roman"/>
          <w:color w:val="auto"/>
          <w:sz w:val="24"/>
          <w:highlight w:val="none"/>
        </w:rPr>
      </w:pPr>
      <w:r>
        <w:rPr>
          <w:rFonts w:ascii="Times New Roman" w:hAnsi="Times New Roman"/>
          <w:color w:val="auto"/>
          <w:sz w:val="24"/>
          <w:highlight w:val="none"/>
        </w:rPr>
        <w:t xml:space="preserve">   19.1.1</w:t>
      </w:r>
      <w:r>
        <w:rPr>
          <w:rFonts w:ascii="Times New Roman" w:hAnsi="Times New Roman"/>
          <w:color w:val="auto"/>
          <w:kern w:val="0"/>
          <w:sz w:val="24"/>
          <w:highlight w:val="none"/>
          <w:lang w:bidi="ar"/>
        </w:rPr>
        <w:t>电子投标文件中须加盖</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公章位置均采用CA签章，并根据"政府采购项目电子交易管理操作指南-</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"及本公开招标文件规定的格式和顺序编制电子投标文件并进行关联定位，以便评审小组在评时时，点击评分项可直接定位到该评分项内容。如对公开招标文件的某项要求，</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的电子投标文件未能关联定位提供相应的内容与其对应，则评审小组在评审时如做出对</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不利的评审由</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自行承担。电子投标文件如内容不完整、编排混乱导致投标文件被误读、漏读，或者在按采购文件规定的部位查找不到相关内容的，由</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自行承担。 </w:t>
      </w:r>
    </w:p>
    <w:p w14:paraId="0594457D">
      <w:pPr>
        <w:widowControl/>
        <w:spacing w:line="440" w:lineRule="exact"/>
        <w:jc w:val="left"/>
        <w:rPr>
          <w:rFonts w:ascii="Times New Roman" w:hAnsi="Times New Roman"/>
          <w:color w:val="auto"/>
          <w:sz w:val="24"/>
          <w:highlight w:val="none"/>
        </w:rPr>
      </w:pPr>
      <w:r>
        <w:rPr>
          <w:rFonts w:ascii="Times New Roman" w:hAnsi="Times New Roman"/>
          <w:color w:val="auto"/>
          <w:sz w:val="24"/>
          <w:highlight w:val="none"/>
        </w:rPr>
        <w:t xml:space="preserve">  19.1.</w:t>
      </w:r>
      <w:r>
        <w:rPr>
          <w:rFonts w:hint="eastAsia" w:ascii="Times New Roman" w:hAnsi="Times New Roman"/>
          <w:color w:val="auto"/>
          <w:sz w:val="24"/>
          <w:highlight w:val="none"/>
        </w:rPr>
        <w:t>2</w:t>
      </w:r>
      <w:r>
        <w:rPr>
          <w:rFonts w:ascii="Times New Roman" w:hAnsi="Times New Roman"/>
          <w:color w:val="auto"/>
          <w:kern w:val="0"/>
          <w:sz w:val="24"/>
          <w:highlight w:val="none"/>
          <w:lang w:bidi="ar"/>
        </w:rPr>
        <w:t>投标文件不得涂改，若有修改错漏处，须法定代表人或授权委托人签字。投标文件因字迹潦草或表达不清所引起的后果由</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负责。</w:t>
      </w:r>
    </w:p>
    <w:p w14:paraId="25380A9F">
      <w:pPr>
        <w:widowControl/>
        <w:spacing w:line="440" w:lineRule="exact"/>
        <w:jc w:val="left"/>
        <w:rPr>
          <w:rFonts w:ascii="Times New Roman" w:hAnsi="Times New Roman"/>
          <w:b/>
          <w:color w:val="auto"/>
          <w:sz w:val="24"/>
          <w:highlight w:val="none"/>
        </w:rPr>
      </w:pPr>
      <w:r>
        <w:rPr>
          <w:rFonts w:ascii="Times New Roman" w:hAnsi="Times New Roman"/>
          <w:b/>
          <w:color w:val="auto"/>
          <w:sz w:val="24"/>
          <w:highlight w:val="none"/>
        </w:rPr>
        <w:t>20、投标无效的情形</w:t>
      </w:r>
    </w:p>
    <w:p w14:paraId="37D3B1F9">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实质上没有响应招标文件要求的投标将被视为无效投标。投标人不得通过修正或撤消不合要求的偏离或保留从而使其投标成为实质上响应的投标。 </w:t>
      </w:r>
    </w:p>
    <w:p w14:paraId="5094528E">
      <w:pPr>
        <w:widowControl/>
        <w:spacing w:line="440" w:lineRule="exact"/>
        <w:jc w:val="left"/>
        <w:rPr>
          <w:rFonts w:ascii="Times New Roman" w:hAnsi="Times New Roman"/>
          <w:color w:val="auto"/>
          <w:sz w:val="24"/>
          <w:highlight w:val="none"/>
        </w:rPr>
      </w:pPr>
      <w:r>
        <w:rPr>
          <w:rFonts w:ascii="Times New Roman" w:hAnsi="Times New Roman"/>
          <w:b/>
          <w:bCs/>
          <w:color w:val="auto"/>
          <w:kern w:val="0"/>
          <w:sz w:val="24"/>
          <w:highlight w:val="none"/>
          <w:lang w:bidi="ar"/>
        </w:rPr>
        <w:t>20.1、在符合性审查和商务评审时，如发现下列情形之一的，投标文件将被视为无效：</w:t>
      </w:r>
    </w:p>
    <w:p w14:paraId="412D2D97">
      <w:pPr>
        <w:widowControl/>
        <w:spacing w:line="440" w:lineRule="exact"/>
        <w:jc w:val="left"/>
        <w:rPr>
          <w:rFonts w:ascii="Times New Roman" w:hAnsi="Times New Roman"/>
          <w:color w:val="auto"/>
          <w:sz w:val="24"/>
          <w:highlight w:val="none"/>
        </w:rPr>
      </w:pPr>
      <w:r>
        <w:rPr>
          <w:rFonts w:hint="eastAsia" w:ascii="Times New Roman" w:hAnsi="Times New Roman"/>
          <w:color w:val="auto"/>
          <w:kern w:val="0"/>
          <w:sz w:val="24"/>
          <w:highlight w:val="none"/>
          <w:lang w:val="en-US" w:eastAsia="zh-CN" w:bidi="ar"/>
        </w:rPr>
        <w:t>=</w:t>
      </w: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val="en-US" w:eastAsia="zh-CN" w:bidi="ar"/>
        </w:rPr>
        <w:t>1</w:t>
      </w:r>
      <w:r>
        <w:rPr>
          <w:rFonts w:ascii="Times New Roman" w:hAnsi="Times New Roman"/>
          <w:color w:val="auto"/>
          <w:kern w:val="0"/>
          <w:sz w:val="24"/>
          <w:highlight w:val="none"/>
          <w:lang w:bidi="ar"/>
        </w:rPr>
        <w:t>）投标文件无法定代表人或其授权委托代理人签字，或未提供法定代表人授权委托书、投标声明书或者填写项目</w:t>
      </w:r>
      <w:r>
        <w:rPr>
          <w:rFonts w:hint="eastAsia" w:ascii="Times New Roman" w:hAnsi="Times New Roman"/>
          <w:color w:val="auto"/>
          <w:kern w:val="0"/>
          <w:sz w:val="24"/>
          <w:highlight w:val="none"/>
          <w:lang w:val="en-US" w:eastAsia="zh-CN" w:bidi="ar"/>
        </w:rPr>
        <w:t>基本信息</w:t>
      </w:r>
      <w:r>
        <w:rPr>
          <w:rFonts w:ascii="Times New Roman" w:hAnsi="Times New Roman"/>
          <w:color w:val="auto"/>
          <w:kern w:val="0"/>
          <w:sz w:val="24"/>
          <w:highlight w:val="none"/>
          <w:lang w:bidi="ar"/>
        </w:rPr>
        <w:t xml:space="preserve">不齐全的； </w:t>
      </w:r>
    </w:p>
    <w:p w14:paraId="360C3C3C">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val="en-US" w:eastAsia="zh-CN" w:bidi="ar"/>
        </w:rPr>
        <w:t>2</w:t>
      </w:r>
      <w:r>
        <w:rPr>
          <w:rFonts w:ascii="Times New Roman" w:hAnsi="Times New Roman"/>
          <w:color w:val="auto"/>
          <w:kern w:val="0"/>
          <w:sz w:val="24"/>
          <w:highlight w:val="none"/>
          <w:lang w:bidi="ar"/>
        </w:rPr>
        <w:t xml:space="preserve">）投标代理人未能出具身份证明或与法定代表人授权委托人身份不符的； </w:t>
      </w:r>
    </w:p>
    <w:p w14:paraId="11C63091">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val="en-US" w:eastAsia="zh-CN" w:bidi="ar"/>
        </w:rPr>
        <w:t>3</w:t>
      </w:r>
      <w:r>
        <w:rPr>
          <w:rFonts w:ascii="Times New Roman" w:hAnsi="Times New Roman"/>
          <w:color w:val="auto"/>
          <w:kern w:val="0"/>
          <w:sz w:val="24"/>
          <w:highlight w:val="none"/>
          <w:lang w:bidi="ar"/>
        </w:rPr>
        <w:t xml:space="preserve">）项目不齐全或者内容虚假的； </w:t>
      </w:r>
    </w:p>
    <w:p w14:paraId="3805C38E">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val="en-US" w:eastAsia="zh-CN" w:bidi="ar"/>
        </w:rPr>
        <w:t>4</w:t>
      </w:r>
      <w:r>
        <w:rPr>
          <w:rFonts w:ascii="Times New Roman" w:hAnsi="Times New Roman"/>
          <w:color w:val="auto"/>
          <w:kern w:val="0"/>
          <w:sz w:val="24"/>
          <w:highlight w:val="none"/>
          <w:lang w:bidi="ar"/>
        </w:rPr>
        <w:t xml:space="preserve">）投标文件的实质性内容未使用中文表述、意思表述不明确、前后矛盾或者使用计量单位不符合招标文件要求的（经评标委员会认定并允许其当场更正的笔误除外）； </w:t>
      </w:r>
    </w:p>
    <w:p w14:paraId="0D63B19D">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val="en-US" w:eastAsia="zh-CN" w:bidi="ar"/>
        </w:rPr>
        <w:t>5</w:t>
      </w:r>
      <w:r>
        <w:rPr>
          <w:rFonts w:ascii="Times New Roman" w:hAnsi="Times New Roman"/>
          <w:color w:val="auto"/>
          <w:kern w:val="0"/>
          <w:sz w:val="24"/>
          <w:highlight w:val="none"/>
          <w:lang w:bidi="ar"/>
        </w:rPr>
        <w:t xml:space="preserve">）投标有效期、服务期限等商务条款不能满足招标文件要求的； </w:t>
      </w:r>
    </w:p>
    <w:p w14:paraId="6713B84B">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val="en-US" w:eastAsia="zh-CN" w:bidi="ar"/>
        </w:rPr>
        <w:t>6</w:t>
      </w:r>
      <w:r>
        <w:rPr>
          <w:rFonts w:ascii="Times New Roman" w:hAnsi="Times New Roman"/>
          <w:color w:val="auto"/>
          <w:kern w:val="0"/>
          <w:sz w:val="24"/>
          <w:highlight w:val="none"/>
          <w:lang w:bidi="ar"/>
        </w:rPr>
        <w:t xml:space="preserve">）未实质性响应招标文件要求或者投标文件有招标方不能接受的附加条件的； </w:t>
      </w:r>
    </w:p>
    <w:p w14:paraId="384AF450">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val="en-US" w:eastAsia="zh-CN" w:bidi="ar"/>
        </w:rPr>
        <w:t>7</w:t>
      </w:r>
      <w:r>
        <w:rPr>
          <w:rFonts w:ascii="Times New Roman" w:hAnsi="Times New Roman"/>
          <w:color w:val="auto"/>
          <w:kern w:val="0"/>
          <w:sz w:val="24"/>
          <w:highlight w:val="none"/>
          <w:lang w:bidi="ar"/>
        </w:rPr>
        <w:t xml:space="preserve">）投标文件未按招标文件要求签署、盖章的； </w:t>
      </w:r>
    </w:p>
    <w:p w14:paraId="4CD19E14">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w:t>
      </w:r>
      <w:r>
        <w:rPr>
          <w:rFonts w:hint="eastAsia" w:ascii="Times New Roman" w:hAnsi="Times New Roman"/>
          <w:color w:val="auto"/>
          <w:kern w:val="0"/>
          <w:sz w:val="24"/>
          <w:highlight w:val="none"/>
          <w:lang w:val="en-US" w:eastAsia="zh-CN" w:bidi="ar"/>
        </w:rPr>
        <w:t>8</w:t>
      </w:r>
      <w:r>
        <w:rPr>
          <w:rFonts w:ascii="Times New Roman" w:hAnsi="Times New Roman"/>
          <w:color w:val="auto"/>
          <w:kern w:val="0"/>
          <w:sz w:val="24"/>
          <w:highlight w:val="none"/>
          <w:lang w:bidi="ar"/>
        </w:rPr>
        <w:t xml:space="preserve">）法律、法规和招标文件规定的其他无效情形。 </w:t>
      </w:r>
    </w:p>
    <w:p w14:paraId="440EE118">
      <w:pPr>
        <w:widowControl/>
        <w:spacing w:line="440" w:lineRule="exact"/>
        <w:jc w:val="left"/>
        <w:rPr>
          <w:rFonts w:ascii="Times New Roman" w:hAnsi="Times New Roman"/>
          <w:color w:val="auto"/>
          <w:sz w:val="24"/>
          <w:highlight w:val="none"/>
        </w:rPr>
      </w:pPr>
      <w:r>
        <w:rPr>
          <w:rFonts w:ascii="Times New Roman" w:hAnsi="Times New Roman"/>
          <w:b/>
          <w:bCs/>
          <w:color w:val="auto"/>
          <w:kern w:val="0"/>
          <w:sz w:val="24"/>
          <w:highlight w:val="none"/>
          <w:lang w:bidi="ar"/>
        </w:rPr>
        <w:t xml:space="preserve">20.2、在技术评审时，如发现下列情形之一的，投标文件将被视为无效： </w:t>
      </w:r>
    </w:p>
    <w:p w14:paraId="61F455FE">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（1）未提供或未如实提供投标服务的内容，或者投标文件标明的响应或偏离与事实不符或虚假投标的；</w:t>
      </w:r>
    </w:p>
    <w:p w14:paraId="66ED3BB1">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（2）明显不符合招标文件要求的服务内容、质量标准，或者与招标文件中标"</w:t>
      </w:r>
      <w:r>
        <w:rPr>
          <w:rFonts w:hint="eastAsia" w:ascii="宋体" w:hAnsi="宋体" w:cs="宋体"/>
          <w:color w:val="auto"/>
          <w:kern w:val="0"/>
          <w:sz w:val="24"/>
          <w:szCs w:val="21"/>
          <w:highlight w:val="none"/>
        </w:rPr>
        <w:t>▲</w:t>
      </w:r>
      <w:r>
        <w:rPr>
          <w:rFonts w:ascii="Times New Roman" w:hAnsi="Times New Roman"/>
          <w:color w:val="auto"/>
          <w:kern w:val="0"/>
          <w:sz w:val="24"/>
          <w:highlight w:val="none"/>
          <w:lang w:bidi="ar"/>
        </w:rPr>
        <w:t xml:space="preserve">"的项目需求发生实质性偏离的； </w:t>
      </w:r>
    </w:p>
    <w:p w14:paraId="01599D5A">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（3）投标实施方案不明确，存在一个或一个以上备选（替代）投标方案的；  </w:t>
      </w:r>
    </w:p>
    <w:p w14:paraId="78A4292C">
      <w:pPr>
        <w:widowControl/>
        <w:spacing w:line="440" w:lineRule="exact"/>
        <w:jc w:val="left"/>
        <w:rPr>
          <w:rFonts w:ascii="Times New Roman" w:hAnsi="Times New Roman"/>
          <w:color w:val="auto"/>
          <w:sz w:val="24"/>
          <w:highlight w:val="none"/>
        </w:rPr>
      </w:pPr>
      <w:r>
        <w:rPr>
          <w:rFonts w:ascii="Times New Roman" w:hAnsi="Times New Roman"/>
          <w:b/>
          <w:bCs/>
          <w:color w:val="auto"/>
          <w:kern w:val="0"/>
          <w:sz w:val="24"/>
          <w:highlight w:val="none"/>
          <w:lang w:bidi="ar"/>
        </w:rPr>
        <w:t xml:space="preserve">20.3、在报价评审时，如发现下列情形之一的，投标文件将被视为无效： </w:t>
      </w:r>
    </w:p>
    <w:p w14:paraId="099CE5D7">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（1）未采用人民币报价或者未按照招标文件标明的币种报价的； </w:t>
      </w:r>
    </w:p>
    <w:p w14:paraId="422E5206">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（2）报价不符合招标文件要求，或者超出采购预算金额，招标人不能支付的； </w:t>
      </w:r>
    </w:p>
    <w:p w14:paraId="483FA530">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（3）投标报价具有选择性，或者开标价格与投标文件承诺的价格不一致的。 </w:t>
      </w:r>
    </w:p>
    <w:p w14:paraId="23D294EE">
      <w:pPr>
        <w:widowControl/>
        <w:spacing w:line="440" w:lineRule="exact"/>
        <w:jc w:val="left"/>
        <w:rPr>
          <w:rFonts w:ascii="Times New Roman" w:hAnsi="Times New Roman"/>
          <w:color w:val="auto"/>
          <w:sz w:val="24"/>
          <w:highlight w:val="none"/>
        </w:rPr>
      </w:pPr>
      <w:r>
        <w:rPr>
          <w:rFonts w:ascii="Times New Roman" w:hAnsi="Times New Roman"/>
          <w:b/>
          <w:bCs/>
          <w:color w:val="auto"/>
          <w:kern w:val="0"/>
          <w:sz w:val="24"/>
          <w:highlight w:val="none"/>
          <w:lang w:bidi="ar"/>
        </w:rPr>
        <w:t xml:space="preserve">20.4、被拒绝的投标文件为无效。 </w:t>
      </w:r>
    </w:p>
    <w:p w14:paraId="35E9F1BB">
      <w:pPr>
        <w:widowControl/>
        <w:spacing w:line="440" w:lineRule="exact"/>
        <w:jc w:val="left"/>
        <w:rPr>
          <w:rFonts w:ascii="Times New Roman" w:hAnsi="Times New Roman"/>
          <w:color w:val="auto"/>
          <w:sz w:val="24"/>
          <w:highlight w:val="none"/>
        </w:rPr>
      </w:pPr>
      <w:r>
        <w:rPr>
          <w:rFonts w:ascii="Times New Roman" w:hAnsi="Times New Roman"/>
          <w:b/>
          <w:bCs/>
          <w:color w:val="auto"/>
          <w:kern w:val="0"/>
          <w:sz w:val="24"/>
          <w:highlight w:val="none"/>
          <w:lang w:bidi="ar"/>
        </w:rPr>
        <w:t xml:space="preserve">20.5、有下列情形之一的视为投标人相互串通投标，投标文件将被视为无效： </w:t>
      </w:r>
    </w:p>
    <w:p w14:paraId="4A82B3CD">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 xml:space="preserve">（1）不同投标人的投标文件由同一单位或者个人编制；或不同投标人报名的 IP 地址一致的； </w:t>
      </w:r>
    </w:p>
    <w:p w14:paraId="21E428C7">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 xml:space="preserve">（2）不同投标人委托同一单位或者个人办理投标事宜； </w:t>
      </w:r>
    </w:p>
    <w:p w14:paraId="671C4EA1">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 xml:space="preserve">（3）不同的投标人的投标文件载明的项目管理员为同一个人； </w:t>
      </w:r>
    </w:p>
    <w:p w14:paraId="1E385C78">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（4）不同投标人的投标文件异常一致或投标报价呈规律性差异；</w:t>
      </w:r>
    </w:p>
    <w:p w14:paraId="093BC170">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（5）不同投标人的投标文件相互混装；</w:t>
      </w:r>
    </w:p>
    <w:p w14:paraId="064A1B00">
      <w:pPr>
        <w:widowControl/>
        <w:spacing w:line="440" w:lineRule="exact"/>
        <w:jc w:val="left"/>
        <w:rPr>
          <w:rFonts w:ascii="Times New Roman" w:hAnsi="Times New Roman"/>
          <w:b/>
          <w:bCs/>
          <w:color w:val="auto"/>
          <w:kern w:val="0"/>
          <w:sz w:val="24"/>
          <w:highlight w:val="none"/>
          <w:lang w:bidi="ar"/>
        </w:rPr>
      </w:pPr>
      <w:r>
        <w:rPr>
          <w:rFonts w:ascii="Times New Roman" w:hAnsi="Times New Roman"/>
          <w:b/>
          <w:bCs/>
          <w:color w:val="auto"/>
          <w:kern w:val="0"/>
          <w:sz w:val="24"/>
          <w:highlight w:val="none"/>
          <w:lang w:bidi="ar"/>
        </w:rPr>
        <w:t>20.6、</w:t>
      </w:r>
      <w:r>
        <w:rPr>
          <w:rFonts w:hint="eastAsia" w:ascii="Times New Roman" w:hAnsi="Times New Roman"/>
          <w:b/>
          <w:bCs/>
          <w:color w:val="auto"/>
          <w:kern w:val="0"/>
          <w:sz w:val="24"/>
          <w:highlight w:val="none"/>
          <w:lang w:bidi="ar"/>
        </w:rPr>
        <w:t>投标人</w:t>
      </w:r>
      <w:r>
        <w:rPr>
          <w:rFonts w:ascii="Times New Roman" w:hAnsi="Times New Roman"/>
          <w:b/>
          <w:bCs/>
          <w:color w:val="auto"/>
          <w:kern w:val="0"/>
          <w:sz w:val="24"/>
          <w:highlight w:val="none"/>
          <w:lang w:bidi="ar"/>
        </w:rPr>
        <w:t xml:space="preserve">有下列情形之一的，属于恶意串通行为： </w:t>
      </w:r>
    </w:p>
    <w:p w14:paraId="0D5A924A">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（1）</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直接或者间接从招标人或者招标代理机构处获得其他</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的相关信息并修改其投标文件或者投标文件； </w:t>
      </w:r>
    </w:p>
    <w:p w14:paraId="3E9CDA7A">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（2）</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按照招标人或者招标代理机构的授意撤换、修改投标文件； </w:t>
      </w:r>
    </w:p>
    <w:p w14:paraId="1CAA77BD">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（3）</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之间协商报价、实施方案等投标文件或者</w:t>
      </w:r>
      <w:r>
        <w:rPr>
          <w:rFonts w:hint="eastAsia" w:ascii="Times New Roman" w:hAnsi="Times New Roman"/>
          <w:color w:val="auto"/>
          <w:kern w:val="0"/>
          <w:sz w:val="24"/>
          <w:highlight w:val="none"/>
          <w:lang w:bidi="ar"/>
        </w:rPr>
        <w:t>投标文件</w:t>
      </w:r>
      <w:r>
        <w:rPr>
          <w:rFonts w:ascii="Times New Roman" w:hAnsi="Times New Roman"/>
          <w:color w:val="auto"/>
          <w:kern w:val="0"/>
          <w:sz w:val="24"/>
          <w:highlight w:val="none"/>
          <w:lang w:bidi="ar"/>
        </w:rPr>
        <w:t xml:space="preserve">的实质性内容； </w:t>
      </w:r>
    </w:p>
    <w:p w14:paraId="29899CA6">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（4）属于同一集团、协会、商会等组织成员的</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按照该组织要求协同参加政府采购活动； </w:t>
      </w:r>
    </w:p>
    <w:p w14:paraId="2D8FE60C">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（5）</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之间事先约定一致抬高或者压低投标报价，或者在招标项目中事先约定轮流以高价位或者低价位中标，或者事先约定由某一特定</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中标，然后再参加投标； </w:t>
      </w:r>
    </w:p>
    <w:p w14:paraId="570C783D">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（6）</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之间商定部分</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放弃参加政府采购活动或者放弃中标； </w:t>
      </w:r>
    </w:p>
    <w:p w14:paraId="072E9E2D">
      <w:pPr>
        <w:widowControl/>
        <w:spacing w:line="440" w:lineRule="exact"/>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（7）</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与招标人或者招标代理机构之间、</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相互之间，为谋求特定</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中标或者排斥其他</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的其他串通行为。</w:t>
      </w:r>
    </w:p>
    <w:p w14:paraId="25B67C96">
      <w:pPr>
        <w:widowControl/>
        <w:spacing w:line="440" w:lineRule="exact"/>
        <w:ind w:firstLine="241" w:firstLineChars="100"/>
        <w:jc w:val="left"/>
        <w:rPr>
          <w:rFonts w:ascii="Times New Roman" w:hAnsi="Times New Roman"/>
          <w:color w:val="auto"/>
          <w:kern w:val="0"/>
          <w:sz w:val="24"/>
          <w:highlight w:val="none"/>
          <w:lang w:bidi="ar"/>
        </w:rPr>
      </w:pPr>
      <w:r>
        <w:rPr>
          <w:rFonts w:ascii="Times New Roman" w:hAnsi="Times New Roman"/>
          <w:b/>
          <w:bCs/>
          <w:color w:val="auto"/>
          <w:kern w:val="0"/>
          <w:sz w:val="24"/>
          <w:highlight w:val="none"/>
          <w:lang w:bidi="ar"/>
        </w:rPr>
        <w:t>21、电子投标文件的相关说明：</w:t>
      </w:r>
      <w:r>
        <w:rPr>
          <w:rFonts w:ascii="Times New Roman" w:hAnsi="Times New Roman"/>
          <w:color w:val="auto"/>
          <w:kern w:val="0"/>
          <w:sz w:val="24"/>
          <w:highlight w:val="none"/>
          <w:lang w:bidi="ar"/>
        </w:rPr>
        <w:t xml:space="preserve"> </w:t>
      </w:r>
    </w:p>
    <w:p w14:paraId="228490DF">
      <w:pPr>
        <w:widowControl/>
        <w:spacing w:line="440" w:lineRule="exact"/>
        <w:ind w:firstLine="480" w:firstLineChars="200"/>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21.1、</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进行电子投标应安装客户端软件，并按照公开招标文件和电子交易平台的要求编制并加密投标文件。</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未按规定加密的投标文件，电子交易平台将拒收。</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应当在开标截止时间前完成投标文件的传输递交，并可以补充、修改或者撤回投标文件。补充或者修改投标文件的，应当先行撤回原文件，补充、修改后重新传输递交。开标截止时间前未完成传输的，视为撤回投标文件。开标截止时间后上传的投标文件，电子交易平台将拒收。 </w:t>
      </w:r>
    </w:p>
    <w:p w14:paraId="17E5C066">
      <w:pPr>
        <w:widowControl/>
        <w:spacing w:line="440" w:lineRule="exact"/>
        <w:ind w:firstLine="480" w:firstLineChars="200"/>
        <w:jc w:val="left"/>
        <w:rPr>
          <w:rFonts w:ascii="Times New Roman" w:hAnsi="Times New Roman"/>
          <w:color w:val="auto"/>
          <w:kern w:val="0"/>
          <w:sz w:val="24"/>
          <w:highlight w:val="none"/>
          <w:lang w:bidi="ar"/>
        </w:rPr>
      </w:pPr>
      <w:r>
        <w:rPr>
          <w:rFonts w:ascii="Times New Roman" w:hAnsi="Times New Roman"/>
          <w:color w:val="auto"/>
          <w:kern w:val="0"/>
          <w:sz w:val="24"/>
          <w:highlight w:val="none"/>
          <w:lang w:bidi="ar"/>
        </w:rPr>
        <w:t>21.2、如有特殊情况，采购代理机构延长截止时间和开标时间，采购代理机构和</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的权利和义务将受到新的截止时间和开标时间的约束。</w:t>
      </w:r>
    </w:p>
    <w:p w14:paraId="49B601C6">
      <w:pPr>
        <w:tabs>
          <w:tab w:val="left" w:pos="1305"/>
        </w:tabs>
        <w:spacing w:line="440" w:lineRule="exact"/>
        <w:ind w:firstLine="562" w:firstLineChars="200"/>
        <w:jc w:val="center"/>
        <w:rPr>
          <w:rFonts w:ascii="Times New Roman" w:hAnsi="Times New Roman"/>
          <w:b/>
          <w:color w:val="auto"/>
          <w:sz w:val="28"/>
          <w:szCs w:val="28"/>
          <w:highlight w:val="none"/>
        </w:rPr>
      </w:pPr>
      <w:r>
        <w:rPr>
          <w:rFonts w:ascii="Times New Roman" w:hAnsi="Times New Roman"/>
          <w:b/>
          <w:color w:val="auto"/>
          <w:sz w:val="28"/>
          <w:szCs w:val="28"/>
          <w:highlight w:val="none"/>
        </w:rPr>
        <w:t>四、开标</w:t>
      </w:r>
    </w:p>
    <w:p w14:paraId="7793D39D">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22、开标准备</w:t>
      </w:r>
    </w:p>
    <w:p w14:paraId="62BC48F6">
      <w:pPr>
        <w:tabs>
          <w:tab w:val="left" w:pos="1305"/>
        </w:tabs>
        <w:spacing w:line="440" w:lineRule="exact"/>
        <w:ind w:firstLine="480" w:firstLineChars="200"/>
        <w:rPr>
          <w:rFonts w:ascii="Times New Roman" w:hAnsi="Times New Roman"/>
          <w:b/>
          <w:color w:val="auto"/>
          <w:sz w:val="24"/>
          <w:highlight w:val="none"/>
        </w:rPr>
      </w:pPr>
      <w:r>
        <w:rPr>
          <w:rFonts w:ascii="Times New Roman" w:hAnsi="Times New Roman"/>
          <w:color w:val="auto"/>
          <w:sz w:val="24"/>
          <w:highlight w:val="none"/>
        </w:rPr>
        <w:t>22.1、开标的准备工作由本公司负责落实；</w:t>
      </w:r>
    </w:p>
    <w:p w14:paraId="0590362B">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22.2、本公司将按照招标文件规定的时间通过"政府采购云平台"组织开标、开启投标文件，所有</w:t>
      </w:r>
      <w:r>
        <w:rPr>
          <w:rFonts w:hint="eastAsia" w:ascii="Times New Roman" w:hAnsi="Times New Roman"/>
          <w:color w:val="auto"/>
          <w:sz w:val="24"/>
          <w:highlight w:val="none"/>
        </w:rPr>
        <w:t>投标人</w:t>
      </w:r>
      <w:r>
        <w:rPr>
          <w:rFonts w:ascii="Times New Roman" w:hAnsi="Times New Roman"/>
          <w:color w:val="auto"/>
          <w:sz w:val="24"/>
          <w:highlight w:val="none"/>
        </w:rPr>
        <w:t>均应当准时在线参加。投标</w:t>
      </w:r>
      <w:r>
        <w:rPr>
          <w:rFonts w:hint="eastAsia" w:ascii="Times New Roman" w:hAnsi="Times New Roman"/>
          <w:color w:val="auto"/>
          <w:sz w:val="24"/>
          <w:highlight w:val="none"/>
        </w:rPr>
        <w:t>投标人</w:t>
      </w:r>
      <w:r>
        <w:rPr>
          <w:rFonts w:ascii="Times New Roman" w:hAnsi="Times New Roman"/>
          <w:color w:val="auto"/>
          <w:sz w:val="24"/>
          <w:highlight w:val="none"/>
        </w:rPr>
        <w:t>如不参加开标会的，视同认可开标结果，事后不得对采购相关人员、开标过程和开标结果提出异议，同时投标</w:t>
      </w:r>
      <w:r>
        <w:rPr>
          <w:rFonts w:hint="eastAsia" w:ascii="Times New Roman" w:hAnsi="Times New Roman"/>
          <w:color w:val="auto"/>
          <w:sz w:val="24"/>
          <w:highlight w:val="none"/>
        </w:rPr>
        <w:t>投标人</w:t>
      </w:r>
      <w:r>
        <w:rPr>
          <w:rFonts w:ascii="Times New Roman" w:hAnsi="Times New Roman"/>
          <w:color w:val="auto"/>
          <w:sz w:val="24"/>
          <w:highlight w:val="none"/>
        </w:rPr>
        <w:t>因未在线参加开标而导致投标文件无法按时解密等一切后果由</w:t>
      </w:r>
      <w:r>
        <w:rPr>
          <w:rFonts w:hint="eastAsia" w:ascii="Times New Roman" w:hAnsi="Times New Roman"/>
          <w:color w:val="auto"/>
          <w:sz w:val="24"/>
          <w:highlight w:val="none"/>
        </w:rPr>
        <w:t>投标人</w:t>
      </w:r>
      <w:r>
        <w:rPr>
          <w:rFonts w:ascii="Times New Roman" w:hAnsi="Times New Roman"/>
          <w:color w:val="auto"/>
          <w:sz w:val="24"/>
          <w:highlight w:val="none"/>
        </w:rPr>
        <w:t>自己承担。</w:t>
      </w:r>
    </w:p>
    <w:p w14:paraId="393D1687">
      <w:pPr>
        <w:tabs>
          <w:tab w:val="left" w:pos="1305"/>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23、开标程序</w:t>
      </w:r>
    </w:p>
    <w:p w14:paraId="42EBB2ED">
      <w:pPr>
        <w:tabs>
          <w:tab w:val="left" w:pos="1305"/>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（1）向各投标</w:t>
      </w:r>
      <w:r>
        <w:rPr>
          <w:rFonts w:hint="eastAsia" w:ascii="Times New Roman" w:hAnsi="Times New Roman"/>
          <w:color w:val="auto"/>
          <w:sz w:val="24"/>
          <w:highlight w:val="none"/>
        </w:rPr>
        <w:t>投标人</w:t>
      </w:r>
      <w:r>
        <w:rPr>
          <w:rFonts w:ascii="Times New Roman" w:hAnsi="Times New Roman"/>
          <w:color w:val="auto"/>
          <w:sz w:val="24"/>
          <w:highlight w:val="none"/>
        </w:rPr>
        <w:t>发出电子加密投标文件【开始解密】通知，由</w:t>
      </w:r>
      <w:r>
        <w:rPr>
          <w:rFonts w:hint="eastAsia" w:ascii="Times New Roman" w:hAnsi="Times New Roman"/>
          <w:color w:val="auto"/>
          <w:sz w:val="24"/>
          <w:highlight w:val="none"/>
        </w:rPr>
        <w:t>投标人</w:t>
      </w:r>
      <w:r>
        <w:rPr>
          <w:rFonts w:ascii="Times New Roman" w:hAnsi="Times New Roman"/>
          <w:color w:val="auto"/>
          <w:sz w:val="24"/>
          <w:highlight w:val="none"/>
        </w:rPr>
        <w:t>按招标文件规定的时间内自行进行投标文件解密。在线解密时间为30分钟。</w:t>
      </w:r>
    </w:p>
    <w:p w14:paraId="37F5FB8C">
      <w:pPr>
        <w:tabs>
          <w:tab w:val="left" w:pos="1305"/>
        </w:tabs>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（2）投标文件解密结束后，开标活动组织人员在线开启投标文件。 </w:t>
      </w:r>
    </w:p>
    <w:p w14:paraId="4461D82F">
      <w:pPr>
        <w:tabs>
          <w:tab w:val="left" w:pos="1305"/>
        </w:tabs>
        <w:spacing w:line="440" w:lineRule="exact"/>
        <w:rPr>
          <w:rFonts w:ascii="Times New Roman" w:hAnsi="Times New Roman"/>
          <w:color w:val="auto"/>
          <w:sz w:val="24"/>
          <w:highlight w:val="none"/>
        </w:rPr>
      </w:pPr>
      <w:r>
        <w:rPr>
          <w:rFonts w:ascii="Times New Roman" w:hAnsi="Times New Roman"/>
          <w:color w:val="auto"/>
          <w:sz w:val="24"/>
          <w:highlight w:val="none"/>
        </w:rPr>
        <w:t xml:space="preserve">开标结束后，如发现开标结果与报价文件不一致者，由评标委员会根据报价文件内容进行修正。 </w:t>
      </w:r>
    </w:p>
    <w:p w14:paraId="550965C8">
      <w:pPr>
        <w:tabs>
          <w:tab w:val="left" w:pos="1305"/>
        </w:tabs>
        <w:spacing w:line="440" w:lineRule="exact"/>
        <w:rPr>
          <w:rFonts w:ascii="Times New Roman" w:hAnsi="Times New Roman"/>
          <w:color w:val="auto"/>
          <w:sz w:val="24"/>
          <w:highlight w:val="none"/>
        </w:rPr>
      </w:pPr>
      <w:r>
        <w:rPr>
          <w:rFonts w:ascii="Times New Roman" w:hAnsi="Times New Roman"/>
          <w:color w:val="auto"/>
          <w:sz w:val="24"/>
          <w:highlight w:val="none"/>
        </w:rPr>
        <w:t>特别说明：如遇"政府采购云平台"电子化开标或评审程序调整的，按调整后程序执行。</w:t>
      </w:r>
    </w:p>
    <w:p w14:paraId="4957517D">
      <w:pPr>
        <w:tabs>
          <w:tab w:val="left" w:pos="1305"/>
        </w:tabs>
        <w:spacing w:line="440" w:lineRule="exact"/>
        <w:ind w:firstLine="480" w:firstLineChars="200"/>
        <w:rPr>
          <w:rFonts w:ascii="Times New Roman" w:hAnsi="Times New Roman"/>
          <w:color w:val="auto"/>
          <w:sz w:val="24"/>
          <w:highlight w:val="none"/>
        </w:rPr>
      </w:pPr>
    </w:p>
    <w:p w14:paraId="0D3357E2">
      <w:pPr>
        <w:tabs>
          <w:tab w:val="left" w:pos="1305"/>
        </w:tabs>
        <w:spacing w:line="440" w:lineRule="exact"/>
        <w:ind w:firstLine="3795" w:firstLineChars="1350"/>
        <w:rPr>
          <w:rFonts w:ascii="Times New Roman" w:hAnsi="Times New Roman"/>
          <w:b/>
          <w:color w:val="auto"/>
          <w:sz w:val="28"/>
          <w:szCs w:val="28"/>
          <w:highlight w:val="none"/>
        </w:rPr>
      </w:pPr>
    </w:p>
    <w:p w14:paraId="78794A36">
      <w:pPr>
        <w:tabs>
          <w:tab w:val="left" w:pos="1305"/>
        </w:tabs>
        <w:spacing w:line="440" w:lineRule="exact"/>
        <w:ind w:firstLine="3795" w:firstLineChars="1350"/>
        <w:rPr>
          <w:rFonts w:ascii="Times New Roman" w:hAnsi="Times New Roman"/>
          <w:b/>
          <w:color w:val="auto"/>
          <w:sz w:val="28"/>
          <w:szCs w:val="28"/>
          <w:highlight w:val="none"/>
        </w:rPr>
      </w:pPr>
    </w:p>
    <w:p w14:paraId="66BCDEB5">
      <w:pPr>
        <w:tabs>
          <w:tab w:val="left" w:pos="1305"/>
        </w:tabs>
        <w:spacing w:line="440" w:lineRule="exact"/>
        <w:ind w:firstLine="3795" w:firstLineChars="1350"/>
        <w:rPr>
          <w:rFonts w:ascii="Times New Roman" w:hAnsi="Times New Roman"/>
          <w:b/>
          <w:color w:val="auto"/>
          <w:sz w:val="28"/>
          <w:szCs w:val="28"/>
          <w:highlight w:val="none"/>
        </w:rPr>
      </w:pPr>
      <w:r>
        <w:rPr>
          <w:rFonts w:ascii="Times New Roman" w:hAnsi="Times New Roman"/>
          <w:b/>
          <w:color w:val="auto"/>
          <w:sz w:val="28"/>
          <w:szCs w:val="28"/>
          <w:highlight w:val="none"/>
        </w:rPr>
        <w:t>五、资格性审查</w:t>
      </w:r>
    </w:p>
    <w:p w14:paraId="1A431C45">
      <w:pPr>
        <w:pStyle w:val="12"/>
        <w:snapToGrid w:val="0"/>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24. 资格性审查</w:t>
      </w:r>
    </w:p>
    <w:p w14:paraId="7C5F5B6C">
      <w:pPr>
        <w:pStyle w:val="12"/>
        <w:snapToGrid w:val="0"/>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24.1公开招标采购项目开标结束后，招标人或者招标代理机构应当依法对投标人的资格进行审查。合格投标人不足3家的，不得评标。</w:t>
      </w:r>
    </w:p>
    <w:p w14:paraId="7C7CCD7B">
      <w:pPr>
        <w:pStyle w:val="12"/>
        <w:snapToGrid w:val="0"/>
        <w:spacing w:line="440" w:lineRule="exact"/>
        <w:ind w:firstLine="480" w:firstLineChars="200"/>
        <w:rPr>
          <w:rFonts w:ascii="Times New Roman" w:hAnsi="Times New Roman" w:eastAsia="宋体"/>
          <w:color w:val="auto"/>
          <w:highlight w:val="none"/>
        </w:rPr>
      </w:pPr>
      <w:r>
        <w:rPr>
          <w:rFonts w:ascii="Times New Roman" w:hAnsi="Times New Roman" w:eastAsia="宋体"/>
          <w:color w:val="auto"/>
          <w:sz w:val="24"/>
          <w:szCs w:val="24"/>
          <w:highlight w:val="none"/>
        </w:rPr>
        <w:t>24.2招标人或者招标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参加同一合同项下的政府采购活动的，按资格审查不通过处理。</w:t>
      </w:r>
    </w:p>
    <w:p w14:paraId="56E4D496">
      <w:pPr>
        <w:tabs>
          <w:tab w:val="center" w:pos="4411"/>
          <w:tab w:val="left" w:pos="5475"/>
        </w:tabs>
        <w:spacing w:line="440" w:lineRule="exact"/>
        <w:jc w:val="center"/>
        <w:rPr>
          <w:rFonts w:ascii="Times New Roman" w:hAnsi="Times New Roman"/>
          <w:b/>
          <w:color w:val="auto"/>
          <w:sz w:val="28"/>
          <w:szCs w:val="28"/>
          <w:highlight w:val="none"/>
        </w:rPr>
      </w:pPr>
      <w:r>
        <w:rPr>
          <w:rFonts w:ascii="Times New Roman" w:hAnsi="Times New Roman"/>
          <w:b/>
          <w:color w:val="auto"/>
          <w:sz w:val="28"/>
          <w:szCs w:val="28"/>
          <w:highlight w:val="none"/>
        </w:rPr>
        <w:t>六、评标</w:t>
      </w:r>
    </w:p>
    <w:p w14:paraId="2F7FE3D7">
      <w:pPr>
        <w:tabs>
          <w:tab w:val="center" w:pos="4411"/>
          <w:tab w:val="left" w:pos="5475"/>
        </w:tabs>
        <w:spacing w:line="440" w:lineRule="exact"/>
        <w:ind w:firstLine="482" w:firstLineChars="200"/>
        <w:jc w:val="left"/>
        <w:rPr>
          <w:rFonts w:ascii="Times New Roman" w:hAnsi="Times New Roman"/>
          <w:b/>
          <w:color w:val="auto"/>
          <w:sz w:val="24"/>
          <w:highlight w:val="none"/>
        </w:rPr>
      </w:pPr>
      <w:r>
        <w:rPr>
          <w:rFonts w:ascii="Times New Roman" w:hAnsi="Times New Roman"/>
          <w:b/>
          <w:color w:val="auto"/>
          <w:sz w:val="24"/>
          <w:highlight w:val="none"/>
        </w:rPr>
        <w:t>25、评标委员会组成</w:t>
      </w:r>
    </w:p>
    <w:p w14:paraId="7637153E">
      <w:pPr>
        <w:spacing w:line="44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评标委员会由采购人代表和评审专家组成，人数为7人以上单数，其中评审专家不得少于成员总数的三分之二。</w:t>
      </w:r>
      <w:r>
        <w:rPr>
          <w:rFonts w:ascii="Times New Roman" w:hAnsi="Times New Roman"/>
          <w:color w:val="auto"/>
          <w:sz w:val="24"/>
          <w:highlight w:val="none"/>
        </w:rPr>
        <w:t>评标专家确定方式：开标前由招标采购单位从广西壮族自治区设立的政府采购云平台专家库中，通过随机方式抽取专家。</w:t>
      </w:r>
    </w:p>
    <w:p w14:paraId="2E02805D">
      <w:pPr>
        <w:tabs>
          <w:tab w:val="left" w:pos="1140"/>
        </w:tabs>
        <w:spacing w:line="440" w:lineRule="exact"/>
        <w:ind w:left="428" w:leftChars="172" w:hanging="67" w:hangingChars="28"/>
        <w:rPr>
          <w:rFonts w:ascii="Times New Roman" w:hAnsi="Times New Roman"/>
          <w:b/>
          <w:color w:val="auto"/>
          <w:sz w:val="24"/>
          <w:highlight w:val="none"/>
        </w:rPr>
      </w:pPr>
      <w:r>
        <w:rPr>
          <w:rFonts w:ascii="Times New Roman" w:hAnsi="Times New Roman"/>
          <w:b/>
          <w:color w:val="auto"/>
          <w:sz w:val="24"/>
          <w:highlight w:val="none"/>
        </w:rPr>
        <w:t>26、评标原则和评标办法</w:t>
      </w:r>
    </w:p>
    <w:p w14:paraId="5138A688">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26.1、评标委员会必须坚持公平、公正、科学和择优的原则。</w:t>
      </w:r>
    </w:p>
    <w:p w14:paraId="232F1FEA">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26.2、评标办法：综合评分法，具体评标内容及标准详见第四章：评标原则及评分标准。</w:t>
      </w:r>
    </w:p>
    <w:p w14:paraId="3797033F">
      <w:pPr>
        <w:pStyle w:val="12"/>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26.3、评标委员会应按招标文件进行评标，不得擅自更改评标办法。</w:t>
      </w:r>
    </w:p>
    <w:p w14:paraId="46931AC5">
      <w:pPr>
        <w:pStyle w:val="12"/>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26.4、在评审过程中，评标委员会任何人不得对某个投标人发表任何倾向性意见，不得向其他专家评委明示或者暗示自己的评审意见。</w:t>
      </w:r>
    </w:p>
    <w:p w14:paraId="732D7279">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26.5、评标委员会成员对需要共同认定的事项存在争议的，按照少数服从多数的原则作出结论。持不同意见的评标委员会成员应当在评审报告上签署不同意见并说明理由，否则视为同意。　　　　　　　　　　　　　　　　　　　　　　　　　　　　　　　　　　　　　　　　　　　　　　　　　　　　　　　　　　　　　　　　</w:t>
      </w:r>
    </w:p>
    <w:p w14:paraId="5A89F2FB">
      <w:pPr>
        <w:tabs>
          <w:tab w:val="left" w:pos="1140"/>
        </w:tabs>
        <w:spacing w:line="44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27、评标程序及要求</w:t>
      </w:r>
    </w:p>
    <w:p w14:paraId="51B13170">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27.1、采购代理机构负责组织评标工作；宣布评标工作纪律，公布投标人名单，告知评审专家应当回避的情形，组织评标委员会推选评标组长，招标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招标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4078713B">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27.2、评标委员会负责具体评标事务；审查、评价投标文件是否符合招标文件的商务、技术等实质性要求；要求投标人对投标文件有关事项作出澄清或者说明；对投标文件进行比较和评价；确定中标候选人名单，以及根据招标人委托直接确定中标人；向招标人、采购代理机构或者有关部门报告评标中发现的违法行为。</w:t>
      </w:r>
    </w:p>
    <w:p w14:paraId="75010DAE">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27.3、在评标过程中，评标委员会任何人不得对某个投标人发表任何倾向性意见，不得向其他专家评委明示或者暗示自己的评审意见。</w:t>
      </w:r>
    </w:p>
    <w:p w14:paraId="29258A00">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27.4、评标委员会应当对符合资格的投标人的投标文件进行符合性审查，以确定其是否满足招标文件的实质性要求。</w:t>
      </w:r>
    </w:p>
    <w:p w14:paraId="07A8DE33">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27.5、对于投标文件中含义不明确、同类问题表述不一致或者有明显文字和计算错误的内容，评标委员会应当以书面形式要求投标人作出必要的澄清、说明或者补正。</w:t>
      </w:r>
    </w:p>
    <w:p w14:paraId="211480DB">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177D2DB">
      <w:pPr>
        <w:pStyle w:val="12"/>
        <w:spacing w:line="440" w:lineRule="exact"/>
        <w:ind w:firstLine="470" w:firstLineChars="196"/>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27.6、评标委员会应当按照招标文件中规定的评标方法和标准，对符合性审查合格的投标文件进行商务和技术评估，综合比较与评价。</w:t>
      </w:r>
    </w:p>
    <w:p w14:paraId="5C21A53E">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27.7、投标文件报价出现前后不一致的，除招标文件另有规定外，按照下列规定修正：</w:t>
      </w:r>
    </w:p>
    <w:p w14:paraId="28B9B7D8">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（1）投标文件中投标报价表内容与投标文件中相应内容不一致的，以投标报价表为准；</w:t>
      </w:r>
    </w:p>
    <w:p w14:paraId="1778F00D">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（2）大写金额和小写金额不一致的，以大写金额为准；</w:t>
      </w:r>
    </w:p>
    <w:p w14:paraId="19AC4011">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（3）单价金额小数点或者百分比有明显错位的，以投标报价表的总价为准，并修改单价；</w:t>
      </w:r>
    </w:p>
    <w:p w14:paraId="152B0575">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（4）总价金额与按单价汇总金额不一致的，以单价金额计算结果为准。</w:t>
      </w:r>
    </w:p>
    <w:p w14:paraId="76A4668F">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同时出现两种以上不一致的，按照前款规定的顺序修正。修正后的报价（不得超出投标文件的范围或者改变投标文件的实质性内容）经投标人确认后产生约束力，投标人不确认的，其投标无效。</w:t>
      </w:r>
    </w:p>
    <w:p w14:paraId="0D3BF72E">
      <w:pPr>
        <w:tabs>
          <w:tab w:val="left" w:pos="1140"/>
        </w:tabs>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56C6D6">
      <w:pPr>
        <w:pStyle w:val="12"/>
        <w:spacing w:line="440" w:lineRule="exact"/>
        <w:ind w:firstLine="470" w:firstLineChars="196"/>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27.9、评标委员会成员对需要共同认定的事项存在争议的，应当按照少数服从多数的原则作出结论。持不同意见的评标委员会成员应当在评标报告上签署不同意见及理由，否则视为同意评标报告。</w:t>
      </w:r>
    </w:p>
    <w:p w14:paraId="3DE72E09">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27.10、评标结果汇总完成后，除下列情形外，任何人不得修改评标结果：</w:t>
      </w:r>
    </w:p>
    <w:p w14:paraId="3BEC8B1A">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（一）分值汇总计算错误的；</w:t>
      </w:r>
    </w:p>
    <w:p w14:paraId="76B31AE1">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（二）分项评分超出评分标准范围的；</w:t>
      </w:r>
    </w:p>
    <w:p w14:paraId="1FDAA468">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（三）评标委员会成员对客观评审因素评分不一致的；</w:t>
      </w:r>
    </w:p>
    <w:p w14:paraId="14106D15">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（四）经评标委员会认定评分畸高、畸低的。</w:t>
      </w:r>
    </w:p>
    <w:p w14:paraId="5B102DF4">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评标报告签署前，经复核发现存在以上情形之一的，评标委员会应当当场修改评标结果，并在评标报告中记载；评标报告签署后，招标人或者采购代理机构发现存在以上情形之一的，应当组织原评标委员会进行重新评审，重新评审改变评标结果的，书面报告本级财政部门。</w:t>
      </w:r>
    </w:p>
    <w:p w14:paraId="092E330F">
      <w:pPr>
        <w:snapToGrid w:val="0"/>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投标人对本条第一款情形提出质疑的，招标人或者采购代理机构可以组织原评标委员会进行重新评审，重新评审改变评标结果的，应当书面报告本级财政部门。</w:t>
      </w:r>
    </w:p>
    <w:p w14:paraId="28B6191A">
      <w:pPr>
        <w:pStyle w:val="12"/>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27.11、采购代理机构发现评标委员会有明显的违规倾向或歧视现象，或不按评标办法进行，或其他不正常行为的，应当及时制止。如制止无效，应及时向桂平市政府采购监督管理机构报告。</w:t>
      </w:r>
    </w:p>
    <w:p w14:paraId="145E2D94">
      <w:pPr>
        <w:pStyle w:val="12"/>
        <w:tabs>
          <w:tab w:val="left" w:pos="4214"/>
        </w:tabs>
        <w:spacing w:line="440" w:lineRule="exact"/>
        <w:ind w:firstLine="482" w:firstLineChars="200"/>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28、推荐中标候选</w:t>
      </w:r>
      <w:r>
        <w:rPr>
          <w:rFonts w:hint="eastAsia" w:ascii="Times New Roman" w:hAnsi="Times New Roman" w:eastAsia="宋体"/>
          <w:b/>
          <w:color w:val="auto"/>
          <w:sz w:val="24"/>
          <w:szCs w:val="24"/>
          <w:highlight w:val="none"/>
        </w:rPr>
        <w:t>投标人</w:t>
      </w:r>
      <w:r>
        <w:rPr>
          <w:rFonts w:ascii="Times New Roman" w:hAnsi="Times New Roman" w:eastAsia="宋体"/>
          <w:b/>
          <w:color w:val="auto"/>
          <w:sz w:val="24"/>
          <w:szCs w:val="24"/>
          <w:highlight w:val="none"/>
        </w:rPr>
        <w:t>原则</w:t>
      </w:r>
    </w:p>
    <w:p w14:paraId="167FCA9B">
      <w:pPr>
        <w:ind w:firstLine="240" w:firstLineChars="100"/>
        <w:rPr>
          <w:rFonts w:hint="default" w:eastAsia="宋体"/>
          <w:color w:val="auto"/>
          <w:sz w:val="24"/>
          <w:highlight w:val="none"/>
          <w:lang w:val="en-US" w:eastAsia="zh-CN"/>
        </w:rPr>
      </w:pPr>
      <w:r>
        <w:rPr>
          <w:rFonts w:hint="eastAsia"/>
          <w:color w:val="auto"/>
          <w:sz w:val="24"/>
          <w:highlight w:val="none"/>
          <w:lang w:val="en-US" w:eastAsia="zh-CN"/>
        </w:rPr>
        <w:t>综合评分法</w:t>
      </w:r>
    </w:p>
    <w:p w14:paraId="6B3E31E3">
      <w:pPr>
        <w:pStyle w:val="12"/>
        <w:tabs>
          <w:tab w:val="left" w:pos="4214"/>
        </w:tabs>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w:t>
      </w:r>
      <w:r>
        <w:rPr>
          <w:rFonts w:hint="eastAsia" w:ascii="宋体" w:hAnsi="宋体" w:cs="宋体"/>
          <w:color w:val="auto"/>
          <w:sz w:val="24"/>
          <w:szCs w:val="24"/>
          <w:highlight w:val="none"/>
        </w:rPr>
        <w:t>评标委员会将根据总得分由高到低排列次序并推荐3名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139F2704">
      <w:pPr>
        <w:pStyle w:val="12"/>
        <w:spacing w:line="440" w:lineRule="exact"/>
        <w:ind w:firstLine="511" w:firstLineChars="213"/>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（3）排名第一的中标候选</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放弃中标、因不可抗力提出不能履行合同，或者招标文件规定应当提交履约保证金而在规定的期限内未能提交的，招标采购单位可以确定排名第二的中标候选</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为中标</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w:t>
      </w:r>
    </w:p>
    <w:p w14:paraId="2BA20C4E">
      <w:pPr>
        <w:pStyle w:val="12"/>
        <w:spacing w:line="440" w:lineRule="exact"/>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（4）第二中标候选</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因前款规定的同样原因不能签订合同的，招标采购单位可以确定排名第三的中标候选</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为中标</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w:t>
      </w:r>
    </w:p>
    <w:p w14:paraId="2EFADEB0">
      <w:pPr>
        <w:snapToGrid w:val="0"/>
        <w:spacing w:line="440" w:lineRule="exact"/>
        <w:ind w:firstLine="482" w:firstLineChars="200"/>
        <w:outlineLvl w:val="4"/>
        <w:rPr>
          <w:rFonts w:ascii="Times New Roman" w:hAnsi="Times New Roman"/>
          <w:b/>
          <w:color w:val="auto"/>
          <w:sz w:val="24"/>
          <w:highlight w:val="none"/>
        </w:rPr>
      </w:pPr>
      <w:r>
        <w:rPr>
          <w:rFonts w:ascii="Times New Roman" w:hAnsi="Times New Roman"/>
          <w:b/>
          <w:bCs/>
          <w:color w:val="auto"/>
          <w:sz w:val="24"/>
          <w:highlight w:val="none"/>
        </w:rPr>
        <w:t>29</w:t>
      </w:r>
      <w:r>
        <w:rPr>
          <w:rFonts w:ascii="Times New Roman" w:hAnsi="Times New Roman"/>
          <w:b/>
          <w:color w:val="auto"/>
          <w:sz w:val="24"/>
          <w:highlight w:val="none"/>
        </w:rPr>
        <w:t>、属于下列情况之一者，投标无效：</w:t>
      </w:r>
    </w:p>
    <w:p w14:paraId="76532776">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（1）未按照招标文件规定要求签字、盖章的；</w:t>
      </w:r>
    </w:p>
    <w:p w14:paraId="11DEA57D">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（2）报价超过招标文件中规定的预算金额的；</w:t>
      </w:r>
    </w:p>
    <w:p w14:paraId="116EDF56">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（3）不具备招标文件中规定的资格要求的；</w:t>
      </w:r>
    </w:p>
    <w:p w14:paraId="00A373E4">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（4）投标文件含有招标人不能接受的附加条件的；</w:t>
      </w:r>
    </w:p>
    <w:p w14:paraId="678ADFB1">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（5）投标文件未按招标文件的内容和要求编制，或提供虚假或无效材料的；</w:t>
      </w:r>
    </w:p>
    <w:p w14:paraId="112592FF">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（6）投标人未就"项目采购需求"中的所有内容作完整唯一报价的；</w:t>
      </w:r>
    </w:p>
    <w:p w14:paraId="63ECC119">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（7）未完全响应招标文件实质性要求的；</w:t>
      </w:r>
    </w:p>
    <w:p w14:paraId="2B510C25">
      <w:pPr>
        <w:snapToGrid w:val="0"/>
        <w:spacing w:line="440" w:lineRule="exact"/>
        <w:ind w:firstLine="470" w:firstLineChars="196"/>
        <w:outlineLvl w:val="4"/>
        <w:rPr>
          <w:rFonts w:ascii="Times New Roman" w:hAnsi="Times New Roman"/>
          <w:color w:val="auto"/>
          <w:sz w:val="24"/>
          <w:highlight w:val="none"/>
        </w:rPr>
      </w:pPr>
      <w:r>
        <w:rPr>
          <w:rFonts w:ascii="Times New Roman" w:hAnsi="Times New Roman"/>
          <w:color w:val="auto"/>
          <w:sz w:val="24"/>
          <w:highlight w:val="none"/>
        </w:rPr>
        <w:t>（8）法律、法规和招标文件规定的其他无效情形。</w:t>
      </w:r>
    </w:p>
    <w:p w14:paraId="0078406E">
      <w:pPr>
        <w:snapToGrid w:val="0"/>
        <w:spacing w:line="440" w:lineRule="exact"/>
        <w:ind w:firstLine="472" w:firstLineChars="196"/>
        <w:outlineLvl w:val="4"/>
        <w:rPr>
          <w:rFonts w:ascii="Times New Roman" w:hAnsi="Times New Roman"/>
          <w:b/>
          <w:color w:val="auto"/>
          <w:sz w:val="24"/>
          <w:highlight w:val="none"/>
        </w:rPr>
      </w:pPr>
      <w:r>
        <w:rPr>
          <w:rFonts w:ascii="Times New Roman" w:hAnsi="Times New Roman"/>
          <w:b/>
          <w:color w:val="auto"/>
          <w:sz w:val="24"/>
          <w:highlight w:val="none"/>
        </w:rPr>
        <w:t>30、 属于下列情形之一的，应予废标：</w:t>
      </w:r>
    </w:p>
    <w:p w14:paraId="6B28EB2E">
      <w:pPr>
        <w:tabs>
          <w:tab w:val="left" w:pos="840"/>
        </w:tabs>
        <w:snapToGrid w:val="0"/>
        <w:spacing w:line="440" w:lineRule="exact"/>
        <w:ind w:left="330" w:leftChars="157" w:firstLine="120" w:firstLineChars="50"/>
        <w:outlineLvl w:val="4"/>
        <w:rPr>
          <w:rFonts w:ascii="Times New Roman" w:hAnsi="Times New Roman"/>
          <w:color w:val="auto"/>
          <w:sz w:val="24"/>
          <w:highlight w:val="none"/>
        </w:rPr>
      </w:pPr>
      <w:r>
        <w:rPr>
          <w:rFonts w:ascii="Times New Roman" w:hAnsi="Times New Roman"/>
          <w:color w:val="auto"/>
          <w:sz w:val="24"/>
          <w:highlight w:val="none"/>
        </w:rPr>
        <w:t>（1）符合专业条件的</w:t>
      </w:r>
      <w:r>
        <w:rPr>
          <w:rFonts w:hint="eastAsia" w:ascii="Times New Roman" w:hAnsi="Times New Roman"/>
          <w:color w:val="auto"/>
          <w:sz w:val="24"/>
          <w:highlight w:val="none"/>
        </w:rPr>
        <w:t>投标人</w:t>
      </w:r>
      <w:r>
        <w:rPr>
          <w:rFonts w:ascii="Times New Roman" w:hAnsi="Times New Roman"/>
          <w:color w:val="auto"/>
          <w:sz w:val="24"/>
          <w:highlight w:val="none"/>
        </w:rPr>
        <w:t>或者对招标文件作实质响应的</w:t>
      </w:r>
      <w:r>
        <w:rPr>
          <w:rFonts w:hint="eastAsia" w:ascii="Times New Roman" w:hAnsi="Times New Roman"/>
          <w:color w:val="auto"/>
          <w:sz w:val="24"/>
          <w:highlight w:val="none"/>
        </w:rPr>
        <w:t>投标人</w:t>
      </w:r>
      <w:r>
        <w:rPr>
          <w:rFonts w:ascii="Times New Roman" w:hAnsi="Times New Roman"/>
          <w:color w:val="auto"/>
          <w:sz w:val="24"/>
          <w:highlight w:val="none"/>
        </w:rPr>
        <w:t>不足3家的；</w:t>
      </w:r>
    </w:p>
    <w:p w14:paraId="1E3E8298">
      <w:pPr>
        <w:tabs>
          <w:tab w:val="left" w:pos="840"/>
        </w:tabs>
        <w:snapToGrid w:val="0"/>
        <w:spacing w:line="440" w:lineRule="exact"/>
        <w:ind w:left="330" w:leftChars="157" w:firstLine="120" w:firstLineChars="50"/>
        <w:outlineLvl w:val="4"/>
        <w:rPr>
          <w:rFonts w:ascii="Times New Roman" w:hAnsi="Times New Roman"/>
          <w:color w:val="auto"/>
          <w:sz w:val="24"/>
          <w:highlight w:val="none"/>
        </w:rPr>
      </w:pPr>
      <w:r>
        <w:rPr>
          <w:rFonts w:ascii="Times New Roman" w:hAnsi="Times New Roman"/>
          <w:color w:val="auto"/>
          <w:sz w:val="24"/>
          <w:highlight w:val="none"/>
        </w:rPr>
        <w:t>（2）出现影响采购公正的违法、违规行为的；</w:t>
      </w:r>
    </w:p>
    <w:p w14:paraId="032CF6B6">
      <w:pPr>
        <w:tabs>
          <w:tab w:val="left" w:pos="840"/>
        </w:tabs>
        <w:snapToGrid w:val="0"/>
        <w:spacing w:line="440" w:lineRule="exact"/>
        <w:ind w:left="330" w:leftChars="157" w:firstLine="120" w:firstLineChars="50"/>
        <w:outlineLvl w:val="4"/>
        <w:rPr>
          <w:rFonts w:ascii="Times New Roman" w:hAnsi="Times New Roman"/>
          <w:color w:val="auto"/>
          <w:sz w:val="24"/>
          <w:highlight w:val="none"/>
        </w:rPr>
      </w:pPr>
      <w:r>
        <w:rPr>
          <w:rFonts w:ascii="Times New Roman" w:hAnsi="Times New Roman"/>
          <w:color w:val="auto"/>
          <w:sz w:val="24"/>
          <w:highlight w:val="none"/>
        </w:rPr>
        <w:t>（3）采购文件内容违反国家有关强制性规定的；</w:t>
      </w:r>
    </w:p>
    <w:p w14:paraId="5BAE9854">
      <w:pPr>
        <w:tabs>
          <w:tab w:val="left" w:pos="840"/>
        </w:tabs>
        <w:snapToGrid w:val="0"/>
        <w:spacing w:line="440" w:lineRule="exact"/>
        <w:ind w:left="330" w:leftChars="157" w:firstLine="120" w:firstLineChars="50"/>
        <w:outlineLvl w:val="4"/>
        <w:rPr>
          <w:rFonts w:ascii="Times New Roman" w:hAnsi="Times New Roman"/>
          <w:color w:val="auto"/>
          <w:sz w:val="24"/>
          <w:highlight w:val="none"/>
        </w:rPr>
      </w:pPr>
      <w:r>
        <w:rPr>
          <w:rFonts w:ascii="Times New Roman" w:hAnsi="Times New Roman"/>
          <w:color w:val="auto"/>
          <w:sz w:val="24"/>
          <w:highlight w:val="none"/>
        </w:rPr>
        <w:t>（4）因重大变故，采购任务取消的。</w:t>
      </w:r>
    </w:p>
    <w:p w14:paraId="1DD44EA6">
      <w:pPr>
        <w:pStyle w:val="12"/>
        <w:spacing w:line="440" w:lineRule="exact"/>
        <w:ind w:firstLine="472" w:firstLineChars="196"/>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31、评标过程的监控</w:t>
      </w:r>
    </w:p>
    <w:p w14:paraId="77BE57D5">
      <w:pPr>
        <w:pStyle w:val="12"/>
        <w:spacing w:line="440" w:lineRule="exact"/>
        <w:ind w:firstLine="470" w:firstLineChars="196"/>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本项目评标过程实行全程录音、录像监控，投标人在评标过程中所进行的试图影响评标结果的不公正活动，可能导致其投标被拒绝。</w:t>
      </w:r>
    </w:p>
    <w:p w14:paraId="2786B3CA">
      <w:pPr>
        <w:autoSpaceDE w:val="0"/>
        <w:autoSpaceDN w:val="0"/>
        <w:snapToGrid w:val="0"/>
        <w:spacing w:line="440" w:lineRule="exact"/>
        <w:ind w:firstLine="482" w:firstLineChars="200"/>
        <w:textAlignment w:val="bottom"/>
        <w:rPr>
          <w:rFonts w:ascii="Times New Roman" w:hAnsi="Times New Roman"/>
          <w:b/>
          <w:color w:val="auto"/>
          <w:sz w:val="24"/>
          <w:highlight w:val="none"/>
        </w:rPr>
      </w:pPr>
      <w:r>
        <w:rPr>
          <w:rFonts w:ascii="Times New Roman" w:hAnsi="Times New Roman"/>
          <w:b/>
          <w:color w:val="auto"/>
          <w:sz w:val="24"/>
          <w:highlight w:val="none"/>
        </w:rPr>
        <w:t>32. 信用查询</w:t>
      </w:r>
    </w:p>
    <w:p w14:paraId="153E8A01">
      <w:pPr>
        <w:autoSpaceDE w:val="0"/>
        <w:autoSpaceDN w:val="0"/>
        <w:snapToGrid w:val="0"/>
        <w:spacing w:line="440" w:lineRule="exact"/>
        <w:ind w:firstLine="480" w:firstLineChars="200"/>
        <w:textAlignment w:val="bottom"/>
        <w:rPr>
          <w:rFonts w:ascii="Times New Roman" w:hAnsi="Times New Roman"/>
          <w:color w:val="auto"/>
          <w:sz w:val="24"/>
          <w:highlight w:val="none"/>
        </w:rPr>
      </w:pPr>
      <w:r>
        <w:rPr>
          <w:rFonts w:ascii="Times New Roman" w:hAnsi="Times New Roman"/>
          <w:color w:val="auto"/>
          <w:sz w:val="24"/>
          <w:highlight w:val="none"/>
        </w:rPr>
        <w:t>根据《关于做好政府采购有关信用主体标识码登记及在政府采购活动中查询使用信用记录有关问题的通知》桂财采〔2016〕37号的通知，中标通知书发出前，由招标代理机构对第一中标候选人进行信用查询：</w:t>
      </w:r>
    </w:p>
    <w:p w14:paraId="061389D9">
      <w:pPr>
        <w:spacing w:line="44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(1)查询渠道："信用中国"网站(www.creditchina.gov.cn)、中国政府采购网(www.ccgp.gov.cn)等；</w:t>
      </w:r>
    </w:p>
    <w:p w14:paraId="569295FD">
      <w:pPr>
        <w:spacing w:line="44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(2)查询起止时间：投标截止时间前三年内；</w:t>
      </w:r>
    </w:p>
    <w:p w14:paraId="0A1A9DDB">
      <w:pPr>
        <w:spacing w:line="44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(3)查询记录和证据留存方式：由代理公司开标后在查询网站中直接打印查询记录，打印材料作为评审资料保存；</w:t>
      </w:r>
    </w:p>
    <w:p w14:paraId="4FF81423">
      <w:pPr>
        <w:pStyle w:val="12"/>
        <w:spacing w:line="440" w:lineRule="exact"/>
        <w:ind w:firstLine="470" w:firstLineChars="196"/>
        <w:rPr>
          <w:rFonts w:ascii="Times New Roman" w:hAnsi="Times New Roman" w:eastAsia="宋体"/>
          <w:bCs/>
          <w:color w:val="auto"/>
          <w:sz w:val="24"/>
          <w:highlight w:val="none"/>
        </w:rPr>
      </w:pPr>
      <w:r>
        <w:rPr>
          <w:rFonts w:ascii="Times New Roman" w:hAnsi="Times New Roman" w:eastAsia="宋体"/>
          <w:bCs/>
          <w:color w:val="auto"/>
          <w:sz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imes New Roman" w:hAnsi="Times New Roman" w:eastAsia="宋体"/>
          <w:bCs/>
          <w:color w:val="auto"/>
          <w:sz w:val="24"/>
          <w:highlight w:val="none"/>
        </w:rPr>
        <w:t>投标人</w:t>
      </w:r>
      <w:r>
        <w:rPr>
          <w:rFonts w:ascii="Times New Roman" w:hAnsi="Times New Roman" w:eastAsia="宋体"/>
          <w:bCs/>
          <w:color w:val="auto"/>
          <w:sz w:val="24"/>
          <w:highlight w:val="none"/>
        </w:rPr>
        <w:t>，资格审查不通过，不得参与政府采购活动。</w:t>
      </w:r>
    </w:p>
    <w:p w14:paraId="40FD90B8">
      <w:pPr>
        <w:widowControl/>
        <w:spacing w:line="440" w:lineRule="exact"/>
        <w:jc w:val="left"/>
        <w:rPr>
          <w:rFonts w:ascii="Times New Roman" w:hAnsi="Times New Roman"/>
          <w:color w:val="auto"/>
          <w:sz w:val="24"/>
          <w:highlight w:val="none"/>
        </w:rPr>
      </w:pPr>
      <w:r>
        <w:rPr>
          <w:rFonts w:ascii="Times New Roman" w:hAnsi="Times New Roman"/>
          <w:b/>
          <w:color w:val="auto"/>
          <w:sz w:val="24"/>
          <w:highlight w:val="none"/>
        </w:rPr>
        <w:t xml:space="preserve">  33、</w:t>
      </w:r>
      <w:r>
        <w:rPr>
          <w:rFonts w:ascii="Times New Roman" w:hAnsi="Times New Roman"/>
          <w:b/>
          <w:bCs/>
          <w:color w:val="auto"/>
          <w:kern w:val="0"/>
          <w:sz w:val="24"/>
          <w:highlight w:val="none"/>
          <w:lang w:bidi="ar"/>
        </w:rPr>
        <w:t>特别说明：</w:t>
      </w:r>
      <w:r>
        <w:rPr>
          <w:rFonts w:hint="eastAsia" w:ascii="Times New Roman" w:hAnsi="Times New Roman"/>
          <w:b/>
          <w:bCs/>
          <w:color w:val="auto"/>
          <w:kern w:val="0"/>
          <w:sz w:val="24"/>
          <w:highlight w:val="none"/>
          <w:lang w:bidi="ar"/>
        </w:rPr>
        <w:t>广西政府采购云平台</w:t>
      </w:r>
      <w:r>
        <w:rPr>
          <w:rFonts w:ascii="Times New Roman" w:hAnsi="Times New Roman"/>
          <w:b/>
          <w:bCs/>
          <w:color w:val="auto"/>
          <w:kern w:val="0"/>
          <w:sz w:val="24"/>
          <w:highlight w:val="none"/>
          <w:lang w:bidi="ar"/>
        </w:rPr>
        <w:t xml:space="preserve">公司如对电子化投标及评审程序有调整的，按调整后的程序操作。 </w:t>
      </w:r>
    </w:p>
    <w:p w14:paraId="3D70BBC7">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33.1、澄清有关问题。对投标文件中含义不明确、同类问题表述不一致或者有明显文字和计算错误的内容，评审小组可以书面形式（应当由评审小组专家签字）要求</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作出必要的澄清、说明或者纠正。</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的澄清、说明或者纠正应当采用书面形式，由法定代表人或其委托代理人签字或盖章确认，且不得超出投标文件的范围或者改变投标文件的实质性内容。该澄清、说明或者纠正是投标文件的组成部分。 </w:t>
      </w:r>
    </w:p>
    <w:p w14:paraId="46FD4037">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33.1.1、 确定参加投标的</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名单。评审小组将所有通过资格性审查及符合性审查的</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确定为参加投标的</w:t>
      </w:r>
      <w:r>
        <w:rPr>
          <w:rFonts w:hint="eastAsia" w:ascii="Times New Roman" w:hAnsi="Times New Roman"/>
          <w:color w:val="auto"/>
          <w:kern w:val="0"/>
          <w:sz w:val="24"/>
          <w:highlight w:val="none"/>
          <w:lang w:bidi="ar"/>
        </w:rPr>
        <w:t>投标人</w:t>
      </w:r>
      <w:r>
        <w:rPr>
          <w:rFonts w:ascii="Times New Roman" w:hAnsi="Times New Roman"/>
          <w:color w:val="auto"/>
          <w:kern w:val="0"/>
          <w:sz w:val="24"/>
          <w:highlight w:val="none"/>
          <w:lang w:bidi="ar"/>
        </w:rPr>
        <w:t xml:space="preserve">。 </w:t>
      </w:r>
    </w:p>
    <w:p w14:paraId="119A2999">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33.1.2 、采购过程中出现以下情形，导致电子交易平台无法正常运行，或者无法保证电子交易的公平、公正和安全时，采购组织机构可中止电子交易活动： </w:t>
      </w:r>
    </w:p>
    <w:p w14:paraId="786E2C1B">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33.1.3、 电子交易平台发生故障而无法登录访问的； </w:t>
      </w:r>
    </w:p>
    <w:p w14:paraId="0251F5B6">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33.1.4 、电子交易平台应用或数据库出现错误，不能进行正常操作的； </w:t>
      </w:r>
    </w:p>
    <w:p w14:paraId="0C3585F4">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33.1.5、 电子交易平台发现严重安全漏洞，有潜在泄密危险的； </w:t>
      </w:r>
    </w:p>
    <w:p w14:paraId="6B943BD8">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33.1.6 、病毒发作导致不能进行正常操作的； </w:t>
      </w:r>
    </w:p>
    <w:p w14:paraId="5AEC53CE">
      <w:pPr>
        <w:widowControl/>
        <w:spacing w:line="440" w:lineRule="exact"/>
        <w:jc w:val="left"/>
        <w:rPr>
          <w:rFonts w:ascii="Times New Roman" w:hAnsi="Times New Roman"/>
          <w:color w:val="auto"/>
          <w:sz w:val="24"/>
          <w:highlight w:val="none"/>
        </w:rPr>
      </w:pPr>
      <w:r>
        <w:rPr>
          <w:rFonts w:ascii="Times New Roman" w:hAnsi="Times New Roman"/>
          <w:color w:val="auto"/>
          <w:kern w:val="0"/>
          <w:sz w:val="24"/>
          <w:highlight w:val="none"/>
          <w:lang w:bidi="ar"/>
        </w:rPr>
        <w:t xml:space="preserve">  33.1.7、 其他无法保证电子交易的公平、公正和安全的情况。 </w:t>
      </w:r>
    </w:p>
    <w:p w14:paraId="39AA6072">
      <w:pPr>
        <w:widowControl/>
        <w:spacing w:line="440" w:lineRule="exact"/>
        <w:jc w:val="left"/>
        <w:rPr>
          <w:rFonts w:ascii="Times New Roman" w:hAnsi="Times New Roman"/>
          <w:b/>
          <w:color w:val="auto"/>
          <w:sz w:val="24"/>
          <w:highlight w:val="none"/>
        </w:rPr>
      </w:pPr>
      <w:r>
        <w:rPr>
          <w:rFonts w:ascii="Times New Roman" w:hAnsi="Times New Roman"/>
          <w:color w:val="auto"/>
          <w:kern w:val="0"/>
          <w:sz w:val="24"/>
          <w:highlight w:val="none"/>
          <w:lang w:bidi="ar"/>
        </w:rPr>
        <w:t xml:space="preserve">  33.1.8 、出现前款规定情形，不影响采购公平、公正性的，采购组织机构可以待上述情形消除后继续组织电子交易活动，也可以决定某些环节以纸质形式进行；影响或可能影响采购公平、公正性的，应当重新采购。</w:t>
      </w:r>
    </w:p>
    <w:p w14:paraId="1F43E586">
      <w:pPr>
        <w:pStyle w:val="12"/>
        <w:spacing w:line="440" w:lineRule="exact"/>
        <w:ind w:firstLine="472" w:firstLineChars="196"/>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34</w:t>
      </w:r>
      <w:r>
        <w:rPr>
          <w:rFonts w:hint="eastAsia" w:ascii="Times New Roman" w:hAnsi="Times New Roman" w:eastAsia="宋体"/>
          <w:b/>
          <w:color w:val="auto"/>
          <w:sz w:val="24"/>
          <w:szCs w:val="24"/>
          <w:highlight w:val="none"/>
        </w:rPr>
        <w:t>、</w:t>
      </w:r>
      <w:r>
        <w:rPr>
          <w:rFonts w:ascii="Times New Roman" w:hAnsi="Times New Roman" w:eastAsia="宋体"/>
          <w:b/>
          <w:color w:val="auto"/>
          <w:sz w:val="24"/>
          <w:szCs w:val="24"/>
          <w:highlight w:val="none"/>
        </w:rPr>
        <w:t>评标结果</w:t>
      </w:r>
    </w:p>
    <w:p w14:paraId="5C22E80E">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34.1招标代理机构将在评标结束后</w:t>
      </w:r>
      <w:r>
        <w:rPr>
          <w:rFonts w:hint="eastAsia" w:ascii="Times New Roman" w:hAnsi="Times New Roman"/>
          <w:color w:val="auto"/>
          <w:sz w:val="24"/>
          <w:highlight w:val="none"/>
        </w:rPr>
        <w:t>2</w:t>
      </w:r>
      <w:r>
        <w:rPr>
          <w:rFonts w:ascii="Times New Roman" w:hAnsi="Times New Roman"/>
          <w:color w:val="auto"/>
          <w:sz w:val="24"/>
          <w:highlight w:val="none"/>
        </w:rPr>
        <w:t>个工作日内将评标报告送达招标人，招标人自收到评标报告之日起</w:t>
      </w:r>
      <w:r>
        <w:rPr>
          <w:rFonts w:hint="eastAsia" w:ascii="Times New Roman" w:hAnsi="Times New Roman"/>
          <w:color w:val="auto"/>
          <w:sz w:val="24"/>
          <w:highlight w:val="none"/>
        </w:rPr>
        <w:t>2</w:t>
      </w:r>
      <w:r>
        <w:rPr>
          <w:rFonts w:ascii="Times New Roman" w:hAnsi="Times New Roman"/>
          <w:color w:val="auto"/>
          <w:sz w:val="24"/>
          <w:highlight w:val="none"/>
        </w:rPr>
        <w:t>个工作日内在评标报告中推荐的中标候选</w:t>
      </w:r>
      <w:r>
        <w:rPr>
          <w:rFonts w:hint="eastAsia" w:ascii="Times New Roman" w:hAnsi="Times New Roman"/>
          <w:color w:val="auto"/>
          <w:sz w:val="24"/>
          <w:highlight w:val="none"/>
        </w:rPr>
        <w:t>投标人</w:t>
      </w:r>
      <w:r>
        <w:rPr>
          <w:rFonts w:ascii="Times New Roman" w:hAnsi="Times New Roman"/>
          <w:color w:val="auto"/>
          <w:sz w:val="24"/>
          <w:highlight w:val="none"/>
        </w:rPr>
        <w:t>按顺序确定中标</w:t>
      </w:r>
      <w:r>
        <w:rPr>
          <w:rFonts w:hint="eastAsia" w:ascii="Times New Roman" w:hAnsi="Times New Roman"/>
          <w:color w:val="auto"/>
          <w:sz w:val="24"/>
          <w:highlight w:val="none"/>
        </w:rPr>
        <w:t>投标人</w:t>
      </w:r>
      <w:r>
        <w:rPr>
          <w:rFonts w:ascii="Times New Roman" w:hAnsi="Times New Roman"/>
          <w:color w:val="auto"/>
          <w:sz w:val="24"/>
          <w:highlight w:val="none"/>
        </w:rPr>
        <w:t>。招标人也可以事先授权评标委员会直接确定中标</w:t>
      </w:r>
      <w:r>
        <w:rPr>
          <w:rFonts w:hint="eastAsia" w:ascii="Times New Roman" w:hAnsi="Times New Roman"/>
          <w:color w:val="auto"/>
          <w:sz w:val="24"/>
          <w:highlight w:val="none"/>
        </w:rPr>
        <w:t>投标人</w:t>
      </w:r>
      <w:r>
        <w:rPr>
          <w:rFonts w:ascii="Times New Roman" w:hAnsi="Times New Roman"/>
          <w:color w:val="auto"/>
          <w:sz w:val="24"/>
          <w:highlight w:val="none"/>
        </w:rPr>
        <w:t xml:space="preserve">。 </w:t>
      </w:r>
    </w:p>
    <w:p w14:paraId="3E109E12">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34.2招标代理机构自中标</w:t>
      </w:r>
      <w:r>
        <w:rPr>
          <w:rFonts w:hint="eastAsia" w:ascii="Times New Roman" w:hAnsi="Times New Roman"/>
          <w:color w:val="auto"/>
          <w:sz w:val="24"/>
          <w:highlight w:val="none"/>
        </w:rPr>
        <w:t>投标人</w:t>
      </w:r>
      <w:r>
        <w:rPr>
          <w:rFonts w:ascii="Times New Roman" w:hAnsi="Times New Roman"/>
          <w:color w:val="auto"/>
          <w:sz w:val="24"/>
          <w:highlight w:val="none"/>
        </w:rPr>
        <w:t>确定之日起二个工作日内，向中标</w:t>
      </w:r>
      <w:r>
        <w:rPr>
          <w:rFonts w:hint="eastAsia" w:ascii="Times New Roman" w:hAnsi="Times New Roman"/>
          <w:color w:val="auto"/>
          <w:sz w:val="24"/>
          <w:highlight w:val="none"/>
        </w:rPr>
        <w:t>投标人</w:t>
      </w:r>
      <w:r>
        <w:rPr>
          <w:rFonts w:ascii="Times New Roman" w:hAnsi="Times New Roman"/>
          <w:color w:val="auto"/>
          <w:sz w:val="24"/>
          <w:highlight w:val="none"/>
        </w:rPr>
        <w:t xml:space="preserve">发出中标通知书，同时在原公告发布媒体上发布中标公告。 </w:t>
      </w:r>
    </w:p>
    <w:p w14:paraId="563F061D">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34.3在发布中标公告的同时，招标代理机构向中标</w:t>
      </w:r>
      <w:r>
        <w:rPr>
          <w:rFonts w:hint="eastAsia" w:ascii="Times New Roman" w:hAnsi="Times New Roman"/>
          <w:color w:val="auto"/>
          <w:sz w:val="24"/>
          <w:highlight w:val="none"/>
        </w:rPr>
        <w:t>投标人</w:t>
      </w:r>
      <w:r>
        <w:rPr>
          <w:rFonts w:ascii="Times New Roman" w:hAnsi="Times New Roman"/>
          <w:color w:val="auto"/>
          <w:sz w:val="24"/>
          <w:highlight w:val="none"/>
        </w:rPr>
        <w:t xml:space="preserve">发出中标通知书。 </w:t>
      </w:r>
    </w:p>
    <w:p w14:paraId="51D088FF">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34.4投标</w:t>
      </w:r>
      <w:r>
        <w:rPr>
          <w:rFonts w:hint="eastAsia" w:ascii="Times New Roman" w:hAnsi="Times New Roman"/>
          <w:color w:val="auto"/>
          <w:sz w:val="24"/>
          <w:highlight w:val="none"/>
        </w:rPr>
        <w:t>投标人</w:t>
      </w:r>
      <w:r>
        <w:rPr>
          <w:rFonts w:ascii="Times New Roman" w:hAnsi="Times New Roman"/>
          <w:color w:val="auto"/>
          <w:sz w:val="24"/>
          <w:highlight w:val="none"/>
        </w:rPr>
        <w:t>对中标公告有异议的，应当在中标公告期限届满之日起七个工作日内，以书面形式向招标人或招标人委托的招标代理机构提出质疑，并及时索要书面回执。招标人或招标人委托的招标代理机构应当在收到投标</w:t>
      </w:r>
      <w:r>
        <w:rPr>
          <w:rFonts w:hint="eastAsia" w:ascii="Times New Roman" w:hAnsi="Times New Roman"/>
          <w:color w:val="auto"/>
          <w:sz w:val="24"/>
          <w:highlight w:val="none"/>
        </w:rPr>
        <w:t>投标人</w:t>
      </w:r>
      <w:r>
        <w:rPr>
          <w:rFonts w:ascii="Times New Roman" w:hAnsi="Times New Roman"/>
          <w:color w:val="auto"/>
          <w:sz w:val="24"/>
          <w:highlight w:val="none"/>
        </w:rPr>
        <w:t xml:space="preserve">书面质疑后七个工作日内做出答复，但答复的内容不得涉及商业秘密。 </w:t>
      </w:r>
    </w:p>
    <w:p w14:paraId="50E5101A">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34.5招标人委托招标代理机构采购的，</w:t>
      </w:r>
      <w:r>
        <w:rPr>
          <w:rFonts w:hint="eastAsia" w:ascii="Times New Roman" w:hAnsi="Times New Roman"/>
          <w:color w:val="auto"/>
          <w:sz w:val="24"/>
          <w:highlight w:val="none"/>
        </w:rPr>
        <w:t>投标人</w:t>
      </w:r>
      <w:r>
        <w:rPr>
          <w:rFonts w:ascii="Times New Roman" w:hAnsi="Times New Roman"/>
          <w:color w:val="auto"/>
          <w:sz w:val="24"/>
          <w:highlight w:val="none"/>
        </w:rPr>
        <w:t xml:space="preserve">可以向招标代理机构提出询问或者质疑，招标代理机构就招标人委托授权范围内的事项作出答复。 </w:t>
      </w:r>
    </w:p>
    <w:p w14:paraId="3A73F207">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34.6质疑</w:t>
      </w:r>
      <w:r>
        <w:rPr>
          <w:rFonts w:hint="eastAsia" w:ascii="Times New Roman" w:hAnsi="Times New Roman"/>
          <w:color w:val="auto"/>
          <w:sz w:val="24"/>
          <w:highlight w:val="none"/>
        </w:rPr>
        <w:t>投标人</w:t>
      </w:r>
      <w:r>
        <w:rPr>
          <w:rFonts w:ascii="Times New Roman" w:hAnsi="Times New Roman"/>
          <w:color w:val="auto"/>
          <w:sz w:val="24"/>
          <w:highlight w:val="none"/>
        </w:rPr>
        <w:t xml:space="preserve">对招标人、招标代理机构的答复不满意或者招标人、招标代理机构未在规定的时间内作出答复的，可以在答复期满后15个工作日内向同级政府采购监督管理部门投诉。 </w:t>
      </w:r>
    </w:p>
    <w:p w14:paraId="4E336E31">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34.7政府采购监督管理部门应当在收到投诉后30个工作日内，对投诉事项作出处理决定，并以书面形式通知投诉人和与投诉事项有关的当事人。 </w:t>
      </w:r>
    </w:p>
    <w:p w14:paraId="13E4357E">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34.8政府采购监督管理部门在处理投诉事项期间，可以视具体情况书面通知招标人暂停招标活动，但暂停时间最长不得超过30日。 </w:t>
      </w:r>
    </w:p>
    <w:p w14:paraId="6950D46C">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34.9投诉人对政府采购监督管理部门的投诉处理决定不服或者政府采购监督管理部门逾期未作处理的，可以依法申请行政复议或者向人民法院提起行政诉讼。 </w:t>
      </w:r>
    </w:p>
    <w:p w14:paraId="076CA86F">
      <w:pPr>
        <w:spacing w:line="440" w:lineRule="exact"/>
        <w:rPr>
          <w:rFonts w:ascii="Times New Roman" w:hAnsi="Times New Roman"/>
          <w:color w:val="auto"/>
          <w:sz w:val="24"/>
          <w:highlight w:val="none"/>
        </w:rPr>
      </w:pPr>
      <w:r>
        <w:rPr>
          <w:rFonts w:ascii="Times New Roman" w:hAnsi="Times New Roman"/>
          <w:color w:val="auto"/>
          <w:sz w:val="24"/>
          <w:highlight w:val="none"/>
        </w:rPr>
        <w:t xml:space="preserve">   34.10招标代理机构无义务向未中标的</w:t>
      </w:r>
      <w:r>
        <w:rPr>
          <w:rFonts w:hint="eastAsia" w:ascii="Times New Roman" w:hAnsi="Times New Roman"/>
          <w:color w:val="auto"/>
          <w:sz w:val="24"/>
          <w:highlight w:val="none"/>
        </w:rPr>
        <w:t>投标人</w:t>
      </w:r>
      <w:r>
        <w:rPr>
          <w:rFonts w:ascii="Times New Roman" w:hAnsi="Times New Roman"/>
          <w:color w:val="auto"/>
          <w:sz w:val="24"/>
          <w:highlight w:val="none"/>
        </w:rPr>
        <w:t>解释未中标原因和退还投标文件。</w:t>
      </w:r>
    </w:p>
    <w:p w14:paraId="342218E9">
      <w:pPr>
        <w:tabs>
          <w:tab w:val="left" w:pos="1140"/>
        </w:tabs>
        <w:spacing w:line="440" w:lineRule="exact"/>
        <w:ind w:left="420" w:leftChars="200"/>
        <w:jc w:val="center"/>
        <w:rPr>
          <w:rFonts w:ascii="Times New Roman" w:hAnsi="Times New Roman"/>
          <w:b/>
          <w:color w:val="auto"/>
          <w:sz w:val="28"/>
          <w:szCs w:val="28"/>
          <w:highlight w:val="none"/>
        </w:rPr>
      </w:pPr>
    </w:p>
    <w:p w14:paraId="0E38A0BD">
      <w:pPr>
        <w:tabs>
          <w:tab w:val="left" w:pos="1140"/>
        </w:tabs>
        <w:spacing w:line="440" w:lineRule="exact"/>
        <w:ind w:left="420" w:leftChars="200"/>
        <w:jc w:val="center"/>
        <w:rPr>
          <w:rFonts w:ascii="Times New Roman" w:hAnsi="Times New Roman"/>
          <w:b/>
          <w:color w:val="auto"/>
          <w:sz w:val="28"/>
          <w:szCs w:val="28"/>
          <w:highlight w:val="none"/>
        </w:rPr>
      </w:pPr>
      <w:r>
        <w:rPr>
          <w:rFonts w:ascii="Times New Roman" w:hAnsi="Times New Roman"/>
          <w:b/>
          <w:color w:val="auto"/>
          <w:sz w:val="28"/>
          <w:szCs w:val="28"/>
          <w:highlight w:val="none"/>
        </w:rPr>
        <w:t>七、签订合同</w:t>
      </w:r>
    </w:p>
    <w:p w14:paraId="17052178">
      <w:pPr>
        <w:tabs>
          <w:tab w:val="left" w:pos="1305"/>
        </w:tabs>
        <w:spacing w:line="440" w:lineRule="exact"/>
        <w:ind w:firstLine="361" w:firstLineChars="150"/>
        <w:rPr>
          <w:rFonts w:ascii="Times New Roman" w:hAnsi="Times New Roman"/>
          <w:b/>
          <w:color w:val="auto"/>
          <w:sz w:val="24"/>
          <w:highlight w:val="none"/>
        </w:rPr>
      </w:pPr>
      <w:r>
        <w:rPr>
          <w:rFonts w:ascii="Times New Roman" w:hAnsi="Times New Roman"/>
          <w:b/>
          <w:color w:val="auto"/>
          <w:sz w:val="24"/>
          <w:highlight w:val="none"/>
        </w:rPr>
        <w:t>35</w:t>
      </w:r>
      <w:r>
        <w:rPr>
          <w:rFonts w:hint="eastAsia" w:ascii="Times New Roman" w:hAnsi="Times New Roman"/>
          <w:b/>
          <w:color w:val="auto"/>
          <w:sz w:val="24"/>
          <w:highlight w:val="none"/>
        </w:rPr>
        <w:t>、</w:t>
      </w:r>
      <w:r>
        <w:rPr>
          <w:rFonts w:ascii="Times New Roman" w:hAnsi="Times New Roman"/>
          <w:b/>
          <w:color w:val="auto"/>
          <w:sz w:val="24"/>
          <w:highlight w:val="none"/>
        </w:rPr>
        <w:t xml:space="preserve"> 签订合同</w:t>
      </w:r>
    </w:p>
    <w:p w14:paraId="1094E944">
      <w:pPr>
        <w:pStyle w:val="12"/>
        <w:spacing w:line="440" w:lineRule="exact"/>
        <w:ind w:left="2" w:leftChars="1"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35.1、签订合同时间：中标通知书发出之日起</w:t>
      </w:r>
      <w:r>
        <w:rPr>
          <w:rFonts w:hint="eastAsia" w:ascii="Times New Roman" w:hAnsi="Times New Roman" w:eastAsia="宋体"/>
          <w:color w:val="auto"/>
          <w:sz w:val="24"/>
          <w:szCs w:val="24"/>
          <w:highlight w:val="none"/>
        </w:rPr>
        <w:t>20日</w:t>
      </w:r>
      <w:r>
        <w:rPr>
          <w:rFonts w:ascii="Times New Roman" w:hAnsi="Times New Roman" w:eastAsia="宋体"/>
          <w:color w:val="auto"/>
          <w:sz w:val="24"/>
          <w:szCs w:val="24"/>
          <w:highlight w:val="none"/>
        </w:rPr>
        <w:t>内。中标</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领取中标通知书后，应按规定与招标人签订合同。</w:t>
      </w:r>
    </w:p>
    <w:p w14:paraId="53206AEC">
      <w:pPr>
        <w:pStyle w:val="12"/>
        <w:spacing w:line="440" w:lineRule="exact"/>
        <w:ind w:left="2" w:leftChars="1"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35.2、如中标</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有下列情形之一的，由财政部门将其列入不良行为记录名单，在一至三年内禁止参加政府采购活动，并予以通报。招标采购单位可从评标委员会推荐的中标候选</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中按顺序重新确定中标</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或重新组织招标。</w:t>
      </w:r>
    </w:p>
    <w:p w14:paraId="1F594C6A">
      <w:pPr>
        <w:pStyle w:val="12"/>
        <w:spacing w:line="440" w:lineRule="exact"/>
        <w:ind w:firstLine="360" w:firstLineChars="15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（1）中标后不与招标人签订合同的（不可抗力除外）；</w:t>
      </w:r>
    </w:p>
    <w:p w14:paraId="0D3F2B42">
      <w:pPr>
        <w:pStyle w:val="12"/>
        <w:spacing w:line="440" w:lineRule="exact"/>
        <w:ind w:left="2" w:leftChars="1" w:firstLine="360" w:firstLineChars="15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（2）将中标项目转让给他人，或者在投标文件中未说明，且未经招标人同意，将中标项目分包给他人的；</w:t>
      </w:r>
    </w:p>
    <w:p w14:paraId="17416FF6">
      <w:pPr>
        <w:pStyle w:val="12"/>
        <w:spacing w:line="440" w:lineRule="exact"/>
        <w:ind w:firstLine="360" w:firstLineChars="15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（3）拒绝履行合同义务的。</w:t>
      </w:r>
    </w:p>
    <w:p w14:paraId="3CBB6787">
      <w:pPr>
        <w:pStyle w:val="12"/>
        <w:spacing w:line="440" w:lineRule="exact"/>
        <w:ind w:left="2" w:leftChars="1" w:firstLine="480" w:firstLineChars="200"/>
        <w:rPr>
          <w:rFonts w:ascii="Times New Roman" w:hAnsi="Times New Roman" w:eastAsia="宋体"/>
          <w:b/>
          <w:color w:val="auto"/>
          <w:sz w:val="28"/>
          <w:szCs w:val="28"/>
          <w:highlight w:val="none"/>
        </w:rPr>
      </w:pPr>
      <w:r>
        <w:rPr>
          <w:rFonts w:ascii="Times New Roman" w:hAnsi="Times New Roman" w:eastAsia="宋体"/>
          <w:color w:val="auto"/>
          <w:sz w:val="24"/>
          <w:szCs w:val="24"/>
          <w:highlight w:val="none"/>
        </w:rPr>
        <w:t xml:space="preserve"> 35.3合同备案存档：政府采购合同双方自签订之日起1个工作日内将合同原件两份交采购代理机构。采购代理机构2个工作日内将政府采购合同在省级以上人民政府财政部门指定媒体上公告。</w:t>
      </w:r>
    </w:p>
    <w:p w14:paraId="00A21D76">
      <w:pPr>
        <w:pStyle w:val="12"/>
        <w:spacing w:line="440" w:lineRule="exact"/>
        <w:ind w:left="3"/>
        <w:jc w:val="center"/>
        <w:rPr>
          <w:rFonts w:ascii="Times New Roman" w:hAnsi="Times New Roman" w:eastAsia="宋体"/>
          <w:b/>
          <w:color w:val="auto"/>
          <w:sz w:val="28"/>
          <w:szCs w:val="28"/>
          <w:highlight w:val="none"/>
        </w:rPr>
      </w:pPr>
      <w:r>
        <w:rPr>
          <w:rFonts w:ascii="Times New Roman" w:hAnsi="Times New Roman" w:eastAsia="宋体"/>
          <w:b/>
          <w:color w:val="auto"/>
          <w:sz w:val="28"/>
          <w:szCs w:val="28"/>
          <w:highlight w:val="none"/>
        </w:rPr>
        <w:t>八 、其他事项</w:t>
      </w:r>
    </w:p>
    <w:p w14:paraId="1EF7D045">
      <w:pPr>
        <w:pStyle w:val="12"/>
        <w:spacing w:line="440" w:lineRule="exact"/>
        <w:ind w:firstLine="482" w:firstLineChars="200"/>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t>36、招标代理服务费</w:t>
      </w:r>
    </w:p>
    <w:p w14:paraId="03BD8931">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具体服务费用详见投标人须知前附表。</w:t>
      </w:r>
    </w:p>
    <w:p w14:paraId="33ACDF6A">
      <w:pPr>
        <w:pStyle w:val="12"/>
        <w:snapToGrid w:val="0"/>
        <w:spacing w:line="440" w:lineRule="exact"/>
        <w:ind w:firstLine="482" w:firstLineChars="200"/>
        <w:rPr>
          <w:rFonts w:ascii="Times New Roman" w:hAnsi="Times New Roman" w:eastAsia="宋体"/>
          <w:color w:val="auto"/>
          <w:sz w:val="24"/>
          <w:szCs w:val="24"/>
          <w:highlight w:val="none"/>
        </w:rPr>
      </w:pPr>
      <w:r>
        <w:rPr>
          <w:rFonts w:ascii="Times New Roman" w:hAnsi="Times New Roman" w:eastAsia="宋体"/>
          <w:b/>
          <w:color w:val="auto"/>
          <w:sz w:val="24"/>
          <w:szCs w:val="24"/>
          <w:highlight w:val="none"/>
        </w:rPr>
        <w:t>37、</w:t>
      </w:r>
      <w:r>
        <w:rPr>
          <w:rFonts w:ascii="Times New Roman" w:hAnsi="Times New Roman" w:eastAsia="宋体"/>
          <w:color w:val="auto"/>
          <w:sz w:val="24"/>
          <w:szCs w:val="24"/>
          <w:highlight w:val="none"/>
        </w:rPr>
        <w:t>解释权：本招标文件是根据《中华人民共和国政府采购法》和政府采购管理有关规定编制，本招标文件的解释权</w:t>
      </w:r>
      <w:r>
        <w:rPr>
          <w:rFonts w:hint="eastAsia" w:ascii="Times New Roman" w:hAnsi="Times New Roman" w:eastAsia="宋体"/>
          <w:color w:val="auto"/>
          <w:sz w:val="24"/>
          <w:szCs w:val="24"/>
          <w:highlight w:val="none"/>
          <w:lang w:val="en-US" w:eastAsia="zh-CN"/>
        </w:rPr>
        <w:t>由采购人和</w:t>
      </w:r>
      <w:r>
        <w:rPr>
          <w:rFonts w:ascii="Times New Roman" w:hAnsi="Times New Roman" w:eastAsia="宋体"/>
          <w:color w:val="auto"/>
          <w:sz w:val="24"/>
          <w:szCs w:val="24"/>
          <w:highlight w:val="none"/>
        </w:rPr>
        <w:t>采购代理机构</w:t>
      </w:r>
      <w:r>
        <w:rPr>
          <w:rFonts w:hint="eastAsia" w:ascii="Times New Roman" w:hAnsi="Times New Roman" w:eastAsia="宋体"/>
          <w:color w:val="auto"/>
          <w:sz w:val="24"/>
          <w:szCs w:val="24"/>
          <w:highlight w:val="none"/>
          <w:lang w:val="en-US" w:eastAsia="zh-CN"/>
        </w:rPr>
        <w:t>共同负责</w:t>
      </w:r>
      <w:r>
        <w:rPr>
          <w:rFonts w:ascii="Times New Roman" w:hAnsi="Times New Roman" w:eastAsia="宋体"/>
          <w:color w:val="auto"/>
          <w:sz w:val="24"/>
          <w:szCs w:val="24"/>
          <w:highlight w:val="none"/>
        </w:rPr>
        <w:t>。</w:t>
      </w:r>
    </w:p>
    <w:p w14:paraId="63E83FA4">
      <w:pPr>
        <w:pStyle w:val="12"/>
        <w:snapToGrid w:val="0"/>
        <w:spacing w:line="440" w:lineRule="exact"/>
        <w:ind w:firstLine="482" w:firstLineChars="200"/>
        <w:rPr>
          <w:rFonts w:ascii="Times New Roman" w:hAnsi="Times New Roman" w:eastAsia="宋体"/>
          <w:color w:val="auto"/>
          <w:sz w:val="24"/>
          <w:szCs w:val="24"/>
          <w:highlight w:val="none"/>
        </w:rPr>
      </w:pPr>
      <w:r>
        <w:rPr>
          <w:rFonts w:hint="eastAsia" w:ascii="Times New Roman" w:hAnsi="Times New Roman" w:eastAsia="宋体"/>
          <w:b/>
          <w:color w:val="auto"/>
          <w:sz w:val="24"/>
          <w:szCs w:val="24"/>
          <w:highlight w:val="none"/>
        </w:rPr>
        <w:t>38</w:t>
      </w:r>
      <w:r>
        <w:rPr>
          <w:rFonts w:ascii="Times New Roman" w:hAnsi="Times New Roman" w:eastAsia="宋体"/>
          <w:b/>
          <w:color w:val="auto"/>
          <w:sz w:val="24"/>
          <w:szCs w:val="24"/>
          <w:highlight w:val="none"/>
        </w:rPr>
        <w:t>、</w:t>
      </w:r>
      <w:r>
        <w:rPr>
          <w:rFonts w:ascii="Times New Roman" w:hAnsi="Times New Roman" w:eastAsia="宋体"/>
          <w:color w:val="auto"/>
          <w:sz w:val="24"/>
          <w:szCs w:val="24"/>
          <w:highlight w:val="none"/>
        </w:rPr>
        <w:t>监督部门：桂平市财政局政府采购监督管理股   联系电话：0775-3380263</w:t>
      </w:r>
    </w:p>
    <w:p w14:paraId="210DE0AF">
      <w:pPr>
        <w:pStyle w:val="12"/>
        <w:snapToGrid w:val="0"/>
        <w:spacing w:line="440" w:lineRule="exact"/>
        <w:ind w:firstLine="482" w:firstLineChars="200"/>
        <w:rPr>
          <w:rFonts w:ascii="Times New Roman" w:hAnsi="Times New Roman" w:eastAsia="宋体"/>
          <w:color w:val="auto"/>
          <w:sz w:val="24"/>
          <w:szCs w:val="24"/>
          <w:highlight w:val="none"/>
        </w:rPr>
      </w:pPr>
      <w:r>
        <w:rPr>
          <w:rFonts w:hint="eastAsia" w:ascii="Times New Roman" w:hAnsi="Times New Roman" w:eastAsia="宋体"/>
          <w:b/>
          <w:bCs/>
          <w:color w:val="auto"/>
          <w:sz w:val="24"/>
          <w:szCs w:val="24"/>
          <w:highlight w:val="none"/>
        </w:rPr>
        <w:t>39</w:t>
      </w:r>
      <w:r>
        <w:rPr>
          <w:rFonts w:ascii="Times New Roman" w:hAnsi="Times New Roman" w:eastAsia="宋体"/>
          <w:b/>
          <w:bCs/>
          <w:color w:val="auto"/>
          <w:sz w:val="24"/>
          <w:szCs w:val="24"/>
          <w:highlight w:val="none"/>
        </w:rPr>
        <w:t>、</w:t>
      </w:r>
      <w:r>
        <w:rPr>
          <w:rFonts w:ascii="Times New Roman" w:hAnsi="Times New Roman" w:eastAsia="宋体"/>
          <w:color w:val="auto"/>
          <w:sz w:val="24"/>
          <w:szCs w:val="24"/>
          <w:highlight w:val="none"/>
        </w:rPr>
        <w:t>所有与本标书有关的函电请按下列通讯地址联系：</w:t>
      </w:r>
    </w:p>
    <w:p w14:paraId="61D0077E">
      <w:pPr>
        <w:pStyle w:val="12"/>
        <w:snapToGrid w:val="0"/>
        <w:spacing w:line="440" w:lineRule="exact"/>
        <w:ind w:firstLine="480" w:firstLineChars="200"/>
        <w:rPr>
          <w:rFonts w:ascii="Times New Roman" w:hAnsi="Times New Roman" w:eastAsia="宋体"/>
          <w:color w:val="auto"/>
          <w:sz w:val="24"/>
          <w:szCs w:val="24"/>
          <w:highlight w:val="none"/>
        </w:rPr>
      </w:pPr>
      <w:bookmarkStart w:id="32" w:name="_Toc402"/>
      <w:bookmarkStart w:id="33" w:name="_Toc13679"/>
      <w:bookmarkStart w:id="34" w:name="_Toc30800"/>
      <w:bookmarkStart w:id="35" w:name="_Toc27610"/>
      <w:bookmarkStart w:id="36" w:name="_Toc4670"/>
      <w:bookmarkStart w:id="37" w:name="_Toc482865131"/>
      <w:bookmarkStart w:id="38" w:name="_Toc482865301"/>
      <w:bookmarkStart w:id="39" w:name="_Toc6831"/>
      <w:bookmarkStart w:id="40" w:name="_Toc483327790"/>
      <w:bookmarkStart w:id="41" w:name="_Toc482865328"/>
      <w:bookmarkStart w:id="42" w:name="_Toc483327817"/>
      <w:bookmarkStart w:id="43" w:name="_Toc482865158"/>
      <w:r>
        <w:rPr>
          <w:rFonts w:ascii="Times New Roman" w:hAnsi="Times New Roman" w:eastAsia="宋体"/>
          <w:color w:val="auto"/>
          <w:sz w:val="24"/>
          <w:szCs w:val="24"/>
          <w:highlight w:val="none"/>
        </w:rPr>
        <w:t>名    称：</w:t>
      </w:r>
      <w:r>
        <w:rPr>
          <w:rFonts w:hint="eastAsia" w:ascii="Times New Roman" w:hAnsi="Times New Roman" w:eastAsia="宋体"/>
          <w:color w:val="auto"/>
          <w:sz w:val="24"/>
          <w:szCs w:val="24"/>
          <w:highlight w:val="none"/>
        </w:rPr>
        <w:t>广西创佳项目管理有限公司</w:t>
      </w:r>
      <w:r>
        <w:rPr>
          <w:rFonts w:ascii="Times New Roman" w:hAnsi="Times New Roman" w:eastAsia="宋体"/>
          <w:color w:val="auto"/>
          <w:sz w:val="24"/>
          <w:szCs w:val="24"/>
          <w:highlight w:val="none"/>
        </w:rPr>
        <w:t>　</w:t>
      </w:r>
    </w:p>
    <w:p w14:paraId="3EA3CBCF">
      <w:pPr>
        <w:pStyle w:val="12"/>
        <w:snapToGrid w:val="0"/>
        <w:spacing w:line="440" w:lineRule="exact"/>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　　址：</w:t>
      </w:r>
      <w:r>
        <w:rPr>
          <w:rFonts w:hint="eastAsia" w:ascii="Times New Roman" w:hAnsi="Times New Roman" w:eastAsia="宋体"/>
          <w:color w:val="auto"/>
          <w:sz w:val="24"/>
          <w:highlight w:val="none"/>
        </w:rPr>
        <w:t>桂平市政务服务中心后面</w:t>
      </w:r>
    </w:p>
    <w:p w14:paraId="67F89124">
      <w:pPr>
        <w:pStyle w:val="12"/>
        <w:snapToGrid w:val="0"/>
        <w:spacing w:line="440" w:lineRule="exact"/>
        <w:ind w:firstLine="480" w:firstLineChars="200"/>
        <w:rPr>
          <w:rFonts w:ascii="Times New Roman" w:hAnsi="Times New Roman" w:eastAsia="宋体"/>
          <w:color w:val="auto"/>
          <w:sz w:val="24"/>
          <w:szCs w:val="24"/>
          <w:highlight w:val="none"/>
        </w:rPr>
        <w:sectPr>
          <w:footerReference r:id="rId6" w:type="first"/>
          <w:footerReference r:id="rId5" w:type="default"/>
          <w:pgSz w:w="11906" w:h="16838"/>
          <w:pgMar w:top="1020" w:right="1134" w:bottom="1440" w:left="1134" w:header="851" w:footer="992" w:gutter="0"/>
          <w:pgNumType w:start="1"/>
          <w:cols w:space="720" w:num="1"/>
          <w:docGrid w:type="lines" w:linePitch="312" w:charSpace="0"/>
        </w:sectPr>
      </w:pPr>
      <w:r>
        <w:rPr>
          <w:rFonts w:hint="eastAsia" w:ascii="Times New Roman" w:hAnsi="Times New Roman" w:eastAsia="宋体"/>
          <w:color w:val="auto"/>
          <w:sz w:val="24"/>
          <w:szCs w:val="24"/>
          <w:highlight w:val="none"/>
        </w:rPr>
        <w:t>项目联系人：覃骞稼、唐维平　    项目联系方式：0775-3360111</w:t>
      </w:r>
    </w:p>
    <w:p w14:paraId="07C64326">
      <w:pPr>
        <w:pStyle w:val="2"/>
        <w:numPr>
          <w:ilvl w:val="0"/>
          <w:numId w:val="4"/>
        </w:numPr>
        <w:rPr>
          <w:color w:val="auto"/>
          <w:highlight w:val="none"/>
        </w:rPr>
      </w:pPr>
      <w:r>
        <w:rPr>
          <w:color w:val="auto"/>
          <w:highlight w:val="none"/>
        </w:rPr>
        <w:t xml:space="preserve"> </w:t>
      </w:r>
      <w:bookmarkEnd w:id="32"/>
      <w:bookmarkEnd w:id="33"/>
      <w:bookmarkEnd w:id="34"/>
      <w:bookmarkEnd w:id="35"/>
      <w:bookmarkEnd w:id="36"/>
      <w:bookmarkEnd w:id="37"/>
      <w:bookmarkEnd w:id="38"/>
      <w:bookmarkEnd w:id="39"/>
      <w:bookmarkEnd w:id="40"/>
      <w:bookmarkStart w:id="44" w:name="_Toc8478"/>
      <w:bookmarkStart w:id="45" w:name="_Toc20375"/>
      <w:r>
        <w:rPr>
          <w:rFonts w:hint="eastAsia"/>
          <w:color w:val="auto"/>
          <w:highlight w:val="none"/>
        </w:rPr>
        <w:t>项目采购需求</w:t>
      </w:r>
      <w:bookmarkEnd w:id="44"/>
      <w:bookmarkEnd w:id="45"/>
    </w:p>
    <w:p w14:paraId="39BE5C7E">
      <w:pPr>
        <w:tabs>
          <w:tab w:val="left" w:pos="180"/>
          <w:tab w:val="left" w:pos="1620"/>
        </w:tabs>
        <w:spacing w:line="440" w:lineRule="exact"/>
        <w:rPr>
          <w:rFonts w:ascii="Times New Roman" w:hAnsi="Times New Roman"/>
          <w:b/>
          <w:bCs/>
          <w:color w:val="auto"/>
          <w:kern w:val="0"/>
          <w:sz w:val="24"/>
          <w:highlight w:val="none"/>
        </w:rPr>
      </w:pPr>
    </w:p>
    <w:p w14:paraId="5C8BD86E">
      <w:pPr>
        <w:tabs>
          <w:tab w:val="left" w:pos="180"/>
          <w:tab w:val="left" w:pos="1620"/>
        </w:tabs>
        <w:spacing w:line="440" w:lineRule="exact"/>
        <w:rPr>
          <w:rFonts w:hint="eastAsia" w:ascii="Times New Roman" w:hAnsi="Times New Roman" w:eastAsia="宋体"/>
          <w:color w:val="auto"/>
          <w:kern w:val="0"/>
          <w:sz w:val="24"/>
          <w:highlight w:val="none"/>
          <w:lang w:eastAsia="zh-CN"/>
        </w:rPr>
      </w:pPr>
      <w:r>
        <w:rPr>
          <w:rFonts w:hint="eastAsia" w:ascii="Times New Roman" w:hAnsi="Times New Roman"/>
          <w:b/>
          <w:bCs/>
          <w:color w:val="auto"/>
          <w:kern w:val="0"/>
          <w:sz w:val="24"/>
          <w:highlight w:val="none"/>
        </w:rPr>
        <w:t>一、</w:t>
      </w:r>
      <w:r>
        <w:rPr>
          <w:rFonts w:ascii="Times New Roman" w:hAnsi="Times New Roman"/>
          <w:b/>
          <w:bCs/>
          <w:color w:val="auto"/>
          <w:kern w:val="0"/>
          <w:sz w:val="24"/>
          <w:highlight w:val="none"/>
        </w:rPr>
        <w:t>采购项目名称</w:t>
      </w:r>
      <w:r>
        <w:rPr>
          <w:rFonts w:ascii="Times New Roman" w:hAnsi="Times New Roman"/>
          <w:color w:val="auto"/>
          <w:kern w:val="0"/>
          <w:sz w:val="24"/>
          <w:highlight w:val="none"/>
        </w:rPr>
        <w:t>：</w:t>
      </w:r>
      <w:r>
        <w:rPr>
          <w:rFonts w:hint="eastAsia" w:ascii="Times New Roman" w:hAnsi="Times New Roman"/>
          <w:color w:val="auto"/>
          <w:kern w:val="0"/>
          <w:sz w:val="24"/>
          <w:highlight w:val="none"/>
          <w:lang w:eastAsia="zh-CN"/>
        </w:rPr>
        <w:t>桂平市燃气管网生命线及老旧燃气管网更新改造工程项目智慧燃气管理平台服务</w:t>
      </w:r>
    </w:p>
    <w:p w14:paraId="18EDFD21">
      <w:pPr>
        <w:tabs>
          <w:tab w:val="left" w:pos="180"/>
          <w:tab w:val="left" w:pos="1620"/>
        </w:tabs>
        <w:spacing w:line="440" w:lineRule="exact"/>
        <w:rPr>
          <w:rFonts w:ascii="Times New Roman" w:hAnsi="Times New Roman"/>
          <w:color w:val="auto"/>
          <w:sz w:val="24"/>
          <w:highlight w:val="none"/>
        </w:rPr>
      </w:pPr>
      <w:r>
        <w:rPr>
          <w:rFonts w:hint="eastAsia" w:ascii="Times New Roman" w:hAnsi="Times New Roman"/>
          <w:b/>
          <w:bCs/>
          <w:color w:val="auto"/>
          <w:kern w:val="0"/>
          <w:sz w:val="24"/>
          <w:highlight w:val="none"/>
        </w:rPr>
        <w:t>二、</w:t>
      </w:r>
      <w:r>
        <w:rPr>
          <w:rFonts w:ascii="Times New Roman" w:hAnsi="Times New Roman"/>
          <w:b/>
          <w:bCs/>
          <w:color w:val="auto"/>
          <w:kern w:val="0"/>
          <w:sz w:val="24"/>
          <w:highlight w:val="none"/>
        </w:rPr>
        <w:t>采购项目类别：</w:t>
      </w:r>
      <w:r>
        <w:rPr>
          <w:rFonts w:ascii="Times New Roman" w:hAnsi="Times New Roman"/>
          <w:color w:val="auto"/>
          <w:kern w:val="0"/>
          <w:sz w:val="24"/>
          <w:highlight w:val="none"/>
        </w:rPr>
        <w:t>服务类</w:t>
      </w:r>
    </w:p>
    <w:p w14:paraId="4CA7B98C">
      <w:pPr>
        <w:spacing w:line="320" w:lineRule="exact"/>
        <w:rPr>
          <w:rFonts w:ascii="Times New Roman" w:hAnsi="Times New Roman" w:eastAsia="Ђˎ̥"/>
          <w:b/>
          <w:bCs/>
          <w:color w:val="auto"/>
          <w:kern w:val="0"/>
          <w:sz w:val="24"/>
          <w:szCs w:val="21"/>
          <w:highlight w:val="none"/>
        </w:rPr>
      </w:pPr>
      <w:bookmarkStart w:id="46" w:name="_Toc2312"/>
      <w:bookmarkStart w:id="47" w:name="_Toc9053"/>
      <w:bookmarkStart w:id="48" w:name="_Toc4701"/>
      <w:bookmarkStart w:id="49" w:name="_Toc14147"/>
      <w:bookmarkStart w:id="50" w:name="_Toc29497"/>
      <w:bookmarkStart w:id="51" w:name="_Toc947"/>
      <w:r>
        <w:rPr>
          <w:rFonts w:hint="eastAsia" w:ascii="Times New Roman" w:hAnsi="Times New Roman" w:eastAsia="Ђˎ̥"/>
          <w:b/>
          <w:bCs/>
          <w:color w:val="auto"/>
          <w:kern w:val="0"/>
          <w:sz w:val="24"/>
          <w:szCs w:val="21"/>
          <w:highlight w:val="none"/>
        </w:rPr>
        <w:t>三、</w:t>
      </w:r>
      <w:r>
        <w:rPr>
          <w:rFonts w:ascii="Times New Roman" w:hAnsi="Times New Roman" w:eastAsia="Ђˎ̥"/>
          <w:b/>
          <w:bCs/>
          <w:color w:val="auto"/>
          <w:kern w:val="0"/>
          <w:sz w:val="24"/>
          <w:szCs w:val="21"/>
          <w:highlight w:val="none"/>
        </w:rPr>
        <w:t>说明：</w:t>
      </w:r>
    </w:p>
    <w:p w14:paraId="6E1831B6">
      <w:pPr>
        <w:spacing w:line="320" w:lineRule="exact"/>
        <w:ind w:firstLine="42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投标人应对投标内容所涉及的专利承担法律责任，并负责保护甲方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招标过程中被侵权问题而提出异议。</w:t>
      </w:r>
    </w:p>
    <w:p w14:paraId="25F40CD7">
      <w:pPr>
        <w:spacing w:line="320" w:lineRule="exact"/>
        <w:ind w:firstLine="42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2、投标人应注意下列内容：</w:t>
      </w:r>
    </w:p>
    <w:p w14:paraId="07461FD7">
      <w:pPr>
        <w:spacing w:line="320" w:lineRule="exact"/>
        <w:ind w:firstLine="42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1）招标文件中带“▲”的条款为本次采购的实质性的商务、技术或服务要求，投标人须满足或响应，若无法完全满足，将会被认定为无效投标。项目采购需求中打“★”号条款为重要性能技术指标，作为设备性能评审依据。</w:t>
      </w:r>
    </w:p>
    <w:p w14:paraId="5B53BCA8">
      <w:pPr>
        <w:spacing w:line="320" w:lineRule="exact"/>
        <w:ind w:firstLine="42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2）投标人须在投标文件中填写/应答所提供的服务内容，当投标文件中所填的服务内容与招标文件中服务内容及要求有偏离时，须在“偏离”栏内如实注明是“正偏离”或“负偏离”，“正偏离”指投标服务的内容优于招标文件中要求，“负偏离”指投标服务的内容低于招标文件中要求。投标文件中的技术参数、功能或其它内容有“正偏离”的，投标人须对“正偏离”的情况单独作出说明。</w:t>
      </w:r>
    </w:p>
    <w:p w14:paraId="0038B4C7">
      <w:pPr>
        <w:pStyle w:val="11"/>
        <w:spacing w:line="520" w:lineRule="exact"/>
        <w:ind w:firstLine="240" w:firstLineChars="100"/>
        <w:rPr>
          <w:rFonts w:hint="eastAsia" w:ascii="宋体" w:hAnsi="宋体" w:eastAsia="宋体" w:cs="宋体"/>
          <w:color w:val="auto"/>
          <w:szCs w:val="32"/>
          <w:highlight w:val="none"/>
        </w:rPr>
      </w:pPr>
      <w:r>
        <w:rPr>
          <w:rFonts w:hint="eastAsia" w:ascii="宋体" w:hAnsi="宋体" w:cs="宋体"/>
          <w:color w:val="auto"/>
          <w:kern w:val="0"/>
          <w:sz w:val="24"/>
          <w:szCs w:val="21"/>
          <w:highlight w:val="none"/>
        </w:rPr>
        <w:t>（3）</w:t>
      </w:r>
      <w:r>
        <w:rPr>
          <w:rFonts w:hint="eastAsia" w:ascii="宋体" w:hAnsi="宋体" w:eastAsia="宋体"/>
          <w:color w:val="auto"/>
          <w:sz w:val="24"/>
          <w:szCs w:val="24"/>
          <w:highlight w:val="none"/>
          <w:lang w:val="en-US" w:eastAsia="zh-CN"/>
        </w:rPr>
        <w:t>投标文件应当对招标文件提出的要求和条件作出明确响应</w:t>
      </w:r>
      <w:r>
        <w:rPr>
          <w:rFonts w:hint="eastAsia" w:ascii="宋体" w:hAnsi="宋体" w:eastAsia="宋体" w:cs="宋体"/>
          <w:color w:val="auto"/>
          <w:sz w:val="24"/>
          <w:szCs w:val="24"/>
          <w:highlight w:val="none"/>
        </w:rPr>
        <w:t>，并作出偏离说明。</w:t>
      </w:r>
    </w:p>
    <w:p w14:paraId="37E02CE5">
      <w:pPr>
        <w:spacing w:line="320" w:lineRule="exact"/>
        <w:ind w:firstLine="420"/>
        <w:rPr>
          <w:rFonts w:hint="eastAsia" w:ascii="宋体" w:hAnsi="宋体" w:cs="宋体"/>
          <w:color w:val="auto"/>
          <w:kern w:val="0"/>
          <w:sz w:val="24"/>
          <w:szCs w:val="21"/>
          <w:highlight w:val="none"/>
        </w:rPr>
      </w:pPr>
    </w:p>
    <w:p w14:paraId="1B9B2362">
      <w:pPr>
        <w:spacing w:line="320" w:lineRule="exact"/>
        <w:ind w:firstLine="42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3、投标人应承诺投标文件中提供的证明材料和资质文件真实，如出现虚假应标情况，投标人除了应接受有关部门的处罚外，还应依据《中华人民共和国民法典》的相关条款来确定赔偿金额。</w:t>
      </w:r>
    </w:p>
    <w:p w14:paraId="7B96CDC6">
      <w:pPr>
        <w:pStyle w:val="13"/>
        <w:ind w:firstLine="480"/>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 xml:space="preserve">4、根据财库〔2019〕9 号及财库〔2019〕19 号文件规定，台式计算机，便携式计算机、平板式微型计算机，激光打印机，针式打印机，液晶显示器，制冷压缩机（冷水机组、水源热泵机组、溴化锂吸收式冷水机组）， 空调机组[多联式空调（热泵）机组（制冷量＞14000W），单元式空气调节机（制冷量＞14000W）]，专用制冷、空调设备（机房空调），镇流器（管型荧光灯镇流器），空调机[房间空气调节器、多联式空调（热泵） 机组（制冷量≤14000W）、单元式空气调节机（制冷量≤14000W）]，电热水器，普通照明用双端荧光灯， 电视设备[普通电视设备（电视机）]，视频设备（视频监控设备、监视器），便器（坐便器、蹲便器、小便器）， 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否则相应投标无效。 </w:t>
      </w:r>
    </w:p>
    <w:p w14:paraId="25FA1840">
      <w:pPr>
        <w:ind w:firstLine="480"/>
        <w:rPr>
          <w:rFonts w:hint="eastAsia"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 xml:space="preserve">5、根据《关于调整网络安全专用产品安全管理有关事项的公告》（2023 年 1 号）规定，本项目采购 需求中的产品如果包括《网络关键设备和网络安全专用产品目录》的网络安全专用产品，投标人在投标文件中应主动列明供货范围中属于网络安全专用产品的投标产品，并在投标文件中提供由中国网信网（http://www.cac.gov.cn/index.htm）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 </w:t>
      </w:r>
    </w:p>
    <w:p w14:paraId="4011D8FB">
      <w:pPr>
        <w:ind w:firstLine="480"/>
        <w:rPr>
          <w:rFonts w:hint="default" w:ascii="Verdana" w:hAnsi="Verdana" w:eastAsia="宋体" w:cs="Times New Roman"/>
          <w:color w:val="auto"/>
          <w:kern w:val="2"/>
          <w:sz w:val="24"/>
          <w:szCs w:val="24"/>
          <w:highlight w:val="none"/>
          <w:lang w:val="en-US" w:eastAsia="zh-CN"/>
        </w:rPr>
      </w:pPr>
      <w:r>
        <w:rPr>
          <w:rFonts w:hint="eastAsia" w:cs="Times New Roman"/>
          <w:color w:val="auto"/>
          <w:kern w:val="2"/>
          <w:sz w:val="24"/>
          <w:szCs w:val="24"/>
          <w:highlight w:val="none"/>
          <w:lang w:val="en-US" w:eastAsia="zh-CN"/>
        </w:rPr>
        <w:t>如属于《网络关键设备和网络安全专用产品目录》中“二、网络安全专用产品”内“产品类别”中的所描述的产品，但不属于所列“产品描述”情形的，应提供相应的说明及证明材料。</w:t>
      </w:r>
    </w:p>
    <w:p w14:paraId="4E667016">
      <w:pPr>
        <w:pStyle w:val="13"/>
        <w:rPr>
          <w:rFonts w:hint="default" w:eastAsia="宋体"/>
          <w:color w:val="auto"/>
          <w:highlight w:val="none"/>
          <w:lang w:val="en-US" w:eastAsia="zh-CN"/>
        </w:rPr>
      </w:pPr>
    </w:p>
    <w:p w14:paraId="001DE4E9">
      <w:pPr>
        <w:spacing w:line="320" w:lineRule="exact"/>
        <w:ind w:firstLine="42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lang w:val="en-US" w:eastAsia="zh-CN"/>
        </w:rPr>
        <w:t>6</w:t>
      </w:r>
      <w:r>
        <w:rPr>
          <w:rFonts w:hint="eastAsia" w:ascii="宋体" w:hAnsi="宋体" w:cs="宋体"/>
          <w:color w:val="auto"/>
          <w:kern w:val="0"/>
          <w:sz w:val="24"/>
          <w:szCs w:val="21"/>
          <w:highlight w:val="none"/>
        </w:rPr>
        <w:t>、本项目所属行业为：软件和信息技术服务业</w:t>
      </w:r>
    </w:p>
    <w:p w14:paraId="11A3FF0F">
      <w:pPr>
        <w:pStyle w:val="12"/>
        <w:spacing w:line="360" w:lineRule="auto"/>
        <w:rPr>
          <w:rFonts w:ascii="Times New Roman" w:hAnsi="Times New Roman" w:eastAsia="宋体"/>
          <w:color w:val="auto"/>
          <w:highlight w:val="none"/>
        </w:rPr>
      </w:pPr>
      <w:r>
        <w:rPr>
          <w:rFonts w:hint="eastAsia" w:ascii="Times New Roman" w:hAnsi="Times New Roman"/>
          <w:b/>
          <w:bCs/>
          <w:color w:val="auto"/>
          <w:sz w:val="24"/>
          <w:highlight w:val="none"/>
        </w:rPr>
        <w:t>四、</w:t>
      </w:r>
      <w:r>
        <w:rPr>
          <w:rFonts w:hint="eastAsia" w:ascii="Times New Roman" w:hAnsi="Times New Roman" w:eastAsia="宋体"/>
          <w:b/>
          <w:bCs/>
          <w:color w:val="auto"/>
          <w:sz w:val="24"/>
          <w:highlight w:val="none"/>
        </w:rPr>
        <w:t>采购需求参数：</w:t>
      </w:r>
    </w:p>
    <w:tbl>
      <w:tblPr>
        <w:tblStyle w:val="19"/>
        <w:tblW w:w="5000" w:type="pct"/>
        <w:tblInd w:w="0" w:type="dxa"/>
        <w:tblLayout w:type="fixed"/>
        <w:tblCellMar>
          <w:top w:w="0" w:type="dxa"/>
          <w:left w:w="108" w:type="dxa"/>
          <w:bottom w:w="0" w:type="dxa"/>
          <w:right w:w="108" w:type="dxa"/>
        </w:tblCellMar>
      </w:tblPr>
      <w:tblGrid>
        <w:gridCol w:w="956"/>
        <w:gridCol w:w="1180"/>
        <w:gridCol w:w="6903"/>
        <w:gridCol w:w="434"/>
        <w:gridCol w:w="381"/>
      </w:tblGrid>
      <w:tr w14:paraId="25BACCA8">
        <w:tblPrEx>
          <w:tblCellMar>
            <w:top w:w="0" w:type="dxa"/>
            <w:left w:w="108" w:type="dxa"/>
            <w:bottom w:w="0" w:type="dxa"/>
            <w:right w:w="108" w:type="dxa"/>
          </w:tblCellMar>
        </w:tblPrEx>
        <w:trPr>
          <w:trHeight w:val="814" w:hRule="atLeast"/>
        </w:trPr>
        <w:tc>
          <w:tcPr>
            <w:tcW w:w="1083" w:type="pct"/>
            <w:gridSpan w:val="2"/>
            <w:tcBorders>
              <w:top w:val="single" w:color="000000" w:sz="4" w:space="0"/>
              <w:left w:val="single" w:color="000000" w:sz="4" w:space="0"/>
              <w:bottom w:val="single" w:color="000000" w:sz="4" w:space="0"/>
              <w:right w:val="single" w:color="000000" w:sz="4" w:space="0"/>
            </w:tcBorders>
            <w:vAlign w:val="center"/>
          </w:tcPr>
          <w:p w14:paraId="7E6F0703">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标的名称</w:t>
            </w:r>
          </w:p>
        </w:tc>
        <w:tc>
          <w:tcPr>
            <w:tcW w:w="3916" w:type="pct"/>
            <w:gridSpan w:val="3"/>
            <w:tcBorders>
              <w:top w:val="single" w:color="000000" w:sz="4" w:space="0"/>
              <w:left w:val="single" w:color="000000" w:sz="4" w:space="0"/>
              <w:bottom w:val="single" w:color="000000" w:sz="4" w:space="0"/>
              <w:right w:val="single" w:color="000000" w:sz="4" w:space="0"/>
            </w:tcBorders>
            <w:vAlign w:val="center"/>
          </w:tcPr>
          <w:p w14:paraId="781E455D">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桂平市燃气管网生命线及老旧燃气管网更新改造</w:t>
            </w:r>
          </w:p>
          <w:p w14:paraId="1EF7125C">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工程项目智慧燃气管理平台</w:t>
            </w:r>
          </w:p>
        </w:tc>
      </w:tr>
      <w:tr w14:paraId="6F2FC62A">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408FE8E">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598" w:type="pct"/>
            <w:tcBorders>
              <w:top w:val="single" w:color="000000" w:sz="4" w:space="0"/>
              <w:left w:val="single" w:color="000000" w:sz="4" w:space="0"/>
              <w:bottom w:val="single" w:color="000000" w:sz="4" w:space="0"/>
              <w:right w:val="single" w:color="000000" w:sz="4" w:space="0"/>
            </w:tcBorders>
            <w:vAlign w:val="center"/>
          </w:tcPr>
          <w:p w14:paraId="2C9C8D10">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设备及软件名称</w:t>
            </w:r>
          </w:p>
        </w:tc>
        <w:tc>
          <w:tcPr>
            <w:tcW w:w="3502" w:type="pct"/>
            <w:tcBorders>
              <w:top w:val="single" w:color="000000" w:sz="4" w:space="0"/>
              <w:left w:val="single" w:color="000000" w:sz="4" w:space="0"/>
              <w:bottom w:val="single" w:color="000000" w:sz="4" w:space="0"/>
              <w:right w:val="single" w:color="000000" w:sz="4" w:space="0"/>
            </w:tcBorders>
            <w:vAlign w:val="center"/>
          </w:tcPr>
          <w:p w14:paraId="36EDED57">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功能及性能参数</w:t>
            </w:r>
          </w:p>
        </w:tc>
        <w:tc>
          <w:tcPr>
            <w:tcW w:w="220" w:type="pct"/>
            <w:tcBorders>
              <w:top w:val="single" w:color="000000" w:sz="4" w:space="0"/>
              <w:left w:val="single" w:color="000000" w:sz="4" w:space="0"/>
              <w:bottom w:val="single" w:color="000000" w:sz="4" w:space="0"/>
              <w:right w:val="single" w:color="000000" w:sz="4" w:space="0"/>
            </w:tcBorders>
            <w:vAlign w:val="center"/>
          </w:tcPr>
          <w:p w14:paraId="69FCD713">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193" w:type="pct"/>
            <w:tcBorders>
              <w:top w:val="single" w:color="000000" w:sz="4" w:space="0"/>
              <w:left w:val="single" w:color="000000" w:sz="4" w:space="0"/>
              <w:bottom w:val="single" w:color="000000" w:sz="4" w:space="0"/>
              <w:right w:val="single" w:color="000000" w:sz="4" w:space="0"/>
            </w:tcBorders>
            <w:vAlign w:val="center"/>
          </w:tcPr>
          <w:p w14:paraId="0C317F48">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r>
      <w:tr w14:paraId="01353701">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vAlign w:val="center"/>
          </w:tcPr>
          <w:p w14:paraId="1D4FBDD6">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一、智慧燃气监管平台建设</w:t>
            </w:r>
          </w:p>
        </w:tc>
        <w:tc>
          <w:tcPr>
            <w:tcW w:w="220" w:type="pct"/>
            <w:tcBorders>
              <w:top w:val="single" w:color="000000" w:sz="4" w:space="0"/>
              <w:left w:val="single" w:color="000000" w:sz="4" w:space="0"/>
              <w:bottom w:val="single" w:color="000000" w:sz="4" w:space="0"/>
              <w:right w:val="single" w:color="000000" w:sz="4" w:space="0"/>
            </w:tcBorders>
            <w:vAlign w:val="center"/>
          </w:tcPr>
          <w:p w14:paraId="40D22CBB">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751ACC09">
            <w:pPr>
              <w:jc w:val="center"/>
              <w:rPr>
                <w:rFonts w:hint="eastAsia" w:ascii="宋体" w:hAnsi="宋体" w:cs="宋体"/>
                <w:color w:val="auto"/>
                <w:szCs w:val="21"/>
                <w:highlight w:val="none"/>
              </w:rPr>
            </w:pPr>
          </w:p>
        </w:tc>
      </w:tr>
      <w:tr w14:paraId="13AF5CFE">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5ED35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1、数智平台底座服务</w:t>
            </w:r>
          </w:p>
        </w:tc>
      </w:tr>
      <w:tr w14:paraId="47FC96F0">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D5313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C2FF71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数据中台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3061A0B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构建桂平市数字资源底座，构建市内数据协同体系，实现“数字资源一本账”、共性基础能力有序融合、数据资源统筹协调、供需高效匹配，盘活数字资产，赋能创新场景应用。建设数据中台，融合市内城市生命线管理数据、企业上报数据，以及区、市平台返还数据，实现数据回流。通过对数据汇集、存储、治理和运营，实现数据资源一本帐，支撑各应用场景以及IOC驾驶舱指标呈现，沉淀区内数据资产。数据中台主要实现对燃气地理信息数据、燃气基础数据、运行监测数据、燃气业务数据、燃气应急数据、燃气专项数据、统计分析数据的存储、采集、治理，形成数据资源库并管理维护，为其他应用平台提供数据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1、燃气基础数据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基础数据综合管理，通过系统集成对接、离线数据对接等方式接入燃气基础数据，包括燃气场站、管网、阀门、检修井、用户设施、用户、企业燃气燃烧器具等综合全方位的基础设施数据信息。最后通过求和、排序、对比等统计分析方法进行可视化呈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系统集成对接、离线数据对接等方式接入燃气管线数据，燃气管线数据包括各类管线及附属设施的空间位置和几何形状等矢量信息，按管线段、管线点及附属设施相应图例表示。最后通过求和、排序、对比等统计分析方法进行可视化呈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系统集成对接、离线数据对接等方式接入场站基础设施数据，场站的基础设施包括石油气储备站、汽车加气站、管道气企业营业厅、天然气场站、加氢站和钢瓶等。最后通过求和、排序、对比等统计分析方法进行可视化呈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2、燃气企业用户数据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通过系统集成对接、离线数据对接等方式接入燃气企业的基础数据，包括名称、性质、法人、信用统一代码、规模、地址、法人联系方式等信息。最后通过求和、排序、对比等统计分析方法进行可视化呈现。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通过系统集成对接、离线数据对接等方式接入燃气企业数据包括从业人员数据、企业管理数据、送气车辆数据等。最后通过求和、排序、对比等统计分析方法进行可视化呈现。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通过系统集成对接、离线数据对接等方式接入燃气用户数据包括非居民用户数据和居民用户数据等。最后通过求和、排序、对比等统计分析方法进行可视化呈现。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3、运行监测数据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系统集成对接、离线数据对接等方式接入燃气监测数据库用于存储接入前端感知系统的实时监测数据。实时监测与设备管理，包括监测点位、监测设备、监测项阈值、设备实时监测、设备报警、报警分析和报警关联处置数据。最后通过求和、排序、对比等统计分析方法进行可视化呈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4、燃气业务数据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（1）、日常业务数据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燃气日常业务使用相关的数据，包括日常管理数据、基础数据更新、应用维护数据、宣传教育数据和企业监管数据等。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（2）、燃气考评数据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燃气考评数据主要指燃气检查中对检查对象进行考评的数据，包括考评标准、考评对象、考评结果等数据。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（3）、综合检查数据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综合检查数据包括巡检部门、部门负责人、巡检计划任务数、巡检任务完成数、巡检问题描述、问题发现数、问题解决数、巡查分析报告及巡检统计时间等数据。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（4）、联动处置数据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联动处置数据包括报警类型、统计时间、现场排查人员、到达现场时间、值守人员信息、报警总数、报警未处置/已处置数、一级/二级/三级报警总数、报警处置单位和分析报告等数据。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5、燃气应急数据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燃气应急数据是指从接收应急事件后平台调度所产生的数据，包括应急调度数据、应急响应数据、应急值守数据、应急预案数据、应急视频数据和应急资源数据等。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6、燃气专项数据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（1）、器具管理数据库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燃气器具管理数据是指对燃气相关器具管理中产生的数据，主要包括基础信息管理数据、安检入户检查数据、燃气器具审批事项数据等。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（2）、管道气管理数据库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管道气管理数据是指对管道气管理中产生的数据，主要包括基础信息管理数据、检查数据、管道气隐患数据、管道气审批事项数据等。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7、统计分析数据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统计分析数据包括基础数据统计分析、隐患统计分析、报警统计分析、应急统计分析、运行日报数等数据。</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C00DF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2F59BB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37EB85E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62851A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CF0BD5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统一认证（综合门户）</w:t>
            </w:r>
          </w:p>
        </w:tc>
        <w:tc>
          <w:tcPr>
            <w:tcW w:w="3502" w:type="pct"/>
            <w:tcBorders>
              <w:top w:val="single" w:color="000000" w:sz="4" w:space="0"/>
              <w:left w:val="single" w:color="000000" w:sz="4" w:space="0"/>
              <w:bottom w:val="single" w:color="000000" w:sz="4" w:space="0"/>
              <w:right w:val="single" w:color="000000" w:sz="4" w:space="0"/>
            </w:tcBorders>
            <w:vAlign w:val="center"/>
          </w:tcPr>
          <w:p w14:paraId="595E4E3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综合门户集成涵盖燃气管理等相关系统应用，形成一个综合性的统一门户平台，基于统一认证机制与单点登录，为城市管理者提供便捷、全面的应用入口，实现用户管理、权限认证、系统应用等集成管理。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1、门户导航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门户导航是一个全方位综合导航系统，帮助用户在信息化系统中找到所需的内容和服务，门户导航主要包含系统列表、统一认证、消息和通知公告等功能。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（1）系统列表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门户导航的首页清晰呈现该用户具备访问权限的系统入口，提供服务系统卡片导航。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门户入口用户通过账号密码进入门户页面，通过统一认证服务请求获得用户信息，根据用户信息查询该访问应用权限系统列表，在门户中采用服务卡片等形式提供给用户。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（2）统一认证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门户全量应用包含数智平台底座平台、智慧燃气业务监管平台等。用户登录门户的任一应用系统时，应用系统会在请求头中获得传递校验，请求门户统一认证接口验证通过后，实现登录跳转。应用系统从门户统一认证服务中请求获得用户信息、认证信息、菜单权限、数据权限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（3）通知公告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在门户导航界面，提供通知公告列表的展示界面，为用户提供业务各子系统产生日常监测通知公告、政府部门发布通知公告等。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2、配置管理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配置管理提供统一认证的用户和权限管理，提供用户管理，角色管理、部门管理、菜单管理等功能。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（1)用户管理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户管理是门户管理的重要组成部分，能够保障系统安全性和高效协作，为系统运行提供有效支持和保障。用户管理提供用户列表、用户查询、用户基本信息修改、用户账户状态启停用、用户账户删除、用户角色配置、与系统同步用户信息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(2)角色管理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门户的角色管理通过角色与用户进行绑定来对用户的菜单访问权限、数据权限等进行限定。根据不同业务诉求，建立不同的角色并配置不同的菜单权限和数据权限。主要包括角色增删配合、角色列表数据更新、角色菜单配置、角色数据权限配置、与集成系统同步角色配置信息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(3)部门管理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部门管理功能主要是为了方便组织对内部部门进行有效的管理和协调。门户中的部门信息具备部门列表展示、部门查询、部门基本信息修改等功能，同时为下层应用提供部门数据。主要包括部门信息列表展示、部门信息修改、部门信息查询、与集成系统同步部门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(4）菜单管理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菜单管理功能用于统一组织和管理各系统的菜单，管理和配置用户界面，设计和定制系统的工作界面，提高用户的操作体验和效率，同时保护系统的安全性和数据的保密性。主要功能包括如下：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菜单编辑：管理员可以根据系统的功能和用户需求，设计和定制菜单的结构和布局。包括添加、删除、修改菜单项、目录项、按钮项，设置菜单的层级关系，以及调整菜单的显示顺序等。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菜单导航与搜索：菜单管理功能可以提供直观的导航和搜索工具，帮助用户快速找到所需的功能和信息。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菜单动态更新：当系统添加新功能或修改现有功能时，菜单管理功能可以动态更新菜单项，以反映系统的最新状态。可以确保用户始终能够访问到最新的功能和信息，可以进行菜单状态的开关管理。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（5）应用管理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应用管理功能旨在实现应用的集成、管理、安全、监控和个性化，以提高燃气应用系统运营效率和用户体验。应用管理功能整合对接燃气监管等相关系统应用，主要包括以下功能：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应用集成：将各种应用系统进行集成，包括内部的业务系统和外部的第三方应用。应用可以在门户系统中以单独的模块或组件形式呈现，用户可以通过门户系统方便地访问和使用这些应用。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应用配置：应用管理功能允许管理员对集成到门户系统中的应用进行统一管理和配置。管理员可以添加、删除、修改应用，以及配置应用的相关参数和设置。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应用认证：统一门户系统通过应用管理功能提供应用安全机制，确保应用的访问和使用符合安全要求。包括对用户身份的验证和授权，对应用的访问权限和角色的控制，以及对应用的安全审计和监控，对应用访问令牌的生成、令牌有效性和授权类型进行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应用监控与性能优化：应用管理功能还可以对集成到门户系统中的应用进行监控和性能优化。管理员可以监控应用的运行状态、响应时间、错误率等指标，并根据需要对应用进行优化和调整，以提高应用的性能和用户体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（6）站内信息管理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站内信管理功能主要用于系统告警信息和通知消息的传递门户中的站内信管理主要包含以下功能：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消息发送与接收：后端服务可以通过站内信息系统发送消息。消息可以是点对点的，即单一用户之间直接通信，也可以是点对面的，即向满足特定条件的用户群体发送通知或消息。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模板管理：模板管理功能允许用户对发送和接收的消息进行内容管理。用户可以查看、编辑、删除模板。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消息通知与提醒：当有新消息到达时，系统可以通过站内信方式通知用户，用户可以在消息中心查看站内信。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消息搜索与过滤：站内信息提供搜索和过滤功能。用户可以根据关键词、时间、发件人等信息搜索消息，并通过过滤条件筛选出符合条件的消息。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（7）审计日志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审计日志它们可以帮助管理员审计和追溯用户的操作行为，监控系统的安全状况，优化系统的性能配置，并满足合规和审计的要求。审计日志包含操作日志和登录日志两个部分，支持日志详情的展示、更新和导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操作日志主要用于记录用户在系统中的各种操作行为，主要功能包括：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审计与追溯：操作日志可以帮助管理员审计和追溯用户的操作行为。当发生数据异常或安全事件时，管理员可以通过操作日志查找相关操作记录。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权限与安全管理：操作日志可以帮助管理员监控用户的权限使用情况，确保用户只能在其权限范围内进行操作。通过分析操作日志，发现潜在的安全风险和不当操作。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性能与优化：操作日志记录系统的运行情况和用户的行为模式，可以帮助管理员分析系统的性能瓶颈和优化方向。通过对操作日志的分析，发现系统的热点和瓶颈，优化系统配置和资源分配。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登录日志则主要用于记录用户的登录行为，包括登录时间、登录方式、登录IP等信息。它的主要功能有以下几点：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用户行为分析：登录日志可以帮助管理员分析用户的登录行为，了解用户的活跃时间、登录方式等。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安全监控与预警：监控系统的安全状况，及时发现异常登录行为，如暴力破解、非法登录等。发现异常登录行为时，系统可以发出预警通知。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合规与审计：登录日志，管理员分析可疑用户的行为符合规定，满足合规和审计的要求。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3、个人中心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个人中心为用户提供了一个集中展示和管理个人信息的功能，个人中心允许用户查看、编辑和更新自己的个人信息，如姓名、联系方式、地址等。用户随时更新自己的资料，个人中心允许用户根据自己的喜好和需求进行个性化头像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消息中心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应用系统运行过程中，各业务过程中出现的预警、任务、消息等内容可以在消息提醒功能中为用户提供醒目的展示，并支持对提醒消息的详情点击查看。消息中心作为快速入口，提供新消息速览和站内信息的快速进入功能，能够将系统内部的通知、提醒、警告等快速呈现给用户。</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1D6931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284D4B9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2B1358F0">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F81890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5600F8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指标平台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36459DA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标平台服务于IOC驾驶舱专题指标管理，基于燃气数据等深入挖掘，通过指标运行、分析研判，支撑驾驶舱综合性决策分析，实现指标管理、数据监测分析等，满足不同系统监测、预警需要，对关键指标情况进行综合展示，实现辅助分析决策的科学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指标配置、指标预警、指标计算、指标管理、指标体系管理等核心需求，打造数据统一集成、指标体系规范、运营迭代高效的智慧燃气监管平台指标运行管理系统，追溯数据产生、沉淀、应用全流程，实时捕获变化的业务数据沉淀在平台中，更新运营符合当下情形的指标数据并应用在可视化中，可有效降低建设可视化项目的成本，实现指标资产可溯源、可沉淀、可持续运营。指标管理具体功能包含指标首页、数据管理、指标管理、专题管理、指标数据填报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1、指标首页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指标首页针对IOC驾驶舱的专题建设、指标建设、指标数据建设等进行总体情况的展示。方便管理者及指标运营者在首页了解全面的指标建设信息。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1.1、展示分析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指标统计展示驾驶舱不同专题页面指标构建情况。包含专题的数量、指标的数量、指标数据获取的进度等信息。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（1）指标数量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指标数量，包含的功能有：专题指标数量统计。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（2）指标对接进度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指标对接进度，包含的功能有：专题的指标数据上屏进度统计。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（3）指标数据收集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指标收集方式，包含的功能有：展示指标收集的情况，如表单收集指标数量、数据库收集数量、API收集数量、EXCEL导入收集数量。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（4）专题数量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专题数量主要展示专题应用的数量。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（5）数据源数量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数据源数量主要实现展示专题应用对接的数据源的数量。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1.2、指标搜索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支持用户对全量指标的快速检索查询。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1.3、我的待办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我的待办展示表单填报的业务场景待收集或者待填报的表单待办任务，提供快捷的待办任务入口。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（1）待收集表单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待收集表单主要展示专题应用自建表单等待填报收集的情况。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（2）待填报表单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待填报表单展示专题应用接收到数据表单等待填报的情况。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2、指标管理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标管理主要功能为结合城市生命线管理需求，根据行业规范实现指标的口径统一，管理统一，将智慧燃气监管平台驾驶舱等涉及的所有指标进行管理，可通过主题分类和业务部门分类两种分类方式查看指标。主要包含以下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2.1、指标台账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指标台账主要是对系统指标进行展示和管理，主要包括主题和指标管理。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（1）主题管理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主题管理主要包括新增主题、修改主题、删除主题、按业务部门分类查看的功能。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（2）指标管理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指标管理主要包括新增指标、删除指标、修改指标、查看指标详情等。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3、数据管理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数据管理主要管理指标数据来源的方式。提供直连多种不同类型的数据源，包括：MySQL、达梦、gbase等多种数据源快速对接的能力，同时提供EXCEL导入、API对接等多种方式提供数据，实现数据的对接访问功能。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3.1、数据源管理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数据源管理主要包含新增数据源、删除数据源、修改数据源、查看数据源连接信息等。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4、专题管理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专题管理主要实现了专题配置、数据采集、数据服务的指标上屏全链路服务。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4.1、专题配置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专题配置主要包括新增栏目、删除栏目、新增一级模块、新增子模块、修改模块、查看模块、搜索模块等功能。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4.2、数据采集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数据采集主要配置的是模块所属指标的数据通过何种方式进行采集，主要包括表单采集、数据库采集和接口采集。功能主要包括：新增、删除、修改、查看数据采集任务等。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4.3、数据服务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数据服务主要是已采集指标数据提供接口服务。主要包含查看数据服务、接口服务发布等功能。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5、指标数据填报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5.1、信息填报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信息填报功能主要满足用户以表单填报的方式收集指标数据的场景下，进行指标数据填报表单的填报。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（1）数据待填报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指标数据待填报，包含的功能有：接收表单、表单填报、表单提交、填报表单暂存、表单搜索。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（2）数据已填报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指标数据已填报，包含的功能有：查看已填报、重新填报、表单搜索。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6、燃气设施一张图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燃气设施一张图包括生命线设施总览、设施数据分析、用户设施数据、设施资源分析等板块。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6.1、设施总览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将管道气相关数据、加气站相关数据、重要用户监管相关数据、居民用户监管相关数据、入户安检监管数据、智能终端运行数据、行业上报数据、巡查数据、应急事件相关数据、行业基础资源数据等汇总进行多角度统计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6.2、设施数据分析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（1）燃气场站：包括场站数量、位置、设备配置、运营状态等分析。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（2）管网/气瓶：管线分布、长度、埋深、压力等级等分析，气瓶数量、流转监测分析等。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（3）阀门：阀门数量、位置、类型、状态、维护记录等分析。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（4）传感器：燃气流量、压力、预警、状态等监测数据分析。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6.3、用户设施数据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（1）用户信息：用户区域、用气量、用气类型（居民/商业/工业）等分析。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（2）用户设施：接入设备、接入管网、当前隐患、当前施工等统计数，并以图表形式展示管网类别、设备类别、用户类别等占比，展示设备报警趋势、隐患趋势、处置完成情况统计等。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6.4、设施资源分析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燃气企业资源数据包括液化气加气站、储配站、危险源、供应站、人员车辆等各类设施资源统计分析。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7、燃气安全运行监测一张图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安全运行监测一张图，通过地理信息系统（GIS）技术，将燃气运营的关键指标和数据等进行统计分析归纳，并以可视化形式进行展示，帮助燃气监管人员实时监测和分析管道网络、设备状态、检查情况、隐患数据等，以便更好地管理运营，快速响应问题，并做出决策，从而提高效率、安全性和可持续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7.1、燃气基础数据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整理和汇总包括企业、场站、管网等相关属性数据。将数据整理、研判和分析后进行展示，包括燃气企业、燃气设施数量及分布情况，燃气场站储气规模、供气规模、投用时间等。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7.2、综合检查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整理和汇总包括日常检查、第三方评价、专项评估、其他上报等相关属性数据。将数据整理、研判和分析后进行展示，包括检查对象、发现问题、问题解决、评估对象等。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7.3、隐患管理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整理和汇总包括隐患基础数据、排查、整改等相关属性数据。将数据整理、研判和分析后进行展示，包括隐患总数、整改数据、隐患级别等。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7.4、器具管理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整理和汇总包括器具基础数据、工单统计、资质单位等相关属性数据。将数据整理、研判和分析后进行展示，包括器具品牌类型、工单完成率、资质单位等级、门店检查情况等。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7.5、工程管理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整理和汇总包括工程基础数据、在建、已建工程管理、工程监督管理等相关属性数据。将数据整理、研判和分析后进行展示，包括工程单位信息、人员信息、工程类型、建设状态、工程监督检查记录等。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7.6、考评评价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整理和汇总包括考核、企业、得分等相关属性数据。将数据整理、研判和分析后进行展示，包括排名、考核对象、考核得分等。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7.7、宣传教育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整理和汇总包括燃气行业法律法规、警示视频等相关宣传教育数据。将数据整理、研判和分析后进行展示，包括政策法规文件、警示视频、安全教育、光荣榜、曝光台等。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7.8、物联设备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整理和汇总包括物联网设备资产、实时监测、报警处置等相关属性数据。将数据整理、研判和分析后进行展示。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7.9、监测报警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根据实际需求，支持对历史报警记录、实时报警记录等进行展示。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8、地图图层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根据实际需求，支持通过地图展示运行态势的数据，包括经营区域图层和基础数据图层。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9、燃气监管风险隐患一张图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监管风险隐患一张图，利用地理信息系统（GIS）技术，将燃气管道网络的地理布局、管线信息、设备状态、安全数据以及紧急事件信息等进行统计分析归纳，并以可视化的方式展示，以协助监管人员实时监测、管理和维护管道系统，以确保安全运行、合规性和高效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9.1、管道企业总览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整理和汇总管道气企业相关属性数据。将数据整理、研判和分析后进行展示，包括管道气企业、企业检查情况、燃气设施、隐患检查等。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9.2、天然气管网总览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整理和汇总天然气管网相关属性数据。将数据整理、研判和分析后进行展示，包括管线压力、管线材质、管线投入使用年数、管线权属单位等。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9.3、管道气用户总览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整理和汇总管道气用户相关属性数据。将数据整理、研判和分析后进行展示，包括管道气非居民用户、管道气居民用户、管道气营业厅、供用气协议、安装信息、地图兴趣点等。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9.4、气量资源总览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整理和汇总包括气量购销管理、储气库气量管理相关属性数据。将数据整理、研判和分析后进行展示，包括气量购销量、历史购销量、购气企业、购销气企业、购销气趋势、储气库气量等。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9.5、综合监管总览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整理和汇总包括综合检查、企业巡检、入户安检、隐患监管等相关属性数据。将数据整理、研判和分析后进行展示，包括日常检查、专项检查、第三方评价、企业巡检计划、入户安检计划、巡检隐患等。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9.6、第三方施工总览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整理和汇总包括第三方施工信息、第三方施工事故等相关属性数据。将数据整理、研判和分析后进行展示，包括安全保护协议签署状态、第三方施工信息、第三方施工事故情况等</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AB42DC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6D4FA0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6E859FEC">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53DF52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6B34CE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事件管理中心</w:t>
            </w:r>
          </w:p>
        </w:tc>
        <w:tc>
          <w:tcPr>
            <w:tcW w:w="3502" w:type="pct"/>
            <w:tcBorders>
              <w:top w:val="single" w:color="000000" w:sz="4" w:space="0"/>
              <w:left w:val="single" w:color="000000" w:sz="4" w:space="0"/>
              <w:bottom w:val="single" w:color="000000" w:sz="4" w:space="0"/>
              <w:right w:val="single" w:color="000000" w:sz="4" w:space="0"/>
            </w:tcBorders>
            <w:vAlign w:val="center"/>
          </w:tcPr>
          <w:p w14:paraId="14ADA85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事件管理中心提供集中化处理各类事件，分拨处置系统完成事项单的自动分拨、自动流转。事项管理系统可以对重大和日常任务进行梳理、分类，进行智能化处置，高效处理业务。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1、分拨处置系统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1.1、待办栏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待办栏用于收集和展示各个来源线索，形成待办事件，同时提供web端线索填报录入、线索查询、搜索等能力。待办栏将收集的线索划分为有效线索和无效线索，有效线索将被划分到下一层进一步处理，无效线索进入无效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受理员可在待办栏中查看所有渠道上报待受理且未分拨的线索工单，受理员根据采集上来的线索基本信息，对线索进行登记流转，或者进行不受理操作。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1.2、无效栏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事件管理中心对上报的线索不进行受理后，该线索将进入无效栏，此类线索不进入案件处置的流转流程，支持对历史无效案件的筛选查看。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1.3、分拨栏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分拨员可在分拨栏中查看所有已确认待分拨的未分流工单，根据配置的分流规则，能够将受理的工单分流至对应的分拨员进行分拨处置。分拨模块主要包含个人待办事件列表展示、事件详情展示、办理记录信息展示、事件搜索、事件分拨等功能，支持自动分拨和手动分拨模式，并支持事件的上报和下派，进行多级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1.4、处置栏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业务处置单位在收到分拨中心分配下来的线索后，可以对该线索进行退回、处置、转派等操作。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1.5、办结栏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受理员在事件管理中心对线索完成结案后，在本栏进行线索信息的查看，支持多事项的分别通过、驳回等，并支持批量地通过和驳回操作。支持对历史线索信息的筛选查看。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1.6、审核栏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受理员在事件管理中心对处置部门退回的事件进行审核。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1.7、智能分拨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智能分拨算法根据事项管理维护类别、部门、处置人等信息，将事项单自动分拨给对应的处置人，完成事项单的自动分拨、自动流转。当事件源来到待办栏，根据上报的文本信息，匹配事项单的类别，当事项单类别确认后，按照事项管理模块维护的信息，针对流转的业务系统、处置人等信息进行自动分拨、流转。做到平台多办事，用户少操作，提高系统的智能化水平，降低工作人员的工作压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1.8、统计概览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统计概览功能用于展示事件中心系统目前的运行概况，包含对事件单来源、各部门处置效能、分拨中心分拨效能、当前事项单数量、平均处置时长等多维度进行分析展示。帮助用户快速了解事件中心的使用情况。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2、事项管理系统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2.1、任务管理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管理员在任务管理模块通过对重大和日常任务进行梳理形成任务清单，支持任务的新增、编辑、删除、搜索和详情查看等功能。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2.2、事件管理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管理员在事件管理模块通过梳理形成事件清单，对事件类型进行管理、对事件的类别、层级、使用范围等进行维护，为智能分拨提供规则依据，支持事件的新增、编辑、删除、搜索和详情查看等功能。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2.3、事项管理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理员在事项管理模块通过对各级各部门业务事项进行梳理形成事项清单，配合一体化数字资源系统，提供业务事项编目，支持事项的新增、编辑、删除、搜索和详情查看等功能。对事项的处置部门、处置规范等进行维护。</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0C4B718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17762FF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3B4943F7">
        <w:tblPrEx>
          <w:tblCellMar>
            <w:top w:w="0" w:type="dxa"/>
            <w:left w:w="108" w:type="dxa"/>
            <w:bottom w:w="0" w:type="dxa"/>
            <w:right w:w="108" w:type="dxa"/>
          </w:tblCellMar>
        </w:tblPrEx>
        <w:trPr>
          <w:trHeight w:val="3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D1CEB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2、智慧燃气业务监管平台</w:t>
            </w:r>
          </w:p>
        </w:tc>
      </w:tr>
      <w:tr w14:paraId="4813B0CA">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F285F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9B54A5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燃气安全政府监管平台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1EC82A1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燃气安全政府监管平台通过接入区域内燃气公司的燃气运营、监测和监管数据，实现政府主管单位对辖区内燃气运营态势的全方位掌握和监管。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云计算、大数据等新技术，采用面向服务的层次体系架构进行建设，构建智慧燃气监管平台。平台作为政府级燃气智慧监管平台，在燃气“一张图”的基础上，从安全、供气、便民等多角度出发，实现燃气管理的“安全整体受控、燃气供需平衡、用户方便实惠、决策智能辅助”，建成功能完备、灵活扩展、高效智能、安全可靠的监管平台，满足政府对其管辖范围内燃气业态的全方位监管，全面提升燃气业务信息化管理水平和服务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燃气安全政府监管平台主要包含综合态势，管道燃气监管，示险示警中心IOC，预警中心，工作台，待办中心，督办中心，规则引擎，信息填报系统等功能模块。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1、综合态势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1.1、综合展示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充分依托政府现有信息化发展现状及业务需求，旨在解决信息孤岛、数据分散、系统联动困难等难题。系统将充分利用云计算、大数据、物联网、地理信息等新一代信息技术，基于“一张图”模式进行展开。从安全监管、燃气保供和便民惠民三个政府关心的角度进行切入，建设数据标准规范和安全保障体系建设，统筹燃气业务数据、地理信息及其他重要数据资源，实现数据资源共建共享、互联互通；构建完整的综合型、一体化运营管控体系框架，在数据安全的前提下初步形成生产大数据的引接、处理、分析及可视化展现的业务运营模式，为政府数字化、智慧化运营提供科学、高效、准确的决策、监测预警和指挥调度支持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智慧驾驶舱总体综合展示基于当前区位优势及燃气资源管理规模，通过“一张图”呈现方式，从燃气企业分布、燃气覆盖率、源-网-端运行情况等多方面，针对当前主城区整体燃气运行态势进行统计和分析，实现整体燃气运行情况“一眼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针对城市整体燃气概况进行分析，从安全管理、供气管理和服务管理三个政府关心的角度进行切入，建设数据标准规范和安全保障体系建设，统筹燃气业务数据、地理信息及其他重要数据资源，实现数据资源共建共享、互联互通；构建完整的综合型、一体化运营管控体系框架，在数据安全的前提下初步形成生产大数据的引接、处理、分析及可视化展现的业务运营模式，为政府数字化、智慧化运营提供科学、高效、准确的决策、监测预警和指挥调度支持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1.2、行业概况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汇聚城市燃气综合指标，包括管道燃气总供气量、管道燃气公司、管道燃气场站数量等全方位指标，全面展示当前城市燃气资产投入及总体规模，使管理人员快速了解整体城市燃气资产情况。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1.3、用户规模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汇聚城市所有燃气用户数量，并将用户以用气用途划分为居民、工业、商业及公福四类用户，实现对城市用气情况的分类管理，并针对当前城市用气类型进行快速研判分析。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1.4、从业人员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城市所有燃气从业者信息，并通过诸如百公里从业人员等数据模型，对城市当前燃气人员覆盖情况进行分析，使管理者能够对城市燃气人员投入情况及是否足够进行快速研判；同时，基于持证上岗率等关键指标，实现对城市燃气从业人员专业性和安全性的实时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1.5、燃气覆盖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基于瓶改气的国家要求，对近年来管道燃气覆盖率覆盖率进行数据分析与比对，对整体瓶改气建设情况进行管理，支撑整体管道燃气进行改革。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1.6、用户类型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汇聚城市所有管道燃气用户数量，并基于数据进行分析，辅助管理者对当前城市整体燃气用户分布实现快速识别，并能够通过详细台账对用户进行详情查看。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1.7、管道燃气管理分析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对管道燃气从三方面进行分析，包括年度巡检次数、问题安检次数和年度隐患处置次数进行统计分析，并对本年度报警数量进行统计。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2、管道燃气监管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2.1、综合展示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展示基于城市管道燃气运行情况，对城市管道综合概况、燃气覆盖、从业人员、用户规模、安全管理、城燃服务、点火通气、获气时长、燃气保供、安检服务等信息进行统计分析，并基于“一张图”模式，实现城市管道燃气管理“一眼明”管理。同时，针对城燃安全、城燃供气及城燃服务等模块进行了深入分析，辅助运营调度人员进行决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（1）综合概况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管道燃气年用气量、燃气公司、场站数量、营业厅数量、管网里程、用户规模及从业人员等数据进行统计分析，直观展示城市管道运营的综合规模，实现城市管道燃气经营规模“一眼明”，并为后续营商环境提供辅助支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（2）燃气覆盖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统计城市燃气覆盖率，辅助运营调度人员了解燃气基础设施的普及程度，评估居民生活水平和城市发展的便利性，同时为能源规划和环境保护提供数据支持。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（3）从业人员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通过对管道燃气非巡检人员、巡检人员、从业人数、持证上岗率等数据进行统计分析，辅助运营调度人员掌握燃气行业人员配置和资质情况，确保安全管理规范化，提高服务质量，降低事故风险。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（4）用户规模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管道燃气居民用户数及占比、工业用户数及占比、商业用户数及占比、公福用户数及占比等数据进行统计分析，辅助运营调度人员了解燃气用户结构，优化资源分配，制定差异化服务策略，提升供气效率和满足多样化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（5）安全管理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管道燃气巡检完成率、巡检覆盖率、巡检到位率、隐患整改及时率、第三方施工监管合规率等数据进行统计分析，辅助运营调度人员评估安全管理效果，及时发现问题，提升隐患整改效率，确保燃气管网运行安全可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（6）城燃服务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通过对管道燃气用户满意度、服务点数、服务人员数、服务覆盖率等数据进行统计分析，辅助运营调度人员评估服务质量，优化服务布局，提高用户体验，保障服务覆盖全面性。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（7）点火通气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通过对管道燃气点火通气用户数的月趋势变化数据进行统计分析，辅助运营调度人员了解用户增长规律，预测需求变化，优化供气规划和服务安排。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（8）获气时长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通过对管道燃气用户平均获气时长的月趋势变化数据进行统计分析，辅助运营调度人员评估服务效率，发现问题并优化流程，提升用户满意度。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（9）燃气保供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管道燃气居民限供时长及环比、居民停供时长及环比、非居民限供时长及环比、非居民停供时长及环比等数据进行统计分析，辅助运营调度人员监控供气稳定性，分析供气问题原因，优化供气调度，提升用户供气保障水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（10）安检服务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通过对管道燃气安检到位率、隐患整改率等数据进行统计分析，辅助运营调度人员评估安全管理水平，及时发现并消除隐患，降低安全风险，保障用户用气安全。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2.2、管道燃气安全管理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道燃气安全管理模块基于“一张图”模式，从三方面帮助政府打造燃气安全监管能力。一方面，对于政府关注的风险管控、重大危险源管控、第三方施工监管等问题进行“一图可视”；另一方面，安全监管模块将基于气源-网-端安全，对燃气安全进行全流程监控，满足政府燃气安全管理的需要；第三方面，在政府关注的安全应急演练、安全培训、燃气培训几个重点领域，针对政府日常燃气安全推广情况进行统计汇总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（1）安全概况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安全等级评价模型搭建：安全评价综合当前城市管网运行年限、隐患治理情况、场站运行情况、管网巡检完成情况、用户安检情况、燃气工程作业安全情况、持证商改情况及企业内部培训情况，设计数据模型对城市整体安全形势进行研判并评级，帮助管理者对当前城市安全形势进行快速了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安全运行天数模型搭建：结合应急系统及事故情况，对城市安全运行时间进行统计，快速判别当前城市管道燃气安全运行时间，辅助管理者对当前城市的燃气安全历程进行分析。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（2）管网年限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管网年限分析：汇聚城市现有管道年限进行分析，对管网运行情况划分为各年建造的管网进行统计及分析，并以图表形式进行展现，帮助管理者快速了解当前城市管网运行年限情况。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（3）管网改造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网改造项目数据分析：基于老旧管网改造项目，对当前城市所有需要进行改造的老旧管网里程进行分析并统计，结合现有进行中的老旧管网改造项目，识别当前城市老旧管网项目进行情况，辅助管理者对城市老旧管网改造进展进行快速研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（4）隐患治理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隐患治理数据分析：汇聚城市所有隐患信息，并对所有隐患进行分类，结合隐患整改完成率，对城市当前隐患发现情况和处置整体情况进行分析；同时，基于滚动的隐患台账及图片，对隐患整改的落实情况进行监管，辅助管理者对城市隐患处置情况进行研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隐患治理详情分析：汇聚城市所有隐患信息，并以能够基于隐患台账的形式，对当前所有隐患进行统计与分析，包含隐患分类、隐患定级、处置情况、处置照片等，帮助管理者对城市所有隐患进行管理。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（5）场站安全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场站安全管理数据分析：汇聚城市燃气场站信息数据，包含场站基本信息、安检信息、人员配置信息、资源信息及重大危险源信息，对场站安全进行可视化监管。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（6）管网安全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网巡检数据分析：针对城市管网巡检情况，通过数据建模的方式，对包含巡检完成率、巡检覆盖率在内的多个巡检相关模型进行建模，并对管网巡检投入诸如巡检人员数量等进行统计，实现对管网安全的综合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第三方施工数据分析：针对城市燃气管网附近的第三方施工情况，对其监管率和监管合规率进行实时监控，规避由于第三方施工导致的燃气事故。同时，对当前第三方施工监管进行分类，并对监管投入进行统计。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（7）用户安全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基于国家年度用户安检要求，对城市燃气用户安检情况进行统计分析，并对已发现的用户隐患整改情况进行监管，帮助管理者拥有用户安检管理抓手，提升用户燃气安全。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（8）作业安全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针对燃气七大高危作业，对七大高危作业的数量及合规操作进行综合管理，基于两票管理，实现对于七大高危作业合规的综合管控。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（9）持证上岗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持证上岗数据分析：汇聚城市所有燃气公司持证上岗情况，并对城市各燃气公司的持证上岗情况进行统计分析，帮助管理者快速识别各公司人员持证上岗情况，对各燃气公司人员安全实现有效监管。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各企业持证上岗数据分析：对城市各公司持证上岗人员进行统计，管理者能够通过查询的形式，对各个公司持证上岗人员及所持证件进行查看，实现燃气从业者精确化管理。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（10）安全培训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汇聚城市所有燃气公司安全培训数据，并对要求提供每次安全培训的相关时间、地点及照片，对每次安全培训进行落实，保障安全培训的实际进行。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2.3、管道燃气供气管理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道燃气供气管理以供气和用气两方面为出发点，在一张图的基础上，一方面通过对城市用气结构、供气趋势、和气源分析三方面对用气需求进行分析，识别本县当前用气需求情况；另一方面，通过分析燃气流向，以各燃气企业供气水平和储气能力作为评估依据，使政府对本县燃气供气能力进行充分掌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（1）供需概况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供气情况分析：搭建数据模型，基于当前城市年度计划供气量、年度已供气量，对当前整体供气能力及供需管理进行评估，帮助管理者对城市燃气供给情况进行分析，实现供需能力研判。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（2）需求分析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搭建数据模型，基于当前城市计划供气量、实际供气量，对当前整体需求进行评估，帮助管理者精准掌握供需平衡，优化资源配置，提升供气效率，避免过剩或短缺。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（3）供气分析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搭建数据模型，基于当前城市批复总量、已供气量、批复剩余量，对当前整体供气进行评估，帮助管理者了解供气资源的利用情况，预测未来供气趋势，确保供气持续稳定，合理规划和调配资源。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（4）供气能力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基于供气能力模型，对各公司供气能力进行统计分析，帮助管理者对各公司供气能力进行查询，快速了解各公司供气综合实力，实现对各燃气公司功能能力的精确管理。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（5）供气历史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汇聚历年管道气供气量及其他形式天然气供气量，对城市供气形式进行展示，帮助及时发现当前管道燃气缺口，并及时实现对策管理。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（6）流向分析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汇聚所有气源供气信息，并结合各气源向各燃气公司的供气量，实现对气源向各燃气公司的流向分析；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汇聚所有燃气公司供气信息，并结合各燃气公司向各类型用户的供气量，实现各燃气公司对各类型用户的流向分析；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通过对各类型用户用气量和来源进行分析，实现燃气整体流向分析，帮助管理者梳理当前城市燃气供给流向。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（7）用气分析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通过对居民、工业、商业和公福四类用户用气量进行统计和分析，快速识别城市用气情况，进而对城市当前整体营商环境进行初步判断，实现对各类型用户用气情况的精确掌握。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（8）燃气保供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限供时长分析：汇聚城市居民和非居民限供信息，并通过过往限供数据，形成数据模型，对当前城市供气质量进行统计分析，帮助管理者并对城市供气质量进行辅助分析。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断供时长分析：汇聚城市居民和非居民停供信息，并通过过往停供数据，形成数据模型，对当前城市供气质量进行统计分析，帮助管理者并对城市供气质量进行辅助分析。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（9）最新舆情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针对城市限供或断供通知，形成最新舆情，并进行滚动播放，管理者可以通过该模块快速了解最新燃气限供或断供情况，并对情况快速进行对策处置。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2.4、管道燃气服务管理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以管道燃气用户满意度和获气时长为核心，对城市管道燃气服务进行统一管理，包括营业厅、服务点数量，安检情况，报警情况，缴费情况及燃气宣传服务等进行统计分析，实现全城燃气服务智慧化管理。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（1）用户满意度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汇聚城市用户服务数据，并基于当前用户线上满意度调研情况、线下满意度调研情况等基础数据，形成数据模型并搭建用户满意度模型，基于城市燃气服务用户满意度对城市服务整体情况进行研判。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（2）服务覆盖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城市所有燃气营业厅和服务点进行分析，包括当前城市服务覆盖率，服务人员情况、营业厅运行情况、服务点运行情况，并通过视频接入的方式，对各营业厅当前运行情况进行实时监控，切实落实燃气服务细致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（3）用户概况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通过对居民、工业、商业和公福四类用户进行统计和分析，快速识别城市用户分布情况，进而对城市当前整体用户情况进行初步判断，实现对各类型用户规模的快速掌握。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（4）呼叫服务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对当前城市管道燃气呼叫满意度、系统呼叫数月趋势变化，对当前整体呼叫服务进行评估，帮助管理者评估呼叫服务的质量和效率，识别服务瓶颈，优化响应速度和用户体验。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（5）安检服务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基于国家年度用户安检要求，对城市燃气用户安检情况进行统计分析，并对已发现的用户隐患整改情况进行监管，帮助管理者拥有用户安检管理抓手，提升用户燃气安全。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（6）报警分析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基于安检情况，通过图表的形式，对各月报安全次数进行统计分析，帮助管理者对各月用户安全情况进行识别。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（7）缴费服务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基于国家数字化发展大趋势，逐步实现燃气服务线上化，将燃气缴费逐渐实现线上化全覆盖，并对历年燃气线上缴费率进行统计分析，辅助管理者对城市燃气缴费情况进行管理。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（8）便民服务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汇聚各燃气公司便民服务数据，包括燃气宣传、上门服务、特殊人群费用减免情况以及各种燃气服务信息，实现对城市各类型燃气服务统计，为打造服务型政府提供数据支撑。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3、用户管理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IOT+GIS等技术，在地图上集成当前城市所有用户分布，并且通过报警器来显示燃气报警信息的具体位置分布，并且通过热力图来展示不同程度的隐患信息的分布，实现将隐患及异常及时在“一张图”中进行反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4、示险示警中心ioc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4.1、管道示险示警中心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道燃气示险示警中心IOC大屏是集成化、可视化的燃气安全管理平台，通过高清显示和动态交互，为运营人员提供全面的报警数据支持。大屏的报警概览模块，实时展示当前报警总量、类型分布和区域分布，便于快速掌握整体态势。报警分析模块通过对报警趋势、频次和异常情况的深度挖掘，揭示潜在风险和重点关注区域，为精准决策提供依据。报警信息模块详细记录每一条报警的时间、位置、类型及处理进度，确保信息可追溯、可管理。报警统计模块以图表形式展现多维度数据分析结果，如历史报警趋势、高频报警点等，为优化管理措施和预防策略提供数据支持。通过实时动态更新和智能数据可视化，IOC大屏实现了对燃气报警信息的直观展示和高效管理，助力提升管网运行安全性和管理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5、预警处置中心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打造“预警中心”，实现多维度报警数据的集中接入，保证报警留痕和全流程闭环管理；同时支持联动政府其他系统，诸如督办系统，在报警发生后，第一时间对燃气企业进行督办。系统提供视频监控实时报警功能，报警功能主要包括实时报警信息查看、报警信息处理、报警信息回溯三个子功能。实时报警信息包含报警类型、报警设备、报警时间、报警状体、报警详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预警中心基于燃气企业各应用系统报警信息，能够实时获取各系统实时报警信息，并支持查看及督办功能。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5.1、预警总览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（1）报警器监管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城燃企业所部署的全部可燃气体报警器，对于全是所有阀门井等设备和管网相关线路进行覆盖，并将产生的报警进行实时展示。同时，联动示警中心，对于产生的报警进行相应处理，实现报警可视化+全闭环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（2）巡检车监管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（A）信息查看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集成当前城市所有燃气巡检车位置，实现其路线及轨迹实时监管，并对其发现的隐患及异常及时在“一张图”中进行反馈。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（3）燃气管网视频监管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视频监管系统，接入重点监管区域视频，实现对于燃气关键设施及场所视频的实时监管。一是以多角度、全天候采集视频图像为基础数据，实现对人、地、事、物、组织和管线的多维度视频信息采集，真正实现“7*24小时”全天候管网管理；二是以AI及视频大数据应用为方向，融合视频报警，实现重点区域智慧化布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（4）巡线员管理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企业侧智慧运营平台，对城市所有燃气巡检员进行统一监管。巡线员作业信息，会同步实时上传至政府政府监管平台中，其作业结果及轨迹能够在“一张图”中实时可见，并对其巡检覆盖率和巡检到位率等指标进行量化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（5）设备监管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（A）信息查看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设备监管功能，一方面基于燃气设备基本信息，对城市所有燃气设备进行监管，支持通过点击对应图层的方式，查看诸如所属企业、设备类型、设备代码、所属地址、经度、维度、负责人、联系方式、最近一次检测日期、下次检测日期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（B）报警监管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系统基于企业侧物联感知平台，支持查看该设备当前运行状态及报警信息，同时支持报警历史查看，实现对应到设备的报警可视化管理。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（6）第三方施工监管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基于企业侧智慧运营平台，对其已发现和已监管的第三方施工进行展示与监管，包括诸如施工位置、施工名称、施工单位、管网名称、监管企业和负责人等信息，通过点击对应施工进行线上查看。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（7）场站监管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基于燃气场站基本信息，对城市所有城燃场站进行监管，包括场站位置、所属公司、场站地址、运行状态等信息进行查看。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5.2、报警管理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（1）报警查询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汇聚所有报警信息，实现报警信息的查询，信息以列表形式展示每条报警的具体详情，包含监测设备、报警级别、时间等。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（2）预警报警生成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对于前端监测设备自动发出的报警，监测中心值守人员经过初步分析确定为真警后，通过综合分析研判可能造成的影响及后果，确定预警等级，生成预警信息。在预警生成时多报警信息关联。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5.3、人员实时定位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在预警处置过程中，可在地图上显示处置人的实时位置及运行轨迹，并可查看人员的相关属性，如姓名、单位、电话等。系统支持直接同处置人员进行视频会商。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6、工作台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6.1、工作台首页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首页提供总体概况的数据统计分析及快速入口和便捷入口。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6.2、指标配置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用户可自定义配置展示指标及排序。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6.3、消息中心_未读功能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展示当前用户未读消息（来自督办中心、示险中心等）用户可进行查看。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6.4、消息中心_已读功能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展示当前用户已读消息（消息来自督办中心、示险中心等），用户可进行查看。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7、待办中心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7.1、待办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展示当前用户待办单据（来源于督办中心的督办、示险中心工单的派单及催办等），处理人可对工单进行处置。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7.2、已办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展示当前用户已办单据（来源于督办中心的督办、示险中心工单的派单及催办等），用户可进行查看。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7.3、我发起的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展示当前用户发起的待办单据（单据来源于督办中心的督办、示险中心工单的派单及催办等）用户可进行查看。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8、督办中心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8.1、发起督办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用户可在督办中心发起督办，也可以通过物联示警、运营示险关联发起督办。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8.2、督办_待反馈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用户发起督办（快速发起、通过物联示警、运营示险发起督办）后，且被督办人未反馈，督办人可在督办中心_待反馈中查看撤回督办。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8.3、待审核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用户发起督办（快速发起、通过物联示警、运营示险发起督办）后，且被督办人已反馈，督办人可在督办中心_待审核中查看审核督办单据。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8.4、已完成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用户可对已闭环督办单据进行查看及在此督办。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8.5、特别关注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用户可对各个状态的督办单据进行收藏，并在特别关注列表查看及操作。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9、示险中心-物联示警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9.1、未处理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当发生报警（来源SCADA）时，以报警组同步至物联示警未处理列表中心，处置人可在未处理列表中对报警单据进行查看处理、忽略、催办。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9.2、待审核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当工单处理人已处理完成，工单审批人可在待审批列表中对工单进行审批、取消。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9.3、已完成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当工单已完成审批，用户可在已完成列表中对工单进行查看。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9.4、特别关注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用户可对各个状态的报警单据进行收藏，并在特别关注列表查看及操作。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10、规则引擎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10.1、字段管理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用户可查看管理字段，同步数据库表字段。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10.2、指标管理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用户可对指标进行增删改查，通过编辑器自定义指标运算规则。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10.3、策略管理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用户可自定义配置策略规则，一个策略包含多个规则，系统通过定时任务触发策略规则进行运营示险。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10.4、执行日志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用户可查看策略规则执行日志。</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70E489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38480F6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2CA9F968">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CAB6CE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B0AEC2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督办平台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365EDA4D">
            <w:pPr>
              <w:ind w:firstLine="480"/>
              <w:rPr>
                <w:rFonts w:hint="eastAsia" w:ascii="宋体" w:hAnsi="宋体"/>
                <w:color w:val="auto"/>
                <w:highlight w:val="none"/>
              </w:rPr>
            </w:pPr>
            <w:r>
              <w:rPr>
                <w:rFonts w:hint="eastAsia" w:ascii="宋体" w:hAnsi="宋体" w:cs="宋体"/>
                <w:color w:val="auto"/>
                <w:kern w:val="0"/>
                <w:szCs w:val="21"/>
                <w:highlight w:val="none"/>
                <w:lang w:bidi="ar"/>
              </w:rPr>
              <w:t>督办平台通过整合5G、物联网、云计算、GIS地理信息、微服务等技术，实现对复杂业态下的城市燃气企业的“安全管控”、“便民服务”、“保供服务”等关键场景进行实时监测、智慧控制和数据分析，提升城燃企业的管网安全性、便民及时性、保供充足性。实现燃气管理的“安全整体受控、燃气供需平衡、用户方便实惠、决策智能辅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通过构建新一代智慧燃气平台，具备高效数据采集与集成、实时监测、智能控制、故障预警、远程维护以及数据分析等功能，助力企业实现能源管理的数字化和智能化。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通过实时监测和数据分析，精准掌握燃气系统的运行状态，及时发现潜在问题并进行预警，提高燃气运营的安全性。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通过建设“综合概述、安全运营、保供服务、便民服务”四大主题，涵盖如下内容：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（1）实时监测与智能感知：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通过传感器、智能仪表和通信设备，实时采集燃气管网、用户终端和设备的运行数据，掌握系统的状态和负荷。</w:t>
            </w:r>
            <w:r>
              <w:rPr>
                <w:rFonts w:hint="eastAsia" w:ascii="宋体" w:hAnsi="宋体" w:cs="宋体"/>
                <w:color w:val="auto"/>
                <w:kern w:val="0"/>
                <w:szCs w:val="21"/>
                <w:highlight w:val="none"/>
                <w:lang w:bidi="ar"/>
              </w:rPr>
              <w:br w:type="textWrapping"/>
            </w:r>
            <w:r>
              <w:rPr>
                <w:rFonts w:hint="eastAsia" w:ascii="宋体" w:hAnsi="宋体"/>
                <w:color w:val="auto"/>
                <w:highlight w:val="none"/>
              </w:rPr>
              <w:t>涵盖管道压力、流量、温度、浓度等多种监测指标，确保燃气输配的安全运行</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（2）故障诊断与预警</w:t>
            </w:r>
            <w:r>
              <w:rPr>
                <w:rFonts w:hint="eastAsia" w:ascii="宋体" w:hAnsi="宋体" w:cs="宋体"/>
                <w:color w:val="auto"/>
                <w:kern w:val="0"/>
                <w:szCs w:val="21"/>
                <w:highlight w:val="none"/>
                <w:lang w:bidi="ar"/>
              </w:rPr>
              <w:br w:type="textWrapping"/>
            </w:r>
            <w:r>
              <w:rPr>
                <w:rFonts w:hint="eastAsia" w:ascii="宋体" w:hAnsi="宋体"/>
                <w:color w:val="auto"/>
                <w:highlight w:val="none"/>
              </w:rPr>
              <w:t>系统能接收设备故障或管网异常，提前发出预警信息，避免事故发生。</w:t>
            </w:r>
          </w:p>
          <w:p w14:paraId="7F37291D">
            <w:pPr>
              <w:rPr>
                <w:rFonts w:hint="eastAsia" w:ascii="宋体" w:hAnsi="宋体"/>
                <w:color w:val="auto"/>
                <w:highlight w:val="none"/>
              </w:rPr>
            </w:pPr>
            <w:r>
              <w:rPr>
                <w:rFonts w:hint="eastAsia" w:ascii="宋体" w:hAnsi="宋体"/>
                <w:color w:val="auto"/>
                <w:highlight w:val="none"/>
              </w:rPr>
              <w:t>通过地理信息系统定位故障位置，帮助工作人员精准判断问题所在，缩短处理时间。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（3）智能调度与负荷优化</w:t>
            </w:r>
            <w:r>
              <w:rPr>
                <w:rFonts w:hint="eastAsia" w:ascii="宋体" w:hAnsi="宋体" w:cs="宋体"/>
                <w:color w:val="auto"/>
                <w:kern w:val="0"/>
                <w:szCs w:val="21"/>
                <w:highlight w:val="none"/>
                <w:lang w:bidi="ar"/>
              </w:rPr>
              <w:br w:type="textWrapping"/>
            </w:r>
            <w:r>
              <w:rPr>
                <w:rFonts w:hint="eastAsia" w:ascii="宋体" w:hAnsi="宋体"/>
                <w:color w:val="auto"/>
                <w:highlight w:val="none"/>
              </w:rPr>
              <w:t>利用数据分析技术，对燃气的供应和需求进行动态分析，优化资源配置，提升管网的利用效率。</w:t>
            </w:r>
          </w:p>
          <w:p w14:paraId="1FF30961">
            <w:pPr>
              <w:rPr>
                <w:rFonts w:hint="eastAsia" w:ascii="宋体" w:hAnsi="宋体"/>
                <w:color w:val="auto"/>
                <w:highlight w:val="none"/>
              </w:rPr>
            </w:pPr>
            <w:r>
              <w:rPr>
                <w:rFonts w:hint="eastAsia" w:ascii="宋体" w:hAnsi="宋体"/>
                <w:color w:val="auto"/>
                <w:highlight w:val="none"/>
              </w:rPr>
              <w:t>在负荷波动时自动分析供需情况，避免出现过载或不足的情况，确保城市燃气供应的稳定性。</w:t>
            </w:r>
          </w:p>
          <w:p w14:paraId="72E9B8F1">
            <w:pPr>
              <w:rPr>
                <w:rFonts w:hint="eastAsia" w:ascii="宋体" w:hAnsi="宋体"/>
                <w:color w:val="auto"/>
                <w:highlight w:val="none"/>
              </w:rPr>
            </w:pPr>
            <w:r>
              <w:rPr>
                <w:rFonts w:hint="eastAsia" w:ascii="宋体" w:hAnsi="宋体" w:cs="宋体"/>
                <w:color w:val="auto"/>
                <w:kern w:val="0"/>
                <w:szCs w:val="21"/>
                <w:highlight w:val="none"/>
                <w:lang w:bidi="ar"/>
              </w:rPr>
              <w:t>（4）用户管理与服务</w:t>
            </w:r>
            <w:r>
              <w:rPr>
                <w:rFonts w:hint="eastAsia" w:ascii="宋体" w:hAnsi="宋体" w:cs="宋体"/>
                <w:color w:val="auto"/>
                <w:kern w:val="0"/>
                <w:szCs w:val="21"/>
                <w:highlight w:val="none"/>
                <w:lang w:bidi="ar"/>
              </w:rPr>
              <w:br w:type="textWrapping"/>
            </w:r>
            <w:r>
              <w:rPr>
                <w:rFonts w:hint="eastAsia" w:ascii="宋体" w:hAnsi="宋体"/>
                <w:color w:val="auto"/>
                <w:highlight w:val="none"/>
              </w:rPr>
              <w:t>提供精细化的用户管理功能，包括用户用气情况的实时监控、用气数据分析等服务。</w:t>
            </w:r>
          </w:p>
          <w:p w14:paraId="11C7C3B0">
            <w:pPr>
              <w:rPr>
                <w:rFonts w:hint="eastAsia" w:ascii="宋体" w:hAnsi="宋体"/>
                <w:color w:val="auto"/>
                <w:highlight w:val="none"/>
              </w:rPr>
            </w:pPr>
            <w:r>
              <w:rPr>
                <w:rFonts w:hint="eastAsia" w:ascii="宋体" w:hAnsi="宋体"/>
                <w:color w:val="auto"/>
                <w:highlight w:val="none"/>
              </w:rPr>
              <w:t>通过智能化服务系统，提升用户体验，提高客户满意度。</w:t>
            </w:r>
          </w:p>
          <w:p w14:paraId="5A801CD2">
            <w:pPr>
              <w:rPr>
                <w:rFonts w:hint="eastAsia" w:ascii="仿宋" w:hAnsi="仿宋" w:cs="仿宋"/>
                <w:color w:val="auto"/>
                <w:highlight w:val="none"/>
              </w:rPr>
            </w:pPr>
            <w:r>
              <w:rPr>
                <w:rFonts w:hint="eastAsia" w:ascii="宋体" w:hAnsi="宋体" w:cs="宋体"/>
                <w:color w:val="auto"/>
                <w:kern w:val="0"/>
                <w:szCs w:val="21"/>
                <w:highlight w:val="none"/>
                <w:lang w:bidi="ar"/>
              </w:rPr>
              <w:t>（5）数据分析与决策支持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对采集的海量数据进行深入分析，帮助企业制定合理的运营策略。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提供数据可视化的决策支持工具，辅助管理层进行科学决策和优化运营流程。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（6）能源监控与环保管理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实时监控城市燃气消耗，分析用气趋势与预测需求，优化能源管理。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结合环保政策和要求，平台能够对燃气排放进行监测，支持环保合规管理。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（7）安全保障与应急响应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提供设备的远程控制功能，确保异常情况下能够快速响应和处理。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应急响应系统能够在出现安全隐患时，及时启动处理机制，保障城市安全。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通过部署智慧燃气管理平台，燃气企业可以实现对燃气系统的全面感知、实时监控和智能管理，提高运营效率，降低运维成本，提升安全性，推动企业向数字化、智能化方向发展。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1、功能设计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云端计算技术与大数据分析能力，采用服务导向型分层架构设计，依托燃气资源可视化集成平台（"一张图"），围绕"安全全局可控、供应动态平衡、服务便民利民、决策智慧支撑"的核心理念，构建具备全功能覆盖、弹性扩展机制、智能处理能力和高可靠保障体系的智慧监管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以高效运营、服务用户为核心思想，运用物联网、多维地理信息、大数据、AI等技术手段，以巡检机器人、智能安全帽、AI摄像头、阀井泄露等智能物联设备为基础，解决安全管理过程的闭环及留痕问题，实现业务场景数字化升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系统通过对燃气源-网-端个关节业务环节进行数字化提升，实现日常运营管控的智能化和精细化，最终保障燃气运营的稳定和安全，提升运营数字化水平。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具体功能如下：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1.1、综合概述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以宏观角度触发从高处俯瞰当前城市燃气企业服务概况，分别从企业资产、管网走势、场站位置、用气服务、城燃概况等维度对企业运营情况进行智能管控。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（1）企业规模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展示城燃公司的综合规模与实力，包含关键设备数量、储气能力、用户规模、管网长度等维度数据。以此衡量企业在当前城市的投入情况，反映出城燃公司具有强大的市场响应力和客户服务能力、燃气保供能力、安全保障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（2）燃气覆盖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呈现城燃企业的燃气供应的地理范围是否将辖区进行全部覆盖，对比不同地区的燃气普及率。通过地图可视化等形式，清晰展示哪些区域实现了全面覆盖，哪些区域仍有待进一步拓展，为后续的市场拓展战略提供依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（3）从业人员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统计城燃企业内不同专业领域人员数量，涵盖技术研发、工程施工、运营维护、客户服务等岗位。同时关注人员的技能水平和资质情况，展示高技能人才占比及专业人员资质达标率等，体现企业拥有一支专业齐全、技能过硬的人才队伍，为企业的稳定运营和业务发展提供有力的人力支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（4）企业资产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对城燃企业的总资产进行分类统计，包括固定资产如门站/分输站、加气站、阀门、调压柜等。分析资产的分布情况，以便合理进行资产配置和决策，确保企业资产的保值增值。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（5）用户规模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详细统计企业服务的用户数量，区分居民用户、公福用户、商业用户和工业用户的占比情况。研究不同类型用户的增长趋势和需求特点，提供数据支持随着城市化进程加快，居民用户数量将持续攀升，而工业用户在特定产业发展区域可能有较大的增长潜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（6）用气管理</w:t>
            </w:r>
            <w:r>
              <w:rPr>
                <w:rFonts w:hint="eastAsia" w:ascii="宋体" w:hAnsi="宋体" w:cs="宋体"/>
                <w:color w:val="auto"/>
                <w:kern w:val="0"/>
                <w:szCs w:val="21"/>
                <w:highlight w:val="none"/>
                <w:lang w:bidi="ar"/>
              </w:rPr>
              <w:br w:type="textWrapping"/>
            </w:r>
            <w:r>
              <w:rPr>
                <w:rFonts w:hint="eastAsia" w:ascii="宋体" w:hAnsi="宋体"/>
                <w:color w:val="auto"/>
                <w:highlight w:val="none"/>
              </w:rPr>
              <w:t>为了保障城市全年的用气供气满足城市的生产、生活，需要燃气供需进行详细分析，从而保证满足生产、生活的同时不至于造成浪费。预设需要对用气量进行实时监测与分析，包括不同时间段、不同区域的用气量变化。通过数据对比分析用户用气量情况，以达到合理引导用户用气、优化资源配置的目的。从而保障燃气供应的安全稳定</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（7）安全管理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展示城燃企业在燃气安全管理方面的措施和成效。通过数字化手段自下而上的打通各层级数据通道，保障数据汇集的有效性和及时性。包括安全生产责任落实情况评估，通过巡检管理、隐患处理、安检服务确保各部门、各岗位严格履行安全职责。安全隐患排查整治情况，实时更新排查出的隐患数量、整治进度和结果。确保人民生命财产安全和社会稳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（8）城燃服务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综合评估城燃企业在城市燃气服务方面的表现。通过收集用户满意度调查数据，了解用户对服务质量的反馈和意见，重点关注服务响应时间、故障维修效率、投诉处理结果等指标。对于用户反映的问题及时整改，不断提升服务水平和用户体验，树立良好的企业形象，增强市场竞争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1.2、安全运营</w:t>
            </w:r>
            <w:r>
              <w:rPr>
                <w:rFonts w:hint="eastAsia" w:ascii="宋体" w:hAnsi="宋体" w:cs="宋体"/>
                <w:color w:val="auto"/>
                <w:kern w:val="0"/>
                <w:szCs w:val="21"/>
                <w:highlight w:val="none"/>
                <w:lang w:bidi="ar"/>
              </w:rPr>
              <w:br w:type="textWrapping"/>
            </w:r>
            <w:r>
              <w:rPr>
                <w:rFonts w:hint="eastAsia" w:ascii="仿宋" w:hAnsi="仿宋" w:cs="仿宋"/>
                <w:color w:val="auto"/>
                <w:highlight w:val="none"/>
              </w:rPr>
              <w:t>对于管网设备全生命周期信息管理，包括管网浏览、查询统计、数据输出、管网资产等功能。</w:t>
            </w:r>
          </w:p>
          <w:p w14:paraId="4BE7093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（1）企业安全等级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通过设备完好率、事故响应时效等维度量化评估，分析企业安全等级优/良/中/差四种类型。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（2）管网年限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基于管道材质、埋深环境等参数建立老化模型，可视化呈现1年/5年/10年关键年限节点管网分布。结合监测数据，为年度大修计划提供决策依据。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（3）管网改造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搭建管网改造工程呈现，可视化地理信息系统可视化分析各项目管网情况。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（4）隐患治理</w:t>
            </w:r>
            <w:r>
              <w:rPr>
                <w:rFonts w:hint="eastAsia" w:ascii="宋体" w:hAnsi="宋体" w:cs="宋体"/>
                <w:color w:val="auto"/>
                <w:kern w:val="0"/>
                <w:szCs w:val="21"/>
                <w:highlight w:val="none"/>
                <w:lang w:bidi="ar"/>
              </w:rPr>
              <w:br w:type="textWrapping"/>
            </w:r>
            <w:r>
              <w:rPr>
                <w:rFonts w:hint="eastAsia" w:ascii="仿宋" w:hAnsi="仿宋" w:cs="仿宋"/>
                <w:color w:val="auto"/>
                <w:highlight w:val="none"/>
              </w:rPr>
              <w:t>建立"任务派发-智能识别-分级处置-溯源整改"闭环体系，当发现占压、腐蚀等7类高危隐患时通过数字化手段进行数据上报。可用在OMP系统的移动端应用，实现现场取证、责任派单、验收归档的全流程线上化，缩短重大隐患整改周期。通过企业经营数字化辅助决策平台可以实现与OMP系统数据打通，从而将管网运营数据进行直观管理</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（5）场站安全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对城燃企业的重大危险源、场站巡检完成率等关键指标进行展示。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（6）管网安全</w:t>
            </w:r>
            <w:r>
              <w:rPr>
                <w:rFonts w:hint="eastAsia" w:ascii="宋体" w:hAnsi="宋体" w:cs="宋体"/>
                <w:color w:val="auto"/>
                <w:kern w:val="0"/>
                <w:szCs w:val="21"/>
                <w:highlight w:val="none"/>
                <w:lang w:bidi="ar"/>
              </w:rPr>
              <w:br w:type="textWrapping"/>
            </w:r>
            <w:r>
              <w:rPr>
                <w:rFonts w:hint="eastAsia" w:ascii="仿宋" w:hAnsi="仿宋" w:cs="仿宋"/>
                <w:color w:val="auto"/>
                <w:highlight w:val="none"/>
              </w:rPr>
              <w:t>基于管网防范数据打通，对企业的巡检完成率、监管合规率等关键指标进行检测。构建第三方施工信息库。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（7）用户安全</w:t>
            </w:r>
            <w:r>
              <w:rPr>
                <w:rFonts w:hint="eastAsia" w:ascii="宋体" w:hAnsi="宋体" w:cs="宋体"/>
                <w:color w:val="auto"/>
                <w:kern w:val="0"/>
                <w:szCs w:val="21"/>
                <w:highlight w:val="none"/>
                <w:lang w:bidi="ar"/>
              </w:rPr>
              <w:br w:type="textWrapping"/>
            </w:r>
            <w:r>
              <w:rPr>
                <w:rFonts w:hint="eastAsia" w:ascii="仿宋" w:hAnsi="仿宋" w:cs="仿宋"/>
                <w:color w:val="auto"/>
                <w:highlight w:val="none"/>
              </w:rPr>
              <w:t>支持打通居民户内安全监测平台集成物联网燃气表、报警器数据，同时，对入户安检、作业管理等关键信息进行管控。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（8）持证上岗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构建岗位资质矩阵信息，校验特种作业证、安全管理人员证的时效性。上岗资格看板实时显示各岗位持证达标率。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（9）安全宣传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督促城燃企业建立全媒体宣传效果评估体系，对社区活动、微信宣传、安全知识宣传等信息进行展示。宣传投入产出分析模型量化事故率下降与宣传活动的关联性。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1.3、保供服务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通过对城市气源调度工作进行整体管控，对整体供气进行保障，通过左侧可以对当前全是整体气源使用和剩余情况进行分析，而右侧通过对当前城市整体供气能力进行监控，并对是否需要保供手段进行辅助分析。基于供-需两侧数据进行分析，对全市整体供气和用气情况进行监控，并对气量缺口、用气结构、一级输差等关键指标进行展现，对气源调度起辅助决策作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（1）供需分析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通过用气需求预测模型与气源供应能力的动态比对分析，实时展现全市峰谷差值、工业 / 民用气量占比、LNG 应急补充需求等核心指标。实现未来 72 小时供需缺口预警，保障城市供气安全。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（2）采购管理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从年合同、月计划、日平衡三个维度构建城燃企业用气看板，基于历史用气量、累计用气量、年度合同、日采购量等动态数据进行分析。辅助进行用气整体判断。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（3）门站流量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通过采集SCADA系统的时序数据，实时监测进/出站压力、温度、热值等参数。开发流量分析模型，智能识别时序数据中的异常数据并进行清洗，准确对门站流量的实时数据进行展示。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（4）储备管理</w:t>
            </w:r>
            <w:r>
              <w:rPr>
                <w:rFonts w:hint="eastAsia" w:ascii="宋体" w:hAnsi="宋体" w:cs="宋体"/>
                <w:color w:val="auto"/>
                <w:kern w:val="0"/>
                <w:szCs w:val="21"/>
                <w:highlight w:val="none"/>
                <w:lang w:bidi="ar"/>
              </w:rPr>
              <w:br w:type="textWrapping"/>
            </w:r>
            <w:r>
              <w:rPr>
                <w:rFonts w:hint="eastAsia" w:ascii="仿宋" w:hAnsi="仿宋" w:cs="仿宋"/>
                <w:color w:val="auto"/>
                <w:highlight w:val="none"/>
              </w:rPr>
              <w:t>动态监控储气库实际库存量、工作气量等指标，通过库容利用率环形图、储备天数倒计时预警等可视化工具，实现战略储备与调峰储备的协同管理。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（5）交付管理</w:t>
            </w:r>
            <w:r>
              <w:rPr>
                <w:rFonts w:hint="eastAsia" w:ascii="宋体" w:hAnsi="宋体" w:cs="宋体"/>
                <w:color w:val="auto"/>
                <w:kern w:val="0"/>
                <w:szCs w:val="21"/>
                <w:highlight w:val="none"/>
                <w:lang w:bidi="ar"/>
              </w:rPr>
              <w:br w:type="textWrapping"/>
            </w:r>
            <w:r>
              <w:rPr>
                <w:rFonts w:hint="eastAsia" w:ascii="仿宋" w:hAnsi="仿宋" w:cs="仿宋"/>
                <w:color w:val="auto"/>
                <w:highlight w:val="none"/>
              </w:rPr>
              <w:t>通过对客服数据进行分析，将用户分为公福、工业、商业、居民四大类，并对公福类用户加大保供力度，对关键交付点位的远传数据进行监测与展示。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（6）交付分析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构建用气结构桑吉图，按气源、分输站、场站、下游大客户分解用气逻辑。便于直观了解到复杂管网下的用气走势逻辑。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1.4、便民服务</w:t>
            </w:r>
            <w:r>
              <w:rPr>
                <w:rFonts w:hint="eastAsia" w:ascii="宋体" w:hAnsi="宋体" w:cs="宋体"/>
                <w:color w:val="auto"/>
                <w:kern w:val="0"/>
                <w:szCs w:val="21"/>
                <w:highlight w:val="none"/>
                <w:lang w:bidi="ar"/>
              </w:rPr>
              <w:br w:type="textWrapping"/>
            </w:r>
            <w:r>
              <w:rPr>
                <w:rFonts w:hint="eastAsia" w:ascii="宋体" w:hAnsi="宋体"/>
                <w:color w:val="auto"/>
                <w:highlight w:val="none"/>
              </w:rPr>
              <w:t>系统结合客服数据，针对客服业务关心的点火数、服务人群规模、安检情况、呼叫中心情况、缴费服务及燃气宣传几个方面。对城燃公司整体客服情况进行统计和展示，为客服人员及客服管理人员提供决策依据。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（1）服务概况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建立客户服务健康度指标，综合用户满意度、用户报装数等核心指标。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（2）用户点火数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构建居民/非居民的点火数、通气数参数，实现年度点火数趋势图。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（3）用户概况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创建用户画像立方体，按工商户/居民/工业/公福数据进行分析与展示。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（4）服务覆盖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建立服务可达性评估体系，通过管网仿真系统分析覆盖区。通过部署自动充值机等设备，在城郊结合部24小时自助服务点，实现用户便捷服务。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（5）安检服务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安检服务的到位率是直接影响用户用气安全的重要指标，对居民/非居民的本年度安检到位路进行管控，保障用户用气安全。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（6）抄表服务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从抄表总数、计划抄总数、抄见率三个维度进行数据分析，展示抄表服务的效率。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（7）缴费服务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打造"无感支付"生态体系，支持物联表自动扣费、数字人民币预付等多种模式。提高在线缴费率，减少用户亲自跑腿的情况。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（8）便民服务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构建快捷便民服务平台及全国24小时咨询服务热线，促进企业服务意识。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（9）宣传服务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从客户服务角度提升城燃企业全方位宣传力度，对燃气宣传次数、上门服务等指标进行展示。提升用户对用气的安全性意识，保障用户用气安全。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1.5、一张图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通过对城燃企业的管理、运营、客户、巡检等业务场景进行直观的、实时的展示，集成物联感知、管网巡检、地理信息、安全管理等系统数据，实现"空间数据 + 业务数据 + 物联网数据"的三维融合。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（1）场站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动态显示门站、储配站、分输站的位置、状体。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（2）管网设备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分层展示调压箱运行数据、阀门等设备度分布。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（3）巡线人员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北斗/GPS 双模定位追踪巡线员实时位置，动态计算巡检完成率、轨迹回放功能。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（4）物联设备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可视化智能压力远传、浓度监测、阀门等数据展示。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（5）燃气管网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分层渲染高压、中压、低压管道，并使用不同配色展示。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（6）第三方施工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接入日常巡检发现的第三方施工，识别管网周边施工机械（挖掘机/打桩机/顶管机）。进行可视化分析。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（7）大型工商业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可视化工商业用户点位。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（8）营业厅服务点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可视化营业厅、服务点用户点位。</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12D730A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108A45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750AEA48">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D9806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8AECB8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管网仿真系统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515A6A7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据实际业务需求，从空间数据采集、空间数据管理维护、空间数据应用三个业务维度整体规划，以GIS技术为基础，以资产数据为核心，构建数据采集更新-处理入库-发布共享的一体化资产数据更新维护管理模式，保持资产数据的活力，确保数据的可信度，为信息化系统的应用推广提供坚实的数据基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1、功能设计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1.1、GIS常规空间数据操作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提供丰富的常规空间数据操作服务，地图缩放、平移、复位、坐标定位、点击查询、图层管理、地图测量、地图切换、显示地图坐标等工具，辅助用户利用方便快捷的视图操作工具对各类地理信息数据进行浏览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（1）地图缩放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系统提供鼠标滚轮及界面工具条（如放大/缩小工具等）等多种方式的地图缩放功能。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（2）平移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系统支持鼠标拖拽及界面工具条等多种交互方式移动GIS地图，能不断重新定位视窗内地图内容。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（3）复位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系统提供一键式地图恢复到初始缩放状态功能，实现地图窗口内地图快速复位显示。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（4）坐标定位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系统支持坐标定位功能，能够通过输入坐标信息，点击搜索后在地图上定位到该坐标位置。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（5）点击查询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系统支持在地图上通过点选查询管网设备的属性及坐标信息，已选择的管网设备会高亮显示，查询结果以TIP形式显示属性信息。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（6）地图测量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系统支持对各类管网GIS地图的长度、面积、角度等进行测量。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（7）清除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系统支持对地图上临时绘制的线、区，或其他操作痕迹进行清除。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（8）图层管理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对管网数据、矢量地形图数据等进行分图层显示，通过图层管理栏展开地形矢量或管网数据所有图层，可以勾选需要在地图上显示的图层类型进行显示，也支持同时选择多个图层进行叠加显示，可勾选相应图层进行单独或组合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（9）地图切换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系统支持对不同类型的地图数据进行切换显示，如电子地图、地形图、影像图。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（10）显示地图坐标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系统支持在地图上显示鼠标经过地图位置的实时坐标信息。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1.2、数据录入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外业数据导入功能，实现导入外业探测成果表并成图。可以选择只导入点表，点表中必须包含组分类型，横坐标，纵坐标，本点号等字段；若同时导入点表和线表，点表和线表要在同一张Excel工作薄中，导入过程中会进行数据质量的检验，质量合格后才允许导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1.3、管网数据编辑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管网数据同时具有属性信息和空间信息，管网数据编辑支持对图形信息和属性信息的编辑和维护。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（1）图形编辑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提供丰富的管网图形编辑功能，支持对图形信息进行编辑和维护，主要包括添加管点、移动管点、合并管点、删除管点、添加管线、删除管线、批量删除点线、线上加管点、两点连线、延长管点到管线、打断管线等操作，最大限度的保障了数据安全和录入的顺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（2）添加管点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管点录入功能可实现对需要编辑的任务的管点录入，在地图上指定位置新增管点。支持六种模式的添加点，按照顺序依次是点击取点，两点栓点，两边栓点，过点平行参考边，过点垂直参考边、角度栓点。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（3）单击取点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在需要添加设备的位置左键单击输入属性，点击保存按钮即可完成添加。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（4）两点栓点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选择两点做圆将他们的交点既是需要添加点的位置，鼠标左键点击两者中添加的位置，输入属性点击保存完成属性的录入。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（5）两边栓点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按照提示选择需要作为测量标准的两条边的管线，输入长度他们的交点即是需要添加点的位置，单击相交的绿点，输入属性，完成录入。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（6）过点平行参考边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设置管点设备，与设置的管线平行，添加设备，输入距离，录入属性即是完成添加的设备与选择的管点设备与某条边平行。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（7）过点垂直参考边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过某一点对一条管线做垂直线，即可添加管点设备。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（8）角度栓点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根据管线和管点，根据辅助线选择管点的放置角度，即可完成添加管点设备。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（9）移动管点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在管网图中选择要移动的管点，选择该功能之后，会提示“单击查询实体”，选择需要移动的管点设备，即可完成设备的移动。绿色图标为移动之后的位置，点击保存，即可实现移动成功。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（10）合并管点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系统支持合并管点的功能，支持将两个管点合并在一起。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（11）删除管点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系统支持删除管点设备的功能，可以选择要删除的点，确认进行删除，即可完成删除。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（12）添加管线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提供添加管线的功能，支持录入管线设备，对需要编辑的任务的管线录入，在地图上指定位置新增管线。支持六种模式的添加管线，按照顺序依次是点击取点，两点栓点，两边栓点，过点平行参考边，过点垂直参考边、角度栓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（13）单击取点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在需要添加设备的位置左键单击输入属性，点击保存按钮即可完成添加。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（14）两点栓点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选择两点做圆将他们的交点既是需要添加点的位置，鼠标左键点击两者中添加的位置，输入属性点击保存完成属性的录入。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（15）两边栓点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按照提示选择需要作为测量标准的两条边的管线，输入长度他们的交点即是需要添加点的位置，单击相交的绿点，输入属性，完成录入。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（16）过点平行参考边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设置管点设备，与设置的管线平行，添加设备，输入距离，录入属性即是完成添加的设备与选择的管点设备与某条边平行。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（17）过点垂直参考边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过某一点对一条管线做垂直线，即可添加管点设备。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（18）角度栓点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根据管线和管点，根据辅助线选择管点的放置角度，即可完成添加管点设备。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（19）删除管线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系统支持删除管线设备的功能，可以选择要删除的管线，确认进行删除，即可完成删除。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（20）批量删除点线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系统支持批量删除点线功能，将查询出来的设备，选择需要删除的设备之。首先在下拉菜单选择要查询的设备类型、设置条件，选择范围进行查询。选择需要删除的数据后，即可完成删除。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（21）线上加管点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系统支持线上加管点功能，在管线的指定位置新增管点。点选或者输入距离，确定即可管点在管线上的位置。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（22）两点连线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系统支持两点连线功能，在两个已经存在的管点之间连接上管线。点击需要连接的管点设备，可进行保存，完成将两个管点用一个管段连接起来。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（23）延长管点到管线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系统支持延长管点到管段功能，将管点移动至目标管线上，达到联通状态，该管点将打断管线，并在连接处创建一个三通设备。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（24）打断管线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系统将提供打断管线的功能，支持根据选择的点来将管线打断。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（25）属性编辑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系统提供多种管网属性编辑工具对管网属性数据进行修改，包括点击查询、条件查询、属性复制、点属性刷、线属性刷、设置管点类型、多媒体信息挂接、撤销等，实现属性信息的录入和修改。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（26）点击查询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点击管点或者管段，对属性进行编辑，输入管点设备的属性即可完成对单个设备的属性进行修改。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（27）条件查询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对符合条件范围的管点或者管段的属性进行编辑，可对单个设备的属性进行修改。可以对结果列表里的数据进行选择，点击编辑按钮进行编辑、点击属性替换进行属性替换、点击属性刷等属性。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（28）属性替换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系统支持属性替换功能，设置条件查询出符合条件的设备数据，对查询出的设备的属性统一进行替换。首先查询好需要替换的设备信息，之后在下方的属性编辑里面设置需要替换的属性及其属性值。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（29）点属性刷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系统支持点属性刷功能，可批量刷指定的点设备属性。首先选择好需要替换的属性字段，按照实际的需要选择范围内需要替换属性的管点设施，即可完成属性替换。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（30）线属性刷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系统支持属性刷功能，可批量刷指定的管段属性。首先选择好需要替换的属性字段，按照实际的需要选择范围内需要替换属性的管线设施，即可完成属性替换。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1.4、管网数据查询统计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空间查询：系统提供多种图形方式，方便用户进行图形信息的查询，包括坐标定位、点击查询、沿线查询、单点查询、系统将自动搜索并列表显示相关对象的详细信息及统计，对图形对象进行动态闪烁。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SQL查询：也叫条件查询，系统可以单独对管线属性（管线类型、材质、管径、建设时间、所在位置等）、管点属性（测点性质，附属设施）以及管线与管点之间的关联属性进行查询。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（1）设施查询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系统提供丰富的管网设备查询功能，包括点击查询、设备查询、范围查询、沿线查询、管材查询、管径查询、道路查询和周边搜索等查询功能，支持对查询结果进行统计并以Excel格式导出。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（2）点击查询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系统支持鼠标点击地图任意位置，实现在地图中点取查询某一设施设备的属性信息，已选择的管网设备会高亮显示，查询结果以文本框形式显示属性信息。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（3）设备查询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对所选管网的各种设备按照一定的筛选条件进行查询。可通过设置查询条件，同时在地图上选定范围，实现对管网设备的查询，查询结果会在结果栏以列表形式进行展示，展示出管网设备的属性信息。选择某个查询结果条目，系统自动在地图上定位到该查询结果的管网设备。系统支持将查询结果导出为Excel文件，并能够选择需导出的属性字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除了基础的设备条件查询外，系统还支持查询结果统计、结果凸显展示等功能，具体如下：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（4）查询结果统计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系统支持对查询结果内所有管网数据进行分类汇总统计，以及通过设置相关条件进行设备统计，统计结果均以丰富的图表方式展示，支持查看设备统计结果详情。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（5）范围查询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提供多种范围查询方式，包括：全区范围、当前范围、矩形范围、任意范围等。“全区范围”可对全部区域范围内的数据进行查询统计；“当前范围”可对当前屏幕范围内的数据进行查询统计；“矩形范围”可在地图窗口按住左键绘制矩形框，对绘制的矩形框范围内的数据进行查询统计；“任意范围”可在地图窗口绘制出任意形状的图形，对绘制图形范围内的数据进行查询统计。系统支持将查询的结果以Excel格式导出，可选择所需的字段自行导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于地图设置任意有效起点和终点，对两点间管网设备等信息进行综合查询，结果以列表形式进行展现，选择某个查询结果条目，系统自动在地图上定位到该查询结果的管网设备。系统支持将查询结果导出为Excel文件，并能够选择需导出的属性字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自定义管材查询条件，系统查询出满足该条件的所有管段，结果以列表形式进行展现，选择某个查询结果条目，系统自动在地图上定位到该查询结果的管段。系统支持将查询结果导出为Excel文件，并能够选择需导出的属性字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自定义管径查询条件，系统查询出满足该条件的所有管段，结果以列表形式进行展现，选择某个查询结果条目，系统自动在地图上定位到该查询结果的管段。系统支持将查询结果导出为Excel文件，并能够选择需导出的属性字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（6）数据统计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对全图内所有管网数据进行分类汇总，如汇总管段总长度、不同口径管段总长度、不同管材管段总长度、不同设备个数等基本统计信息，统计结果以柱状图或饼状图形式进行展示，支持将统计结果导出为Excel文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1.5、管网数据检查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据检查模块提供丰富多样的数据检查功能，针对管网属性数据、空间数据及拓扑关系进行专项检查，确保回帖到数据库的管网数据的准确性和完整性。系统不仅支持管网及附属设施的拓扑关系的检查异常结果，不符合拓扑关系的数据，还支持拓扑关系在线修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（1）拓扑检查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系统提供拓扑检查功能，检查管线前后是否有端点,将管网进行拓扑关系的检查，不符合拓扑关系的选择好之后，点击拓扑修复完成拓扑关系的修复。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（2）接度检查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连接度检查主要针对三通、四通、变径三类形式，检查设备的连接度是否符合要求。系统支持连通性检查，可查询设备的连通性。先输入计划检查的级数，点击确认查询。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（3）重叠点检查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重叠管点检查功能主要实现在空间位置管点的X坐标和Y坐标都相同的查询，对同类管网设备点有重叠的情况进行检查。可进行范围选择，查询重叠点检查结果。容差参数为判断重叠点的参数，可以根据实际的需要检查重叠点。点击每条重叠点信息之后的删除操作，出现的信息。点击连通性分析，可以看到选择的设备与这段管网之间的连接度，以此来判断重叠点的链接关系，删除多余的重叠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（4）重叠线检查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重叠管线检查功能主要实现在空间位置管线的起点坐标和终点坐标都相同的查询。点击“重叠线检查”，进行范围选择，查询选择范围中的重叠线的检查结果。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（5）相交线检查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相交管线检查功能主要实现在空间位置两根管线在图形上存在相交且相交点没有打断管线的查询,且相交管线是存在向类管网中，支持全区范围、当前范围、矩形范围、多边范围、预设区域等多种范围检查，检查结果以列表展示，双击相交管线检查结果列表内的数据，将跳转至相交管线所处位置确认是否为相交管线，检查结果可导出为txt、xls、xlsx格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（6）连接度检查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变径检查功能主要是对管径变化进行检查，检查设备的连接规则是否符合要求，将管线与两端管点口径不一致的地方进行查询。可通过配置文件对连接规则检查选项、管点设备名称、字段名称、管线设备名称、管线设备口径字段等项目进行配置，连接规则检查结果以列表展示，并对每个规则进行详细描述，检查结果支持编辑和删除操作，也可导出为txt、xls、xlsx格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（7）孤立点检查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孤立管点检查功能主要实现对孤立管点的查询，即对当前管网中的将管件未与管段连接（或不在管段末端，而在管段上“漂浮”）的孤立管点进行检查显示。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（8）孤立线检查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实现对孤立管线的查询功能，检查范围内所有的孤立管线的实际连接情况。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1.6、爆管分析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当燃气管网突发漏气事故后，系统可及时进行分析并制定关阀处理方案。用户只需指定漏气点，系统则能自动搜索出需要关闭的阀门、影响管段、停气用户、停气区域等，在系统前台展示。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第一次关阀分析后，当应关阀门失效不能关闭时，系统提供二次关阀分析。通过二次关阀分析栏，在地图窗口上选择失效阀门，所选阀门将被设为失效，将用不同颜色图标表示，点击“二次分析”按钮，系统将根据所设失效阀门进行二次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1.7、纵剖面分析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通过纵剖面分析功能模拟并展现出管线的纵剖面截图，以便查看管线在地下的走向和前后高差；以纵剖面的形式展示管线的埋深示意图，根据平面管道图形设定的纵剖面参数，管网的空间信息，自动生成任何一处管网的纵剖面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1.8、地理信息服务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基础地理信息平台将管网数据、地图数据以及来自大数据平台中各个项目需要用GIS展示的数据，按照空间数据库要求进行标准化处理并存储，并以此为基础发布各种空间地图服务。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具备点状定位特征和表现宏观特性的地理实体，应采用点类型进行描述，例如调压 设备、民用户等；具备线状特征或在该比例尺下抽象为线状特征的地理实体，应采用线类型进行描述，例如管段，形成数据标准。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GIS云编辑模块作为管网数据基础分发平台，将数据管网服务及数据提供各个上层应用系统进行服务调用。</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056C113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62B6CC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5F11ADD5">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C6188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921B84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燃气物联设备管理平台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0677250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燃气物联设备管理平台是供调度人员对现场各种输配数据进行实时查看、在线分析，对管网运行状况给予准确评价，实时给出优化调度方案，及时地对管网各相关设备、设施进行调整，达到合理调度，安全平稳供气，节约能源与资金，加快紧急事件反应时间，减少损失，提高经济效益和管理水平的目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功能模块主要包括运营监控，报警管理，图表查询，运行设置，组织管理，IOT，系统配置，手机APP等模块。具体功能模块介绍如下：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1、运营监控模块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1.1、驾驶舱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驾驶舱功能主要为用户提供了站点运行数据可视化界面，集中展示了站点的运行情况、关键变量实时数据和报警信息等重要内容。通过驾驶舱，用户可以一目了然地获取系统运行状态的全面视图，便于快速了解和响应关键动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1.2、实时监控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实时监控功能提供全天候设备状态监测，即时采集运行数据，异常报警值标红提醒，可视化展示关键指标，确保运营高效安全。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1.3、燃气报警器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燃气报警器功能实时监测燃气浓度，异常时立即报警并数值显示红色警示，支持历史数据查询与趋势分析，确保安全高效的燃气管理。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1.4、泄漏监测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泄漏监测功能展示站点的关键变量数据（如甲烷浓度、温度、水位等）。当监测值超过预设阈值时，立即报警并数值显示红色警示。提供三天内数据趋势图，支持按组织筛选和自定义列显示，确保用户能够及时发现并处理泄漏风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1.5、阴保测试桩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阴保测试桩功能展示关键参数（如通电点位、自然电位、断电电位、温度等）。系统自动判断设备在线状态，异常数据以红色高亮显示，并提供三天内历史数据趋势图，支持自定义查询，确保阴极保护系统的有效性和可靠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1.6、地理信息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地理信息功能展示站点设备的地理位置，支持缩放、平移和搜索，点击站点图标可查看实时详细变量信息，便于直观管理和监控。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1.7、工艺监控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工艺监控模块实时采集并展示燃气站点的关键变量数据（如温度、压力、流量等），确保用户能够即时掌握设备运行状态。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1.8、三维展示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三维展示功能提供站点和设备的三维可视化模型，支持模型管理、场景编辑和变量绑定，增强用户对现场布局和运行状态的直观理解。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1.9、设备维保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设备维保查询功能允许用户按组织和站点筛选，查看设备的维保进度和历史记录，支持实时更新保养周期，确保设备维护及时有效。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2、报警管理模块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2.1、实时报警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实时报警功能即时监测设备异常，超过预设阈值时通过弹窗、展示页面数值标红等方式通知用户，并详细记录报警信息，确保快速响应和处理。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2.2、历史报警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历史报警功能允许用户按组织、站点、等级和时间筛选查询过去的报警记录，支持详细信息查看、处理方案编辑及报表导出，便于追溯和分析。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2.3、报警配置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报警配置功能允许管理员设置和管理各变量的报警阈值及使能状态，系统会根据预设条件实时触发报警。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3、图表查询模块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3.1、计量时报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系统每小时自动计算配置站点前一小时的流量计用气量并生成报表形式，以便用户实时监控用气量变化趋势。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3.2、计量日报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系统每天早上八点自动计算配置站点前一天的流量计用气量并生成报表形式，以便用户查看和分析用气情况。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3.3、计量月报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系统每天早上八点自动计算站点流量计的月用气量，生成包含当月总用气量和每日用气量的报表，便于用户快速分析用气趋势。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3.4、计量年报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计量年报功能自动汇总年度用气量数据，生成详细报表，支持自然年或自定义时间段查询，帮助用户全面分析年度用气趋势和管理能源使用。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3.5、站点报表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站点报表功提供用户查看站点传输数据的详细报表，支持自定义时间段查询和灵活的数据展示配置。系统自动补全数据中断期间的记录，确保数据完整性和连续性，并支持导出报表以供进一步分析或存档。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3.6、组合报表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组合报表功能允许用户自定义选择多个站点变量，生成综合性的历史数据报表，支持灵活的时间筛选和数据对比，满足多样化的分析需求。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3.7、趋势分析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趋势分析数据功能以折线图形式展示一段时间内的站点变量趋势，用户可以更直观地理解复杂的数据，并快速捕捉到关键信息，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3.8、环比统计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环比统计功能以折线图形式展示一段时间内的站点变量趋势，最多可添加4条趋势曲线同时进行环比分析，用户可以更直观地理解复杂的数据，并快速捕捉到关键变量信息数据。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3.9、设备信息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设备信息查询功能允许用户按组织归属、站点名称和设备类型筛选，快速查找并管理设备详细信息。支持新增、编辑、删除设备记录，并提供设备模板的下载与导入。用户可查看设备数据，包括编码、型号、购置及投产日期等，确保设备管理的准确性和便捷性，提升维护效率和资产管理水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3.10、事件查询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事件查询功能允许管理员按操作内容和日期范围检索系统操作记录，展示信息包括用户账号、操作时间、IP地址及具体操作内容，便于追踪历史行为和排查问题。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4、运行设置模块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4.1、站点管理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站点管理功能支持用户配置站点信息，包括计量结算时间和变量选择，影响数据报表生成和统计，确保站点运营数据的准确性和及时性。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4.2、设备运维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用户可在本页面查看站点在线状态，便于离线分析。同时，可使用编辑功能添加备注，记录离线原因，确保站点离线信息的完整性和可追溯性。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4.3、站点定位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站点定位功能允许用户在线修改站点的经纬度信息，设置地图中心点，并配置显示在地图上的设备变量，确保地理信息的准确性和可视化展示。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4.4、模型管理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模型管理功能用于创建、编辑和维护三维场景中的设备和站点模型，支持导入和处理OBJ、GLTF、GLB格式的数据文件，方便模型数据交换和集成。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4.5、贴图管理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贴图管理功能主要用于对三维模型表面进行纹理映射，增强视觉效果，使模型更加逼真和易于识别。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5、组织管理模块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5.1、机构管理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机构管理功能支持管理员查询、新增、修改和删除机构信息，涵盖了机构的各个重要属性和相关信息。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5.2、员工管理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员工管理功能支持管理员查询、新增、修改和删除员工信息，分配角色权限，确保人员信息准确和权限设置合理，提升组织管理效率。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5.3、岗位管理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岗位管理功能用于定义和管理组织内部的不同岗位及其权限，确保每个岗位的角色和职责清晰明确，并能灵活分配系统访问权限。该功能模块支持创建、编辑、删除岗位信息，以及为各岗位分配特定的操作权限，从而增强系统的安全性和操作规范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6、IoT模块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6.1、站点接入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站点接入功能用于将新的站点信息添加到系统中，并配置相关参数，以便这些站点的数据可以被监控和管理。该功能模块支持批量导入站点信息、设置站点的基本属性以及关联设备变量。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6.2、变量接入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站点接入功能用于将新的站点信息添加到系统中，并配置相关参数，以便这些站点的数据可以被监控和管理。该功能模块支持批量导入站点信息、设置站点的基本属性以及关联设备变量，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7、系统配置模块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7.1、系统字典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系统字典功能用于管理和维护系统中使用的所有标准化术语、代码及分类信息，确保数据的一致性和准确性。该功能模块支持创建、编辑和删除字典项，提供统一的数据标准，便于跨部门和系统的数据共享与集成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7.2、业务字典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系统字典支持用户通过自定义配置信息或元数据方式，添加特殊类型的字典项，如隐患分类、隐患来源、隐患登录、隐患状态、设备类型等，以满足项目公司的业务需求。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7.3、菜单管理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菜单管理功能用于定义和管理系统界面中的导航菜单结构，确保用户能够便捷地访问系统各项功能。该模块支持创建、编辑、删除菜单项，以实现灵活系统导航配置。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7.4、系统参数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系统参数功能用于配置和管理系统运行所需的各种全局设置和参数，确保系统的正常运行和高效管理。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7.5、用户参数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用户参数功能用于存储和编辑用户的个性化配置参数，满足用户在使用系统时的特定需求。调整诸如实时监控、燃气报警器、泄漏监测等页面的展示内容及操作习惯。</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11A85B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3F974DD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6D6575F6">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BFFC09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58B869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视频综合管理平台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2EFBCF99">
            <w:pPr>
              <w:widowControl/>
              <w:spacing w:after="53" w:afterLines="17"/>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视频综合管理平台聚焦于视频集成管理维度，主要为：对现有的大量视频资源进行梳理整合，将人员、车辆、厂站门站等场景统一纳管；并对原有的监控引入视频智能分析技术，实现视频系统的自动识别和报警功能，实现视频监控系统的智能化升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建设视频监控系统，实现视频设备接入、数据存储及订阅管理，通过边缘算法服务器实现摄像头智能识别，实现统一接入，统一纳管，统一指挥，达到建设节约化、监控智能化、资源可视化等应用。利旧现网的摄像头，通过增加边缘算法服务器实现智能识别，违规行为、危险情况预警联动，实现厂站智能化改造；通过可视化态势感知，对厂站、营业厅等数据实时把控、风险隐患综合分析，实现事前预警。包括综合管控、视频监控、车辆管理、人员管理、AI模型管理等功能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建立一个兼容性强、部署灵活、可扩展性的视频集成云平台，可扩展平台的AI超算能力，作为技术平台支撑业务部门更多的分析，赋能督查复核业务、工程生产运营业务，提升企业管理效能，降低管理成本；最终达成建设节约化、监控智能化、资源可视化的目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1、综合管控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智能监控是以人脸识别技术为核心，通过前端视频和后端比对分析设备，对人脸进行抓拍、分析和应用的系统。采用B/S架构配置、C/S架构控制结合的方式，实现视频中人脸的自动识别、抓拍及管理，并提供检索和名单布控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1.1、统一接入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（1）设备接入类型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要能</w:t>
            </w:r>
            <w:r>
              <w:rPr>
                <w:rFonts w:hint="eastAsia" w:ascii="宋体" w:hAnsi="宋体" w:cs="宋体"/>
                <w:color w:val="auto"/>
                <w:kern w:val="0"/>
                <w:szCs w:val="21"/>
                <w:highlight w:val="none"/>
                <w:lang w:bidi="ar"/>
              </w:rPr>
              <w:t>将原分布在桂平市各燃气点的视频数据接入本项目的相关平台</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视频监控组件支持GB/T28181、ONVIF协议添加编码设备并进行视频相关业务应用，各协议的应用场景如下：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GB/T28181协议：遵循中国国家标准（GB/T28181）《安全防范视频监控联网系统信息传输、交换、控制技术要求》要求的通讯协议，通常用于前端编码设备为第三方设备和平台级联的场景；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ONVIF协议：开放型网络视频接口论坛（Open Network Video Interface Forum）共同制定的开放性行业标准，属于国际标准协议，通常用于第三方设备为国际设备或满足海外视频监控需求的场景。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（2）设备管理功能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设备管理支持支持设备的批量导入导出，设备连接参数配置及设备的增删、改查等操作。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支持设备名称、设备序列号等设备信息从平台同步至设备或从设备同步至平台；支持监控点名称从平台同步至设备或从设备同步至平台。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支持对NVR进行IP通道配置，包括增加、删除前端编码器。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支持监控点的增、删、改、查等操作。支持监控点参数配置，包括：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OSD配置：视频画面显示通道名称、时间日期及星期。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字符叠加配置：最多支持4个字符串叠加到视频画面；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视频参数配置：码流类型、分辨率、码率类型图像质量、视频帧率；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隐私保护设置、视频遮挡报警配置、移动侦测配置、视频丢失报警配置。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支持报警器配置，包含报警器的增删改查操作和报警输入输出配置。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1.2、统一纳管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通过视频级联模块，实现多视频平台间的数据交互，实现多平台间视频设备的统一管理。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系统作为下级向上级联时，注册到其他GB/T28181流媒体服务。支持上级平台按照国标级联协议查看视联网平台的视频。支持流媒体集群配置。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平台作为上级平台时，其他GB/T28181流媒体服务向上注册到视联网平台，支持按照国标级联协议查看下级平台的视频。支持流媒体集群配置。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1.3、统一指挥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（1）事件联动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事件联动是综合安防管理平台的事件枢纽，主要通过对关键资源点配置事件规则及其联动动作，实现对一些异常情况的告警通知，方便管理人员或安保人员快速的进行处置。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支持自定义或模板方式进行事件规则的配置；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支持视频、门禁、停车场等跨业务组件的联动；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支持客户端、录像、抓图、地图、语音、短信、邮件等多种联动方式；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支持查询历史事件，只能查看有事件接收权限的事件；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支持按事件类型、事件规则名称排列展示事件信息；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支持按所在区域、所属位置、事件源、事件等级、开始时间、结束时间、处理意见、处理状态进行过滤；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支持查看事件详情，查看预览、回放、图片联动，查看事件图片如门禁的认证图片、车牌图片等，对事件添加注释；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支持事件列表导出为csv文件；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中心应用客户端支持报警事件的事件监控，可按照事件类型、事件规则名称、事件等级、未读事件、报警中事件对报警事件进行过滤展示;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支持对报警事件进行单独、批量处理;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支持对报警事件做已处理标记;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支持对声音提醒、事件弹窗进行设置。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（2）事件处置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事件处置应用配合事件联动提供报警事件处置能力。用户可在WEB端和客户端中录入处理意见，查看事件处理记录、提交审批和进行审批等操作。在移动端录入处理意见，查看事件处理记录、上传处理图片和视频、提交审批和进行审批等操作。帮助用户实现报警处置业务闭环，提升用户针对报警事件处置的及时性和工作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（A）配置事件处理干系人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支持配置具有事件处理权限的人员和事件处理结果审批权限的人员。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（B）事件转处理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用户可以将事件转给相应的处理人员。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（C）查看待办事件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在事件处理页面查看待办事件，可切换不同事件转态（待办、已处理、已审批）多虑展示。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（D）录入处理意见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在事件详情页面可录入处理意见，查看企业上传的处理图片并进行转处理、提价审批等操作。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（E）事件审批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待审批事件可审批通过或者不通过，通过后事件流程结束；不通过可退回或者重新转处理。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（F）统计分析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统计事件总数、未处理事件数、处理超时的事件数。以及各事件类型的分类统计。帮助用户了解园区安全情况。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（3）图上监控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图上监控主要用于配置与控制各组件资源，展示这些资源的地理位置、细节图以及相应的报警信息等综合业务。通过地图来展现整个平台的资源的控制与配置，事件的上报与展现，是一种可视化的综合业务入口。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支持GIS地图和静态地图两种类型地图。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（A）资源监控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支持地图放大、缩小、上下左右平移、全屏操作；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支持在地图上添加标记并记录注释信息；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支持对GIS地图进行长度、面积测量；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支持切换显示不同的地图模式；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支持标记点增加、修改、删除操作；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支持地图链接跳转操作；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支持监控点（枪机）的角度设置；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支持对添加到地图上面的资源点和地点进行搜索，搜索结果会按照资源点类型进行归类，可以快速定位到某个资源点并查看其信息，地点搜索仅GIS地图支持；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支持地图资源或地点收藏夹功能，用户下一次访问时可以通过收藏夹功能快速定位到收藏的资源或地点，地点收藏仅GIS地图支持；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地图上资源按照资源类型进行过滤显示，资源类型有监控点、门禁点、停车场、出入口、环境量（空调系统、ups传感器、通用传感器、风速传感器、水位传感器、环境采集仪、温湿度传感器、电量表传感器、变压器温显表、有毒气体传感器、扬尘噪声传感器）、报警输入、报警输出、防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支持在地图上显示全部资源点名称；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支持资源发生报警时定位至视野中心;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支持当日报警列表中查看实时报警事件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支持资源点在地图上分类聚合，当地图缩小到一定比例时，资源点按类型聚合显示；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支持地图上通过区域树搜索或选择定位，快速切换所选区域的地图；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支持地图上显示同级区域，并可快速切换同级区域地图；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支持报警信息展示和报警历史查看：地图上的资源点发生报警事件时资源点的图标会闪烁提示，单击该图标可以对该事件进行报警操作和查看该资源点的历史报警记录；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地图上对监控点进行预览、回放、云台控制、历史报警的查看，门禁点进行开关门的控制、历史报警的查看，动环点位的环境量数值展示、状态及环境量参数控制、历史报警查看，停车场车位总数和剩余车位数的查看，出入口过车记录查看，空调的开关、温度设置、模式设置，防区的旁路及旁路恢复操作，报警输出的打开和关闭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支持框选多个监控点进行预览回放；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支持在地图上展示当日报警信息的提示，单击提示图标可快速查看当日报警记录信息；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（B）事件监控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支持在地图上查看事件的历史报警记录；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支持通过事件的历史报警记录，定位对应资源点在地图上的位置；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支持地图放大、缩小、上下左右平移、全屏操作；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支持按事件类型、事件规则名称排列显示事件报警记录；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支持按事件等级、所在区域、所属位置、事件源、开始时间、结束时间、处理意见、处理状态过滤历史事件；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支持查看历史报警事件详情：查看预览、回放、图片联动，查看事件图片，对事件添加注释；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中心应用客户端支持在事件详情中设置是否优先显示新事件，是否事件弹窗。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（C）路线回放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支持GPS资源点的路线回放，仅支持单兵类GPS设备；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支持按照高、中、低的倍率调整回放速度；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支持平台中GPS设备信息显示，主要包括设备当时的速度、方向、时间、位置；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支持标记间隔，开启标记间隔后，地图中的单兵设备路线按照固定的时间间隔增加圆点标记，可直观的看到移动速度的分布；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支持对GPS单兵设备的路线进行是否居中回放模式的设置，在对路线进行居中回放时，地图以设备为中心进行实时追踪，其他设备正常展示；否则，以地图为中心，设备实时移动。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2、视频监控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2.1、实时预览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视频实时预览即为对监控实时画面的预览，包括基础视频预览、视频参数控制、视图模式的预览，平台与监控点所在的摄像机对讲通道的实时对讲、批量广播以及对具备云台能力的监控点的实时云台控制。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（1）基础视频预览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WEB浏览器和CS客户端两种方式，通过视频插件的形式进行监控点实时画面预览；接入的设备预览模式支持直连预览和非直连预览切换，直连预览为平台直连设备，非直连预览为平台过设备接入层进行预览，预览时可配置默认取流方式。其他类型的设备及级联设备只支持非直连预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支持取流重连次数和重连时间间隔配置。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视频解码模式支持硬解和软件切换。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支持预览一键切换到回放。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支持预览一键上墙。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支持预览时开启智能规则，包含警戒线、区域等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支持视频播放窗口布局切换，包含1、4、9、16、25常规画面分割，1+2、1+5、1+7、1+8、1+9、1+12、1+16、4+9、3+4、1+1+12等个性化画面分割以及1x2、1x4的走廊分割模式；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支持辅屏预览。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支持双击区域节点查看该区域下的所有监控点，监控点的展示数量为当前窗口分割数；支持批量关闭预览窗口、窗口自适应和全屏播放等功能。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支持监控点预览画面进行抓图、打开/关闭声音、电子放大、主子码流切换、查看码流信息等操作。支持监控点预览工具栏定义配置，用户可根据需要在预览窗口对上述功能进行添加/不显示。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支持对配置了抓图计划的监控点进行图片监控，用于在对监控点实时性要求不高的场景下节省带宽和流量。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支持在视频预览画面中进行紧急录像，用于异常问题的记录和举证。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支持在实时预览是进行即时回放，用于预览发现异常状况时快速确认。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支持限时预览，在开启限时预览后，到指定时长最后10秒开始倒计时，直至关闭。若选择继续预览，则重新开始倒计时。限时预览预览的指定时长在1-30分钟之内自定义。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监控点分组轮巡，用根据预先设定的轮巡时间间隔、轮巡分组中的监控点顺序、默认窗口布局等对监控点视频画面进行轮巡显示。支持轮巡分组管理，包括新增、删除轮巡分组、调整时间间隔、监控点轮巡顺序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支持在视频预览、即时回放、紧急录像时叠加水印，水印内容支持自定义或显示当前系统账户信息；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支持视频预览时实时抓图，以人脸或人体属性搜索人员足迹及位置信息；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（2）视图预览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视频预览支持以视图的形式保存监控点和播放窗口的对应关系及窗口布局格式，用户可用视图进行监控点分组管理及快速预览。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支持以共有视图和和私有视图两种模式进行视图管理。对视图中的监控点有预览权限的任何用户都可对公有视图进行预览、视图配置；私有视图只对本用户开放权限，其他用户登录后无法看到该视图。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支持视图管理配置，包括视图组的管理，在视图组中进行视图的添加、删除、移动位置、修改视图的监控点、窗口布局等操作。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支持共享视图，可将私有视图分享给指定人员，并可取消共享；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（3）对讲与广播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支持对视频监控点进行实时对讲，支持配置对讲时是否自动录音。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支持监控点批量广播功能，可对增加、删除广播分组。广播路数规格限制在100路以内。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（4）云台及视频参数控制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支持对具有云台功能的监控点进行云台控制。在监控预览状态下，通过开启云台或点击监控点预览工具栏的云台控制按钮进行云台的上下左右等8个方向控制。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通过云台控制支持实现倍率的控制，焦点、光圈的调整，灯光控制、雨刷控制、一键聚焦、3D放大等功能。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支持预制点的设置和启动，并根据设置的预制点进行巡航路线设置和预制点巡航控制。支持进行路线录制和路线播放。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支持云台等级权限配置，高等级的用户可抢占低等级用户的云台权限。支持云台操作权限时长配置，用户停止操作云台后，在该限定时长内，低等级或同等级的用户将无法操作该设备的云台。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支持将操作云台的用户信息叠加显示到视频画面上。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支持监控点视频参数调整，包括亮度、色度、对比对、饱和度。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支持通过热键控制云台；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2.2、录像回放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录像回放用于对历史视频录像的查询、播放、画面流控、片段下载等应用。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（1）基础录像回放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支持WEB浏览器和CS客户端两种方式，通过视频控件的形式对监控点历史录像画面进行回放。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支持按录像类型进行查询，包括计划录像、报警录像、移动侦测、回传录像、其他录像五种类型；支持按录像存储类型进行查询，包括设备存储和中心存储。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支持录像回放窗口布局切换，包含1、4、9、16等4中回放窗口分割类型。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支持对录像回放画面进行抓图、打开/关闭声音、电子放大、查看码流信息等操作。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支持按时间段查找录像和按时间点定位录像两种方式搜索录像。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支持对录像回放画面进行流控操作包括正放、倒放、倍速播放、倍速倒放、慢放、慢速倒放、单帧步进、单帧步退等。倍速播放速率1、2、4、8倍速可选，慢速播放速率1/2、1/4、1/8可选。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支持对录像添加标签和描述信息，可按照标签的类型、描述信息和标记时刻范围查找录像片段。录像标签包括红、蓝、绿、黄4种类型。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支持对录像片段进行锁定和解锁，锁定的录像时间段和锁定时长可选，锁定后的录像片段将不能被覆盖或删除。锁定时长按照日、周、月、年的颗粒度可选。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支持录像进度条录像范围的缩放，进度条录像范围1小时到24小时可选，也可通过滚轮的方式进行缩放。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支持录像回放开启智能信息，包括警戒线、区域等。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支持在录像回放、录像剪辑、录像下载时叠加水印，水印内容支持自定义或显示当前系统账户信息；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（2）录像下载与剪辑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支持录像下载，用户可自定义录像片段范围，下载地址。支持对录像下载任务进行查找、删除、暂停、继续操作。支持批量对下载任务进行开始下载和全部暂停操作。支持对根据下载任务状态进行过滤。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支持录像批量下载，用户可自定义选择多个点位、多段时间进行录像批量下载功能。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支持录像剪辑，用户可自定义剪辑录像片段大小，保存地址。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支持单个录像下载/剪辑片段大小设置，设置项包含256M、512M、1G、2G。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2.3、全景监控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全景监控主要用于全景摄像机的视频预览，通过全景摄像机、智能枪球一体机、AI旋镜等全景细节摄像机实现全景的预览效果。支持球以全景模式和观测模式观测，支持全景画面中抓图、紧急录像、电子放大，并在球机画面中抓图、紧急录像、电子放大、3D放大、云镜控制等操作，支持全景监控画面悬浮窗口展示球机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2.4、图片查询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WEB端支持对配置了抓图计划的监控点所抓历史图片的查询，并按照监控点排序和时间排序两种方式展示图片查询结果。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支持对图片查询结果进行自动播放和下载操作。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2.5、电视墙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电视墙应用于中心大屏幕，专注视频上墙，调度解码资源将前端编码设备的视频画面在电视墙上显示。电视墙提供了解码资源管理、视墙资源管理、电视墙/窗口的控制及内容上墙等功能。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（1）资源管理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支持对电视墙进行增、删、改、查操作，电视墙类型包括LED和LCD两种类型；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支持对解码资源进行增、删、改、查操作，解码资源接入协议包括GB协议；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支持电视墙关联解码器通道，一个解码器通道只能关联一个显示器，已关联的解码器通道无法拖动；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支持对解码器窗口设置视频制式及分辨率。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（2）窗口操作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支持开窗功能，窗口上开启一个图层，用来显示监控点画面，支持开窗的解码设备包括开窗设备为64XXD_S、69XXD、C10、B20。B10 V2.3以下版本需要在拼接窗口中开窗。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支持窗口漫游，可进行窗口拖动改变窗口位置和窗口大小；支持窗口放大和还原；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支持窗口分割，分割数量以设备能力集的形式获取；支持窗口拼接；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支持窗口名称的编辑和修改，窗口名称最长16个字符，设置为空则为删除窗口名称；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支持窗口自定义编号，编号数在1~2147483647之间；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支持窗口置顶置底操作，当有多个开窗窗口层叠时，可针对窗口置顶/底，该窗口会在最顶/底层显示；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支持虚拟LED设置，包括长度，内容，透明度，文字滚动速度等设置；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支持窗口上墙，包括本地桌面上墙、预览上墙和回放上墙，其中模拟信号源只能进行预览上墙，如果解码设备为开窗设备（64XXD_S、69XXD、C10、B20），且该通道上没有窗口，则拖动监控点上墙时会先执行开窗；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支持报警窗口设置，可将窗口按高、中、低等设为报警窗口，当有系统中有相应等级的报警上报时，在该窗口自动上墙。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（3）场景应用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支持场景的增、删、改及配置操作。电视墙场景就是电视墙的一组状态的集合，包括窗口的分割、拼接等布局，及窗口上的监控点、预览轮巡、告警窗口、是否自动启停及启停时间；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支持场景切换及场景切换计划的配置；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支持在场景中配置监控点轮巡计划。在轮巡执行时，可对某轮巡进行启停及执行上下一页的操作，包括开始、暂停、结束等；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支持轮巡窗口配置，轮巡间隔配置，轮巡监控点顺序的调整。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（4）其他业务应用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支持主子码流切换，键点击客户端上墙的窗口，可显示切换主子码流的菜单，点击菜单可实现对上墙码流类型的切换；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支持强制子码流设置，可配置当窗口分割大于一定数量时，上墙自动使用子码流；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支持声音控制，可操作打开窗口相应输出通道的声音输出；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支持本地监控点预览和回放；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支持客户单换肤功能，用户可根据续期切换黑、蓝皮肤；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支持设备场景和平台场景配置，针对现场业务场景比较复杂，开窗分割数量比较多的场景，客户端发起切换场景请求可能会因为切换超时导致提示切换失败，此种情况下可使用设备场景。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2.6、视频级联功能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平台之间级联/互联依据GB/T28181设计，提供注册发现、心跳检测、云台控制、实时监控、时钟同步等联网基本功能。在对国标深入理解的基础上，提炼、细化、创新出来了更多丰富的扩展联网功能，如目录主动推送、资源实时同步、资源选择性共享、媒体保活、权限控制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（1）联网基本功能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（A）平台之间的注册与发现；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（B）互联链路心跳检测；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（2）前端目录推送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可由下级平台主动将前端设备目录推送至上级平台；也可由上级平台向下级平台发起前端设备目录查询。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（3）组织结构展现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上级平台将各个下级平台目录解析编码，按照所属部门、单位和区域分别挂载，统一展现。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（4）设备信息共享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下级平台可向上级平台开放共享本地设备状态、参数等信息，实现联网系统的统一运维管理。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（5）权限控制管理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支持上下级平台联网的共享权限管理、联网状态管理、网关性能消耗查询等功能。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（6）媒体保活机制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平台之间视频媒体流的接收和发送基于RTCP协议实现，支持保活机制，防止跨平台调用视频流的中断。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3、人员管理应用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系统可以采用多种门禁方式，对使用者进行多级控制；同时对不同的区域和特定的门及通道进行进出管制。子系统能够实现远程管理，实施数据修改、安全密钥验证等功能。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3.1、实时监控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管理人员可以通过微机实时查看每个门区人员的进出情况（计算机屏幕上可以立刻显出当前开启的门号、通过人员的卡号及姓名、读卡和通行是否成功等信息）、每个门区的状态（包括门的开关，各种非正常状态报警等）；也可以在紧急状态打开或关闭所有的门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3.2、权限管理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可针对不同的受控人员，设置不同的区域活动权限，将人员的活动范围限制在与权限相对应的区域内；对人员出入情况进行实时记录管理。系统可实现对指定区域分级、分时段的通行权限管理，限制外来人员随意进入受控区域，并根据管理人员的职位或工作性质确定其通行级别和允许通行的时段，有效防止内盗外盗。考虑其安全性，系统可设置一定数量的操作员并设置不同的密码，根据各受控区域的不同分配操作员的权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3.3、动态电子地图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以图形的形式显示门禁的状态，比如当前门是开门还是关门状态，或者是门长时间打开而产生的报警状态。此时管理人员可以透过这种直观的图示来显示当前各门的状态，或者对长时间没有关闭而产生的报警门进行现场察看。同时拥有权限的管理人员，在电子地图上可对各门点进行直接地开/闭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3.4、权限冻结和解冻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可对人员权限进行自动或手动冻结，在不删除人员权限的情况下使权限失效，需要恢复权限时可进行一键解冻。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3.5、人体测温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可实时显示、记录人体测温事件信息，事件信息包括温度值、是否为异常事件、设备分组、可见光、热成像图片、测温时间。可按测温点、测温时间统计测温事件数据，统计维度包括测温事件总数及告警事件数量、累计未登记数及告警未登记数、各测温分组下未登记数量、登记状态占比情况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3.6、出入记录查询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可实时显示、记录所有事件数据；读卡器读卡数据实时传送给计算机，可在管理中心电脑中立即显示；持卡人（姓名、照片等）、事件时间、门点地址、事件类型（进门刷卡记录、出门刷卡记录、按钮开门、无效卡读卡、开门超时、强行开门等）等如实记录且记录不可更改。报警事件发生时，计算机屏幕上会弹出醒目的报警提示框。系统可储存所有的进出记录、状态记录，可按不同的查询条件查询，并生成相应的报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3.7、人像识别加指纹开门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在重要房间的选配多功能人脸门禁识别一体机可设置为人像识别加指纹方式，确保内部安全，禁止无关人员随意出入，以提高整个受控区域的安全及管理水平。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3.8、逻辑开门（多重认证）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同一个门需要多人同时人像识别才能打开电控门锁。设定某些重要门点如金库等，只有多人同时认证才能开门。（需增加门禁控制器）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3.9、防尾随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本功能是防止持卡人尾随别人进入，持卡人必须关上刚进入的门才能打开下一个门。在某些特定场合，持卡者从某个门刷卡进来就必须从某个门刷卡出去，刷卡记录必须一进一出严格对应。进入进门未刷卡，尾随别人进来，出门刷卡时系统就不准他出去，如果出门未刷卡，尾随别人出去，下次就不准他进来。或者某人刷卡进来后，从窗户将卡丢给其他人，试图进来，系统也会拒绝该人刷卡进来。该功能可为落实谁何时处于某个区域提供有效证据，同时有效地防止尾随，对于维持良好门禁管理秩序有积极的意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3.10、反潜回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持卡人必须依照预先设定好的路线进出，否则下一通道刷卡无效。配合双向读卡门点设计，系统可将某些门禁点设置为反潜回，限定能在该区域进、出的人员必须按照“进门→出门→进门→出门”的循环方式进出，否则该持卡人会被锁定在该区域内或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3.11、多门互锁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多门互锁包括双门互锁、三门互锁、四门互锁。许多重要区域，通行需经过多道门，要求多道门予以互锁，以方便有效地控制尾随或者秩序进入，可以有效地控制入侵的难度和速度，为保安人员处理突发事件赢得时间。互锁的多门可实现相互制约，提高系统安全性。当其中一个门开启时，其他对应的门都无法打开；当要开启一个门时，其他对应的门必须都是关闭的，否则无法开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3.12、强制关门功能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如果管理员发现某个入侵者在某个区域活动，管理员可以通过软件，强行关闭该区域的所有门，使得入侵者无法通过偷来的卡刷卡或者按开门按钮来逃离该区域，通知保安人员赶到该区域予以拦截。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3.13、异常报警功能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系统具有图形化电子地图，可实时反应门的开关状态。在异常情况下可以实现微机报警或报警器报警，如非法侵入、门超时未关等。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3.14、消防报警功能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系统可与火灾自动报警系统联动。如发生火警时，保证自动释放相关区域的通道的出入口控制，使内部人员及时外逃且消防人员可以顺利进入实施灭火救援。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3.15、视频监控联动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门禁系统中最大的安全隐患是非法人员盗用合法卡作案。传统的门禁系统和视频监控系统都无法解决这个问题。因此，为了防止有人盗用他人合法卡作案，保证刷卡记录的真实性，系统支持实时展示并记录刷卡人员信息，以及联动门禁自带监控点或外部视频监控点进行图像抓拍或录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4、车辆管理应用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4.1、号牌自动识别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车辆驶近出入口时，系统自动对车辆牌照进行识别，包括车牌号码、车牌颜色的识别。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在实时记录通行车辆图像的同时，还具备对符合“GA36-92”（92式牌照） 、“GA36-2007”（新号牌标准）、“GA36.1-2001”（02式新牌照）标准的民用车牌、非民用车牌的车牌自动识别能力，包括2002式号牌。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符合GA/T 833-2016 机动车号牌图像自动识别技术规范。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能识别黑、白、蓝、黄、绿五种车牌颜色。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4.2、车辆信息记录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车辆信息包括车辆通行信息和车辆图像信息两类。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在车辆通过出入口时，牌照识别系统准确拍摄包含车辆前端、车牌的图像，并将图像和车辆通行信息传输给出入口控制终端，并可选择在图像中叠加车辆通行信息（如时间、地点等），准确记录车辆通行信息。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可提供车头图像（可包含车辆全貌），系统采用的抓拍摄像机，具备智能成像和控制补光功能，能够在各种复杂环境（如雨雾、强逆光、弱光照、强光照等）下和夜间拍摄出清晰的图片。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4.3、信息提示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车辆在出入口被抓拍后，系统将进行相关信息提示，包含语音提示、信息显示，车辆驶入、驶出时可以根据客户需要提示语音，收费金额显示，欢迎标语等。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4.4、图片预览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系统支持在岗亭客户端对过车图片和信息实时显示，进出车辆自动匹配，图片预览支持按车道轮巡。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4.5、车辆管控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固定车辆：支持车牌识别比对正确，信息核实有效后，即可进场和出场，无需其他操作；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临时车辆：抓拍车牌并识别，将车辆信息记录在系统中，直接放行进场；出场时，缴清费用后，快速离场；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布防车辆：嫌疑车辆由系统自动在前端岗亭和中心产生报警，同时人工参与处理。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4.6、无牌车管理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支持无牌车辆使用微信/支付宝扫码车道旁的二维码自主进出场和缴费。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4.7、远程协助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停车场管理者可以通过本系统的中心客户端远程接听入场车道或者出场车道求助对讲。可以对于车主的操作问题进行指导；可以对于识别错误问题进行远程修正；可以对于特殊车辆进行放。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4.8、报警管理功能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当系统识别出来的车辆车牌不符合条件时，或者车牌在黑名单库时，岗亭或管理中心自动报警，提示工作人员进行检查。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4.9、数据查询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可查询通行信息、场内车辆、操作日志、设备状态和收费金额等信息并输出完整的数据报表。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4.10、统计报表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支持按停车场收费统计、车辆流量数据统计、临时车辆缴费统计、现金收费统计等报表功能。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4.11、数据上传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出入口过车数据自动上传中心，由中心集中存储和管理，支持前端数据缓存以及断点续传。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4.12、权限设置和用户管理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为了实现系统的安全管理，系统对用户权限进行管理，主要具备如下功能：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（1）用户分两个级别：系统操作员、系统管理员，系统管理员可以添加、删除和修改系统操作员，并且可以分配用户权限。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（2）用户权限包括：系统配置、卡片管理、车辆信息管理、布防/撤控、查询、统计。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（3）系统配置包括：用户管理、出入口管理、车位管理、系统设置。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5、AI模型分析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5.1、模型库管理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支持模型上传导入，可通过工具下载导入，可通过配置秘钥远程从训练平台获取导入。训练平台支持AI开放平台、私有训练平台。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支持模型管理，包括查看、删除、编辑。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支持模型标签编辑，包括置信度、可见性、有效性。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5.2、模型下发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支持AI设备查看。可通过算法模型、设备类型、安保区域进行筛选。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支持算法模型单个下发。过程中实时展示下发进度。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支持AI设备的已下发算法模型删除或更新操作。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支持算法模型批量下发。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5.3、智能分析配置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支持标签或规则事件码自定义，包括手动填写和自动生成两种方式。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支持AI设备上已下发模型的引擎配置分析任务。分析任务类型包括实时视频任务、轮巡视频任务、定时抓图任务。每个分析任务需要关联通道。每个通道可以自定义规则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5.4、数据检测分析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支持场景下的算法检测数据进行分析。自定义规则，则按照规则关联的事件码生成报警事件；反之以标签对应的事件码生成报警事件。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支持报警事件通过Open Api订阅。</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058DE19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181D7A3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5132F8FA">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B5948E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99D25E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OMP运营管理平台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44A93043">
            <w:pPr>
              <w:widowControl/>
              <w:ind w:firstLine="0"/>
              <w:jc w:val="left"/>
              <w:textAlignment w:val="center"/>
              <w:rPr>
                <w:rFonts w:ascii="宋体" w:hAnsi="宋体"/>
                <w:color w:val="auto"/>
                <w:highlight w:val="none"/>
                <w:u w:val="none"/>
              </w:rPr>
            </w:pPr>
            <w:r>
              <w:rPr>
                <w:rFonts w:hint="eastAsia" w:ascii="宋体" w:hAnsi="宋体" w:cs="宋体"/>
                <w:color w:val="auto"/>
                <w:kern w:val="0"/>
                <w:szCs w:val="21"/>
                <w:highlight w:val="none"/>
                <w:lang w:bidi="ar"/>
              </w:rPr>
              <w:t>系统基于管网仿真技术，旨在实现管网巡视、施工监管、隐患处置等核心作业的规范化、智能化管理。系统支持作业任务计划的制定、执行与全过程监督，促进内外业管理紧密结合，提升管网运营的科学性、规范性和智能化水平。通过作业地图，可实时查看并监督人员、设备位置、作业过程及关键节点，确保作业规范、安全与高效，从而构建管网巡检、施工监管及隐患处置的安全闭环管理体系。在系统设计上，需着重考虑政府监管需求和政企协同合作模式。这要求系统进行流程化改造、增强兼容性，并实施严格的数据隔离机制。特别是对企业端数据，系统需具备属性分析、分级分类处理能力，并在隔离处理后上传至政府端。</w:t>
            </w:r>
          </w:p>
          <w:p w14:paraId="2EA1449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1、首页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对于人员位置、隐患分布、第三方施工、场站分布、物联感知分布等重点指标数据，支持基于首页进行可视化展示，点击任一要素，还可查看不同要素的详情信息，并基于管网GIS地图进行定位展示。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1.1、地图应用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通过与管网在线编辑系统集成对接，提供丰富的地图应用工具，包括地图缩放、坐标定位、拾取坐标、点击查询、图层管理、地图测量、地图切换等功能，辅助用户利用方便快捷的视图操作工具对各地形及管网数据进行浏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图层管理：针对多层的管网数据，系统支持多层管网能够分层控制显示的功能，通过控制具体可以展示的图层信息，满足多情境下的管网展示效果需求。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地图测量：系统提供多样的地图量测工具。包括距离、面积、角度、多面积的测量，同时可利用标注展示测量结果。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清除：系统支持对地图上临时绘制的线、区，或其他操作痕迹进行清除。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地图切换：系统提供瓦片地图、电子地图、在线地图、矢量地图和遥感影像图等的无缝切换、叠加显示等功能。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显示地图比例尺：系统支持显示当前范围地图缩放状态的比例尺信息。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显示地图坐标：系统支持在地图上显示鼠标经过地图位置的实时坐标信息。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1.2、人员位置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自动记录巡线人员通过智能手持终端设备实时上传的位置数据（GPS数据），在经过坐标转换与矫正获得巡线人员的实时坐标，发送到平台，实时显示外业员所处位置、在线状态，并可以依据需要，动态绘制其行动轨迹。系统还支持对外业人员的手持终端重要信息进行展示，支持轨迹的算法优化，辅助管理人员实时监管外勤人员的工作状态，并进行绩效考核，为人员激励管理和对于消极怠工的处理提供明确有力的依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（1）巡线人员实时位置监控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系统结合智能手持终端设备实时上传的位置数据（GPS数据），显示巡线人员实时位置、在线状态，同时可将多人轨迹同屏进行展示。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（2）巡线人员实时轨迹监控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自动记录巡线人员运行过程中实时上传的轨迹的坐标点，形成巡线轨迹，实时显示各个巡检人员在某一时刻的位置、移动速度、在指定时间段的巡检路线、平均速度等，如人员出现停滞，支持对停滞点进行管理，计算停滞时长、停滞位置，并形成分析结果，辅助管理人员对巡线人员进行有效监管，便于进行人员考核和评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（3）轨迹分析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平台将基于GIS地图，通过不同的颜色显示已巡线的管线和未巡线的管线。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1.3、场站一张图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系统支持基于管网GIS地图展示场站的位置分布信息，点击任一场站，还可查看详细实时信息、历史数据信息以及查看实际工艺图数据。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1.4、物联感知一张图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系统支持在管网GIS地图上可视化管网物联监测设备的位置，点击任一设备，还可查看监测指标等信息。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2、管网运行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管网运行模块满足便捷性、开放性、全面性的要求，将对管网巡视业务进行管理，将包括责任片区管理、巡视计划制定、巡视任务总览、巡检排班及管网物联管理等功能，实现从发现计划制定到完结的闭环管理。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2.1、区域管理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可针对燃气集团及成员企业业务开展需求，定制多类责任片区管理机制，并可各个区域进行网格化管理，将支持新增、编辑、删除、复制等操作，包括设置必经的关键点、关键线、绑定各分区的单个或多个责任人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2.2、巡视计划制定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系统支持按照周期性巡视计划和临时性巡视计划两种类型进行计划制定，支持按照实际任务的详情进行计划的新增、编辑等操作。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针对周期性巡视计划，系统将自动按周期生成巡视任务，并派发至APP端，提醒相关人员执行巡视任务。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当出现临时性巡视任务时，支持即时发起临时性巡视计划，并按照实际需求确定是按照单次或周期性的形式执行任务，并派发至APP端，提醒相关人员执行巡视任务。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2.3、巡视任务总览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为了实时把控任务进度、确保任务按期完成，系统将提供多类巡视任务执行情况管理的功能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3、场站运行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场站巡视模块需要具备对场站设备全方位监管的功能，当仪表、阀门等出现异常情况时实现立即处置，为管理人员及时掌握运行情况提供信息支持平台，为场站设备科学化维检修提供可视化工具，从而节省设备运维成本，增加企业经济效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3.1、场站管理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针对燃气集团管辖范围内的所有场站，支持在系统中进行场站基本信息、所处位置、绑定人员等信息的维护及管理，后续也可对基本信息进行增删改查等操作。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3.2、人员管理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系统支持对各场站关联的责任人员进行管理，包括绑定责任人员，填写联系电话等信息。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3.3、区域管理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本项目可针对燃气集团及成员企业业务开展需求，定制多类区域管理机制，并可各个场站区域进行网格化管理，将支持新增、编辑、删除、复制等操作，各个不同的网格区域可绑定责任人，在具体任务安排时，只需要将任务派发至相应网格，再由网格责任人完成具体工作的分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3.4、场站巡视计划制定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系统将支持对各燃气场站制定巡检计划，设置场站巡检点位、停留时间、是否需要上传打卡等要求，并进行任务分派。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计划制定完成后，平台会将制定的计划自动发送至相应的工作人员手持终端，并制定该任务执行起止时间，便于其按照要求执行巡检任务。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3.5、场站巡视任务总览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对于制定的巡视任务，系统将支持实时查看任务完成进度，并将巡检任务数据进行记录，通过将关键的任务的整体进度、完成率、到位率。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3.6、场站物联管理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系统纳入管理的各个场站，支持将场站内的物联监测设备进行管理，包括录入设备的参数、查看实时监测数据的读数、确定是否重点设施的形式进行展示等设置。可自动形成场站运行数据并支持历史数据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4、事件箱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安全隐患排查是保障燃气管道作业安全的重要环节，本项目将支持对巡检过程中发现的隐患事件进行全过程管理，管理人员可将所有的隐患事件以列表的形式展示在事件箱模块。同时点击任一事件，可查看隐患的类型、地址、现场照片、详细情况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平台管理员将支持对上报的事件进行统一处理，若该事件为无效事件，可删除该事件信息；若该事件需要维修处理，即可一键转工单进行跟踪，对于已转工单的事件可查看工单详情，工单详情内包括上报位置、现场照片、备注信息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4.1、事件查询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系统支持通过多个维度，包括上报时间、事件状态、事件类型等条件进行事件查询操作，查看具体事件详情信息。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5、工单中心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工单中心实现隐患整改、临时作业、碰接、置换、第三方施工等业务工单统一流转，实现各类工单从接单到关单的闭环管理，有效提升任务流程的流转效率，辅助提升企业业务运营监管水平。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还支持按照“待我处理、我已处理及抄送我的”分三个模块进行展示，点击任一事件，也可查看具体处理详情等信息。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6、隐患台账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隐患台账支持对各类隐患信息进行统一管理，查看上报的所有隐患信息。若该事件为无效事件，可删除该事件信息；若该事件需要维修处理，即可一键转工单进行跟踪，对于已转工单的事件可查看工单详情，工单详内包括上报位置、现场照片、备注信息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6.1、隐患上报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对于在巡检、安检、其他途径上报的隐患，系统支持隐患详情台账录入，在隐患上报时对隐患的类型、地址、现场照片、详细情况、隐患等级等进行描述。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同时对于已经上报的隐患，支持增加、删除、修改，并可以实时查看隐患的紧急情况、处理情况、当前状态、隐患负责人等，便于管理人员对巡查发现的隐患进行及时分析和反馈，实现隐患闭环管理和控制。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6.2、隐患处置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为了实现对整体隐患事件的闭环处置，支持以数字化的手段梳理相关隐患处置流程，对隐患事件的审核、整改、处置等过程进行管理，保证作业安全。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（1）隐患审核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对于上传的隐患信息，根据隐患类型、涉及区域等信息，支持按照前期设定的流程，提供不同的审核流程。相关领导可查看上报隐患的详细信息，从而给出相应审批意见。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（2）本人整改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隐患上报人员根据现场情况判断能否现场处理，如果能够现场处理则上报隐患时选择本人整改，系统会自动生产隐患整改工单。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（3）非本人整改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隐患上报人员根据现场情况判断能否现场处理，如果不能够现场处理则上报隐患时选择非本人整改，需要手动生成隐患整改工单或者，转其他各类型工单。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6.3、统计分析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结合上报的大量隐患数据，采用数据挖掘、空间分析等技术手段对事件高发区域进行分析，评估巡查工作有效性，形成重点管控对象，分析整体安全态势，动态配置巡查资源。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7、第三方台账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第三方台账支持查看巡线人员上报的第三方施工事件，可以在电脑端新增施工事件信息，并将支持录入施工行业、施工方式、施工方联系方式、敷设方式等信息。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同时所有施工事件还可支持基于管网GIS地图进行可视化管理，按照已完成、未完成、是否是重点施工等内容进行展示。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7.1、新增第三方施工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系统可以在电脑端新增施工事件信息，并将支持录入施工行业、施工方式、施工方联系方式、敷设方式等信息。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7.2、第三方施工事件查询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系统支持通过多个维度查询第三方施工事件，包括所属组织、工单状态、日常监管、上报时间等条件。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7.3、地图展示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所有施工事件还可支持基于管网GIS地图进行可视化管理，按照已完成、未完成、是否是重点施工等内容进行展示。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7.4、事件导出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对于所有的第三方施工事件，还支持以excel的形式进行导出，支持后续进行点击查看。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8、设备管理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设备管理模块主要对管网、场站、附属设施设备等进行管理，具体功能将包括设备分类与编码标准、设备台账、设备作业管理、计划性维护计划、计划性维护任务等内容。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8.1、设备分类与编码标准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系统将建立设备编码标准，结合业务实际情况，对现有设备编码规范进行提升完善，实现设备编码、物资编码与资产编码的对将，形成一套覆盖全面、规范适用的设备编码规则，固化设备编码成果。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8.2、设备台账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燃气公司的设备管理人员，以及相关的业务人员都可通过此功能查询到本部门、本企业或者是燃气集团的设备台账，以及相应的图纸资料。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其中设备台账数据将从管网管网仿真系统中同步，也可通过设备导入模板，导入设备数据，记录所有设备的参数和详细信息，查询时可通过设备编码、规格型号、入库时间、所属站点等多种字段信息进行筛选，支持设备二维码批量导出，设备导入、导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8.3、设备作业管理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为保证设备的正常运行，将对各设备制定作业计划，支持在前期针对各类设备制定作业类型、作业标准等信息。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8.4、计划性维护计划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对于各个纳入管理的设备，支持设置维护计划，并按照设备类型、重要程度等设置维护周期，安排维护人员等。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8.5、计划性维护任务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对于制定好的维护计划，将按照周期自动进行维护任务的分派，并由相关人员完成任务处理工作。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9、风险隐患管控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风险隐患管控模块主要对各类危险源信息进行管理，支持在平台中录入风险等级、风险控制措施等信息，进一步强化风险意识，防范安全风险管控管控不到位，保证燃气企业的正常运行。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9.1、危险源管理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系统支持在对各类危险源数据进行定义，并确定其风险指标、控制措施等信息。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（1）危险源录入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对确定纳入管理的危险源，支持对其设备类型、固有风险值、固有风险、风险识别、控制措施等信息进行录入，录入后后续也将纳入集团重点管理，确保危险源不会转变为风险及隐患。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（2）危险源详情查看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点击任一危险源信息，可查看具体详情，包括责任人、等级、控制措施等信息。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9.2、风险台账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对于各风险台账信息，支持以列表的形式进行统计展示，并提供包括风险填报、风险点二维码导出、风险编辑、详情查看等功能。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（1）风险填报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对于系统纳入管理的各风险点信息，支持对其关键信息进行录入，便于后续进行查看。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（2）风险信息编辑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对于系统中已录入的风险信息，也支持再次进行编辑，并修改其中关键信息。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10、管网检测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支持对接激光检测车，通过接口形式，获取检测车的检测数据、轨迹等数据，并生成检测报告，报告支持导出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11、工单配置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保证隐患整改、临时作业、碰接、置换、第三方施工等业务工单统一流转，实现各类工单从接单到关单的闭环管理，有效提升任务流程的流转效率，将支持根据工单的类型、各环节的表单、字段等要求，完成相关工单的配置工作，具体将包括工单状态配置、工单配置、角色工单类型配置、工单类型配置、日志配置、消息配置、表单配置及字典配置等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11.1、工单状态配置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对于各类不同类型的工单，支持配置工单的不同环节状态，具体工单类型包括隐患整改工单、临时作业工单、置换工单、竣工工单、碰接工单等类型。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11.2、工单配置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对于各类不同类型的工单，支持根据工单的类型，配置各角色责任人，并进行提交，提交后后续在进行工单执行时，将按照具体流程及角色权限进行运转。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11.3、角色工单类型配置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对于各类不同类型的工单，支持根据工单的类型，配置各角色责任人可查看的数据，具体事件包括GIS变更申请、第三方施工事件以及隐患事件上报。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11.4、工单类型配置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系统将提供工单类型配置功能，支持设置不同类型工单的关键字段、不同流程等信息。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11.5、日志配置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对于所有的日志记录，系统也支持进行设置，并设置各日志中需记录的关键信息。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11.6、消息配置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系统将提供消息配置功能，配置具体需要通知的消息，以及消息的模版等数据。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11.7、表单配置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对于各不同类型的工单，系统还支持配置其表单信息。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字典配置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系统将提供字典配置功能，支持对不同关键字典、字段等进行设置。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12、系统设置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该模块支持基于后台进行系统设置等工作，包括机构管理、角色配置、角色管理、功能权限设置、系统全局参数、巡视对象配置、数据权限设置、运营指标标准管理及运营指标个性管理等内容。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13、GIS变更台账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为保证管网GIS数据的现势性和准确性，支持发动全员，对工作过程中发现的管网GIS错误数据进行上报，上报完成后，可根据实际情况完成处理，同时所有GIS变更的信息也将在GIS变更台账模块进行统一展示。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13.1、GIS变更申请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在发现GIS数据错误后，支持对工作过程中发现的管网GIS错误数据进行上报。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13.2、提交到管网仿真系统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系统支持选择需要GIS变更申请的数据，支持进行提交，提交后将自动传送到在线编辑系统中的相关模块，便于后续进行修改操作。</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5117D0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161DB8C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34E0A23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165D7C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6366F9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工程数智化全流程管控平台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5314F52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工程数智化全流程管控平台旨在满足燃气集团各类工程流程的监管，深度融合先进的计算机网络技术和工作流引擎，构建一个专业、个性化且实用的工程可视化管理系统。该平台实现了政府对集团、成员企业及生态圈合作伙伴所有工程项目的全流程管控监督与信息精细化、可视化管理，为集团提供科学化、规范化的工程管理服务。</w:t>
            </w:r>
          </w:p>
          <w:p w14:paraId="4334CD0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台为企业端各层级工程管理人员提供丰富的业务应用功能，助力其成为燃气行业的信息化示范标杆。在政府监管与政企合作方面，平台进行流程化优化设计、提升系统兼容性、实施严格的数据隔离机制。同时，系统需具备对企业端数据的属性分析、分级分类处理能力，确保数据经隔离处理后安全上传至政府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具体体现在以下几个方面：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 建立工程数字化管理平台：通过信息化手段，整合和建立工程数字化管理平台，打通前后端系统，确保信息的流畅和高效传递。这一平台应涵盖燃气工程的前期准备、施工过程、竣工验收等各个阶段，实现全生命周期的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施工工序可视化：施工工序的可视化是提高施工效率、降低安全风险和提高质量控制的关键。过程可视化和数据可视化等技术，将复杂的施工过程以直观的方式呈现给施工人员和管理人员，帮助他们更好地掌握技术要点、预防潜在风险，并及时发现和解决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关键资料电子化：实现关键工程资料的电子化存储和管理，确保资料的完整性和可追溯性。这包括设计文档、施工图纸、施工记录、质量检测报告等，通过电子化管理，可以方便地进行查询、分析和归档。使工程相关方全方位了解工程信息，解决工程文档编制及时性、准确性的行业难题。将过程资料及时归档，保证竣工资料完整准确，提升竣工时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推动“四不两直”原则落地：在项目执行过程中，应遵循“四不两直”原则，通过工程可视化系统，可以实时监控工程进展，确保施工过程的规范性和质量标准的执行。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规范工程施工与过程管控：利用数字化管理平台，对工程施工过程进行严格的规范和管控。通过数据分析和监控，可以及时发现潜在问题，采取有效措施进行纠正，从而确保工程质量和进度。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数据收集与沉淀：通过工程可视化系统，收集并沉淀工程数据，为集团监管提供统一的数据抓手。这些数据可以用于分析、预测和决策支持，帮助集团更好地了解工程状况、优化资源配置和提高管理效率。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 综上所述，项目的整体目标是通过信息化手段建立工程数字化管理平台，实现工程全生命周期管理，推动施工工序可视化和关键资料电子化，从而规范工程施工、严把过程管控，并最终实现提质增效。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1、系统登录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为确保可视化系统实现统一化管理和实名制化监控，我们设计了以下策略：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1.1、内部人员管理策略：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了保障内部人员信息的准确性和实时性，我们专门设计了与MDM（主数据管理）系统相连接的接口，用以无缝对接并获取最新的组织架构信息。这不仅确保了数据的精确同步，还大大提升了管理效率。同时，我们能够安全、高效地获取内部人员的账号信息，实现了账号与组织架构的精确匹配，为实名制化管理提供了坚实的数据基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1.2、外部人员管理策略：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外部人员，我们同样采用了管控手段。通过与钉钉系统的对接，设计一套高效的接口，不仅能够实时获取外部人员的账号信息，还能够根据其角色和职责自动构建组织架构。不仅确保了外部人员信息的准确性和实时性，还大大提高了管理的灵活性和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2、系统首页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首页设计以消息区域、看板区域、重点关注、快捷方式和用户信息五个方面为核心内容，旨在为用户提供便捷、高效的信息展示和操作体验。通过个性化的定制和灵活的配置，首页可以满足不同用户的需求和场景，提升用户的满意度和工作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2.1、消息区域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消息区域位于首页的显著位置，接受和查询需要办理的单据内容。实时更新并展示用户的各类通知、提醒及最新动态。通过简洁明了的界面设计，用户可以快速浏览并处理重要信息，确保不遗漏任何关键内容。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2.2、看板区域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看板区域是首页的核心部分，用于展示用户关注的重要数据、图表及趋势分析。通过个性化的定制，用户可以根据自己的需求调整看板内容，实现快速的数据监控和决策支持。同时，看板区域支持多种数据可视化方式，包括柱状图、折线图、饼图等，帮助用户更直观地了解数据变化和趋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2.3、重点关注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重点关注区域用于展示用户需要特别关注的内容，如重要任务、紧急事件或关键指标等。通过醒目的标识和优先级排序，同时，重点关注区域支持自定义配置，用户可以根据自己的关注点和需求调整展示内容。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2.4、快捷方式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快捷方式区域提供了一系列快速访问常用功能的入口，如报表、个人中心等。用户可以通过简单的点击，快速进入相关功能页面，提高工作效率。同时，快捷方式区域支持个性化定制，用户可以根据自己的使用习惯和需求调整快捷方式的布局和顺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2.5、用户信息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用户信息区域位于首页的侧边栏位置，展示用户的头像、昵称、角色等基础信息。通过用户信息区域，用户可以快速查看和管理自己的账户信息，如修改密码、查看个人设置等。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3、任务事项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（1）待办任务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作为个人事务的核心枢纽，高效梳理与追踪各项待办事项个人需要办理的事项列表；通过审批签字办理留痕，灵活终止与转办提升工作效率。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（2）我发起的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个人发起的单据，支撑单据的终止和撤回。系统会进行一系列的检查，如单据的状态、是否已经被其他人处理等，以确保可以安全地终止单据。如果满足撤回条件，系统会将单据恢复到发起前的状态，并且相关的操作和处理都会被取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（4）已办任务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展示完成历程，记录成效，方便回顾与追溯。不仅保证了工作的规范性，还大幅提升了内部协作的透明度与可追溯性。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3.1、工程概览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工程列表中，区分不同维度（如所有工程、区域工程、公司工程、我的工程）来展示工程清单，旨在满足用户的不同需求。全局视角方便概览所有工程，区域维度便于了解各地工程分布，公司维度展示组织内工程活动，个人视角则便于用户管理自己的工程任务。这种分类提高了项目管理的效率和灵活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所有工程：这一维度展示的是集团内所有的工程项目，无论其归属、区域或其他属性如何。这为用户提供了一个全局的视角，使其能够概览所有正在进行或已经完成的工程。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区域工程：这一维度则是根据工程所在的区域来划分的。以便区域领导能够了解各个区域的工程进展和分布情况。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公司工程：这一维度是按照项目公司来划分的。它可能用于展示某个公司所有的工程项目，以便用户能够了解该公司或组织在不同领域的工程活动。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我的工程：这一维度则是从用户个人的视角出发，展示该用户负责或参与的工程项目。这有助于用户快速找到并管理自己的工程任务，提高工作效率。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3.2、工程来源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在工程管理系统中，从ERP（企业资源规划）系统自动获取开工的工程信息，并在可视化界面创建相应的工程信息，设置一个高效且准确的数据同步流程。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高效地从ERP系统获取开工的工程信息，减少人工干预和错误。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在可视化界面实时展示工程状态，提高项目管理的透明度和效率。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确保工程管理系统与ERP系统之间的数据一致性和准确性。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提供数据追踪和日志记录功能，帮助项目团队更好地监控和管理工程项目。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（1）自动数据同步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数据源：系统应能够连接到ERP系统，并作为客户端从中获取开工的工程项目信息。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同步触发：可以是定时同步（如每天固定时间从ERP拉取数据），也可以是基于事件触发（如ERP中有新工程开工时，实时同步到工程管理系统）。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数据验证：在同步过程中，系统应对数据进行验证，确保数据的完整性和准确性。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（2）可视化工程创建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自动创建：一旦从ERP同步到工程信息，系统应在可视化界面自动创建相应的工程条目。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展示信息：在可视化界面上，工程信息应清晰展示，包括但不限于工程名称、项目公司、开工日期、负责人等关键信息。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（4）信息存储与追踪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时间戳：每个工程的创建时间和同步时间都应被系统记录，并以时间戳的形式存储。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（5）状态管理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可视化状态：系统应管理工程在可视化界面的状态ERP状态：同时，系统也应追踪工程在ERP系统中的状态，确保两边状态的对比性。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状态同步：若可视化界面或ERP系统中的工程状态发生变化，系统应能够实时或定时更新另一方的状态。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3.3、可视化查看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我们为用户提供一个直观、高效、个性化的项目详情页体验，从而满足用户在项目管理过程中的多种需求。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（1）项目名称醒目展示与导航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首页或项目列表中，项目名称以蓝色突出显示，以吸引用户的注意力。用户点击项目名称时，将直接导航至该项目的详情页。提供直观、快捷的导航方式，使用户能够快速定位到感兴趣的项目。强化项目的可识别性，提升用户体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（2）详情页选项卡设计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详情页上方设有“基本信息”和“项目成员”两个选项卡。用户可以通过点击选项卡来切换查看不同的信息内容。将项目信息模块化，方便用户按需查看。提供清晰的信息架构，降低用户的认知负担。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（3）基本信息展示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在“基本信息”选项卡中，展示项目概况、业务管理流程等重要信息。信息包括但不限于：项目准备、开工日期、关键工序、项目目标等。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提供一站式的信息概览，帮助用户快速了解项目全貌。便于用户进行项目规划、监控和管理。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（4）项目成员管理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在“项目成员”选项卡中，展示项目团队成员的相关信息。可包括成员姓名、角色、职责、联系方式等。促进团队成员之间的沟通和协作。方便用户了解团队成员配置，优化人力资源分配流程引擎快速启动。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（5）个性化收藏功能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支持用户将感兴趣的项目添加到个人收藏夹中充分赋能一线，避免重复搜索。用户可以在收藏夹中快速访问和管理自己的工程项目。提供个性化的项目管理方式，满足不同用户的需求。提高用户访问和管理项目的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3.4、工程地图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结合集团GIS系统，通过互动式工程地图的设计，可以为公司提供一个直观、便捷的项目管理工具，支撑项目监控、资源分配、风险识别与决策支持等业务需求。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产出丰富的项目分布、进度统计、资源使用效率和风险管理等数据报告，为公司业务运营和战略发展提供有力支持。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地图上标记各个项目的位置，可通过点击或悬停显示项目的基本信息（如项目名称、进度、关键指标等）。支持缩放、平移和搜索功能，便于快速定位到特定区域或项目。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3.5、委托管理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（1）施工任务委托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撑项目公司向施工单位、监理单位及现场代表下发任务书的业务场景，规范并确保各单位明确任务内容，及时做好施工前准备工作。明确标注任务内容、要求、工期和其他相关细节。确保施工单位、监理单位和现场代表能够及时接收到任务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同时，通过数据输出，项目公司能够全面了解任务执行情况和准备进度，为施工过程的顺利进行提供有力保障。具体数据包含：工程信息，工程类型、参建单位、承包范围、承包方式、开竣工日期、工程造价、委托内容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3.6、交底管理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（1）图纸会审及设计交底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为线下图纸会审及设计交底提供全面支撑，确保及时邀请与通知相关参与人员。自动记录参与情况和意见反馈，形成汇总报告，留痕的数据供参与人共同确认和会签，以改进设计和施工流程。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提供打印功能确保资料完整准确，提升交底效率和透明度，有效解决交底形式化问题。具体包含数据交底时间、交底地点、图纸会审纪要、交底要点及纪要、交底单位等。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（2）施工技术及安全交底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交底模块的设计旨在通过有效管理和控制施工技术及安全交底的全过程，，以最大化保障施工安全与质量。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数据驱动优化施工流程，确保合规性与安全性整合邀请、签到、反馈三个环节，充分调动设计和监理职责，形成闭环管理，推动参与人员全面理解和遵循相关安全和技术要求，由相关参与方共同确认和会签：具体包含数据：交底情况、签到情况、反馈数据，建设单位配合情况，交底日期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3.7、开工管理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（1）测量放线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测量放线为确保工程建设的准确性和规范性。规范测量流程，拍照审批，使现场工作得到及时审核，为测量放线的实际落实提供了坚实的支撑，并进行有效的监管，以确保每一个步骤都按照既定的标准和流程进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用户可轻松输入实测数据，确保审批过程全程留痕，并可输出竣工资料，保障合规性。由相关参与方共同确认和会签：具体包含数据：测量仪器、放线部位、照片，转角情况、放线示意图等。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（2）施工组织设计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施工组织方案的整个审查流程，确保从发起、审批到签字、盖章都高效且规范。施工单位可以轻松整理并传递审查信息，同时增强审查过程的透明度和可追溯性，提高审批效率。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生成并管理关键数据，确保施工组织设计准确性、完整性和及时性。包括施工组织方案、附件、审批意见以及电子审批、签字信息。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（3）开工报告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开工报告功能的设计遵循了开工管理的各项业务标准，支撑开工前具备条件检查和合同检查，审核与批准流程等符合规范。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开工报告的签批，由相关参与方共同确认和会签。具体包含数据：合同文号、施工地点、设计单位、计划开工日期、计划竣工日期、工程规模及内容、开工条件具备性审查内容。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3.8、开挖回填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（1）沟槽开挖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沟槽开挖功能保障管沟开挖的工程质量。支撑开挖过程控制，施工单位实时上传的现场开挖照片(前/中/后)和开挖数据，增强施工过程的透明度，同时可根据标准照片的对比，使得问题能够及时发现和纠正。通过监理旁站的关联，确保了施工全过程的监控，进一步提升了工程质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开挖过程中产生大量宝贵数据，包括现场照片、开挖数据和审核反馈等。这些数据为我们提供了深入了解施工过程的依据，有助于评估工程质量并优化施工方案。每个批次的开挖记录，由相关参与方共同确认和会签。具体包含数据：施工地点、管径、开挖方式、开挖时间、沟槽范围（长）、沟槽范围（宽）、沟槽范围（高）、开挖照片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（2）管沟回填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为埋地管回填过程提供了全面保障和严格监管。确保回填材料、夯实和路面恢复符合标准，保障管道稳固性和长期安全性。确保回填每一步都规范，问题得到及时处理。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生成丰富的数据资源，为后期维护提供详实资料。三方签字确认明确责任与工程质量认可，确保埋地管工程高质量完成，达到预期标准。确认具体包含数据：回填照片、回填内容、回填检查项等。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3.9、管道安装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（1）PE管热熔焊接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PE管热熔焊接功能确保焊接的专业性与合规性，通过输入唯一焊口编码（50000000起递增的8位数字）和自动验证焊工身份，保障焊接准确性及质量达标。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全面监管焊接过程，IOT实时回传信息，有效防止数据篡改，实现全面可追溯。产出的详细焊接数据包括焊机编号、焊口编码等，为质量评估、问题分析和效率提升提供重要依据。多方会签确认具体数据包含：焊接照片、焊接状态、焊口编号、焊机编号、焊接数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（2）PE管电熔焊接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PE管热熔焊接功能确保焊接的专业性与合规性，通过扫码枪扫描唯一焊口编码（10000000起递增的8位数字）和自动验证焊工身份，保障焊接准确性及质量达标，监管每一个焊口的焊接数据留痕。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全面监管焊接过程，IOT实时回传信息，有效防止数据篡改，实现全面可追溯。产出的详细焊接数据包括焊机编号、焊口编码等，为质量评估、问题分析和效率提升提供重要依据。多方会签确认具体数据包含：焊接照片、焊接状态、焊口编号、焊机编号、焊接数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（3）钢制管道焊接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钢制管道焊接记录报验是确保焊接质量的关键环节，它使焊接过程透明化并可追溯。焊工和资料员在这一流程中扮演着关键角色，负责整理并报批所有相关的焊接照片和结构化数据、抽检结果以及无损检测报告等资料。这一流程严格把控钢管焊接合格率，确保工程项目质量和安全，有效预防潜在的安全隐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同时，考虑管控焊接工艺的执行情况，确保每个焊接环节都符合标准。最终，这一流程将产出详细的焊接质量数据，包含：焊接照片，焊口数量、焊接日期、焊工、焊口编号、焊接数据等。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（4）PE翻边切削检查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制定PE热熔焊接翻遍切削检查模型，严控初次检查覆盖15%和翻倍覆盖30%的翻遍检查红线。多方会签确认具体数据包含：焊接照片、焊口编号、检查情况等、整改情况。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（5）钢管焊缝检查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钢管焊缝检查是确保钢管结构安全的关键环节。它保障了焊缝的质量符合标准和设计要求，从而确保钢管结构的整体安全性和稳定性。通过焊缝检查，我们可以管控施工过程中的质量，确保焊缝的连续性和完整性，避免潜在的安全隐患。最终，焊缝检查输出了详细的检查记录报告，包括焊缝的质量状况、可能存在的问题，为工程质量的持续改进提供了有力支持。检查的内容包括：焊缝编号、焊缝日期、焊缝质量、焊接材料、焊工信息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（6）单线图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资料员可以确保绘制的单线图准确反映现场实际情况，并得到施工、监理、建设单位的认可，为项目的顺利进行提供有力支持，产出的数据包含单线图类型、类型、单线图附件等。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（7）管道安装记录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道安装检查记录通过内置安装工艺管理规范要求，确保工程人员能够快速掌握安装标准，从而提高工作效率并保障安装质量。产出的数据详尽全面，包括安装地点、安装照片及按照规范要求的各项内容等，为项目安全稳定运行和后续维护提供了有力支撑。这种管理方式保障了工程项目的质量和安全，减少了潜在风险，提升了整体工程水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（8）阀门试验记录表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这一流程确保了阀门的安装质量，从源头上避免了因阀门质量问题导致的工程事故。在阀门试验过程中，遵循技术规范和操作规程，确保安装质量符合设计要求。监理单位全程监督，抽查阀门质量并监督施工操作，确保符合设计要求。竣工资料归档同样重要，为工程验收和维护提供依据。严格执行流程，确保阀门安装质量和安全性，为工程顺利进行提供保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（9）阀门安装记录表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阀门安装后，严格遵循检验标准自行检查，该流程确保了工程阀门的安全性和可靠性。通过自行检查、数据填报、签字确认和归档，实现了对阀门安装质量的全面监控和管理，管控了安装过程中的质量问题，如安装质量检查项、数据真实性和完整性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安装过程同时输出现场照片阀门安装位置、公称压力、阀门型号规格、安装检查项目和签批内容，为工程竣工验收提供了重要依据。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4、隐蔽工程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隐蔽工程：隐蔽工程的过程控制和数据留痕是确保工程质量、保障工程安全、提高工程效率的重要手段。隐蔽工程验收功能影响和数据留痕，支撑隐蔽工程的过程控制，和隐蔽工程施工场景的还原。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确保数据的准确性和完整性，隐蔽工程的相关数据需由参与方共同确认和会签。这些数据涵盖了隐蔽工程的类型、分项内容、隐蔽前后的照片、检查内容以及具体的隐蔽细节等。通过严格的数据管理和确认流程，我们能够为隐蔽工程提供有力的质量保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5、吹扫试压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5.1、管道吹扫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嵌入燃气管道吹扫作业标准工序于系统功能，结合移动端实时上报作业参数和视频，具有不可或缺的重要作用既确保了管道安装作业的安全与质量，也加强了作业过程的监控与结果追溯。管理人员可据此实时掌握现场情况，及时跟进审查，提高管理效率，优化了作业流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保障作业安全、提升管理效率的同时，也促进了项目质量的整体提升，为燃气管道安装工程的顺利进行提供了重要保障。还通过数据化管理，提供了坚实支撑，作业人员，会签人员可以对，吹扫照片，靶板情况，吹扫视频，吹扫过程，吹扫地点，是否成功，有直观的认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5.2、管道强度试验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严格的打压测试和记录流程，我们确保了管道安装的质量符合相关的行业标准和法规要求。遵循标准的操作流程和记录要求，不仅提高了项目的整体质量，还增强了项目的合规性和透明度。在测试过程中，我们重视信息管理，确保所有的记录和信息都被系统地整理和归档，以便日后的查询和审计。这种细致的管理方式，不仅保障了信息的完整性和可追溯性，也为项目的长期运行和维护提供了有力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此外，工程管道强度试验的相关数据需由参与方共同确认和会签，确保数据的准确性和可靠性。这些数据包括试验照片、试验材料、试验介质、起止桩号、管材直径、压力表类型等，它们全面反映了管道安装的质量和性能。通过共同确认和会签，不仅加强了参与方之间的沟通与协作，还提高了项目的透明度和信任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5.3、管道严密性试验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为了确保管道安装的质量并降低投运风险，建立一个管道严密性试验填报机制是至关重要的。这一机制应涵盖管道严密性试验的整个过程记录，并保留相关的影像资料，以确保试验的有效性和可追溯性。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首先，通过这一机制，可以系统地记录试验的各个环节，包括试验前的准备、试验过程、试验结果以及任何异常情况。这些记录不仅为日后审查提供了依据，还有助于分析可能出现的问题，并采取相应的措施进行改进。有助于降低管道投运风险。通过确保试验的有效性和可追溯性，可以及时发现并处理潜在的安全隐患，从而确保管道的安全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6、竣工自检及预验收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程可视化系统在“竣工自检及预验收”环节扮演着关键角色，它能够对前置环节的关键工序报验单进行校验，并根据校验结果判定是否更新状态为待竣工。这一环节的实现，确保了整个工程项目的质量和流程的完整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具体来说，通过两个主要步骤来实现这一过程：系统自检和人员会审。首先，系统会对关键工序报验单进行自动校验，检查各项数据和信息是否符合标准和要求。其次，系统还会结合业务人员在系统中的操作，进行双重判断。这种双重判断机制，既发挥了系统的自动化优势，又确保了人的主观判断能够发挥作用，从而提高了校验的准确性和可靠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通过这种方式，工程可视化系统形成了一个完整的链条，将竣工自检环节作为控制点，对整个工程项目的质量和进度进行严格的控制。这不仅有助于及时发现和解决问题，还能够提高工程项目的整体质量和效率。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7、合规检查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7.1、监理旁站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在工程项目的实施过程中，有几个关键的工序环节需要监理进行全程旁站，以确保工程质量和安全。这些环节包括：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定向钻拖管：由于涉及到地下管道的精确布置和安装，因此需要监理在旁站中确保施工过程的规范性和准确性。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管道沟槽开挖回填：这一环节涉及到管道的埋设和回填工作，对土壤的质量、回填材料的选用和回填过程的压实度等都有严格要求。监理需要在旁站中监督这些参数的控制，确保管道的安全性和稳定性。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隐蔽工程管道防腐：由于隐蔽工程在完工后难以检查和维修，因此其防腐处理尤为重要。监理需要在旁站中监督防腐材料的选用、施工工艺的执行以及防腐处理的效果。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七大高危作业：这些作业包括高处作业、受限空间作业等，具有较高的安全风险。监理需要在旁站中监督安全措施的落实、作业人员的资质和操作规范等，确保作业过程的安全。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吹扫：管道安装完成后，需要进行吹扫以清除管道内的杂物和脏物。监理需要在旁站中监督吹扫过程的执行、吹扫效果的检查以及管道的保护措施等。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强度试验和严密性试验：这些试验是对管道质量和性能的重要检测手段。监理需要在旁站中监督试验过程的规范性、试验数据的准确性和试验结果的判定等，确保管道的安全性和可靠性。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的来说，监理在全程旁站这些关键工序环节中，需要密切关注施工过程的规范性和准确性，及时发现和解决问题，确保工程质量和安全。同时，还需要与施工单位保持密切的沟通和协作，共同推动工程项目的顺利进行。旁站数据主要包括：旁站工序、旁站时间、施工情况、监理情况、发现问题和处理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7.2、安全质量检查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针对工程安全和质量，建立闭环管理功能，包括安全检查、质量抽查与问题整改。各单位到现场后，需在工程下创建抽检单，据实填写检查结果。合格则上传照片结束；不合格则系统生成整改单，发起人填写信息后提交给整改人，整改人反馈直至合格。此机制确保及时发现问题、快速整改，提高工程安全质量把控力度，降低风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通过标准化操作，各单位协同合作，共同保障工程安全、质量，确保项目顺利进行。同时安全质量检查产出的数据可通过大屏驾驶舱进行统计和分析进行综合展示。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8、高危作业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涉及高危作业的工程项目，在施工前完成七大高危作业票办理是至关重要的。这些作业票包括但不限于带气作业票、动火作业票、受限空间作业票、高处作业票、吊装作业票、动土作业票、临时用电等。系统设计相关人员可随时抽查作业票；并对作业票的状态进行校验，确保作业过程的安全，降低事故风险，并保障工作人员的生命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9、基础资料管理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9.1、机械设备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加强机械设备管理，开发专用功能，建立焊机、穿越钻机等设备的完整信息库，实现规范化管理。此功能基于设备类型、状态等信息，确保现场作业人员具备相应资质，作业记录与设备关联，杜绝无证和违规操作，降低作业风险。通过实时更新设备状态、维修记录和使用情况，提高设备使用效率和安全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9.2、工程人员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建立完善的人员管理模块，我们可以为工程项目建设提供准确、完整、清晰的人员信息支撑，确保各方主体在项目实施过程中能够高效协作，降低沟通成本，提高管理效率。为了围绕工程施工单位、监理单位、设计单位、建设单位等各方主体，建立完善的人员管理模块，我们可以从以下几个方面着手实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（1）人员组织机构管理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构建树状结构，展示各单位的组织架构，包括部门、岗位、子部门等。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（2）人员信息管理：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设计统一的人员信息表单，包括姓名、性别、年龄、联系方式、学历、工作经历等基本信息。提供人员信息的录入、修改、查询、导出等功能。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（3）人员岗位与角色管理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定义不同的岗位和角色，如项目经理、监理员、设计等，并关联相应的职责和权限。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为每个人员分配具体的岗位和角色，确保他们在项目中发挥正确的作用。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（4）资格证件管理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建立资格证件库，包括各类专业资格证书、安全培训证书等。要求人员上传相应的证件扫描件或照片，并进行验证和审核。设置证件有效期提醒，确保人员持有的证件始终有效。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（5）项目组成员管理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为每个工程项目建立项目组成员列表，明确显示项目经理、现场代表、技术负责人、安全负责人等关键岗位人员。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允许项目组成员的动态调整，如人员变更、增减等，并实时更新相关信息。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（6）权限与安全管理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根据人员岗位和角色分配相应的系统权限，确保信息的安全性和准确性。实施严格的权限控制，防止未经授权的人员访问敏感信息。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统计分析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统计分析从三个层面设计：分别是管理数据报表、业务数据报表和大屏驾驶舱；系统通过数据挖掘技术，能够自动收集、整理和分析大量的数据，进而产出各种报表和看板数据，为企业的决策和运营提供有力的支持。</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3CCCE8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2F6DFFD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6298F377">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1894C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4AD6912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系统接口</w:t>
            </w:r>
          </w:p>
        </w:tc>
        <w:tc>
          <w:tcPr>
            <w:tcW w:w="3502" w:type="pct"/>
            <w:tcBorders>
              <w:top w:val="single" w:color="000000" w:sz="4" w:space="0"/>
              <w:left w:val="single" w:color="000000" w:sz="4" w:space="0"/>
              <w:bottom w:val="single" w:color="000000" w:sz="4" w:space="0"/>
              <w:right w:val="single" w:color="000000" w:sz="4" w:space="0"/>
            </w:tcBorders>
            <w:vAlign w:val="center"/>
          </w:tcPr>
          <w:p w14:paraId="313CC83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1、空间数据对接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通过对接桂平市燃气企业地面建筑及地下管线的地理空间数据，以及企业、场站、管网等相关属性、坐标等数据，叠加至地图，为城市燃气安全运行监管、燃气管网地理信息平台提供底图GIS数据支撑。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2、物联感知数据对接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对接燃气企业全量物联感知设备运行数据，如流量、压力等物联设备数据，接入物联接入平台，并实现物联感知数据集成与开发，为物联监测预警平台提供数据支撑。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3、燃气业务数据对接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将企业相关燃气运行业务数据、政府相关业务数据、区/市共享交换数据，包括各种基础数据、管道气等业务数据、管线数据、巡检巡查数据、风险隐患数据、安全运行管理数据等，实现燃气基础信息数据的采集、对接至数据中台，经过数据治理后形成数据仓库，为智慧燃气业务监管平台、驾驶舱等应用、城市生命线业务平台等赋能，同时可与区/市共享交换数据对接，实现桂平燃气监管业务数据向区平台上报。</w:t>
            </w:r>
          </w:p>
          <w:p w14:paraId="7F4F00A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4、视频监控数据对接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视频监控数据对接主要汇聚企业视频监控、政府相关局视频监控、区/市共享交换视频资源，统一接入视频综合智能监控平台，实现城市生命线相关视频设备统一接入、统一纳管、视频监控调度管理，同时视频监控资源与智慧燃气业务监管平台、驾驶舱等对接，实现视频监控预警应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5、统一认证数据对接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主要支持将项目建设范围内的各个子系统，以统一认证登录方式，登录综合平台，内容包括各子系统与综合门户的门户集成、统一认证、统一用户、权限管理等对接。</w:t>
            </w:r>
          </w:p>
          <w:p w14:paraId="3AE0BAD4">
            <w:pPr>
              <w:keepNext w:val="0"/>
              <w:widowControl/>
              <w:numPr>
                <w:ilvl w:val="-1"/>
                <w:numId w:val="0"/>
              </w:numPr>
              <w:ind w:left="0" w:firstLine="0"/>
              <w:jc w:val="left"/>
              <w:textAlignment w:val="center"/>
              <w:outlineLvl w:val="9"/>
              <w:rPr>
                <w:rFonts w:hint="eastAsia" w:ascii="宋体" w:hAnsi="宋体" w:cs="宋体"/>
                <w:b w:val="0"/>
                <w:color w:val="auto"/>
                <w:kern w:val="0"/>
                <w:szCs w:val="21"/>
                <w:highlight w:val="none"/>
                <w:lang w:bidi="ar"/>
              </w:rPr>
            </w:pPr>
            <w:r>
              <w:rPr>
                <w:rFonts w:hint="eastAsia" w:ascii="宋体" w:hAnsi="宋体" w:cs="宋体"/>
                <w:color w:val="auto"/>
                <w:kern w:val="0"/>
                <w:szCs w:val="21"/>
                <w:highlight w:val="none"/>
                <w:lang w:val="en-US" w:eastAsia="zh-CN" w:bidi="ar"/>
              </w:rPr>
              <w:t>6、</w:t>
            </w:r>
            <w:bookmarkStart w:id="52" w:name="_Toc7385"/>
            <w:bookmarkStart w:id="53" w:name="_Toc31449"/>
            <w:bookmarkStart w:id="54" w:name="_Toc27133"/>
            <w:r>
              <w:rPr>
                <w:rFonts w:hint="eastAsia" w:ascii="宋体" w:hAnsi="宋体" w:cs="宋体"/>
                <w:b w:val="0"/>
                <w:color w:val="auto"/>
                <w:kern w:val="0"/>
                <w:szCs w:val="21"/>
                <w:highlight w:val="none"/>
                <w:lang w:bidi="ar"/>
              </w:rPr>
              <w:t>预留对接接口</w:t>
            </w:r>
            <w:bookmarkEnd w:id="52"/>
            <w:bookmarkEnd w:id="53"/>
            <w:bookmarkEnd w:id="54"/>
          </w:p>
          <w:p w14:paraId="60F33C7D">
            <w:pPr>
              <w:widowControl/>
              <w:ind w:firstLine="0" w:firstLineChars="0"/>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平台实现共享智慧城市数据，以及实现接入多管理职能部门端口。</w:t>
            </w:r>
            <w:r>
              <w:rPr>
                <w:rFonts w:hint="eastAsia" w:ascii="宋体" w:hAnsi="宋体" w:cs="宋体"/>
                <w:color w:val="auto"/>
                <w:kern w:val="0"/>
                <w:szCs w:val="21"/>
                <w:highlight w:val="none"/>
                <w:lang w:bidi="ar"/>
              </w:rPr>
              <w:t>与综合门户集成对接，实现统一认证，用户、权限的统一管理。城市生命线智能运营中心（IOC）驾驶舱的无缝对接，实现大屏综合展示。</w:t>
            </w:r>
          </w:p>
          <w:p w14:paraId="34357808">
            <w:pPr>
              <w:widowControl/>
              <w:jc w:val="left"/>
              <w:textAlignment w:val="center"/>
              <w:rPr>
                <w:rFonts w:hint="eastAsia" w:ascii="宋体" w:hAnsi="宋体" w:eastAsia="宋体" w:cs="宋体"/>
                <w:color w:val="auto"/>
                <w:kern w:val="0"/>
                <w:szCs w:val="21"/>
                <w:highlight w:val="none"/>
                <w:lang w:val="en-US" w:eastAsia="zh-CN" w:bidi="ar"/>
              </w:rPr>
            </w:pP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853AF3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26ECA71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6324CCCA">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vAlign w:val="center"/>
          </w:tcPr>
          <w:p w14:paraId="24F5E1F2">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二、支撑环境建设</w:t>
            </w:r>
          </w:p>
        </w:tc>
        <w:tc>
          <w:tcPr>
            <w:tcW w:w="220" w:type="pct"/>
            <w:tcBorders>
              <w:top w:val="single" w:color="000000" w:sz="4" w:space="0"/>
              <w:left w:val="single" w:color="000000" w:sz="4" w:space="0"/>
              <w:bottom w:val="single" w:color="000000" w:sz="4" w:space="0"/>
              <w:right w:val="single" w:color="000000" w:sz="4" w:space="0"/>
            </w:tcBorders>
            <w:vAlign w:val="center"/>
          </w:tcPr>
          <w:p w14:paraId="49B6DAC8">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190B18EA">
            <w:pPr>
              <w:jc w:val="center"/>
              <w:rPr>
                <w:rFonts w:hint="eastAsia" w:ascii="宋体" w:hAnsi="宋体" w:cs="宋体"/>
                <w:color w:val="auto"/>
                <w:szCs w:val="21"/>
                <w:highlight w:val="none"/>
              </w:rPr>
            </w:pPr>
          </w:p>
        </w:tc>
      </w:tr>
      <w:tr w14:paraId="1F21C306">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noWrap/>
            <w:vAlign w:val="center"/>
          </w:tcPr>
          <w:p w14:paraId="43EF5F8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1、软件平台资源池</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0D124E3">
            <w:pP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376358F9">
            <w:pPr>
              <w:jc w:val="center"/>
              <w:rPr>
                <w:rFonts w:hint="eastAsia" w:ascii="宋体" w:hAnsi="宋体" w:cs="宋体"/>
                <w:color w:val="auto"/>
                <w:szCs w:val="21"/>
                <w:highlight w:val="none"/>
              </w:rPr>
            </w:pPr>
          </w:p>
        </w:tc>
      </w:tr>
      <w:tr w14:paraId="0200E61C">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07C6F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2DB753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超融合一体机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7C0E07DB">
            <w:pPr>
              <w:rPr>
                <w:rFonts w:hint="eastAsia" w:ascii="宋体" w:hAnsi="宋体" w:cs="宋体"/>
                <w:color w:val="auto"/>
                <w:szCs w:val="21"/>
                <w:highlight w:val="none"/>
              </w:rPr>
            </w:pPr>
            <w:r>
              <w:rPr>
                <w:rFonts w:hint="eastAsia" w:ascii="宋体" w:hAnsi="宋体" w:cs="宋体"/>
                <w:color w:val="auto"/>
                <w:kern w:val="0"/>
                <w:szCs w:val="21"/>
                <w:highlight w:val="none"/>
                <w:lang w:bidi="ar"/>
              </w:rPr>
              <w:t>一、单台配置参数要求：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1、配置≥2颗不低于(2.7GHz/32核/64MB/260W)CPU模块；（CPU和操作系统等关键部件符合安全可靠测评要求，通过政府有关部门指定的中国信息安全测评中心和国家保密科技测评中心网站查看安全可靠测评结果）。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2、配置≥8 * 64GB DDR4-3200 RDIMM内存模块；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3、配置≥2块480GB SATA SSD硬盘；≥1块3.84TB NVMe缓存盘，≥7块12T HDD硬盘，可扩展最大31个硬盘；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4、配置≥1块12Gb 2端口RAID卡，含2G缓存和掉电保护模块，支持Raid0/1/10/5/50/6/60；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5、配置≥2块2端口万兆光接口网卡,满配光模块，配置≥1块4端口千兆电接口网卡；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6、配置≥2个不低于1300w热插拔冗余电源；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7、配套安装导轨；</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85E190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09D8AA6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0D8B2CD3">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ABFAE2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59A49D3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超融合交换机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32781AC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1、整机交换容量：≥2.4Tbps，包转率：≥660Mpps；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2、提供≥24个10GE SFP+端口，≥4个25GE 端口,支持1个扩展插槽，双可插拔电源设计、双可插拔模块化风扇设计;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3、配置≥12个万兆光模块，1根SFP+3m堆叠线缆；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4、支持防火墙插卡、10G、25G、40G、100G和电口扩展插卡；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5、支持M-LAG跨设备链路聚合技术，通过将两台物理设备在转发层面虚拟成一台设备来实现跨设备链路聚合；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6、支持G.8032以太网环保护协议ERPS，切换时间≤50ms；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7、支持IPv4/IPv6双栈，支持IPv6手动隧道、6to4隧道和ISATAP隧道；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8、支持全端口256bit MACsec加密功能；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9、支持IGMP Snooping v1/v2/v3，MLD Snooping v1/v2；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10、支持完善的堆叠分裂检测机制，堆叠分裂后能自动完成MAC和IP地址的重配置，无需手动干预。</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184353E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00BD85B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507FDD82">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903E7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2C45D74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超融合软件</w:t>
            </w:r>
          </w:p>
        </w:tc>
        <w:tc>
          <w:tcPr>
            <w:tcW w:w="3502" w:type="pct"/>
            <w:tcBorders>
              <w:top w:val="single" w:color="000000" w:sz="4" w:space="0"/>
              <w:left w:val="single" w:color="000000" w:sz="4" w:space="0"/>
              <w:bottom w:val="single" w:color="000000" w:sz="4" w:space="0"/>
              <w:right w:val="single" w:color="000000" w:sz="4" w:space="0"/>
            </w:tcBorders>
            <w:vAlign w:val="center"/>
          </w:tcPr>
          <w:p w14:paraId="59B4FCF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一、授权配置：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计算虚拟化软件管理1个物理CPU授权;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超融合管理软件管理1个物理CPU授权;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存储虚拟化软件-块存储标准版-管理1个物理CPU授权;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二、性能参数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1.支持使用一键鼠标按钮分析后端存储上的无效镜像文件，并提供一键清理和释放存储空间能力，提升资源利用率，保障投资。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2.支持使用一键鼠标按钮还原虚拟机到指定还原点状态，基于备份功能，虚机误删不影响还原功能，降低人为误操作带来的损失。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3.在统一的超融合管理平台上即可实现对计算、存储、网络、安全等资源的统一管理运维，无需界面跳转即可实现全部操作，简化运维工作，降低运维成本。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4.支持使用一键鼠标按钮快速查看、启动、删除、批量启动和批量删除长时间未使用且处于关闭状态的虚拟机，进行资源利用率统计，降低运维工作量与难度，保障投资。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超融合管理平台内置在线p2v、v2v迁移工具，支持业界主流的操作系统、公有云平台、虚拟化平台。包括但不限于VMware、华为、Hyper-V等平台的迁移功能，提升被迁移业务平台的普适性、降低业务上云的难度，降低运维工作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6.支持集群节点数最小规模2节点，并单独提供有效预防闹裂的仲裁节点，同时支持在线节点扩容且不限定扩容节点个数（偶数或奇数）.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7.主机角色灵活划分，可以指定主机角色为存储型、计算型、超融合型，同一个集群内三种类型主机可以任意组合，满足用户各种应用场景，并更好的应对用户资源使用不均衡的情况下对资源的灵活扩容。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8.支持对整个平台虚拟设备实现统一的管理，虚拟化 WEB 管理平台可以完成网络拓扑的构建，完成各类虚拟设备的自助逻辑编排，支持在管理平台上连接、开启、关闭各类虚拟设备，拓扑呈现业务流量信息，所画即所得，方便运维管理。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可视化实时监控中心，针对超融合整体软硬件故障问题，可视化实时监控中心从硬件可靠性（包括CPU、内存、磁盘、物理网卡和Raid卡）、系统可靠性（包括集群主机、分布式存储、集群网络配置状态和集群资源过载状态）、服务可靠性（包括站点容灾、集群可靠性HA、应用HA、计算资源DRS、虚拟机运行状态和虚拟机备份）三大层面进行实时监控、分层展示，运维人员可以直观查看集群的整体运行情况，可以快速诊断集群的健康状态；同时支持对无需关注的检测异常启用屏蔽功能，启用屏蔽功能的检测异常将不会上报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10.支持虚拟机桌面预览功能，无需登录虚拟机即可在虚拟化管理平台上看到虚拟机当前桌面的状态，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11.支持虚拟机迁移历史记录功能，记录中包含迁移的操作员、迁移方式、源主机、目的主机、开始时间、迁移耗时等信息，便于对虚拟机的迁移路径进行回溯.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12.文件存储支持协议包括：FTP、CIFS、NFS、HTTP；</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提供多种NAS增值服务功能，包括：权限管理、快照管理(WORM)、共享目录管理等；NAS服务可以采用多服务节点高可用，并支持负载均衡。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同一节点同时支持虚拟化和3种存储功能，最少只需3个节点集群即可同时提供虚拟化、分布式块、对象、文件存储服务。其中对象和文件服务必须在宿主机上提供，和超融合自研同品牌，不能以应用跑在虚拟机上的形式提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14.支持换盘向导，提供图形化、向导化界面，支持硬盘的热插拔更换，带来更加高效可维护性.</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F685F7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5295C2F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r>
      <w:tr w14:paraId="427649B5">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67B563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041369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基础软件服务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03F2982D">
            <w:pPr>
              <w:widowControl/>
              <w:jc w:val="left"/>
              <w:textAlignment w:val="center"/>
              <w:rPr>
                <w:rFonts w:hint="eastAsia" w:ascii="宋体" w:hAnsi="宋体" w:cs="宋体"/>
                <w:color w:val="auto"/>
                <w:szCs w:val="21"/>
                <w:highlight w:val="none"/>
              </w:rPr>
            </w:pPr>
            <w:r>
              <w:rPr>
                <w:rFonts w:hint="eastAsia" w:cs="宋体" w:asciiTheme="minorEastAsia" w:hAnsiTheme="minorEastAsia"/>
                <w:color w:val="auto"/>
                <w:kern w:val="0"/>
                <w:szCs w:val="21"/>
                <w:highlight w:val="none"/>
              </w:rPr>
              <w:t>▲</w:t>
            </w:r>
            <w:r>
              <w:rPr>
                <w:rFonts w:hint="eastAsia" w:ascii="宋体" w:hAnsi="宋体" w:cs="宋体"/>
                <w:color w:val="auto"/>
                <w:kern w:val="0"/>
                <w:szCs w:val="21"/>
                <w:highlight w:val="none"/>
                <w:lang w:bidi="ar"/>
              </w:rPr>
              <w:t>为本项目提供基础软件配套服务，包含10套操作系统、7套中间件、4套数据库等服务。（提供的操作系统、数据库等部件需符合安全可靠测评要求，通过政府有关部门指定的中国信息安全测评中心和国家保密科技测评中心网站查看安全可靠测评结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1、提供满足本项目所要的操作系统需求服务，要求如下：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技术要求</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：操作系统应支持多种硬件平台，具备良好的稳定性和安全性。</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配置要求</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网络功能</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：支持IPv6，具备防火墙功能。</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存储管理</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：支持RAID配置和快照功能。</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安全性</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：内置安全审计和日志记录功能。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2、提供满足本项目所要的中间件需求服务，要求如下：</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技术要求</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：中间件应支持多种编程语言和开发框架，具备良好的扩展性和兼容性。</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配置要求</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集群支持</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：支持负载均衡和故障转移。</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监控与管理</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：提供详细的运行状态监控和日志管理功能。</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安全性</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：支持SSL加密和身份验证。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3、提供满足本项目所要的数据库需求服务，要求如下：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技术要求</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：数据库系统应采用企业级数据库管理系统，支持高并发访问和大数据量处理。</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配置要求</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备份与恢复</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：支持自动备份和快速恢复功能。</w:t>
            </w:r>
            <w:r>
              <w:rPr>
                <w:rFonts w:hint="eastAsia" w:ascii="宋体" w:hAnsi="宋体" w:cs="宋体"/>
                <w:color w:val="auto"/>
                <w:kern w:val="0"/>
                <w:szCs w:val="21"/>
                <w:highlight w:val="none"/>
                <w:lang w:bidi="ar"/>
              </w:rPr>
              <w:br w:type="textWrapping"/>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安全性</w:t>
            </w:r>
            <w:r>
              <w:rPr>
                <w:rStyle w:val="28"/>
                <w:rFonts w:hint="eastAsia" w:ascii="宋体" w:hAnsi="宋体" w:cs="宋体"/>
                <w:color w:val="auto"/>
                <w:sz w:val="21"/>
                <w:szCs w:val="21"/>
                <w:highlight w:val="none"/>
                <w:lang w:bidi="ar"/>
              </w:rPr>
              <w:t>‌</w:t>
            </w:r>
            <w:r>
              <w:rPr>
                <w:rFonts w:hint="eastAsia" w:ascii="宋体" w:hAnsi="宋体" w:cs="宋体"/>
                <w:color w:val="auto"/>
                <w:kern w:val="0"/>
                <w:szCs w:val="21"/>
                <w:highlight w:val="none"/>
                <w:lang w:bidi="ar"/>
              </w:rPr>
              <w:t>：支持数据加密和访问控制。</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5437A8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1DFC4DA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75AA942E">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242F8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98" w:type="pct"/>
            <w:tcBorders>
              <w:top w:val="single" w:color="000000" w:sz="4" w:space="0"/>
              <w:left w:val="single" w:color="000000" w:sz="4" w:space="0"/>
              <w:bottom w:val="single" w:color="000000" w:sz="4" w:space="0"/>
              <w:right w:val="single" w:color="000000" w:sz="4" w:space="0"/>
            </w:tcBorders>
            <w:vAlign w:val="center"/>
          </w:tcPr>
          <w:p w14:paraId="2D195D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核心网络交换机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1A3C18F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1、机型：机箱式多插槽交换机，业务槽位数≥2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2、性能：交换能力≥38Tbps，转发率≥7200Mpps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3、主控交换卡、电源、接口模块、网板等关键部件可热插拔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4、扩展：单槽位线速万兆端口密度≥16，单槽位能够同时提供千兆光口、千兆电口、万兆光口，且实际可用端口总数≥48；</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5、可靠性：支持虚拟化背板堆叠，即多台设备可以统一界面管理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6、支持L3 MPLS VPN、L2 VPN: VLL、支持分层VPLS、支持LDP协议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7、支持静态路由、OSPF、BGP、IS-IS，路由条目数≥128000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8、支持IPv4/IPv6双协议栈，支持IPv4/IPv6的组播技术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9、支持802.1x/mac/Portal/Radius/Tacacs+认证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11、支持原生的无线AC功能，无需独立的AC板卡或带AC功能的接口板，即支持无线AP管理功能、支持安全业务插卡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12、本次配置：≥双主控+双电源+24千兆电+24千兆光+8万兆光</w:t>
            </w:r>
          </w:p>
        </w:tc>
        <w:tc>
          <w:tcPr>
            <w:tcW w:w="220" w:type="pct"/>
            <w:tcBorders>
              <w:top w:val="single" w:color="000000" w:sz="4" w:space="0"/>
              <w:left w:val="single" w:color="000000" w:sz="4" w:space="0"/>
              <w:bottom w:val="single" w:color="000000" w:sz="4" w:space="0"/>
              <w:right w:val="single" w:color="000000" w:sz="4" w:space="0"/>
            </w:tcBorders>
            <w:vAlign w:val="center"/>
          </w:tcPr>
          <w:p w14:paraId="5CC5CF6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502D266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1D74E3A8">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88EB1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7099721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防火墙</w:t>
            </w:r>
          </w:p>
        </w:tc>
        <w:tc>
          <w:tcPr>
            <w:tcW w:w="3502" w:type="pct"/>
            <w:tcBorders>
              <w:top w:val="single" w:color="000000" w:sz="4" w:space="0"/>
              <w:left w:val="single" w:color="000000" w:sz="4" w:space="0"/>
              <w:bottom w:val="single" w:color="000000" w:sz="4" w:space="0"/>
              <w:right w:val="single" w:color="000000" w:sz="4" w:space="0"/>
            </w:tcBorders>
            <w:vAlign w:val="center"/>
          </w:tcPr>
          <w:p w14:paraId="3AB3531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1、支持一体化安全策略配置，可以通过一条策略实现用户认证、IPS、AV、URL过滤、协议控制、流量控制、并发、新建限制、垃圾邮件过滤、审计等功能,简化用户管理；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2、支持同一个地址对象中可以包含IP、IP段、IP range、排除地址等多种类型；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3、支持将源MAC作为独立的访问控制条件，防止非法设备接入；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4、支持以组的方式管理安全策略，支持安全策略组的增、删、改操作，简化大量安全策略管理；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5、支持DMVPN，在增加一个新的分支节点网关后，不需要在中心网关更改任何配置，且支持路由推送，实现spoke to spoke互通，不必建立额外隧道；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6、支持多NAT环境下的多用户L2TP认证加密接入；</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9DC57D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107EA8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61DB7D2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E1F785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E7291F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入侵防御</w:t>
            </w:r>
          </w:p>
        </w:tc>
        <w:tc>
          <w:tcPr>
            <w:tcW w:w="3502" w:type="pct"/>
            <w:tcBorders>
              <w:top w:val="single" w:color="000000" w:sz="4" w:space="0"/>
              <w:left w:val="single" w:color="000000" w:sz="4" w:space="0"/>
              <w:bottom w:val="single" w:color="000000" w:sz="4" w:space="0"/>
              <w:right w:val="single" w:color="000000" w:sz="4" w:space="0"/>
            </w:tcBorders>
            <w:vAlign w:val="center"/>
          </w:tcPr>
          <w:p w14:paraId="33AEDB9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1、支持基于策略的入侵检测与防护，可针对不同的源目IP地址、源MAC地址、服务、时间、安全域、用户等，采用不同的入侵防护策略；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2、内置IPS特征库，特征规则数量不少于3,600条，特征库可按分组进行管理，连续10条以上特征库数量。支持扩展特征库，提高IPS的检测能力，IPS特征规则数量合计不少于8000条；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3、支持细粒度的自定义IPS特征功能，要求支持DNS\HTTP\FTP\TFTP\TELNET\SNMP\POP3\SMTP\IMAP\等17大类应用层协议的自定义，可以精准设置各个协议字段内容，例如字符内容、偏移、长度等细粒度的参数；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4、支持FTP、SMTP、POP3、NNTP等不少于8种协议及应用的弱口令检测；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5、支持FTP、SMTP、POP3、NNTP等不少于8种协议及应用的暴力破解防护；</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2A733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7419107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155BF152">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38233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57B74E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WAF防火墙</w:t>
            </w:r>
          </w:p>
        </w:tc>
        <w:tc>
          <w:tcPr>
            <w:tcW w:w="3502" w:type="pct"/>
            <w:tcBorders>
              <w:top w:val="single" w:color="000000" w:sz="4" w:space="0"/>
              <w:left w:val="single" w:color="000000" w:sz="4" w:space="0"/>
              <w:bottom w:val="single" w:color="000000" w:sz="4" w:space="0"/>
              <w:right w:val="single" w:color="000000" w:sz="4" w:space="0"/>
            </w:tcBorders>
            <w:vAlign w:val="center"/>
          </w:tcPr>
          <w:p w14:paraId="0FBFAC1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1、支持智能部署，上线WAF设备能够自动感知Web网站IP和端口；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2、支持NAT环境下的用户识别能力；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3、具备Web恶意扫描防护的检测与防御能力，专利级别防护能力；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4、具备客户端访问控制功能，预防恶意客户端进行访问频率的多层次恶意访问；</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FC8FD0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4105BE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35E8BF03">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8DDC6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1CE887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数据库审计</w:t>
            </w:r>
          </w:p>
        </w:tc>
        <w:tc>
          <w:tcPr>
            <w:tcW w:w="3502" w:type="pct"/>
            <w:tcBorders>
              <w:top w:val="single" w:color="000000" w:sz="4" w:space="0"/>
              <w:left w:val="single" w:color="000000" w:sz="4" w:space="0"/>
              <w:bottom w:val="single" w:color="000000" w:sz="4" w:space="0"/>
              <w:right w:val="single" w:color="000000" w:sz="4" w:space="0"/>
            </w:tcBorders>
            <w:vAlign w:val="center"/>
          </w:tcPr>
          <w:p w14:paraId="211F0F7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1、支持国产数据库人大金仓、达梦、南大通用、神通、高斯、瀚高、巨杉、OceanBase、AnalyticDB MySql 、AnalyticDB PostgreSQL、RDS MySql、RDS PostgreSQL等数据库的审计；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2、支持MongoDB、redis数据库的审计；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3、支持Hbase、hive、ES的审计；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审计访问数据库的时间，源/目的IP，源/目的端口，源/目的mac，资源账号，数据库名，规则名称，表名，命令，SQL语句、级别，响应时间、错误码，影响行数，连接方式，客户端程序名，模式名，客户端用户，SQL执行结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5、支持审计HTTP和HTTPS协议的URL、访问模式、cookie、页面内容、Post内容；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6、持基于网络流量的资产发现功能，能够发现数据库表和资源账号，其中数据库表的自动发现支持表名、数据库名、发现次数和发现日期，资源账号自动发现支持在线天数、首次发现日期、末次发现日期；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基于数据库访问时间、源/目的IP、数据库名、数据库表名、字段值、数据库登陆账号、数据库操作命令、SQL语句关键字、SQL响应时间、数据库返回行数、客户端程序、客户端用户、级别、数据库返回码等不低于36种查询条件，其中支持数据库返回码实时说明，帮助管理员快速对返回码进行识别；</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6A3CA7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7CC68A9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3FDABCA6">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2E23CA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45CFEB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日计审计</w:t>
            </w:r>
          </w:p>
        </w:tc>
        <w:tc>
          <w:tcPr>
            <w:tcW w:w="3502" w:type="pct"/>
            <w:tcBorders>
              <w:top w:val="single" w:color="000000" w:sz="4" w:space="0"/>
              <w:left w:val="single" w:color="000000" w:sz="4" w:space="0"/>
              <w:bottom w:val="single" w:color="000000" w:sz="4" w:space="0"/>
              <w:right w:val="single" w:color="000000" w:sz="4" w:space="0"/>
            </w:tcBorders>
            <w:vAlign w:val="center"/>
          </w:tcPr>
          <w:p w14:paraId="2F45793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1、支持SNMP Trap、Syslog、ODBC\JDBC、文件\文件夹、WMI、FTP、SFTP、SMB、NetBIOS、OPSEC等多种方式完成日志收集功能；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2、支持对国内主流国产化数据库进行日志数据采集，包括武汉达梦、人大金仓、南大通用、神州通用等；支持动态表名模式进行数据库采集，能按照时间或者数字的规则动态每天递增采集日志表；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3、支持日志代理集中注册管理和监测；支持日志代理在线下载，包括Linux和Windows等代理种类；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4、支持日志远程备份，支持FTP、SFTP、SMB三种方式实现远程备份；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5、支持多种告警方式和告警动作，包括弹出提示框、播放警示音、发送邮件、发送SNMP Trap、发送短信、执行命令行脚本、设备联动、发送飞鸽传书、发送Syslog、发送微信消息、发送飞书消息、发送钉钉消息等；</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41494C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20507A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3BE63066">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8FC52F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8D12E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终端安全EDR</w:t>
            </w:r>
          </w:p>
        </w:tc>
        <w:tc>
          <w:tcPr>
            <w:tcW w:w="3502" w:type="pct"/>
            <w:tcBorders>
              <w:top w:val="single" w:color="000000" w:sz="4" w:space="0"/>
              <w:left w:val="single" w:color="000000" w:sz="4" w:space="0"/>
              <w:bottom w:val="single" w:color="000000" w:sz="4" w:space="0"/>
              <w:right w:val="single" w:color="000000" w:sz="4" w:space="0"/>
            </w:tcBorders>
            <w:vAlign w:val="center"/>
          </w:tcPr>
          <w:p w14:paraId="2654972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终端安全EDR:将终端监控与终端数据采集与基于规则的自动响应和分析功能结合在一起。可以检测和调查主机和终端上的可疑活动，并快速识别和响应威胁，并进行处理,具备病毒查杀，微隔离等功能。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技术配置要求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1.系统部署采用C/S架构，管理采用B/S架构，管理员只需通过浏览器登录控制中心，即可对系统进行管理；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2.提供≥100点Windows PC终端操作系统、≥20点Windows服务器操作系统、≥20点Linux操作系统杀毒授权。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3.提供2年运维服务期的软件版本、病毒特征规则库升级许可。</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437E7B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07E87F2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272E11BF">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151A5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6FE5F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漏洞扫描</w:t>
            </w:r>
          </w:p>
        </w:tc>
        <w:tc>
          <w:tcPr>
            <w:tcW w:w="3502" w:type="pct"/>
            <w:tcBorders>
              <w:top w:val="single" w:color="000000" w:sz="4" w:space="0"/>
              <w:left w:val="single" w:color="000000" w:sz="4" w:space="0"/>
              <w:bottom w:val="single" w:color="000000" w:sz="4" w:space="0"/>
              <w:right w:val="single" w:color="000000" w:sz="4" w:space="0"/>
            </w:tcBorders>
            <w:vAlign w:val="center"/>
          </w:tcPr>
          <w:p w14:paraId="3D1EE6A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1、支持扫描的漏洞数量不少于300000个；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2、支持对主流数据库的识别与扫描，包括：Oracle、Sybase、GBASE、GaussDB、神通、达梦、人大金仓、优炫等；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3、支持对Apple系统和应用组件的识别与扫描，包括MAC OS、IOS、watchOS、Safari、itunes、iCloud、CUPS、QuickTime、libxpc、libxml2、sysdiagnose、Quick Look、ASN.1等，能够扫描的Apple系统和应用组件漏洞扫描方法不小于6000种；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4、支持对视频监控类设备的识别与扫描，包括大华、海康、宇视、雄迈、科达、TBK、NUUO、Samsung、Vivotek、Wanscam、Axis、Geutebrück、Keeper、Blink、CACAGOO等；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多种协议口令猜测，包括SMB、Snmp、Telnet、Pop3、SSH、Ftp、RDP、DB2、MySQL、Oracle、PostgreSQL、HighGo、MongoDB、UXDB、STDB、kingbase、RTSP、ActiveMQ、WebLogic、WebCAM、REDIS、SMTP等，允许外挂用户提供的用户名字典、密码字典和用户名密码组合字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6、支持扫描任务完成后自动生成指定格式和内容的报表,格式包含html、pdf、word、excel、wps、xml等，内容包含封面摘要、章节目录、任务信息、统计信息、参考信息等；</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557C3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0ED27CA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1E6BE29F">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D2F0B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598" w:type="pct"/>
            <w:tcBorders>
              <w:top w:val="single" w:color="000000" w:sz="4" w:space="0"/>
              <w:left w:val="single" w:color="000000" w:sz="4" w:space="0"/>
              <w:bottom w:val="single" w:color="000000" w:sz="4" w:space="0"/>
              <w:right w:val="single" w:color="000000" w:sz="4" w:space="0"/>
            </w:tcBorders>
            <w:vAlign w:val="center"/>
          </w:tcPr>
          <w:p w14:paraId="42772FA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SSL VPN安全网关</w:t>
            </w:r>
          </w:p>
        </w:tc>
        <w:tc>
          <w:tcPr>
            <w:tcW w:w="3502" w:type="pct"/>
            <w:tcBorders>
              <w:top w:val="single" w:color="000000" w:sz="4" w:space="0"/>
              <w:left w:val="single" w:color="000000" w:sz="4" w:space="0"/>
              <w:bottom w:val="single" w:color="000000" w:sz="4" w:space="0"/>
              <w:right w:val="single" w:color="000000" w:sz="4" w:space="0"/>
            </w:tcBorders>
            <w:vAlign w:val="center"/>
          </w:tcPr>
          <w:p w14:paraId="5BD20A2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1、标准2U设备，国密专用系统主机，交流电源，配置≥6个10/100/1000M自适应电口，1个接口扩展插槽，≥4TB工业级硬盘，配置国密卡，1个RJ-45串口，支持液晶屏；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2、整机SSL加密吞吐量≥200Mbps，最大支持并发用户数≥1000；配置50个SSL VPN授权用户数；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3、支持多链路接入、支持策略路由、支持链路聚合；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4、网络接口地址配置支持IPv6地址，网络路由地址配置支持IPv6地址；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5、支持虚拟门户功能，能够按照不同的用户组来定义不同的虚拟门户，不同的虚拟门户登录界面、访问地址均可以不同；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6、支持配置向导功能，用户能够按照配置向导一步一步的操作，向导结束用户能够完成账号建立、服务发布、正常访问；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7、支持B/S和C/S的应用支持单点登录（SSO），并提供加密认证功能；访问多个应用，只须输入一次密码，支持针对不同的访问资源设定不同的SSO用户名和密码；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8、支持自动跳转功能，用户登录后自动弹出默认的应用界面；可自定义应用图标，可自行设置智能终端应用图标、PC端应用图标；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9、支持国产化中标麒麟操作系统客户端APP，在Linux系统平台下不依赖火狐浏览器，具备独立的SSLVPN客户端；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10、★支持与终端安全管理软件联动，可以检查终端安全软件进程，并根据是否安装来判断用户接入情况，并能自动弹出IE链接提示客户下载安装（提供界面功能截图）；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11、认证方式支持本地认证、USBKey、短信认证、数据库认证、邮箱认证、证书认证、动态口令认证、LDAP认证、windows AD认证、RADIUS认证，并且支持本地用户名密码、证书认证、第三方证书、LDAP、短信认证、邮箱认证之间的“与”的认证；可实现USBKey认证、LDAP认证、硬件特征码等多种因子绑定认证；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客户端安全性检查，可以检测客户端进程、文件、注册表、服务、模块、端口、mac地址、系统补丁、操作系统等信息，并且能够检查用户是否安装杀毒软件和防火墙，判断杀毒软件病毒库是否过期，凡是不符合检查规则的，均不允许用户登录访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13、支持网关能够支持证书透传功能，即将证书直接传递给业务系统，可以根据证书中的O、OU、CN作为访问控制项，提供用户对某个业务系统的访问控制权限；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14、支持用户长期不登录时自动锁定，被锁定后需要管理员才能解锁；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15、★设备支持单独对每个应用发布业务进行负载均衡，具有轮询、加权轮询、最少连接数、静态就近性、动态就近性等算法来实现（提供界面功能截图）；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16、管理员可分为状态管理员，系统配置管理员，VPN管理员，应用安全管理员，防火墙管理员，IPsec管理员，日志管理员，系统维护管理员，创建管理员可以为其分配相应的管理员权限；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17、管理员通过国密浏览器采用国密证书+国密key登陆网设备进行设备管理、系统配置；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18、设备可支持远程应用发布功能，发布C/S应用客户端界面而非整个桌面进行发布。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19、管理员可分为状态管理员，系统配置管理员，VPN管理员，应用安全管理员，防火墙管理员，IPsec管理员，日志管理员，系统维护管理员，创建管理员可以为其分配相应的管理员权限；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20、管理员通过国密浏览器采用国密证书+国密key登陆网设备进行设备管理、系统配置；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21、支持移动应用封装功能，客户上传移动应用APP进行封装、加固；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22、支持LDAP用户动态化和策略化，实现组织单元映射、属性映射，并支持成员组反向映射；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支持客户端安全性检查，可以检测客户端进程、文件、注册表、服务、模块、端口、mac地址、系统补丁、操作系统等信息，并且能够检查用户是否安装杀毒软件和防火墙，判断杀毒软件病毒库是否过期，凡是不符合检查规则的，均不允许用户登录访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24、设备可支持远程应用发布功能，发布C/S应用客户端界面而非整个桌面进行发布。</w:t>
            </w:r>
          </w:p>
        </w:tc>
        <w:tc>
          <w:tcPr>
            <w:tcW w:w="220" w:type="pct"/>
            <w:tcBorders>
              <w:top w:val="single" w:color="000000" w:sz="4" w:space="0"/>
              <w:left w:val="single" w:color="000000" w:sz="4" w:space="0"/>
              <w:bottom w:val="single" w:color="000000" w:sz="4" w:space="0"/>
              <w:right w:val="single" w:color="000000" w:sz="4" w:space="0"/>
            </w:tcBorders>
            <w:vAlign w:val="center"/>
          </w:tcPr>
          <w:p w14:paraId="383260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0E482E9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476004DF">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57CAD2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598" w:type="pct"/>
            <w:tcBorders>
              <w:top w:val="single" w:color="000000" w:sz="4" w:space="0"/>
              <w:left w:val="single" w:color="000000" w:sz="4" w:space="0"/>
              <w:bottom w:val="single" w:color="000000" w:sz="4" w:space="0"/>
              <w:right w:val="single" w:color="000000" w:sz="4" w:space="0"/>
            </w:tcBorders>
            <w:vAlign w:val="center"/>
          </w:tcPr>
          <w:p w14:paraId="7824DB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服务器密码机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6446EFA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1、2U机箱，CPU≥4核，内存≥16G，硬盘≥120G，千兆电口≥2个，RJ45串口≥1个，USB口≥2个，冗余电源；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2、SM4加解密性能≥850Mbps；SM3杂凑性能≥400Mbps；SM2密钥对生产性能≥16000对/秒；SM2签名性能≥12000次/秒；MAC_SM4≥880Mbps；最大并发连接数≥5000；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3、采用国家密码管理局认可的Hsn3物理噪声源芯片生成真随机数，支持生成各类对称密钥（SM1、SM4、DES、AES等）和非对称密钥（SM2、RSA1024/2048等）；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4、支持国密SM2和RSA算法证书申请、导入、查询、删除、下载、存储功能；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5、支持证书链管理功能，支持配置多个CA或者多级CA，可同时配置多条证书链；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6、密码运算：支持数据加密/解密、数字签名/验签、消息鉴别码的产生/验证、数字信封、密钥协商等类型的密码运算，并且支持多任务并发访问；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7、密钥存储，密码机支持安全存储对称密钥、RSA密钥和SM2密钥，任何时候密钥不以明文形式出现在密码机外；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8、★出于后期运维排障难度和排障周期考虑，密码设备与密码卡应为同一厂家；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9、支持对称加密/解密功能，支持分组加密的四种模式：ECB、CBC、OFB、CFB模式；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10、支持基于RSA/SM2算法的数字签名及验签功能，可以根据需要使用内部存储的私钥或外部私钥进行数字签名和验签；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11、★支持SNMP协议，SNMP服务开启后可通过SNMP服务监控密码机状态；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12、支持通过设备内密码卡物理噪声源生成1024/2048位RSA、256位SM2密钥对，以及128位/256位KEK密钥；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13、支持证书链管理功能，支持配置多个CA或者多级CA，可同时配置多条证书链；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14、★密码机支持内部密钥的安全备份和恢复，保证系统的安全性和可靠性；同时支持主备多台设备间的密钥同步；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15、操作人员通过智能密码钥匙实现身份认证，操作终端与加密机之间建立SSL安全通道，保证设备管理操作的机密性、真实性和不可否认性；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16、支持对访问服务器密码机的业务IP进行白名单的控制，可增加单个或网段IP，只有在服务器密码机的添加认证后才可进行安全访问，提高整体系统安全性；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17、★支持设备启动自检功能：包括随机数自检、算法自检、以及密钥完整性自检等；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支持集群部署，或双机热备等情景，防止单点故障，提高加密机业务运算性能，进一步提高高可用以及多并发等性能。支持任意扩容的部署模式，可以便捷的从单机模式转换成主从模式、集群模式（解决单点故障和负载均衡问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19、支持与同厂家密钥管理设备绑定，与密码机通过安全通道分发、启用、销毁对称/非对称密钥；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20、支持系统自行记录日志，也可以将日志以 syslog 的方式发送到指定服务器，并提供日志审计功能。</w:t>
            </w:r>
          </w:p>
        </w:tc>
        <w:tc>
          <w:tcPr>
            <w:tcW w:w="220" w:type="pct"/>
            <w:tcBorders>
              <w:top w:val="single" w:color="000000" w:sz="4" w:space="0"/>
              <w:left w:val="single" w:color="000000" w:sz="4" w:space="0"/>
              <w:bottom w:val="single" w:color="000000" w:sz="4" w:space="0"/>
              <w:right w:val="single" w:color="000000" w:sz="4" w:space="0"/>
            </w:tcBorders>
            <w:vAlign w:val="center"/>
          </w:tcPr>
          <w:p w14:paraId="730B380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578605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1335BF59">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90BECC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598" w:type="pct"/>
            <w:tcBorders>
              <w:top w:val="single" w:color="000000" w:sz="4" w:space="0"/>
              <w:left w:val="single" w:color="000000" w:sz="4" w:space="0"/>
              <w:bottom w:val="single" w:color="000000" w:sz="4" w:space="0"/>
              <w:right w:val="single" w:color="000000" w:sz="4" w:space="0"/>
            </w:tcBorders>
            <w:vAlign w:val="center"/>
          </w:tcPr>
          <w:p w14:paraId="429784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堡垒机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2768E21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1、标准2U机架式，采用国产硬件平台和国产化操作系统，配置≥6个10/100/1000BASE自适应电口，≥4个千兆光口，≥1个接口扩展插槽，交流电源，≥4T硬盘存储空间，内置国密密码卡，支持液晶屏；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2、最大可选500授权许可，本次配置50个被管资源数授权许可；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3、支持用户多次登录失败将自动锁定账户或IP，可配置解锁时长、到期自动解锁，也可以手动解锁；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4、支持资源申请，运维场景中，对特定的资源发出工单请求，管理员审批后，可以在指定时间段内运维操作该资源；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5、支持多因子认证，方式包括手机令牌、手机短信、动态令牌、国密USBKey、指纹识别等多因子认证方式；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6、★运维过程中支持会话协同，可邀请其他用户参与、协助操作（提供功能界面截图）；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7、支持的运维协议包含SSH、RDP、VNC、Telnet、FTP、SCP、SFTP、DB2、MySQL、Oracle、SQL Server、Rlogin；</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8、支持云主机资源批量添加，包括阿里云、百度云、华为云、腾讯云和Ucloud云平台的资源；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9、支持通过Web页面访问目标支持，包括SSH、RDP、TELNET、VNC和应用发布资源；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10、支持通过应用服务器组的方式，实现应用服务器的集群功能。支持将多台应用服务器配置成一个组，在运维时由堡垒机通过轮询的方式去选择其中一台可用的应用服务器承担应用运维服务；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11、支持SSH客户端、FTP客户端、SFTP客户端访问目标资源；支持直接在FTP、SFTP客户端进行编码切换，支持big5、GB18030和utf8编码切换；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12、★支持用户水印功能，避免数据泄露无法追责；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13、支持将运维资源列表导出成xshell和SecureCRT格式的配置，通过客户端快速访问资源；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14、支持不同的用户设置不同多因子方式认证，包括手机短信和手机令牌；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15、支持用户帐号和目标设备的部门分权，不同的用户和设备可以归属于不同的部门（子部门）；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16、★支持工单权限申请，支持文件上传、文件下载、文件管理、剪切板权限的申请；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17、支持用户的批量修改，包括重置密码、移动部门、更改角色、修改多因子配置、修改有效期、修改IP限制、修改MAC限制；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18、支持资源按标签管理，每个用户可以给每个资源打多个标签；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19、★支持微信小程序动态口令认证方式登录堡垒机，且当用户需要使用手机令牌登录时，需要强制绑定手机令牌；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20、支持查看改密日志，了解改密账户总数、改密成功数量、改密失败数量和未修改数量；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21、支持传统的putty、SecureCRT、MAC Terminal等工具，支持双人授权和多因子认证，运维资源可分页显示，并且可以根据名称、IP、标签等多种条件进行查找；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22、支持RDP、VNC图形操作过程中键盘输入操作记录和鼠标点击行为记录；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23、★内置常用的系统类型，包括Linux、Windows、H3C、Huawei、Cisco，无需安装任何客户端插件，使用H5即可直接运维相关资源；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24、在线回放过程支持播放速度调整、拖动、暂停、停止、重新播放等播放控制操作；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25、支持以云盘形式在堡垒机上存储常用文件，实现操作端、堡垒机和目标资源三者之间文件共享。</w:t>
            </w:r>
          </w:p>
        </w:tc>
        <w:tc>
          <w:tcPr>
            <w:tcW w:w="220" w:type="pct"/>
            <w:tcBorders>
              <w:top w:val="single" w:color="000000" w:sz="4" w:space="0"/>
              <w:left w:val="single" w:color="000000" w:sz="4" w:space="0"/>
              <w:bottom w:val="single" w:color="000000" w:sz="4" w:space="0"/>
              <w:right w:val="single" w:color="000000" w:sz="4" w:space="0"/>
            </w:tcBorders>
            <w:vAlign w:val="center"/>
          </w:tcPr>
          <w:p w14:paraId="0A5B6AC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25B2901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7606100C">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72C842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598" w:type="pct"/>
            <w:tcBorders>
              <w:top w:val="single" w:color="000000" w:sz="4" w:space="0"/>
              <w:left w:val="single" w:color="000000" w:sz="4" w:space="0"/>
              <w:bottom w:val="single" w:color="000000" w:sz="4" w:space="0"/>
              <w:right w:val="single" w:color="000000" w:sz="4" w:space="0"/>
            </w:tcBorders>
            <w:vAlign w:val="center"/>
          </w:tcPr>
          <w:p w14:paraId="42202F3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可信浏览器</w:t>
            </w:r>
          </w:p>
        </w:tc>
        <w:tc>
          <w:tcPr>
            <w:tcW w:w="3502" w:type="pct"/>
            <w:tcBorders>
              <w:top w:val="single" w:color="000000" w:sz="4" w:space="0"/>
              <w:left w:val="single" w:color="000000" w:sz="4" w:space="0"/>
              <w:bottom w:val="single" w:color="000000" w:sz="4" w:space="0"/>
              <w:right w:val="single" w:color="000000" w:sz="4" w:space="0"/>
            </w:tcBorders>
            <w:vAlign w:val="center"/>
          </w:tcPr>
          <w:p w14:paraId="5E17A32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1、支持龙芯、兆芯、海光、飞腾、鲲鹏、申威等国产主流CPU和统信UOS、银河麒麟、中科方德、深度、红旗、普华、一铭、万里红等主流国产操作系统；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2、可设定在指定时间、浏览器退出时或每天首次启动时自动清除上网痕迹：包含浏览记录，下载记录，Cookie及其它网站数据，页面缓存，保存的密码和其他登录数据，自动填充表单数据；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3、★HTML5支持度不低于539，CSS3层叠样式表支持度不低于65%；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4、支持沙箱机制、浏览器内核隔离域、跨域安全隔离、站点安全隔离防护、可信证书校验等功能；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5、★支持本地用户数据加密，防止用户保存的密码被明文导出，敏感类数据支持绑定设备加密，只能本机使用，非敏感不绑定设备加密；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6、支持国密算法，包括：SM2/SM3/SM4；支持SSL单/双向协议；支持最新TLCP标准；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7、支持极速、兼容模式下通过国密协议访问，针对国密网站优先通过国密协议访问；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8、支持国密网站、国密应用自动识别及国密标识展现，产品需在《AKTD工程适配产品清单-密码产品-1-2022》中。</w:t>
            </w:r>
          </w:p>
        </w:tc>
        <w:tc>
          <w:tcPr>
            <w:tcW w:w="220" w:type="pct"/>
            <w:tcBorders>
              <w:top w:val="single" w:color="000000" w:sz="4" w:space="0"/>
              <w:left w:val="single" w:color="000000" w:sz="4" w:space="0"/>
              <w:bottom w:val="single" w:color="000000" w:sz="4" w:space="0"/>
              <w:right w:val="single" w:color="000000" w:sz="4" w:space="0"/>
            </w:tcBorders>
            <w:vAlign w:val="center"/>
          </w:tcPr>
          <w:p w14:paraId="0238204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93" w:type="pct"/>
            <w:tcBorders>
              <w:top w:val="single" w:color="000000" w:sz="4" w:space="0"/>
              <w:left w:val="single" w:color="000000" w:sz="4" w:space="0"/>
              <w:bottom w:val="single" w:color="000000" w:sz="4" w:space="0"/>
              <w:right w:val="single" w:color="000000" w:sz="4" w:space="0"/>
            </w:tcBorders>
            <w:vAlign w:val="center"/>
          </w:tcPr>
          <w:p w14:paraId="68702E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40EF7510">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07337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598" w:type="pct"/>
            <w:tcBorders>
              <w:top w:val="single" w:color="000000" w:sz="4" w:space="0"/>
              <w:left w:val="single" w:color="000000" w:sz="4" w:space="0"/>
              <w:bottom w:val="single" w:color="000000" w:sz="4" w:space="0"/>
              <w:right w:val="single" w:color="000000" w:sz="4" w:space="0"/>
            </w:tcBorders>
            <w:vAlign w:val="center"/>
          </w:tcPr>
          <w:p w14:paraId="237DD9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国密数字证书</w:t>
            </w:r>
          </w:p>
        </w:tc>
        <w:tc>
          <w:tcPr>
            <w:tcW w:w="3502" w:type="pct"/>
            <w:tcBorders>
              <w:top w:val="single" w:color="000000" w:sz="4" w:space="0"/>
              <w:left w:val="single" w:color="000000" w:sz="4" w:space="0"/>
              <w:bottom w:val="single" w:color="000000" w:sz="4" w:space="0"/>
              <w:right w:val="single" w:color="000000" w:sz="4" w:space="0"/>
            </w:tcBorders>
            <w:vAlign w:val="center"/>
          </w:tcPr>
          <w:p w14:paraId="21300EE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1、由受信任的数字证书颁发机构（CA），在验证身份信息（包括域名、主机名、服务器名、申请者身份、机构身份等）后颁发。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2、支持SM2等国产密码算法；提供个人有效身份认证。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3、支持证书自定义私有扩展项。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4、证书符合X509 V3 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5、支持多级证书链验证证书有效性；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6、支持通过CRL或OCSP验证证书有效性。</w:t>
            </w:r>
          </w:p>
        </w:tc>
        <w:tc>
          <w:tcPr>
            <w:tcW w:w="220" w:type="pct"/>
            <w:tcBorders>
              <w:top w:val="single" w:color="000000" w:sz="4" w:space="0"/>
              <w:left w:val="single" w:color="000000" w:sz="4" w:space="0"/>
              <w:bottom w:val="single" w:color="000000" w:sz="4" w:space="0"/>
              <w:right w:val="single" w:color="000000" w:sz="4" w:space="0"/>
            </w:tcBorders>
            <w:vAlign w:val="center"/>
          </w:tcPr>
          <w:p w14:paraId="339516C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93" w:type="pct"/>
            <w:tcBorders>
              <w:top w:val="single" w:color="000000" w:sz="4" w:space="0"/>
              <w:left w:val="single" w:color="000000" w:sz="4" w:space="0"/>
              <w:bottom w:val="single" w:color="000000" w:sz="4" w:space="0"/>
              <w:right w:val="single" w:color="000000" w:sz="4" w:space="0"/>
            </w:tcBorders>
            <w:vAlign w:val="center"/>
          </w:tcPr>
          <w:p w14:paraId="10842E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1A1963C0">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11B9F9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598" w:type="pct"/>
            <w:tcBorders>
              <w:top w:val="single" w:color="000000" w:sz="4" w:space="0"/>
              <w:left w:val="single" w:color="000000" w:sz="4" w:space="0"/>
              <w:bottom w:val="single" w:color="000000" w:sz="4" w:space="0"/>
              <w:right w:val="single" w:color="000000" w:sz="4" w:space="0"/>
            </w:tcBorders>
            <w:vAlign w:val="center"/>
          </w:tcPr>
          <w:p w14:paraId="7A6804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智能密码钥匙</w:t>
            </w:r>
          </w:p>
        </w:tc>
        <w:tc>
          <w:tcPr>
            <w:tcW w:w="3502" w:type="pct"/>
            <w:tcBorders>
              <w:top w:val="single" w:color="000000" w:sz="4" w:space="0"/>
              <w:left w:val="single" w:color="000000" w:sz="4" w:space="0"/>
              <w:bottom w:val="single" w:color="000000" w:sz="4" w:space="0"/>
              <w:right w:val="single" w:color="000000" w:sz="4" w:space="0"/>
            </w:tcBorders>
            <w:vAlign w:val="center"/>
          </w:tcPr>
          <w:p w14:paraId="41DC906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1、产品支持Windows XP/ Win7/ Win8.1/ Win10/Server 2003/2008/2012，支持Linux , Mac OS X操作系统，支持麒麟OS（Kylin OS）/统信UOS/中科方德操作系统/普华操作系统等；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2、支持SM1、SM2、SM3、SM4等密码算法，支持 SHA1/SHA256/SHA384/SHA512算法；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3、产品具有设备管理、应用管理、容器管理、证书存储、权限控制等功能；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4、支持国密SKF;支持Microsoft CryptoAPI （CSP）;支持PKCS#11;支持SSL v3；支持X.509 v3标准证书格式；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5、支持RSA/SM2且同时支持SKF / CSP / P11 接口互通调用，支持移动端设备中间件接口；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6、超级插件支持跨平台多浏览器（Chrome/ Firefox /Safari / IE /Edge等）；</w:t>
            </w:r>
            <w:r>
              <w:rPr>
                <w:rFonts w:hint="eastAsia" w:ascii="宋体" w:hAnsi="宋体" w:cs="宋体"/>
                <w:color w:val="auto"/>
                <w:kern w:val="0"/>
                <w:szCs w:val="21"/>
                <w:highlight w:val="none"/>
                <w:lang w:bidi="ar"/>
              </w:rPr>
              <w:br w:type="textWrapping"/>
            </w:r>
          </w:p>
        </w:tc>
        <w:tc>
          <w:tcPr>
            <w:tcW w:w="220" w:type="pct"/>
            <w:tcBorders>
              <w:top w:val="single" w:color="000000" w:sz="4" w:space="0"/>
              <w:left w:val="single" w:color="000000" w:sz="4" w:space="0"/>
              <w:bottom w:val="single" w:color="000000" w:sz="4" w:space="0"/>
              <w:right w:val="single" w:color="000000" w:sz="4" w:space="0"/>
            </w:tcBorders>
            <w:vAlign w:val="center"/>
          </w:tcPr>
          <w:p w14:paraId="4B29EEC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93" w:type="pct"/>
            <w:tcBorders>
              <w:top w:val="single" w:color="000000" w:sz="4" w:space="0"/>
              <w:left w:val="single" w:color="000000" w:sz="4" w:space="0"/>
              <w:bottom w:val="single" w:color="000000" w:sz="4" w:space="0"/>
              <w:right w:val="single" w:color="000000" w:sz="4" w:space="0"/>
            </w:tcBorders>
            <w:vAlign w:val="center"/>
          </w:tcPr>
          <w:p w14:paraId="379E4D5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48594034">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772A69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598" w:type="pct"/>
            <w:tcBorders>
              <w:top w:val="single" w:color="000000" w:sz="4" w:space="0"/>
              <w:left w:val="single" w:color="000000" w:sz="4" w:space="0"/>
              <w:bottom w:val="single" w:color="000000" w:sz="4" w:space="0"/>
              <w:right w:val="single" w:color="000000" w:sz="4" w:space="0"/>
            </w:tcBorders>
            <w:vAlign w:val="center"/>
          </w:tcPr>
          <w:p w14:paraId="4C0FE73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签名验签服务器</w:t>
            </w:r>
          </w:p>
        </w:tc>
        <w:tc>
          <w:tcPr>
            <w:tcW w:w="3502" w:type="pct"/>
            <w:tcBorders>
              <w:top w:val="single" w:color="000000" w:sz="4" w:space="0"/>
              <w:left w:val="single" w:color="000000" w:sz="4" w:space="0"/>
              <w:bottom w:val="single" w:color="000000" w:sz="4" w:space="0"/>
              <w:right w:val="single" w:color="000000" w:sz="4" w:space="0"/>
            </w:tcBorders>
            <w:vAlign w:val="center"/>
          </w:tcPr>
          <w:p w14:paraId="6872113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1、2U机箱，CPU≥8核，内存≥16G，硬盘≥512G，千兆电口≥6个，千兆光口≥4个，RJ45串口≥1个，USB口≥2个，冗余电源；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2、SM2 PKCS#1签名/验签(tps)：16300/11900 Tps；SM2 PKCS#7 Attached签名/验签(tps)：17000/10100 Tps；SM2 PKCS#7 Detached签名/验签(tps)：14900/10700Tps；数字信封加密/解密：14300/10900Tps；SM4算法加/解密速率≥880Mbps；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3、支持对访问服务器密码机的业务IP进行白名单的控制，可增加单个或网段IP，只有在服务器密码机的添加认证后才可进行安全访问，提高整体系统安全性；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4、★出于后期运维、排障的难度和周期考虑，签名验签服务器的核心部件密码卡和签名验签服务器整机应为同品牌；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5、支持IPv4 和 IPv6，提高网络连接的稳定性和可靠性；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6、支持对数据、消息、文件的签名及验签功能，支持的签名验签格式包括PKCS#1、PKCS#7 Attach、PKCS#7 Detach等；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7、支持基于RSA、SM2密码算法的数字信封功能，支持PKCS#7标准格式的数字信封封装和解封；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8、★支持SNMP协议，SNMP服务开启后可通过SNMP服务监控密码机状态；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9、支持对称加密/解密功能，支持分组加密的四种模式：ECB、CBC、OFB、CFB模式；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10、支持内部密钥的安全备份和恢复，保证系统的安全性和可靠性；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11、★设备支持自检测，可进行程序完整性检测、密钥和数据完整性检测、随机数周期检测、算法检测;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12、支持通过设备内密码卡物理噪声源生成1024/2048位RSA、256位SM2密钥对，以及128位/256位对称密钥；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13、★支持签名验签服务器服务状态监控，以及支持修改当前服务端口;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14、密码机支持内部密钥的安全备份和恢复，保证系统的安全性和可靠性；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15、支持国密SM2和RSA算法证书申请、导入、查询、删除、下载、存储功能；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16、★支持配置证书链、OCSP、CRL，支持通过Http、LDAP，以及手动方式配置CRL；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17、支持集群部署，或双机热备等情景，防止单点故障，提高签名验签服务器业务运算性能，进一步提高可用性以及多并发等性；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18、支持系统自行记录日志，也可以将日志以 syslog 的方式发送到指定服务器，并提供日志审计功能。</w:t>
            </w:r>
          </w:p>
        </w:tc>
        <w:tc>
          <w:tcPr>
            <w:tcW w:w="220" w:type="pct"/>
            <w:tcBorders>
              <w:top w:val="single" w:color="000000" w:sz="4" w:space="0"/>
              <w:left w:val="single" w:color="000000" w:sz="4" w:space="0"/>
              <w:bottom w:val="single" w:color="000000" w:sz="4" w:space="0"/>
              <w:right w:val="single" w:color="000000" w:sz="4" w:space="0"/>
            </w:tcBorders>
            <w:vAlign w:val="center"/>
          </w:tcPr>
          <w:p w14:paraId="36E3CC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383DF20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78ABCE48">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F7EB6E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98" w:type="pct"/>
            <w:tcBorders>
              <w:top w:val="single" w:color="000000" w:sz="4" w:space="0"/>
              <w:left w:val="single" w:color="000000" w:sz="4" w:space="0"/>
              <w:bottom w:val="single" w:color="000000" w:sz="4" w:space="0"/>
              <w:right w:val="single" w:color="000000" w:sz="4" w:space="0"/>
            </w:tcBorders>
            <w:vAlign w:val="center"/>
          </w:tcPr>
          <w:p w14:paraId="792C0E8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时间戳服务器</w:t>
            </w:r>
          </w:p>
        </w:tc>
        <w:tc>
          <w:tcPr>
            <w:tcW w:w="3502" w:type="pct"/>
            <w:tcBorders>
              <w:top w:val="single" w:color="000000" w:sz="4" w:space="0"/>
              <w:left w:val="single" w:color="000000" w:sz="4" w:space="0"/>
              <w:bottom w:val="single" w:color="000000" w:sz="4" w:space="0"/>
              <w:right w:val="single" w:color="000000" w:sz="4" w:space="0"/>
            </w:tcBorders>
            <w:vAlign w:val="center"/>
          </w:tcPr>
          <w:p w14:paraId="17C08A1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1、2U机箱，CPU≥4核，内存≥16G，硬盘≥120G，千兆电口≥2个，RJ45串口≥1个，USB口≥2个，冗余电源；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2、SM2签发：8250Tps；SM2验证：7800Tps；RSA1024签发：6880Tps；RSA1024验证：15400Tps；RSA2048签发：2900Tps；RSA2048验证：13100Tps；时间同步协议：NTP;</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3、支持签发可信时间戳，验证时间戳真实性和有效性; 支持签发验证符合RFC3161和RFC2630标准的时间戳;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4、支持IPv4 和 IPv6，提高网络连接的稳定性和可靠性；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5、★出于后期运维、排障的难度和周期考虑，时间戳服务器的核心部件密码卡和时间戳服务器整机应为同品牌；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6、支持通过设备内密码卡物理噪声源生成1024/2048位RSA、256位SM2密钥对，以及128位/256位对称密钥;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7、支持安全存储对称密钥、RSA密钥和SM2密钥，任何时候密钥不以明文形式出现在设备外；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8、★用户可自定义同步周期时间。支持NPT协议，能够通过授时中心、卫星（北斗、GPS）、4G-LTE等方式进行时间同步，确保时间的有效性；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9、支持对根证书、时间戳证书管理，时间戳服务器在获取数字证书后，支持证书列表视图来管理已部署的数字证书。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10、支持C语言接口，Java语言接口等主流开发语言API，API 接口符标准接口规范GM/T 0033-2014《时间戳接口规范》，具有良好的通用性;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11、★支持SNMP协议，SNMP服务开启后可通过SNMP服务监控设备状态;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12、采用权威第三方认证机构颁发的时间戳服务器证书；时间戳符合《中华人民共和国电子签名法》;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13、★提供系统操作日志及时间戳服务日志，服务器系统可自行记录日志，也可以将日志以 syslog 的方式发送到指定服务器，并提供日志审计功能;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14、支持内部密钥的安全备份和恢复，保证系统的安全性和可靠性；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15、支持国密SM2和RSA算法证书申请、导入、删除、下载、存储、设置默认证书功能；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16、★设备支持自检测，可进行程序完整性检测、密钥和数据完整性检测、随机数周期检测、算法检测;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17、支持集群部署，或双机热备等情景，防止单点故障，提高加密机业务运算性能，进一步提高高可用以及多并发等性能;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18、支持系统自行记录日志，也可以将日志以 syslog 的方式发送到指定服务器，并提供日志审计功能。</w:t>
            </w:r>
          </w:p>
        </w:tc>
        <w:tc>
          <w:tcPr>
            <w:tcW w:w="220" w:type="pct"/>
            <w:tcBorders>
              <w:top w:val="single" w:color="000000" w:sz="4" w:space="0"/>
              <w:left w:val="single" w:color="000000" w:sz="4" w:space="0"/>
              <w:bottom w:val="single" w:color="000000" w:sz="4" w:space="0"/>
              <w:right w:val="single" w:color="000000" w:sz="4" w:space="0"/>
            </w:tcBorders>
            <w:vAlign w:val="center"/>
          </w:tcPr>
          <w:p w14:paraId="79A468E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5ED267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3810A89A">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vAlign w:val="center"/>
          </w:tcPr>
          <w:p w14:paraId="1D747181">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三、智慧燃气调度指挥中心建设</w:t>
            </w:r>
          </w:p>
        </w:tc>
        <w:tc>
          <w:tcPr>
            <w:tcW w:w="220" w:type="pct"/>
            <w:tcBorders>
              <w:top w:val="single" w:color="000000" w:sz="4" w:space="0"/>
              <w:left w:val="single" w:color="000000" w:sz="4" w:space="0"/>
              <w:bottom w:val="single" w:color="000000" w:sz="4" w:space="0"/>
              <w:right w:val="single" w:color="000000" w:sz="4" w:space="0"/>
            </w:tcBorders>
            <w:vAlign w:val="center"/>
          </w:tcPr>
          <w:p w14:paraId="3A7A0EE2">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562762D2">
            <w:pPr>
              <w:jc w:val="center"/>
              <w:rPr>
                <w:rFonts w:hint="eastAsia" w:ascii="宋体" w:hAnsi="宋体" w:cs="宋体"/>
                <w:color w:val="auto"/>
                <w:szCs w:val="21"/>
                <w:highlight w:val="none"/>
              </w:rPr>
            </w:pPr>
          </w:p>
        </w:tc>
      </w:tr>
      <w:tr w14:paraId="58C02B52">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vAlign w:val="center"/>
          </w:tcPr>
          <w:p w14:paraId="6B68826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1、应急指挥中心建设</w:t>
            </w:r>
          </w:p>
        </w:tc>
        <w:tc>
          <w:tcPr>
            <w:tcW w:w="220" w:type="pct"/>
            <w:tcBorders>
              <w:top w:val="single" w:color="000000" w:sz="4" w:space="0"/>
              <w:left w:val="single" w:color="000000" w:sz="4" w:space="0"/>
              <w:bottom w:val="single" w:color="000000" w:sz="4" w:space="0"/>
              <w:right w:val="single" w:color="000000" w:sz="4" w:space="0"/>
            </w:tcBorders>
            <w:vAlign w:val="center"/>
          </w:tcPr>
          <w:p w14:paraId="36C5B561">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3B05B2D2">
            <w:pPr>
              <w:jc w:val="center"/>
              <w:rPr>
                <w:rFonts w:hint="eastAsia" w:ascii="宋体" w:hAnsi="宋体" w:cs="宋体"/>
                <w:color w:val="auto"/>
                <w:szCs w:val="21"/>
                <w:highlight w:val="none"/>
              </w:rPr>
            </w:pPr>
          </w:p>
        </w:tc>
      </w:tr>
      <w:tr w14:paraId="2A52717C">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977C8B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598" w:type="pct"/>
            <w:tcBorders>
              <w:top w:val="single" w:color="000000" w:sz="4" w:space="0"/>
              <w:left w:val="single" w:color="000000" w:sz="4" w:space="0"/>
              <w:bottom w:val="single" w:color="000000" w:sz="4" w:space="0"/>
              <w:right w:val="single" w:color="000000" w:sz="4" w:space="0"/>
            </w:tcBorders>
            <w:vAlign w:val="center"/>
          </w:tcPr>
          <w:p w14:paraId="0D5B0AE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装修装饰服务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4109969E">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楼面，墙面、天花吊顶主体色调需要整体协调，做好隔音工程。</w:t>
            </w:r>
          </w:p>
        </w:tc>
        <w:tc>
          <w:tcPr>
            <w:tcW w:w="220" w:type="pct"/>
            <w:tcBorders>
              <w:top w:val="single" w:color="000000" w:sz="4" w:space="0"/>
              <w:left w:val="single" w:color="000000" w:sz="4" w:space="0"/>
              <w:bottom w:val="single" w:color="000000" w:sz="4" w:space="0"/>
              <w:right w:val="single" w:color="000000" w:sz="4" w:space="0"/>
            </w:tcBorders>
            <w:vAlign w:val="center"/>
          </w:tcPr>
          <w:p w14:paraId="40B131C5">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77BC673A">
            <w:pPr>
              <w:jc w:val="center"/>
              <w:rPr>
                <w:rFonts w:hint="eastAsia" w:ascii="宋体" w:hAnsi="宋体" w:cs="宋体"/>
                <w:color w:val="auto"/>
                <w:szCs w:val="21"/>
                <w:highlight w:val="none"/>
              </w:rPr>
            </w:pPr>
          </w:p>
        </w:tc>
      </w:tr>
      <w:tr w14:paraId="3759F66D">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8E8F0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w:t>
            </w:r>
          </w:p>
        </w:tc>
        <w:tc>
          <w:tcPr>
            <w:tcW w:w="598" w:type="pct"/>
            <w:tcBorders>
              <w:top w:val="single" w:color="000000" w:sz="4" w:space="0"/>
              <w:left w:val="single" w:color="000000" w:sz="4" w:space="0"/>
              <w:bottom w:val="single" w:color="000000" w:sz="4" w:space="0"/>
              <w:right w:val="single" w:color="000000" w:sz="4" w:space="0"/>
            </w:tcBorders>
            <w:vAlign w:val="center"/>
          </w:tcPr>
          <w:p w14:paraId="6AA15DA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拆除服务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785F6A91">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6FBD1506">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000C1909">
            <w:pPr>
              <w:jc w:val="center"/>
              <w:rPr>
                <w:rFonts w:hint="eastAsia" w:ascii="宋体" w:hAnsi="宋体" w:cs="宋体"/>
                <w:color w:val="auto"/>
                <w:szCs w:val="21"/>
                <w:highlight w:val="none"/>
              </w:rPr>
            </w:pPr>
          </w:p>
        </w:tc>
      </w:tr>
      <w:tr w14:paraId="40DC9A16">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620ED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403A29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平面块料拆除</w:t>
            </w:r>
          </w:p>
        </w:tc>
        <w:tc>
          <w:tcPr>
            <w:tcW w:w="3502" w:type="pct"/>
            <w:tcBorders>
              <w:top w:val="single" w:color="000000" w:sz="4" w:space="0"/>
              <w:left w:val="single" w:color="000000" w:sz="4" w:space="0"/>
              <w:bottom w:val="single" w:color="000000" w:sz="4" w:space="0"/>
              <w:right w:val="single" w:color="000000" w:sz="4" w:space="0"/>
            </w:tcBorders>
            <w:vAlign w:val="center"/>
          </w:tcPr>
          <w:p w14:paraId="62998A4D">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拆除指挥中心、设备间地砖；</w:t>
            </w:r>
          </w:p>
        </w:tc>
        <w:tc>
          <w:tcPr>
            <w:tcW w:w="220" w:type="pct"/>
            <w:tcBorders>
              <w:top w:val="single" w:color="000000" w:sz="4" w:space="0"/>
              <w:left w:val="single" w:color="000000" w:sz="4" w:space="0"/>
              <w:bottom w:val="single" w:color="000000" w:sz="4" w:space="0"/>
              <w:right w:val="single" w:color="000000" w:sz="4" w:space="0"/>
            </w:tcBorders>
            <w:vAlign w:val="center"/>
          </w:tcPr>
          <w:p w14:paraId="2BFE86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1EE5AB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6A3C6D69">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A639D6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657E62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灯具及线缆线槽拆除</w:t>
            </w:r>
          </w:p>
        </w:tc>
        <w:tc>
          <w:tcPr>
            <w:tcW w:w="3502" w:type="pct"/>
            <w:tcBorders>
              <w:top w:val="single" w:color="000000" w:sz="4" w:space="0"/>
              <w:left w:val="single" w:color="000000" w:sz="4" w:space="0"/>
              <w:bottom w:val="single" w:color="000000" w:sz="4" w:space="0"/>
              <w:right w:val="single" w:color="000000" w:sz="4" w:space="0"/>
            </w:tcBorders>
            <w:vAlign w:val="center"/>
          </w:tcPr>
          <w:p w14:paraId="36116222">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指挥中心约51平方米、设备间的灯具及线缆线槽拆除</w:t>
            </w:r>
          </w:p>
        </w:tc>
        <w:tc>
          <w:tcPr>
            <w:tcW w:w="220" w:type="pct"/>
            <w:tcBorders>
              <w:top w:val="single" w:color="000000" w:sz="4" w:space="0"/>
              <w:left w:val="single" w:color="000000" w:sz="4" w:space="0"/>
              <w:bottom w:val="single" w:color="000000" w:sz="4" w:space="0"/>
              <w:right w:val="single" w:color="000000" w:sz="4" w:space="0"/>
            </w:tcBorders>
            <w:vAlign w:val="center"/>
          </w:tcPr>
          <w:p w14:paraId="6DB8BB1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5FF469F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159BD630">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5570BB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w:t>
            </w:r>
          </w:p>
        </w:tc>
        <w:tc>
          <w:tcPr>
            <w:tcW w:w="598" w:type="pct"/>
            <w:tcBorders>
              <w:top w:val="single" w:color="000000" w:sz="4" w:space="0"/>
              <w:left w:val="single" w:color="000000" w:sz="4" w:space="0"/>
              <w:bottom w:val="single" w:color="000000" w:sz="4" w:space="0"/>
              <w:right w:val="single" w:color="000000" w:sz="4" w:space="0"/>
            </w:tcBorders>
            <w:vAlign w:val="center"/>
          </w:tcPr>
          <w:p w14:paraId="096D7C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楼地面建设服务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26F59937">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10E27806">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225C7731">
            <w:pPr>
              <w:jc w:val="center"/>
              <w:rPr>
                <w:rFonts w:hint="eastAsia" w:ascii="宋体" w:hAnsi="宋体" w:cs="宋体"/>
                <w:color w:val="auto"/>
                <w:szCs w:val="21"/>
                <w:highlight w:val="none"/>
              </w:rPr>
            </w:pPr>
          </w:p>
        </w:tc>
      </w:tr>
      <w:tr w14:paraId="03D73E17">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127BC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595E5E1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块料楼地面</w:t>
            </w:r>
          </w:p>
        </w:tc>
        <w:tc>
          <w:tcPr>
            <w:tcW w:w="3502" w:type="pct"/>
            <w:tcBorders>
              <w:top w:val="single" w:color="000000" w:sz="4" w:space="0"/>
              <w:left w:val="single" w:color="000000" w:sz="4" w:space="0"/>
              <w:bottom w:val="single" w:color="000000" w:sz="4" w:space="0"/>
              <w:right w:val="single" w:color="000000" w:sz="4" w:space="0"/>
            </w:tcBorders>
            <w:vAlign w:val="center"/>
          </w:tcPr>
          <w:p w14:paraId="556E1AC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1、指挥中心大厅1500*750mm地砖；陶瓷地砖楼地面 水泥砂浆 密缝（素水泥浆）、人工服务等。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2、环保，防滑耐磨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3、铺设时与墙面之接合处应平顺，转角处地板应平实、无裂痕，接缝紧密平整，贴合应牢固、无空缺，接缝处无渗水、渗胶。</w:t>
            </w:r>
          </w:p>
        </w:tc>
        <w:tc>
          <w:tcPr>
            <w:tcW w:w="220" w:type="pct"/>
            <w:tcBorders>
              <w:top w:val="single" w:color="000000" w:sz="4" w:space="0"/>
              <w:left w:val="single" w:color="000000" w:sz="4" w:space="0"/>
              <w:bottom w:val="single" w:color="000000" w:sz="4" w:space="0"/>
              <w:right w:val="single" w:color="000000" w:sz="4" w:space="0"/>
            </w:tcBorders>
            <w:vAlign w:val="center"/>
          </w:tcPr>
          <w:p w14:paraId="4D7A161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93" w:type="pct"/>
            <w:tcBorders>
              <w:top w:val="single" w:color="000000" w:sz="4" w:space="0"/>
              <w:left w:val="single" w:color="000000" w:sz="4" w:space="0"/>
              <w:bottom w:val="single" w:color="000000" w:sz="4" w:space="0"/>
              <w:right w:val="single" w:color="000000" w:sz="4" w:space="0"/>
            </w:tcBorders>
            <w:vAlign w:val="center"/>
          </w:tcPr>
          <w:p w14:paraId="15000D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081F41B9">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CEAF2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0493BD5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木质踢脚线</w:t>
            </w:r>
          </w:p>
        </w:tc>
        <w:tc>
          <w:tcPr>
            <w:tcW w:w="3502" w:type="pct"/>
            <w:tcBorders>
              <w:top w:val="single" w:color="000000" w:sz="4" w:space="0"/>
              <w:left w:val="single" w:color="000000" w:sz="4" w:space="0"/>
              <w:bottom w:val="single" w:color="000000" w:sz="4" w:space="0"/>
              <w:right w:val="single" w:color="000000" w:sz="4" w:space="0"/>
            </w:tcBorders>
            <w:vAlign w:val="center"/>
          </w:tcPr>
          <w:p w14:paraId="3346CF1B">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成品木踢脚线 (高150mm)，色调与指挥中心整体风格保持一致。</w:t>
            </w:r>
          </w:p>
        </w:tc>
        <w:tc>
          <w:tcPr>
            <w:tcW w:w="220" w:type="pct"/>
            <w:tcBorders>
              <w:top w:val="single" w:color="000000" w:sz="4" w:space="0"/>
              <w:left w:val="single" w:color="000000" w:sz="4" w:space="0"/>
              <w:bottom w:val="single" w:color="000000" w:sz="4" w:space="0"/>
              <w:right w:val="single" w:color="000000" w:sz="4" w:space="0"/>
            </w:tcBorders>
            <w:vAlign w:val="center"/>
          </w:tcPr>
          <w:p w14:paraId="4832ADF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93" w:type="pct"/>
            <w:tcBorders>
              <w:top w:val="single" w:color="000000" w:sz="4" w:space="0"/>
              <w:left w:val="single" w:color="000000" w:sz="4" w:space="0"/>
              <w:bottom w:val="single" w:color="000000" w:sz="4" w:space="0"/>
              <w:right w:val="single" w:color="000000" w:sz="4" w:space="0"/>
            </w:tcBorders>
            <w:vAlign w:val="center"/>
          </w:tcPr>
          <w:p w14:paraId="7A80187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r>
      <w:tr w14:paraId="48D62E32">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FD528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1.1.3</w:t>
            </w:r>
          </w:p>
        </w:tc>
        <w:tc>
          <w:tcPr>
            <w:tcW w:w="598" w:type="pct"/>
            <w:tcBorders>
              <w:top w:val="single" w:color="000000" w:sz="4" w:space="0"/>
              <w:left w:val="single" w:color="000000" w:sz="4" w:space="0"/>
              <w:bottom w:val="single" w:color="000000" w:sz="4" w:space="0"/>
              <w:right w:val="single" w:color="000000" w:sz="4" w:space="0"/>
            </w:tcBorders>
            <w:vAlign w:val="center"/>
          </w:tcPr>
          <w:p w14:paraId="78DAFFD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天棚装饰服务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2083C1C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需要进行相应的造型处理，凸显指挥特色</w:t>
            </w:r>
          </w:p>
        </w:tc>
        <w:tc>
          <w:tcPr>
            <w:tcW w:w="220" w:type="pct"/>
            <w:tcBorders>
              <w:top w:val="single" w:color="000000" w:sz="4" w:space="0"/>
              <w:left w:val="single" w:color="000000" w:sz="4" w:space="0"/>
              <w:bottom w:val="single" w:color="000000" w:sz="4" w:space="0"/>
              <w:right w:val="single" w:color="000000" w:sz="4" w:space="0"/>
            </w:tcBorders>
            <w:vAlign w:val="center"/>
          </w:tcPr>
          <w:p w14:paraId="51EB09F5">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75A29396">
            <w:pPr>
              <w:jc w:val="center"/>
              <w:rPr>
                <w:rFonts w:hint="eastAsia" w:ascii="宋体" w:hAnsi="宋体" w:cs="宋体"/>
                <w:color w:val="auto"/>
                <w:szCs w:val="21"/>
                <w:highlight w:val="none"/>
              </w:rPr>
            </w:pPr>
          </w:p>
        </w:tc>
      </w:tr>
      <w:tr w14:paraId="251696C9">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75F5E7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078DA0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吊顶天棚</w:t>
            </w:r>
          </w:p>
        </w:tc>
        <w:tc>
          <w:tcPr>
            <w:tcW w:w="3502" w:type="pct"/>
            <w:tcBorders>
              <w:top w:val="single" w:color="000000" w:sz="4" w:space="0"/>
              <w:left w:val="single" w:color="000000" w:sz="4" w:space="0"/>
              <w:bottom w:val="single" w:color="000000" w:sz="4" w:space="0"/>
              <w:right w:val="single" w:color="000000" w:sz="4" w:space="0"/>
            </w:tcBorders>
            <w:vAlign w:val="center"/>
          </w:tcPr>
          <w:p w14:paraId="460950CC">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1、指挥中心大厅跌级吊顶；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2、装配式U型轻钢天棚龙骨(不上人型)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3、天棚石膏板基层。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4、包括LOGO造型。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5、造型样式根据实际情况调整。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6、吊顶要求吊顶格栅平整度好、无色差、不起尘、防火、防潮。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7、须处理好金属格栅与棉板，吊顶之间、吊顶与墙、柱之间的垂直或平行关系。</w:t>
            </w:r>
          </w:p>
        </w:tc>
        <w:tc>
          <w:tcPr>
            <w:tcW w:w="220" w:type="pct"/>
            <w:tcBorders>
              <w:top w:val="single" w:color="000000" w:sz="4" w:space="0"/>
              <w:left w:val="single" w:color="000000" w:sz="4" w:space="0"/>
              <w:bottom w:val="single" w:color="000000" w:sz="4" w:space="0"/>
              <w:right w:val="single" w:color="000000" w:sz="4" w:space="0"/>
            </w:tcBorders>
            <w:vAlign w:val="center"/>
          </w:tcPr>
          <w:p w14:paraId="3C2FB14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93" w:type="pct"/>
            <w:tcBorders>
              <w:top w:val="single" w:color="000000" w:sz="4" w:space="0"/>
              <w:left w:val="single" w:color="000000" w:sz="4" w:space="0"/>
              <w:bottom w:val="single" w:color="000000" w:sz="4" w:space="0"/>
              <w:right w:val="single" w:color="000000" w:sz="4" w:space="0"/>
            </w:tcBorders>
            <w:vAlign w:val="center"/>
          </w:tcPr>
          <w:p w14:paraId="3BD9281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67D4D5BA">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E4940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17C7AA4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满刮腻子</w:t>
            </w:r>
          </w:p>
        </w:tc>
        <w:tc>
          <w:tcPr>
            <w:tcW w:w="3502" w:type="pct"/>
            <w:tcBorders>
              <w:top w:val="single" w:color="000000" w:sz="4" w:space="0"/>
              <w:left w:val="single" w:color="000000" w:sz="4" w:space="0"/>
              <w:bottom w:val="single" w:color="000000" w:sz="4" w:space="0"/>
              <w:right w:val="single" w:color="000000" w:sz="4" w:space="0"/>
            </w:tcBorders>
            <w:vAlign w:val="center"/>
          </w:tcPr>
          <w:p w14:paraId="4CF8463A">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1、刮熟胶粉腻子 内墙面 两遍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2、用材符合国家环保要求。</w:t>
            </w:r>
          </w:p>
        </w:tc>
        <w:tc>
          <w:tcPr>
            <w:tcW w:w="220" w:type="pct"/>
            <w:tcBorders>
              <w:top w:val="single" w:color="000000" w:sz="4" w:space="0"/>
              <w:left w:val="single" w:color="000000" w:sz="4" w:space="0"/>
              <w:bottom w:val="single" w:color="000000" w:sz="4" w:space="0"/>
              <w:right w:val="single" w:color="000000" w:sz="4" w:space="0"/>
            </w:tcBorders>
            <w:vAlign w:val="center"/>
          </w:tcPr>
          <w:p w14:paraId="4A4309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93" w:type="pct"/>
            <w:tcBorders>
              <w:top w:val="single" w:color="000000" w:sz="4" w:space="0"/>
              <w:left w:val="single" w:color="000000" w:sz="4" w:space="0"/>
              <w:bottom w:val="single" w:color="000000" w:sz="4" w:space="0"/>
              <w:right w:val="single" w:color="000000" w:sz="4" w:space="0"/>
            </w:tcBorders>
            <w:vAlign w:val="center"/>
          </w:tcPr>
          <w:p w14:paraId="5AEC153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7D658087">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D16ED8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45DA225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墙面喷（刷）涂料</w:t>
            </w:r>
          </w:p>
        </w:tc>
        <w:tc>
          <w:tcPr>
            <w:tcW w:w="3502" w:type="pct"/>
            <w:tcBorders>
              <w:top w:val="single" w:color="000000" w:sz="4" w:space="0"/>
              <w:left w:val="single" w:color="000000" w:sz="4" w:space="0"/>
              <w:bottom w:val="single" w:color="000000" w:sz="4" w:space="0"/>
              <w:right w:val="single" w:color="000000" w:sz="4" w:space="0"/>
            </w:tcBorders>
            <w:vAlign w:val="center"/>
          </w:tcPr>
          <w:p w14:paraId="517B03F6">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1、乳胶漆 内墙、柱、天棚抹灰面 三遍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2、色调与指挥中心整体风格保持一致。</w:t>
            </w:r>
          </w:p>
        </w:tc>
        <w:tc>
          <w:tcPr>
            <w:tcW w:w="220" w:type="pct"/>
            <w:tcBorders>
              <w:top w:val="single" w:color="000000" w:sz="4" w:space="0"/>
              <w:left w:val="single" w:color="000000" w:sz="4" w:space="0"/>
              <w:bottom w:val="single" w:color="000000" w:sz="4" w:space="0"/>
              <w:right w:val="single" w:color="000000" w:sz="4" w:space="0"/>
            </w:tcBorders>
            <w:vAlign w:val="center"/>
          </w:tcPr>
          <w:p w14:paraId="0214282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93" w:type="pct"/>
            <w:tcBorders>
              <w:top w:val="single" w:color="000000" w:sz="4" w:space="0"/>
              <w:left w:val="single" w:color="000000" w:sz="4" w:space="0"/>
              <w:bottom w:val="single" w:color="000000" w:sz="4" w:space="0"/>
              <w:right w:val="single" w:color="000000" w:sz="4" w:space="0"/>
            </w:tcBorders>
            <w:vAlign w:val="center"/>
          </w:tcPr>
          <w:p w14:paraId="5D91A1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523E8892">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B950B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1.1.4</w:t>
            </w:r>
          </w:p>
        </w:tc>
        <w:tc>
          <w:tcPr>
            <w:tcW w:w="598" w:type="pct"/>
            <w:tcBorders>
              <w:top w:val="single" w:color="000000" w:sz="4" w:space="0"/>
              <w:left w:val="single" w:color="000000" w:sz="4" w:space="0"/>
              <w:bottom w:val="single" w:color="000000" w:sz="4" w:space="0"/>
              <w:right w:val="single" w:color="000000" w:sz="4" w:space="0"/>
            </w:tcBorders>
            <w:vAlign w:val="center"/>
          </w:tcPr>
          <w:p w14:paraId="028021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墙面及门窗实施服务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3443DE95">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19A80FDB">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3F60A943">
            <w:pPr>
              <w:jc w:val="center"/>
              <w:rPr>
                <w:rFonts w:hint="eastAsia" w:ascii="宋体" w:hAnsi="宋体" w:cs="宋体"/>
                <w:color w:val="auto"/>
                <w:szCs w:val="21"/>
                <w:highlight w:val="none"/>
              </w:rPr>
            </w:pPr>
          </w:p>
        </w:tc>
      </w:tr>
      <w:tr w14:paraId="07E718E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F2EF0A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65D41E2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吸音板隔墙</w:t>
            </w:r>
          </w:p>
        </w:tc>
        <w:tc>
          <w:tcPr>
            <w:tcW w:w="3502" w:type="pct"/>
            <w:tcBorders>
              <w:top w:val="single" w:color="000000" w:sz="4" w:space="0"/>
              <w:left w:val="single" w:color="000000" w:sz="4" w:space="0"/>
              <w:bottom w:val="single" w:color="000000" w:sz="4" w:space="0"/>
              <w:right w:val="single" w:color="000000" w:sz="4" w:space="0"/>
            </w:tcBorders>
            <w:vAlign w:val="center"/>
          </w:tcPr>
          <w:p w14:paraId="1182197E">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1、用材符合国家环保标准。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2、色调与指挥中心整体风格保持一致。</w:t>
            </w:r>
          </w:p>
        </w:tc>
        <w:tc>
          <w:tcPr>
            <w:tcW w:w="220" w:type="pct"/>
            <w:tcBorders>
              <w:top w:val="single" w:color="000000" w:sz="4" w:space="0"/>
              <w:left w:val="single" w:color="000000" w:sz="4" w:space="0"/>
              <w:bottom w:val="single" w:color="000000" w:sz="4" w:space="0"/>
              <w:right w:val="single" w:color="000000" w:sz="4" w:space="0"/>
            </w:tcBorders>
            <w:vAlign w:val="center"/>
          </w:tcPr>
          <w:p w14:paraId="0781FA1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93" w:type="pct"/>
            <w:tcBorders>
              <w:top w:val="single" w:color="000000" w:sz="4" w:space="0"/>
              <w:left w:val="single" w:color="000000" w:sz="4" w:space="0"/>
              <w:bottom w:val="single" w:color="000000" w:sz="4" w:space="0"/>
              <w:right w:val="single" w:color="000000" w:sz="4" w:space="0"/>
            </w:tcBorders>
            <w:vAlign w:val="center"/>
          </w:tcPr>
          <w:p w14:paraId="31F7F7D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301050E2">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8C694C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21A7F3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木饰面单开门</w:t>
            </w:r>
          </w:p>
        </w:tc>
        <w:tc>
          <w:tcPr>
            <w:tcW w:w="3502" w:type="pct"/>
            <w:tcBorders>
              <w:top w:val="single" w:color="000000" w:sz="4" w:space="0"/>
              <w:left w:val="single" w:color="000000" w:sz="4" w:space="0"/>
              <w:bottom w:val="single" w:color="000000" w:sz="4" w:space="0"/>
              <w:right w:val="single" w:color="000000" w:sz="4" w:space="0"/>
            </w:tcBorders>
            <w:vAlign w:val="center"/>
          </w:tcPr>
          <w:p w14:paraId="4F3320DD">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1、装饰成品门  安装；生态木开门，2樘，尺寸宽1000mm*高2100mm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2、包括门锁五金配件，普通门锁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3、色调与指挥中心整体风格保持一致。</w:t>
            </w:r>
          </w:p>
        </w:tc>
        <w:tc>
          <w:tcPr>
            <w:tcW w:w="220" w:type="pct"/>
            <w:tcBorders>
              <w:top w:val="single" w:color="000000" w:sz="4" w:space="0"/>
              <w:left w:val="single" w:color="000000" w:sz="4" w:space="0"/>
              <w:bottom w:val="single" w:color="000000" w:sz="4" w:space="0"/>
              <w:right w:val="single" w:color="000000" w:sz="4" w:space="0"/>
            </w:tcBorders>
            <w:vAlign w:val="center"/>
          </w:tcPr>
          <w:p w14:paraId="24BD602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93" w:type="pct"/>
            <w:tcBorders>
              <w:top w:val="single" w:color="000000" w:sz="4" w:space="0"/>
              <w:left w:val="single" w:color="000000" w:sz="4" w:space="0"/>
              <w:bottom w:val="single" w:color="000000" w:sz="4" w:space="0"/>
              <w:right w:val="single" w:color="000000" w:sz="4" w:space="0"/>
            </w:tcBorders>
            <w:vAlign w:val="center"/>
          </w:tcPr>
          <w:p w14:paraId="1CB3D63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373C05F1">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70171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5D461F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窗帘</w:t>
            </w:r>
          </w:p>
        </w:tc>
        <w:tc>
          <w:tcPr>
            <w:tcW w:w="3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85A9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1、布艺窗帘，包括体指挥中心的布艺窗帘。</w:t>
            </w:r>
          </w:p>
          <w:p w14:paraId="5EACC6E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2、布艺材质防火窗帘。</w:t>
            </w:r>
          </w:p>
          <w:p w14:paraId="144D336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3、遮光率90%以上。</w:t>
            </w:r>
          </w:p>
          <w:p w14:paraId="58303549">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default" w:ascii="宋体" w:hAnsi="宋体" w:eastAsia="宋体" w:cs="宋体"/>
                <w:i w:val="0"/>
                <w:iCs w:val="0"/>
                <w:color w:val="auto"/>
                <w:kern w:val="0"/>
                <w:sz w:val="21"/>
                <w:szCs w:val="21"/>
                <w:highlight w:val="none"/>
                <w:u w:val="none"/>
                <w:lang w:val="en-US" w:eastAsia="zh-CN"/>
              </w:rPr>
              <w:t>4、导轨：静音导轨，铝材质。</w:t>
            </w:r>
          </w:p>
        </w:tc>
        <w:tc>
          <w:tcPr>
            <w:tcW w:w="220" w:type="pct"/>
            <w:tcBorders>
              <w:top w:val="single" w:color="000000" w:sz="4" w:space="0"/>
              <w:left w:val="single" w:color="000000" w:sz="4" w:space="0"/>
              <w:bottom w:val="single" w:color="000000" w:sz="4" w:space="0"/>
              <w:right w:val="single" w:color="000000" w:sz="4" w:space="0"/>
            </w:tcBorders>
            <w:vAlign w:val="center"/>
          </w:tcPr>
          <w:p w14:paraId="763C02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36.2</w:t>
            </w:r>
          </w:p>
        </w:tc>
        <w:tc>
          <w:tcPr>
            <w:tcW w:w="193" w:type="pct"/>
            <w:tcBorders>
              <w:top w:val="single" w:color="000000" w:sz="4" w:space="0"/>
              <w:left w:val="single" w:color="000000" w:sz="4" w:space="0"/>
              <w:bottom w:val="single" w:color="000000" w:sz="4" w:space="0"/>
              <w:right w:val="single" w:color="000000" w:sz="4" w:space="0"/>
            </w:tcBorders>
            <w:vAlign w:val="center"/>
          </w:tcPr>
          <w:p w14:paraId="07F7E5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7686BA6D">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806821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1.1.5</w:t>
            </w:r>
          </w:p>
        </w:tc>
        <w:tc>
          <w:tcPr>
            <w:tcW w:w="598" w:type="pct"/>
            <w:tcBorders>
              <w:top w:val="single" w:color="000000" w:sz="4" w:space="0"/>
              <w:left w:val="single" w:color="000000" w:sz="4" w:space="0"/>
              <w:bottom w:val="single" w:color="000000" w:sz="4" w:space="0"/>
              <w:right w:val="single" w:color="000000" w:sz="4" w:space="0"/>
            </w:tcBorders>
            <w:vAlign w:val="center"/>
          </w:tcPr>
          <w:p w14:paraId="4F217D4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其他装饰服</w:t>
            </w:r>
          </w:p>
        </w:tc>
        <w:tc>
          <w:tcPr>
            <w:tcW w:w="3502" w:type="pct"/>
            <w:tcBorders>
              <w:top w:val="single" w:color="000000" w:sz="4" w:space="0"/>
              <w:left w:val="single" w:color="000000" w:sz="4" w:space="0"/>
              <w:bottom w:val="single" w:color="000000" w:sz="4" w:space="0"/>
              <w:right w:val="single" w:color="000000" w:sz="4" w:space="0"/>
            </w:tcBorders>
            <w:vAlign w:val="center"/>
          </w:tcPr>
          <w:p w14:paraId="0A06E855">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1052B40B">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5095B7BD">
            <w:pPr>
              <w:jc w:val="center"/>
              <w:rPr>
                <w:rFonts w:hint="eastAsia" w:ascii="宋体" w:hAnsi="宋体" w:cs="宋体"/>
                <w:color w:val="auto"/>
                <w:szCs w:val="21"/>
                <w:highlight w:val="none"/>
              </w:rPr>
            </w:pPr>
          </w:p>
        </w:tc>
      </w:tr>
      <w:tr w14:paraId="444E35E4">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2DFDC8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439D1A8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背景墙</w:t>
            </w:r>
          </w:p>
        </w:tc>
        <w:tc>
          <w:tcPr>
            <w:tcW w:w="3502" w:type="pct"/>
            <w:tcBorders>
              <w:top w:val="single" w:color="000000" w:sz="4" w:space="0"/>
              <w:left w:val="single" w:color="000000" w:sz="4" w:space="0"/>
              <w:bottom w:val="single" w:color="000000" w:sz="4" w:space="0"/>
              <w:right w:val="single" w:color="000000" w:sz="4" w:space="0"/>
            </w:tcBorders>
            <w:vAlign w:val="center"/>
          </w:tcPr>
          <w:p w14:paraId="0C7DB3B2">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1、背景墙定制服务；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2、包括指挥大厅室内广告logo烤漆字；具体情况根据实际情况进行建设。</w:t>
            </w:r>
          </w:p>
        </w:tc>
        <w:tc>
          <w:tcPr>
            <w:tcW w:w="220" w:type="pct"/>
            <w:tcBorders>
              <w:top w:val="single" w:color="000000" w:sz="4" w:space="0"/>
              <w:left w:val="single" w:color="000000" w:sz="4" w:space="0"/>
              <w:bottom w:val="single" w:color="000000" w:sz="4" w:space="0"/>
              <w:right w:val="single" w:color="000000" w:sz="4" w:space="0"/>
            </w:tcBorders>
            <w:vAlign w:val="center"/>
          </w:tcPr>
          <w:p w14:paraId="44F3614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6E5D40F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760FA712">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4EB58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50C2CE9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垃圾外运</w:t>
            </w:r>
          </w:p>
        </w:tc>
        <w:tc>
          <w:tcPr>
            <w:tcW w:w="3502" w:type="pct"/>
            <w:tcBorders>
              <w:top w:val="single" w:color="000000" w:sz="4" w:space="0"/>
              <w:left w:val="single" w:color="000000" w:sz="4" w:space="0"/>
              <w:bottom w:val="single" w:color="000000" w:sz="4" w:space="0"/>
              <w:right w:val="single" w:color="000000" w:sz="4" w:space="0"/>
            </w:tcBorders>
            <w:vAlign w:val="center"/>
          </w:tcPr>
          <w:p w14:paraId="6C7EA6BD">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包括本项目所有拆除建筑垃圾的外运。</w:t>
            </w:r>
          </w:p>
        </w:tc>
        <w:tc>
          <w:tcPr>
            <w:tcW w:w="220" w:type="pct"/>
            <w:tcBorders>
              <w:top w:val="single" w:color="000000" w:sz="4" w:space="0"/>
              <w:left w:val="single" w:color="000000" w:sz="4" w:space="0"/>
              <w:bottom w:val="single" w:color="000000" w:sz="4" w:space="0"/>
              <w:right w:val="single" w:color="000000" w:sz="4" w:space="0"/>
            </w:tcBorders>
            <w:vAlign w:val="center"/>
          </w:tcPr>
          <w:p w14:paraId="67FBBAD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0458EF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1E9CD35C">
        <w:tblPrEx>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73294A2B">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1180" w:type="dxa"/>
            <w:tcBorders>
              <w:top w:val="single" w:color="000000" w:sz="4" w:space="0"/>
              <w:left w:val="single" w:color="000000" w:sz="4" w:space="0"/>
              <w:bottom w:val="single" w:color="000000" w:sz="4" w:space="0"/>
              <w:right w:val="single" w:color="000000" w:sz="4" w:space="0"/>
            </w:tcBorders>
            <w:vAlign w:val="center"/>
          </w:tcPr>
          <w:p w14:paraId="3EAFC4E8">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防水</w:t>
            </w:r>
          </w:p>
        </w:tc>
        <w:tc>
          <w:tcPr>
            <w:tcW w:w="6903" w:type="dxa"/>
            <w:tcBorders>
              <w:top w:val="single" w:color="000000" w:sz="4" w:space="0"/>
              <w:left w:val="single" w:color="000000" w:sz="4" w:space="0"/>
              <w:bottom w:val="single" w:color="000000" w:sz="4" w:space="0"/>
              <w:right w:val="single" w:color="000000" w:sz="4" w:space="0"/>
            </w:tcBorders>
            <w:vAlign w:val="center"/>
          </w:tcPr>
          <w:p w14:paraId="681E29DF">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刷优质防水漆 两遍</w:t>
            </w:r>
            <w:r>
              <w:rPr>
                <w:rFonts w:hint="eastAsia" w:ascii="宋体" w:hAnsi="宋体" w:cs="宋体"/>
                <w:i w:val="0"/>
                <w:iCs w:val="0"/>
                <w:color w:val="auto"/>
                <w:kern w:val="0"/>
                <w:sz w:val="20"/>
                <w:szCs w:val="20"/>
                <w:highlight w:val="none"/>
                <w:u w:val="none"/>
                <w:lang w:val="en-US" w:eastAsia="zh-CN" w:bidi="ar"/>
              </w:rPr>
              <w:t>，使用柔性丙烯酸涂料</w:t>
            </w:r>
          </w:p>
        </w:tc>
        <w:tc>
          <w:tcPr>
            <w:tcW w:w="434" w:type="dxa"/>
            <w:tcBorders>
              <w:top w:val="single" w:color="000000" w:sz="4" w:space="0"/>
              <w:left w:val="single" w:color="000000" w:sz="4" w:space="0"/>
              <w:bottom w:val="single" w:color="000000" w:sz="4" w:space="0"/>
              <w:right w:val="single" w:color="000000" w:sz="4" w:space="0"/>
            </w:tcBorders>
            <w:vAlign w:val="center"/>
          </w:tcPr>
          <w:p w14:paraId="5576285D">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112</w:t>
            </w:r>
          </w:p>
        </w:tc>
        <w:tc>
          <w:tcPr>
            <w:tcW w:w="381" w:type="dxa"/>
            <w:tcBorders>
              <w:top w:val="single" w:color="000000" w:sz="4" w:space="0"/>
              <w:left w:val="single" w:color="000000" w:sz="4" w:space="0"/>
              <w:bottom w:val="single" w:color="000000" w:sz="4" w:space="0"/>
              <w:right w:val="single" w:color="000000" w:sz="4" w:space="0"/>
            </w:tcBorders>
            <w:vAlign w:val="center"/>
          </w:tcPr>
          <w:p w14:paraId="099F2DE8">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平方</w:t>
            </w:r>
          </w:p>
        </w:tc>
      </w:tr>
      <w:tr w14:paraId="67B6BA28">
        <w:tblPrEx>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6F1BD263">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180" w:type="dxa"/>
            <w:tcBorders>
              <w:top w:val="single" w:color="000000" w:sz="4" w:space="0"/>
              <w:left w:val="single" w:color="000000" w:sz="4" w:space="0"/>
              <w:bottom w:val="single" w:color="000000" w:sz="4" w:space="0"/>
              <w:right w:val="single" w:color="000000" w:sz="4" w:space="0"/>
            </w:tcBorders>
            <w:vAlign w:val="center"/>
          </w:tcPr>
          <w:p w14:paraId="14CF068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门窗更换</w:t>
            </w:r>
          </w:p>
        </w:tc>
        <w:tc>
          <w:tcPr>
            <w:tcW w:w="6903" w:type="dxa"/>
            <w:tcBorders>
              <w:top w:val="single" w:color="000000" w:sz="4" w:space="0"/>
              <w:left w:val="single" w:color="000000" w:sz="4" w:space="0"/>
              <w:bottom w:val="single" w:color="000000" w:sz="4" w:space="0"/>
              <w:right w:val="single" w:color="000000" w:sz="4" w:space="0"/>
            </w:tcBorders>
            <w:vAlign w:val="center"/>
          </w:tcPr>
          <w:p w14:paraId="255F1DD1">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1、门、窗拆除更换，窗架标准铝合金厚度不小于1.8mm，玻璃窗带防盗网，2个标准防盗门。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2、门：1米X2.1米 2栋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3、窗、防盗网:1米X1.8米 1扇，2.1米X2米 2扇</w:t>
            </w:r>
          </w:p>
        </w:tc>
        <w:tc>
          <w:tcPr>
            <w:tcW w:w="434" w:type="dxa"/>
            <w:tcBorders>
              <w:top w:val="single" w:color="000000" w:sz="4" w:space="0"/>
              <w:left w:val="single" w:color="000000" w:sz="4" w:space="0"/>
              <w:bottom w:val="single" w:color="000000" w:sz="4" w:space="0"/>
              <w:right w:val="single" w:color="000000" w:sz="4" w:space="0"/>
            </w:tcBorders>
            <w:vAlign w:val="center"/>
          </w:tcPr>
          <w:p w14:paraId="5D41AC2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381" w:type="dxa"/>
            <w:tcBorders>
              <w:top w:val="single" w:color="000000" w:sz="4" w:space="0"/>
              <w:left w:val="single" w:color="000000" w:sz="4" w:space="0"/>
              <w:bottom w:val="single" w:color="000000" w:sz="4" w:space="0"/>
              <w:right w:val="single" w:color="000000" w:sz="4" w:space="0"/>
            </w:tcBorders>
            <w:vAlign w:val="center"/>
          </w:tcPr>
          <w:p w14:paraId="6940FF7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项</w:t>
            </w:r>
          </w:p>
        </w:tc>
      </w:tr>
      <w:tr w14:paraId="002A1777">
        <w:tblPrEx>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3915950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1180" w:type="dxa"/>
            <w:tcBorders>
              <w:top w:val="single" w:color="000000" w:sz="4" w:space="0"/>
              <w:left w:val="single" w:color="000000" w:sz="4" w:space="0"/>
              <w:bottom w:val="single" w:color="000000" w:sz="4" w:space="0"/>
              <w:right w:val="single" w:color="000000" w:sz="4" w:space="0"/>
            </w:tcBorders>
            <w:vAlign w:val="center"/>
          </w:tcPr>
          <w:p w14:paraId="69A67F9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新风系统</w:t>
            </w:r>
          </w:p>
        </w:tc>
        <w:tc>
          <w:tcPr>
            <w:tcW w:w="6903" w:type="dxa"/>
            <w:tcBorders>
              <w:top w:val="single" w:color="000000" w:sz="4" w:space="0"/>
              <w:left w:val="single" w:color="000000" w:sz="4" w:space="0"/>
              <w:bottom w:val="single" w:color="000000" w:sz="4" w:space="0"/>
              <w:right w:val="single" w:color="000000" w:sz="4" w:space="0"/>
            </w:tcBorders>
            <w:vAlign w:val="center"/>
          </w:tcPr>
          <w:p w14:paraId="36B07736">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320m³/h，含配套电源</w:t>
            </w:r>
          </w:p>
        </w:tc>
        <w:tc>
          <w:tcPr>
            <w:tcW w:w="434" w:type="dxa"/>
            <w:tcBorders>
              <w:top w:val="single" w:color="000000" w:sz="4" w:space="0"/>
              <w:left w:val="single" w:color="000000" w:sz="4" w:space="0"/>
              <w:bottom w:val="single" w:color="000000" w:sz="4" w:space="0"/>
              <w:right w:val="single" w:color="000000" w:sz="4" w:space="0"/>
            </w:tcBorders>
            <w:vAlign w:val="center"/>
          </w:tcPr>
          <w:p w14:paraId="39DA5E7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381" w:type="dxa"/>
            <w:tcBorders>
              <w:top w:val="single" w:color="000000" w:sz="4" w:space="0"/>
              <w:left w:val="single" w:color="000000" w:sz="4" w:space="0"/>
              <w:bottom w:val="single" w:color="000000" w:sz="4" w:space="0"/>
              <w:right w:val="single" w:color="000000" w:sz="4" w:space="0"/>
            </w:tcBorders>
            <w:vAlign w:val="center"/>
          </w:tcPr>
          <w:p w14:paraId="27D41A97">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套</w:t>
            </w:r>
          </w:p>
        </w:tc>
      </w:tr>
      <w:tr w14:paraId="5CF0709A">
        <w:tblPrEx>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5CADC53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1180" w:type="dxa"/>
            <w:tcBorders>
              <w:top w:val="single" w:color="000000" w:sz="4" w:space="0"/>
              <w:left w:val="single" w:color="000000" w:sz="4" w:space="0"/>
              <w:bottom w:val="single" w:color="000000" w:sz="4" w:space="0"/>
              <w:right w:val="single" w:color="000000" w:sz="4" w:space="0"/>
            </w:tcBorders>
            <w:vAlign w:val="center"/>
          </w:tcPr>
          <w:p w14:paraId="723D656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新风管道</w:t>
            </w:r>
          </w:p>
        </w:tc>
        <w:tc>
          <w:tcPr>
            <w:tcW w:w="6903" w:type="dxa"/>
            <w:tcBorders>
              <w:top w:val="single" w:color="000000" w:sz="4" w:space="0"/>
              <w:left w:val="single" w:color="000000" w:sz="4" w:space="0"/>
              <w:bottom w:val="single" w:color="000000" w:sz="4" w:space="0"/>
              <w:right w:val="single" w:color="000000" w:sz="4" w:space="0"/>
            </w:tcBorders>
            <w:vAlign w:val="center"/>
          </w:tcPr>
          <w:p w14:paraId="7A9B2672">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直径150阻燃新风管道</w:t>
            </w:r>
          </w:p>
        </w:tc>
        <w:tc>
          <w:tcPr>
            <w:tcW w:w="434" w:type="dxa"/>
            <w:tcBorders>
              <w:top w:val="single" w:color="000000" w:sz="4" w:space="0"/>
              <w:left w:val="single" w:color="000000" w:sz="4" w:space="0"/>
              <w:bottom w:val="single" w:color="000000" w:sz="4" w:space="0"/>
              <w:right w:val="single" w:color="000000" w:sz="4" w:space="0"/>
            </w:tcBorders>
            <w:vAlign w:val="center"/>
          </w:tcPr>
          <w:p w14:paraId="4E8CE167">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10</w:t>
            </w:r>
          </w:p>
        </w:tc>
        <w:tc>
          <w:tcPr>
            <w:tcW w:w="381" w:type="dxa"/>
            <w:tcBorders>
              <w:top w:val="single" w:color="000000" w:sz="4" w:space="0"/>
              <w:left w:val="single" w:color="000000" w:sz="4" w:space="0"/>
              <w:bottom w:val="single" w:color="000000" w:sz="4" w:space="0"/>
              <w:right w:val="single" w:color="000000" w:sz="4" w:space="0"/>
            </w:tcBorders>
            <w:vAlign w:val="center"/>
          </w:tcPr>
          <w:p w14:paraId="138B6BF8">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米</w:t>
            </w:r>
          </w:p>
        </w:tc>
      </w:tr>
      <w:tr w14:paraId="6DFE94EB">
        <w:tblPrEx>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43F4D68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1180" w:type="dxa"/>
            <w:tcBorders>
              <w:top w:val="single" w:color="000000" w:sz="4" w:space="0"/>
              <w:left w:val="single" w:color="000000" w:sz="4" w:space="0"/>
              <w:bottom w:val="single" w:color="000000" w:sz="4" w:space="0"/>
              <w:right w:val="single" w:color="000000" w:sz="4" w:space="0"/>
            </w:tcBorders>
            <w:vAlign w:val="center"/>
          </w:tcPr>
          <w:p w14:paraId="701E7A53">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消防</w:t>
            </w:r>
          </w:p>
        </w:tc>
        <w:tc>
          <w:tcPr>
            <w:tcW w:w="6903" w:type="dxa"/>
            <w:tcBorders>
              <w:top w:val="single" w:color="000000" w:sz="4" w:space="0"/>
              <w:left w:val="single" w:color="000000" w:sz="4" w:space="0"/>
              <w:bottom w:val="single" w:color="000000" w:sz="4" w:space="0"/>
              <w:right w:val="single" w:color="000000" w:sz="4" w:space="0"/>
            </w:tcBorders>
            <w:vAlign w:val="center"/>
          </w:tcPr>
          <w:p w14:paraId="583FFFD3">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手提式二氧化碳灭火器</w:t>
            </w:r>
          </w:p>
        </w:tc>
        <w:tc>
          <w:tcPr>
            <w:tcW w:w="434" w:type="dxa"/>
            <w:tcBorders>
              <w:top w:val="single" w:color="000000" w:sz="4" w:space="0"/>
              <w:left w:val="single" w:color="000000" w:sz="4" w:space="0"/>
              <w:bottom w:val="single" w:color="000000" w:sz="4" w:space="0"/>
              <w:right w:val="single" w:color="000000" w:sz="4" w:space="0"/>
            </w:tcBorders>
            <w:vAlign w:val="center"/>
          </w:tcPr>
          <w:p w14:paraId="2B107AD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8</w:t>
            </w:r>
          </w:p>
        </w:tc>
        <w:tc>
          <w:tcPr>
            <w:tcW w:w="381" w:type="dxa"/>
            <w:tcBorders>
              <w:top w:val="single" w:color="000000" w:sz="4" w:space="0"/>
              <w:left w:val="single" w:color="000000" w:sz="4" w:space="0"/>
              <w:bottom w:val="single" w:color="000000" w:sz="4" w:space="0"/>
              <w:right w:val="single" w:color="000000" w:sz="4" w:space="0"/>
            </w:tcBorders>
            <w:vAlign w:val="center"/>
          </w:tcPr>
          <w:p w14:paraId="00274E3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套</w:t>
            </w:r>
          </w:p>
        </w:tc>
      </w:tr>
      <w:tr w14:paraId="20535566">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5FA0BA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1.1.6</w:t>
            </w:r>
          </w:p>
        </w:tc>
        <w:tc>
          <w:tcPr>
            <w:tcW w:w="598" w:type="pct"/>
            <w:tcBorders>
              <w:top w:val="single" w:color="000000" w:sz="4" w:space="0"/>
              <w:left w:val="single" w:color="000000" w:sz="4" w:space="0"/>
              <w:bottom w:val="single" w:color="000000" w:sz="4" w:space="0"/>
              <w:right w:val="single" w:color="000000" w:sz="4" w:space="0"/>
            </w:tcBorders>
            <w:vAlign w:val="center"/>
          </w:tcPr>
          <w:p w14:paraId="744BF6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综合布线系统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41CE8609">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2FA61FB9">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0B0CCBC6">
            <w:pPr>
              <w:jc w:val="center"/>
              <w:rPr>
                <w:rFonts w:hint="eastAsia" w:ascii="宋体" w:hAnsi="宋体" w:cs="宋体"/>
                <w:color w:val="auto"/>
                <w:szCs w:val="21"/>
                <w:highlight w:val="none"/>
              </w:rPr>
            </w:pPr>
          </w:p>
        </w:tc>
      </w:tr>
      <w:tr w14:paraId="04037840">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AEBF7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049330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音频线</w:t>
            </w:r>
          </w:p>
        </w:tc>
        <w:tc>
          <w:tcPr>
            <w:tcW w:w="3502" w:type="pct"/>
            <w:tcBorders>
              <w:top w:val="single" w:color="000000" w:sz="4" w:space="0"/>
              <w:left w:val="single" w:color="000000" w:sz="4" w:space="0"/>
              <w:bottom w:val="single" w:color="000000" w:sz="4" w:space="0"/>
              <w:right w:val="single" w:color="000000" w:sz="4" w:space="0"/>
            </w:tcBorders>
            <w:vAlign w:val="center"/>
          </w:tcPr>
          <w:p w14:paraId="43D61976">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纯铜音响线2*2.5mm</w:t>
            </w:r>
          </w:p>
        </w:tc>
        <w:tc>
          <w:tcPr>
            <w:tcW w:w="220" w:type="pct"/>
            <w:tcBorders>
              <w:top w:val="single" w:color="000000" w:sz="4" w:space="0"/>
              <w:left w:val="single" w:color="000000" w:sz="4" w:space="0"/>
              <w:bottom w:val="single" w:color="000000" w:sz="4" w:space="0"/>
              <w:right w:val="single" w:color="000000" w:sz="4" w:space="0"/>
            </w:tcBorders>
            <w:vAlign w:val="center"/>
          </w:tcPr>
          <w:p w14:paraId="6F339D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193" w:type="pct"/>
            <w:tcBorders>
              <w:top w:val="single" w:color="000000" w:sz="4" w:space="0"/>
              <w:left w:val="single" w:color="000000" w:sz="4" w:space="0"/>
              <w:bottom w:val="single" w:color="000000" w:sz="4" w:space="0"/>
              <w:right w:val="single" w:color="000000" w:sz="4" w:space="0"/>
            </w:tcBorders>
            <w:vAlign w:val="center"/>
          </w:tcPr>
          <w:p w14:paraId="555F180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r>
      <w:tr w14:paraId="3854F225">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9AB2D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3F3672D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六类网线</w:t>
            </w:r>
          </w:p>
        </w:tc>
        <w:tc>
          <w:tcPr>
            <w:tcW w:w="3502" w:type="pct"/>
            <w:tcBorders>
              <w:top w:val="single" w:color="000000" w:sz="4" w:space="0"/>
              <w:left w:val="single" w:color="000000" w:sz="4" w:space="0"/>
              <w:bottom w:val="single" w:color="000000" w:sz="4" w:space="0"/>
              <w:right w:val="single" w:color="000000" w:sz="4" w:space="0"/>
            </w:tcBorders>
            <w:vAlign w:val="center"/>
          </w:tcPr>
          <w:p w14:paraId="7EA46F83">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国标六类</w:t>
            </w:r>
          </w:p>
        </w:tc>
        <w:tc>
          <w:tcPr>
            <w:tcW w:w="220" w:type="pct"/>
            <w:tcBorders>
              <w:top w:val="single" w:color="000000" w:sz="4" w:space="0"/>
              <w:left w:val="single" w:color="000000" w:sz="4" w:space="0"/>
              <w:bottom w:val="single" w:color="000000" w:sz="4" w:space="0"/>
              <w:right w:val="single" w:color="000000" w:sz="4" w:space="0"/>
            </w:tcBorders>
            <w:vAlign w:val="center"/>
          </w:tcPr>
          <w:p w14:paraId="69ACD8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93" w:type="pct"/>
            <w:tcBorders>
              <w:top w:val="single" w:color="000000" w:sz="4" w:space="0"/>
              <w:left w:val="single" w:color="000000" w:sz="4" w:space="0"/>
              <w:bottom w:val="single" w:color="000000" w:sz="4" w:space="0"/>
              <w:right w:val="single" w:color="000000" w:sz="4" w:space="0"/>
            </w:tcBorders>
            <w:vAlign w:val="center"/>
          </w:tcPr>
          <w:p w14:paraId="4A3F378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r>
      <w:tr w14:paraId="6653DD81">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1B323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28B00F1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网络信息插座</w:t>
            </w:r>
          </w:p>
        </w:tc>
        <w:tc>
          <w:tcPr>
            <w:tcW w:w="3502" w:type="pct"/>
            <w:tcBorders>
              <w:top w:val="single" w:color="000000" w:sz="4" w:space="0"/>
              <w:left w:val="single" w:color="000000" w:sz="4" w:space="0"/>
              <w:bottom w:val="single" w:color="000000" w:sz="4" w:space="0"/>
              <w:right w:val="single" w:color="000000" w:sz="4" w:space="0"/>
            </w:tcBorders>
            <w:vAlign w:val="center"/>
          </w:tcPr>
          <w:p w14:paraId="69256D20">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翻盖式地插，金属材质，包含2个六类网口</w:t>
            </w:r>
          </w:p>
        </w:tc>
        <w:tc>
          <w:tcPr>
            <w:tcW w:w="220" w:type="pct"/>
            <w:tcBorders>
              <w:top w:val="single" w:color="000000" w:sz="4" w:space="0"/>
              <w:left w:val="single" w:color="000000" w:sz="4" w:space="0"/>
              <w:bottom w:val="single" w:color="000000" w:sz="4" w:space="0"/>
              <w:right w:val="single" w:color="000000" w:sz="4" w:space="0"/>
            </w:tcBorders>
            <w:vAlign w:val="center"/>
          </w:tcPr>
          <w:p w14:paraId="631120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93" w:type="pct"/>
            <w:tcBorders>
              <w:top w:val="single" w:color="000000" w:sz="4" w:space="0"/>
              <w:left w:val="single" w:color="000000" w:sz="4" w:space="0"/>
              <w:bottom w:val="single" w:color="000000" w:sz="4" w:space="0"/>
              <w:right w:val="single" w:color="000000" w:sz="4" w:space="0"/>
            </w:tcBorders>
            <w:vAlign w:val="center"/>
          </w:tcPr>
          <w:p w14:paraId="525FCA0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r>
      <w:tr w14:paraId="4C0B4B11">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A83263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98" w:type="pct"/>
            <w:tcBorders>
              <w:top w:val="single" w:color="000000" w:sz="4" w:space="0"/>
              <w:left w:val="single" w:color="000000" w:sz="4" w:space="0"/>
              <w:bottom w:val="single" w:color="000000" w:sz="4" w:space="0"/>
              <w:right w:val="single" w:color="000000" w:sz="4" w:space="0"/>
            </w:tcBorders>
            <w:vAlign w:val="center"/>
          </w:tcPr>
          <w:p w14:paraId="2C6AC8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音频插座</w:t>
            </w:r>
          </w:p>
        </w:tc>
        <w:tc>
          <w:tcPr>
            <w:tcW w:w="3502" w:type="pct"/>
            <w:tcBorders>
              <w:top w:val="single" w:color="000000" w:sz="4" w:space="0"/>
              <w:left w:val="single" w:color="000000" w:sz="4" w:space="0"/>
              <w:bottom w:val="single" w:color="000000" w:sz="4" w:space="0"/>
              <w:right w:val="single" w:color="000000" w:sz="4" w:space="0"/>
            </w:tcBorders>
            <w:vAlign w:val="center"/>
          </w:tcPr>
          <w:p w14:paraId="46B5DF8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翻盖式地插，金属材质，卡侬接口</w:t>
            </w:r>
          </w:p>
        </w:tc>
        <w:tc>
          <w:tcPr>
            <w:tcW w:w="220" w:type="pct"/>
            <w:tcBorders>
              <w:top w:val="single" w:color="000000" w:sz="4" w:space="0"/>
              <w:left w:val="single" w:color="000000" w:sz="4" w:space="0"/>
              <w:bottom w:val="single" w:color="000000" w:sz="4" w:space="0"/>
              <w:right w:val="single" w:color="000000" w:sz="4" w:space="0"/>
            </w:tcBorders>
            <w:vAlign w:val="center"/>
          </w:tcPr>
          <w:p w14:paraId="00634C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93" w:type="pct"/>
            <w:tcBorders>
              <w:top w:val="single" w:color="000000" w:sz="4" w:space="0"/>
              <w:left w:val="single" w:color="000000" w:sz="4" w:space="0"/>
              <w:bottom w:val="single" w:color="000000" w:sz="4" w:space="0"/>
              <w:right w:val="single" w:color="000000" w:sz="4" w:space="0"/>
            </w:tcBorders>
            <w:vAlign w:val="center"/>
          </w:tcPr>
          <w:p w14:paraId="1ECA8A0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49EEF8DC">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522F2D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98" w:type="pct"/>
            <w:tcBorders>
              <w:top w:val="single" w:color="000000" w:sz="4" w:space="0"/>
              <w:left w:val="single" w:color="000000" w:sz="4" w:space="0"/>
              <w:bottom w:val="single" w:color="000000" w:sz="4" w:space="0"/>
              <w:right w:val="single" w:color="000000" w:sz="4" w:space="0"/>
            </w:tcBorders>
            <w:vAlign w:val="center"/>
          </w:tcPr>
          <w:p w14:paraId="388C2FB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配线架</w:t>
            </w:r>
          </w:p>
        </w:tc>
        <w:tc>
          <w:tcPr>
            <w:tcW w:w="3502" w:type="pct"/>
            <w:tcBorders>
              <w:top w:val="single" w:color="000000" w:sz="4" w:space="0"/>
              <w:left w:val="single" w:color="000000" w:sz="4" w:space="0"/>
              <w:bottom w:val="single" w:color="000000" w:sz="4" w:space="0"/>
              <w:right w:val="single" w:color="000000" w:sz="4" w:space="0"/>
            </w:tcBorders>
            <w:vAlign w:val="center"/>
          </w:tcPr>
          <w:p w14:paraId="7255AC0B">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24端口超六类网络配线架，含模块；</w:t>
            </w:r>
          </w:p>
        </w:tc>
        <w:tc>
          <w:tcPr>
            <w:tcW w:w="220" w:type="pct"/>
            <w:tcBorders>
              <w:top w:val="single" w:color="000000" w:sz="4" w:space="0"/>
              <w:left w:val="single" w:color="000000" w:sz="4" w:space="0"/>
              <w:bottom w:val="single" w:color="000000" w:sz="4" w:space="0"/>
              <w:right w:val="single" w:color="000000" w:sz="4" w:space="0"/>
            </w:tcBorders>
            <w:vAlign w:val="center"/>
          </w:tcPr>
          <w:p w14:paraId="512A82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3A2409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5C9C9E08">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0A825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98" w:type="pct"/>
            <w:tcBorders>
              <w:top w:val="single" w:color="000000" w:sz="4" w:space="0"/>
              <w:left w:val="single" w:color="000000" w:sz="4" w:space="0"/>
              <w:bottom w:val="single" w:color="000000" w:sz="4" w:space="0"/>
              <w:right w:val="single" w:color="000000" w:sz="4" w:space="0"/>
            </w:tcBorders>
            <w:vAlign w:val="center"/>
          </w:tcPr>
          <w:p w14:paraId="7E2C96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理线架</w:t>
            </w:r>
          </w:p>
        </w:tc>
        <w:tc>
          <w:tcPr>
            <w:tcW w:w="3502" w:type="pct"/>
            <w:tcBorders>
              <w:top w:val="single" w:color="000000" w:sz="4" w:space="0"/>
              <w:left w:val="single" w:color="000000" w:sz="4" w:space="0"/>
              <w:bottom w:val="single" w:color="000000" w:sz="4" w:space="0"/>
              <w:right w:val="single" w:color="000000" w:sz="4" w:space="0"/>
            </w:tcBorders>
            <w:vAlign w:val="center"/>
          </w:tcPr>
          <w:p w14:paraId="6B54ADAB">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网络理线架，带盖板；用于接入交换机等设备时的线缆整理</w:t>
            </w:r>
          </w:p>
        </w:tc>
        <w:tc>
          <w:tcPr>
            <w:tcW w:w="220" w:type="pct"/>
            <w:tcBorders>
              <w:top w:val="single" w:color="000000" w:sz="4" w:space="0"/>
              <w:left w:val="single" w:color="000000" w:sz="4" w:space="0"/>
              <w:bottom w:val="single" w:color="000000" w:sz="4" w:space="0"/>
              <w:right w:val="single" w:color="000000" w:sz="4" w:space="0"/>
            </w:tcBorders>
            <w:vAlign w:val="center"/>
          </w:tcPr>
          <w:p w14:paraId="79ACECD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5D4F4E1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7CF4020D">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BBB9D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598" w:type="pct"/>
            <w:tcBorders>
              <w:top w:val="single" w:color="000000" w:sz="4" w:space="0"/>
              <w:left w:val="single" w:color="000000" w:sz="4" w:space="0"/>
              <w:bottom w:val="single" w:color="000000" w:sz="4" w:space="0"/>
              <w:right w:val="single" w:color="000000" w:sz="4" w:space="0"/>
            </w:tcBorders>
            <w:vAlign w:val="center"/>
          </w:tcPr>
          <w:p w14:paraId="136B43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高清视频线</w:t>
            </w:r>
          </w:p>
        </w:tc>
        <w:tc>
          <w:tcPr>
            <w:tcW w:w="3502" w:type="pct"/>
            <w:tcBorders>
              <w:top w:val="single" w:color="000000" w:sz="4" w:space="0"/>
              <w:left w:val="single" w:color="000000" w:sz="4" w:space="0"/>
              <w:bottom w:val="single" w:color="000000" w:sz="4" w:space="0"/>
              <w:right w:val="single" w:color="000000" w:sz="4" w:space="0"/>
            </w:tcBorders>
            <w:vAlign w:val="center"/>
          </w:tcPr>
          <w:p w14:paraId="3BD2E59D">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DVI、HDMI及音频各类信号线缆，满足指挥大厅会议室等的音视频信号铺设要求</w:t>
            </w:r>
          </w:p>
        </w:tc>
        <w:tc>
          <w:tcPr>
            <w:tcW w:w="220" w:type="pct"/>
            <w:tcBorders>
              <w:top w:val="single" w:color="000000" w:sz="4" w:space="0"/>
              <w:left w:val="single" w:color="000000" w:sz="4" w:space="0"/>
              <w:bottom w:val="single" w:color="000000" w:sz="4" w:space="0"/>
              <w:right w:val="single" w:color="000000" w:sz="4" w:space="0"/>
            </w:tcBorders>
            <w:vAlign w:val="center"/>
          </w:tcPr>
          <w:p w14:paraId="018CBB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727FF6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13A80B67">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9C3D2F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w:t>
            </w:r>
          </w:p>
        </w:tc>
        <w:tc>
          <w:tcPr>
            <w:tcW w:w="598" w:type="pct"/>
            <w:tcBorders>
              <w:top w:val="single" w:color="000000" w:sz="4" w:space="0"/>
              <w:left w:val="single" w:color="000000" w:sz="4" w:space="0"/>
              <w:bottom w:val="single" w:color="000000" w:sz="4" w:space="0"/>
              <w:right w:val="single" w:color="000000" w:sz="4" w:space="0"/>
            </w:tcBorders>
            <w:vAlign w:val="center"/>
          </w:tcPr>
          <w:p w14:paraId="612DBB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5E4F56B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1、包含照明LED灯，满足指挥中心照明需求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2、灯的选型要与吊顶风格相匹配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3、集成安装服务</w:t>
            </w:r>
          </w:p>
        </w:tc>
        <w:tc>
          <w:tcPr>
            <w:tcW w:w="220" w:type="pct"/>
            <w:tcBorders>
              <w:top w:val="single" w:color="000000" w:sz="4" w:space="0"/>
              <w:left w:val="single" w:color="000000" w:sz="4" w:space="0"/>
              <w:bottom w:val="single" w:color="000000" w:sz="4" w:space="0"/>
              <w:right w:val="single" w:color="000000" w:sz="4" w:space="0"/>
            </w:tcBorders>
            <w:vAlign w:val="center"/>
          </w:tcPr>
          <w:p w14:paraId="4D09B1A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5373BA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63D017C5">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5DDBD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1.1.8</w:t>
            </w:r>
          </w:p>
        </w:tc>
        <w:tc>
          <w:tcPr>
            <w:tcW w:w="598" w:type="pct"/>
            <w:tcBorders>
              <w:top w:val="single" w:color="000000" w:sz="4" w:space="0"/>
              <w:left w:val="single" w:color="000000" w:sz="4" w:space="0"/>
              <w:bottom w:val="single" w:color="000000" w:sz="4" w:space="0"/>
              <w:right w:val="single" w:color="000000" w:sz="4" w:space="0"/>
            </w:tcBorders>
            <w:vAlign w:val="center"/>
          </w:tcPr>
          <w:p w14:paraId="1D5748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电气系统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0D6D3C19">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6A138B59">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54F70C2E">
            <w:pPr>
              <w:jc w:val="center"/>
              <w:rPr>
                <w:rFonts w:hint="eastAsia" w:ascii="宋体" w:hAnsi="宋体" w:cs="宋体"/>
                <w:color w:val="auto"/>
                <w:szCs w:val="21"/>
                <w:highlight w:val="none"/>
              </w:rPr>
            </w:pPr>
          </w:p>
        </w:tc>
      </w:tr>
      <w:tr w14:paraId="6E1F3F82">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38E136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0E57E35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照明开关</w:t>
            </w:r>
          </w:p>
        </w:tc>
        <w:tc>
          <w:tcPr>
            <w:tcW w:w="3502" w:type="pct"/>
            <w:tcBorders>
              <w:top w:val="single" w:color="000000" w:sz="4" w:space="0"/>
              <w:left w:val="single" w:color="000000" w:sz="4" w:space="0"/>
              <w:bottom w:val="single" w:color="000000" w:sz="4" w:space="0"/>
              <w:right w:val="single" w:color="000000" w:sz="4" w:space="0"/>
            </w:tcBorders>
            <w:vAlign w:val="center"/>
          </w:tcPr>
          <w:p w14:paraId="1E844910">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跷板暗开关(双控)</w:t>
            </w:r>
          </w:p>
        </w:tc>
        <w:tc>
          <w:tcPr>
            <w:tcW w:w="220" w:type="pct"/>
            <w:tcBorders>
              <w:top w:val="single" w:color="000000" w:sz="4" w:space="0"/>
              <w:left w:val="single" w:color="000000" w:sz="4" w:space="0"/>
              <w:bottom w:val="single" w:color="000000" w:sz="4" w:space="0"/>
              <w:right w:val="single" w:color="000000" w:sz="4" w:space="0"/>
            </w:tcBorders>
            <w:vAlign w:val="center"/>
          </w:tcPr>
          <w:p w14:paraId="5EEB426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14B1C1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53E893B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424567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44F6D7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地插</w:t>
            </w:r>
          </w:p>
        </w:tc>
        <w:tc>
          <w:tcPr>
            <w:tcW w:w="3502" w:type="pct"/>
            <w:tcBorders>
              <w:top w:val="single" w:color="000000" w:sz="4" w:space="0"/>
              <w:left w:val="single" w:color="000000" w:sz="4" w:space="0"/>
              <w:bottom w:val="single" w:color="000000" w:sz="4" w:space="0"/>
              <w:right w:val="single" w:color="000000" w:sz="4" w:space="0"/>
            </w:tcBorders>
            <w:vAlign w:val="center"/>
          </w:tcPr>
          <w:p w14:paraId="145E69B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暗插座 含埋地单相安全插座10A</w:t>
            </w:r>
          </w:p>
        </w:tc>
        <w:tc>
          <w:tcPr>
            <w:tcW w:w="220" w:type="pct"/>
            <w:tcBorders>
              <w:top w:val="single" w:color="000000" w:sz="4" w:space="0"/>
              <w:left w:val="single" w:color="000000" w:sz="4" w:space="0"/>
              <w:bottom w:val="single" w:color="000000" w:sz="4" w:space="0"/>
              <w:right w:val="single" w:color="000000" w:sz="4" w:space="0"/>
            </w:tcBorders>
            <w:vAlign w:val="center"/>
          </w:tcPr>
          <w:p w14:paraId="1E2FD1E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93" w:type="pct"/>
            <w:tcBorders>
              <w:top w:val="single" w:color="000000" w:sz="4" w:space="0"/>
              <w:left w:val="single" w:color="000000" w:sz="4" w:space="0"/>
              <w:bottom w:val="single" w:color="000000" w:sz="4" w:space="0"/>
              <w:right w:val="single" w:color="000000" w:sz="4" w:space="0"/>
            </w:tcBorders>
            <w:vAlign w:val="center"/>
          </w:tcPr>
          <w:p w14:paraId="6ADB7E2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26DB4E3A">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4307F0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392B0E2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插排</w:t>
            </w:r>
          </w:p>
        </w:tc>
        <w:tc>
          <w:tcPr>
            <w:tcW w:w="3502" w:type="pct"/>
            <w:tcBorders>
              <w:top w:val="single" w:color="000000" w:sz="4" w:space="0"/>
              <w:left w:val="single" w:color="000000" w:sz="4" w:space="0"/>
              <w:bottom w:val="single" w:color="000000" w:sz="4" w:space="0"/>
              <w:right w:val="single" w:color="000000" w:sz="4" w:space="0"/>
            </w:tcBorders>
            <w:vAlign w:val="center"/>
          </w:tcPr>
          <w:p w14:paraId="34DF4CC0">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10插位，带不小于1.8m线</w:t>
            </w:r>
          </w:p>
        </w:tc>
        <w:tc>
          <w:tcPr>
            <w:tcW w:w="220" w:type="pct"/>
            <w:tcBorders>
              <w:top w:val="single" w:color="000000" w:sz="4" w:space="0"/>
              <w:left w:val="single" w:color="000000" w:sz="4" w:space="0"/>
              <w:bottom w:val="single" w:color="000000" w:sz="4" w:space="0"/>
              <w:right w:val="single" w:color="000000" w:sz="4" w:space="0"/>
            </w:tcBorders>
            <w:vAlign w:val="center"/>
          </w:tcPr>
          <w:p w14:paraId="546511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93" w:type="pct"/>
            <w:tcBorders>
              <w:top w:val="single" w:color="000000" w:sz="4" w:space="0"/>
              <w:left w:val="single" w:color="000000" w:sz="4" w:space="0"/>
              <w:bottom w:val="single" w:color="000000" w:sz="4" w:space="0"/>
              <w:right w:val="single" w:color="000000" w:sz="4" w:space="0"/>
            </w:tcBorders>
            <w:vAlign w:val="center"/>
          </w:tcPr>
          <w:p w14:paraId="6A24C3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3F9FDA33">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5BB61B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98" w:type="pct"/>
            <w:tcBorders>
              <w:top w:val="single" w:color="000000" w:sz="4" w:space="0"/>
              <w:left w:val="single" w:color="000000" w:sz="4" w:space="0"/>
              <w:bottom w:val="single" w:color="000000" w:sz="4" w:space="0"/>
              <w:right w:val="single" w:color="000000" w:sz="4" w:space="0"/>
            </w:tcBorders>
            <w:vAlign w:val="center"/>
          </w:tcPr>
          <w:p w14:paraId="5F859C4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插座</w:t>
            </w:r>
          </w:p>
        </w:tc>
        <w:tc>
          <w:tcPr>
            <w:tcW w:w="3502" w:type="pct"/>
            <w:tcBorders>
              <w:top w:val="single" w:color="000000" w:sz="4" w:space="0"/>
              <w:left w:val="single" w:color="000000" w:sz="4" w:space="0"/>
              <w:bottom w:val="single" w:color="000000" w:sz="4" w:space="0"/>
              <w:right w:val="single" w:color="000000" w:sz="4" w:space="0"/>
            </w:tcBorders>
            <w:vAlign w:val="center"/>
          </w:tcPr>
          <w:p w14:paraId="467CBBFA">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单、三相暗插座 单相暗插座10A 5孔，</w:t>
            </w:r>
          </w:p>
        </w:tc>
        <w:tc>
          <w:tcPr>
            <w:tcW w:w="220" w:type="pct"/>
            <w:tcBorders>
              <w:top w:val="single" w:color="000000" w:sz="4" w:space="0"/>
              <w:left w:val="single" w:color="000000" w:sz="4" w:space="0"/>
              <w:bottom w:val="single" w:color="000000" w:sz="4" w:space="0"/>
              <w:right w:val="single" w:color="000000" w:sz="4" w:space="0"/>
            </w:tcBorders>
            <w:vAlign w:val="center"/>
          </w:tcPr>
          <w:p w14:paraId="3BFBA0B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93" w:type="pct"/>
            <w:tcBorders>
              <w:top w:val="single" w:color="000000" w:sz="4" w:space="0"/>
              <w:left w:val="single" w:color="000000" w:sz="4" w:space="0"/>
              <w:bottom w:val="single" w:color="000000" w:sz="4" w:space="0"/>
              <w:right w:val="single" w:color="000000" w:sz="4" w:space="0"/>
            </w:tcBorders>
            <w:vAlign w:val="center"/>
          </w:tcPr>
          <w:p w14:paraId="08A1DC8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1230924C">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38595E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98" w:type="pct"/>
            <w:tcBorders>
              <w:top w:val="single" w:color="000000" w:sz="4" w:space="0"/>
              <w:left w:val="single" w:color="000000" w:sz="4" w:space="0"/>
              <w:bottom w:val="single" w:color="000000" w:sz="4" w:space="0"/>
              <w:right w:val="single" w:color="000000" w:sz="4" w:space="0"/>
            </w:tcBorders>
            <w:vAlign w:val="center"/>
          </w:tcPr>
          <w:p w14:paraId="508EEBF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电灯线缆</w:t>
            </w:r>
          </w:p>
        </w:tc>
        <w:tc>
          <w:tcPr>
            <w:tcW w:w="3502" w:type="pct"/>
            <w:tcBorders>
              <w:top w:val="single" w:color="000000" w:sz="4" w:space="0"/>
              <w:left w:val="single" w:color="000000" w:sz="4" w:space="0"/>
              <w:bottom w:val="single" w:color="000000" w:sz="4" w:space="0"/>
              <w:right w:val="single" w:color="000000" w:sz="4" w:space="0"/>
            </w:tcBorders>
            <w:vAlign w:val="center"/>
          </w:tcPr>
          <w:p w14:paraId="40219BB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铜线 BYJ-2.5m㎡；管内穿线，动力线路，铜芯，导线截面(m㎡以内) 2.5</w:t>
            </w:r>
          </w:p>
        </w:tc>
        <w:tc>
          <w:tcPr>
            <w:tcW w:w="220" w:type="pct"/>
            <w:tcBorders>
              <w:top w:val="single" w:color="000000" w:sz="4" w:space="0"/>
              <w:left w:val="single" w:color="000000" w:sz="4" w:space="0"/>
              <w:bottom w:val="single" w:color="000000" w:sz="4" w:space="0"/>
              <w:right w:val="single" w:color="000000" w:sz="4" w:space="0"/>
            </w:tcBorders>
            <w:vAlign w:val="center"/>
          </w:tcPr>
          <w:p w14:paraId="7FB03F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w:t>
            </w:r>
          </w:p>
        </w:tc>
        <w:tc>
          <w:tcPr>
            <w:tcW w:w="193" w:type="pct"/>
            <w:tcBorders>
              <w:top w:val="single" w:color="000000" w:sz="4" w:space="0"/>
              <w:left w:val="single" w:color="000000" w:sz="4" w:space="0"/>
              <w:bottom w:val="single" w:color="000000" w:sz="4" w:space="0"/>
              <w:right w:val="single" w:color="000000" w:sz="4" w:space="0"/>
            </w:tcBorders>
            <w:vAlign w:val="center"/>
          </w:tcPr>
          <w:p w14:paraId="26F624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r>
      <w:tr w14:paraId="428CCAFD">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7CAD93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98" w:type="pct"/>
            <w:tcBorders>
              <w:top w:val="single" w:color="000000" w:sz="4" w:space="0"/>
              <w:left w:val="single" w:color="000000" w:sz="4" w:space="0"/>
              <w:bottom w:val="single" w:color="000000" w:sz="4" w:space="0"/>
              <w:right w:val="single" w:color="000000" w:sz="4" w:space="0"/>
            </w:tcBorders>
            <w:vAlign w:val="center"/>
          </w:tcPr>
          <w:p w14:paraId="52A94E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设备线缆</w:t>
            </w:r>
          </w:p>
        </w:tc>
        <w:tc>
          <w:tcPr>
            <w:tcW w:w="3502" w:type="pct"/>
            <w:tcBorders>
              <w:top w:val="single" w:color="000000" w:sz="4" w:space="0"/>
              <w:left w:val="single" w:color="000000" w:sz="4" w:space="0"/>
              <w:bottom w:val="single" w:color="000000" w:sz="4" w:space="0"/>
              <w:right w:val="single" w:color="000000" w:sz="4" w:space="0"/>
            </w:tcBorders>
            <w:vAlign w:val="center"/>
          </w:tcPr>
          <w:p w14:paraId="147805B6">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铜线 BYJ-4m㎡；管内穿线，动力线路，铜芯，导线截面(m㎡以内) 4</w:t>
            </w:r>
          </w:p>
        </w:tc>
        <w:tc>
          <w:tcPr>
            <w:tcW w:w="220" w:type="pct"/>
            <w:tcBorders>
              <w:top w:val="single" w:color="000000" w:sz="4" w:space="0"/>
              <w:left w:val="single" w:color="000000" w:sz="4" w:space="0"/>
              <w:bottom w:val="single" w:color="000000" w:sz="4" w:space="0"/>
              <w:right w:val="single" w:color="000000" w:sz="4" w:space="0"/>
            </w:tcBorders>
            <w:vAlign w:val="center"/>
          </w:tcPr>
          <w:p w14:paraId="09AF35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w:t>
            </w:r>
          </w:p>
        </w:tc>
        <w:tc>
          <w:tcPr>
            <w:tcW w:w="193" w:type="pct"/>
            <w:tcBorders>
              <w:top w:val="single" w:color="000000" w:sz="4" w:space="0"/>
              <w:left w:val="single" w:color="000000" w:sz="4" w:space="0"/>
              <w:bottom w:val="single" w:color="000000" w:sz="4" w:space="0"/>
              <w:right w:val="single" w:color="000000" w:sz="4" w:space="0"/>
            </w:tcBorders>
            <w:vAlign w:val="center"/>
          </w:tcPr>
          <w:p w14:paraId="4C93A7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r>
      <w:tr w14:paraId="594B622C">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2264E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598" w:type="pct"/>
            <w:tcBorders>
              <w:top w:val="single" w:color="000000" w:sz="4" w:space="0"/>
              <w:left w:val="single" w:color="000000" w:sz="4" w:space="0"/>
              <w:bottom w:val="single" w:color="000000" w:sz="4" w:space="0"/>
              <w:right w:val="single" w:color="000000" w:sz="4" w:space="0"/>
            </w:tcBorders>
            <w:vAlign w:val="center"/>
          </w:tcPr>
          <w:p w14:paraId="0696272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大屏及空调线缆</w:t>
            </w:r>
          </w:p>
        </w:tc>
        <w:tc>
          <w:tcPr>
            <w:tcW w:w="3502" w:type="pct"/>
            <w:tcBorders>
              <w:top w:val="single" w:color="000000" w:sz="4" w:space="0"/>
              <w:left w:val="single" w:color="000000" w:sz="4" w:space="0"/>
              <w:bottom w:val="single" w:color="000000" w:sz="4" w:space="0"/>
              <w:right w:val="single" w:color="000000" w:sz="4" w:space="0"/>
            </w:tcBorders>
            <w:vAlign w:val="center"/>
          </w:tcPr>
          <w:p w14:paraId="1117BD9C">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铜线 BYJ-6m㎡；管内穿线，动力线路，铜芯，导线截面(m㎡以内) 6</w:t>
            </w:r>
          </w:p>
        </w:tc>
        <w:tc>
          <w:tcPr>
            <w:tcW w:w="220" w:type="pct"/>
            <w:tcBorders>
              <w:top w:val="single" w:color="000000" w:sz="4" w:space="0"/>
              <w:left w:val="single" w:color="000000" w:sz="4" w:space="0"/>
              <w:bottom w:val="single" w:color="000000" w:sz="4" w:space="0"/>
              <w:right w:val="single" w:color="000000" w:sz="4" w:space="0"/>
            </w:tcBorders>
            <w:vAlign w:val="center"/>
          </w:tcPr>
          <w:p w14:paraId="1DABBC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300</w:t>
            </w:r>
          </w:p>
        </w:tc>
        <w:tc>
          <w:tcPr>
            <w:tcW w:w="193" w:type="pct"/>
            <w:tcBorders>
              <w:top w:val="single" w:color="000000" w:sz="4" w:space="0"/>
              <w:left w:val="single" w:color="000000" w:sz="4" w:space="0"/>
              <w:bottom w:val="single" w:color="000000" w:sz="4" w:space="0"/>
              <w:right w:val="single" w:color="000000" w:sz="4" w:space="0"/>
            </w:tcBorders>
            <w:vAlign w:val="center"/>
          </w:tcPr>
          <w:p w14:paraId="55B6AED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r>
      <w:tr w14:paraId="59310B1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B6CB26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598" w:type="pct"/>
            <w:tcBorders>
              <w:top w:val="single" w:color="000000" w:sz="4" w:space="0"/>
              <w:left w:val="single" w:color="000000" w:sz="4" w:space="0"/>
              <w:bottom w:val="single" w:color="000000" w:sz="4" w:space="0"/>
              <w:right w:val="single" w:color="000000" w:sz="4" w:space="0"/>
            </w:tcBorders>
            <w:vAlign w:val="center"/>
          </w:tcPr>
          <w:p w14:paraId="5EC374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房间进线</w:t>
            </w:r>
          </w:p>
        </w:tc>
        <w:tc>
          <w:tcPr>
            <w:tcW w:w="3502" w:type="pct"/>
            <w:tcBorders>
              <w:top w:val="single" w:color="000000" w:sz="4" w:space="0"/>
              <w:left w:val="single" w:color="000000" w:sz="4" w:space="0"/>
              <w:bottom w:val="single" w:color="000000" w:sz="4" w:space="0"/>
              <w:right w:val="single" w:color="000000" w:sz="4" w:space="0"/>
            </w:tcBorders>
            <w:vAlign w:val="center"/>
          </w:tcPr>
          <w:p w14:paraId="30F1321D">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规格:RVV-3×10 mm2；铜芯电力电缆敷设 普通敷设</w:t>
            </w:r>
          </w:p>
        </w:tc>
        <w:tc>
          <w:tcPr>
            <w:tcW w:w="220" w:type="pct"/>
            <w:tcBorders>
              <w:top w:val="single" w:color="000000" w:sz="4" w:space="0"/>
              <w:left w:val="single" w:color="000000" w:sz="4" w:space="0"/>
              <w:bottom w:val="single" w:color="000000" w:sz="4" w:space="0"/>
              <w:right w:val="single" w:color="000000" w:sz="4" w:space="0"/>
            </w:tcBorders>
            <w:vAlign w:val="center"/>
          </w:tcPr>
          <w:p w14:paraId="6DECFA2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193" w:type="pct"/>
            <w:tcBorders>
              <w:top w:val="single" w:color="000000" w:sz="4" w:space="0"/>
              <w:left w:val="single" w:color="000000" w:sz="4" w:space="0"/>
              <w:bottom w:val="single" w:color="000000" w:sz="4" w:space="0"/>
              <w:right w:val="single" w:color="000000" w:sz="4" w:space="0"/>
            </w:tcBorders>
            <w:vAlign w:val="center"/>
          </w:tcPr>
          <w:p w14:paraId="19CC89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r>
      <w:tr w14:paraId="1F016F8F">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C5830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598" w:type="pct"/>
            <w:tcBorders>
              <w:top w:val="single" w:color="000000" w:sz="4" w:space="0"/>
              <w:left w:val="single" w:color="000000" w:sz="4" w:space="0"/>
              <w:bottom w:val="single" w:color="000000" w:sz="4" w:space="0"/>
              <w:right w:val="single" w:color="000000" w:sz="4" w:space="0"/>
            </w:tcBorders>
            <w:vAlign w:val="center"/>
          </w:tcPr>
          <w:p w14:paraId="05AD005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配电箱</w:t>
            </w:r>
          </w:p>
        </w:tc>
        <w:tc>
          <w:tcPr>
            <w:tcW w:w="3502" w:type="pct"/>
            <w:tcBorders>
              <w:top w:val="single" w:color="000000" w:sz="4" w:space="0"/>
              <w:left w:val="single" w:color="000000" w:sz="4" w:space="0"/>
              <w:bottom w:val="single" w:color="000000" w:sz="4" w:space="0"/>
              <w:right w:val="single" w:color="000000" w:sz="4" w:space="0"/>
            </w:tcBorders>
            <w:vAlign w:val="center"/>
          </w:tcPr>
          <w:p w14:paraId="65052E0E">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含箱体和开关；成套配电箱安装，悬挂嵌入式(半周长m) 1.5m</w:t>
            </w:r>
          </w:p>
        </w:tc>
        <w:tc>
          <w:tcPr>
            <w:tcW w:w="220" w:type="pct"/>
            <w:tcBorders>
              <w:top w:val="single" w:color="000000" w:sz="4" w:space="0"/>
              <w:left w:val="single" w:color="000000" w:sz="4" w:space="0"/>
              <w:bottom w:val="single" w:color="000000" w:sz="4" w:space="0"/>
              <w:right w:val="single" w:color="000000" w:sz="4" w:space="0"/>
            </w:tcBorders>
            <w:vAlign w:val="center"/>
          </w:tcPr>
          <w:p w14:paraId="20D5012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0C6FAC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572EF55F">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22FC8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1.1.9</w:t>
            </w:r>
          </w:p>
        </w:tc>
        <w:tc>
          <w:tcPr>
            <w:tcW w:w="598" w:type="pct"/>
            <w:tcBorders>
              <w:top w:val="single" w:color="000000" w:sz="4" w:space="0"/>
              <w:left w:val="single" w:color="000000" w:sz="4" w:space="0"/>
              <w:bottom w:val="single" w:color="000000" w:sz="4" w:space="0"/>
              <w:right w:val="single" w:color="000000" w:sz="4" w:space="0"/>
            </w:tcBorders>
            <w:vAlign w:val="center"/>
          </w:tcPr>
          <w:p w14:paraId="3AA46D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空调安装</w:t>
            </w:r>
          </w:p>
        </w:tc>
        <w:tc>
          <w:tcPr>
            <w:tcW w:w="3502" w:type="pct"/>
            <w:tcBorders>
              <w:top w:val="single" w:color="000000" w:sz="4" w:space="0"/>
              <w:left w:val="single" w:color="000000" w:sz="4" w:space="0"/>
              <w:bottom w:val="single" w:color="000000" w:sz="4" w:space="0"/>
              <w:right w:val="single" w:color="000000" w:sz="4" w:space="0"/>
            </w:tcBorders>
            <w:vAlign w:val="center"/>
          </w:tcPr>
          <w:p w14:paraId="51144464">
            <w:pPr>
              <w:rPr>
                <w:rFonts w:hint="eastAsia" w:ascii="宋体" w:hAnsi="宋体" w:cs="宋体"/>
                <w:color w:val="auto"/>
                <w:szCs w:val="21"/>
                <w:highlight w:val="none"/>
              </w:rPr>
            </w:pPr>
            <w:r>
              <w:rPr>
                <w:rFonts w:hint="eastAsia" w:ascii="宋体" w:hAnsi="宋体" w:eastAsia="宋体" w:cs="宋体"/>
                <w:i w:val="0"/>
                <w:iCs w:val="0"/>
                <w:color w:val="auto"/>
                <w:sz w:val="21"/>
                <w:szCs w:val="21"/>
                <w:highlight w:val="none"/>
                <w:u w:val="none"/>
                <w:lang w:eastAsia="zh-CN"/>
              </w:rPr>
              <w:t>空调采购及安装</w:t>
            </w:r>
          </w:p>
        </w:tc>
        <w:tc>
          <w:tcPr>
            <w:tcW w:w="220" w:type="pct"/>
            <w:tcBorders>
              <w:top w:val="single" w:color="000000" w:sz="4" w:space="0"/>
              <w:left w:val="single" w:color="000000" w:sz="4" w:space="0"/>
              <w:bottom w:val="single" w:color="000000" w:sz="4" w:space="0"/>
              <w:right w:val="single" w:color="000000" w:sz="4" w:space="0"/>
            </w:tcBorders>
            <w:vAlign w:val="center"/>
          </w:tcPr>
          <w:p w14:paraId="6E27C95D">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04C06649">
            <w:pPr>
              <w:jc w:val="center"/>
              <w:rPr>
                <w:rFonts w:hint="eastAsia" w:ascii="宋体" w:hAnsi="宋体" w:cs="宋体"/>
                <w:color w:val="auto"/>
                <w:szCs w:val="21"/>
                <w:highlight w:val="none"/>
              </w:rPr>
            </w:pPr>
          </w:p>
        </w:tc>
      </w:tr>
      <w:tr w14:paraId="1CA68E76">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B0587D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403E07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制冷系统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537E669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1、规格：不小于3匹吸顶空调天花机</w:t>
            </w:r>
            <w:r>
              <w:rPr>
                <w:rFonts w:hint="default" w:ascii="宋体" w:hAnsi="宋体" w:eastAsia="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含室内外机</w:t>
            </w:r>
            <w:r>
              <w:rPr>
                <w:rFonts w:hint="default" w:ascii="宋体" w:hAnsi="宋体" w:eastAsia="宋体" w:cs="宋体"/>
                <w:i w:val="0"/>
                <w:iCs w:val="0"/>
                <w:color w:val="auto"/>
                <w:kern w:val="0"/>
                <w:sz w:val="21"/>
                <w:szCs w:val="21"/>
                <w:highlight w:val="none"/>
                <w:u w:val="none"/>
                <w:lang w:val="en-US" w:eastAsia="zh-CN"/>
              </w:rPr>
              <w:t>)</w:t>
            </w:r>
            <w:r>
              <w:rPr>
                <w:rFonts w:hint="eastAsia" w:ascii="宋体" w:hAnsi="宋体" w:cs="宋体"/>
                <w:i w:val="0"/>
                <w:iCs w:val="0"/>
                <w:color w:val="auto"/>
                <w:kern w:val="0"/>
                <w:sz w:val="21"/>
                <w:szCs w:val="21"/>
                <w:highlight w:val="none"/>
                <w:u w:val="none"/>
                <w:lang w:val="en-US" w:eastAsia="zh-CN"/>
              </w:rPr>
              <w:t>，</w:t>
            </w:r>
            <w:r>
              <w:rPr>
                <w:rFonts w:hint="eastAsia" w:ascii="宋体" w:hAnsi="宋体" w:eastAsia="宋体" w:cs="宋体"/>
                <w:i w:val="0"/>
                <w:iCs w:val="0"/>
                <w:color w:val="auto"/>
                <w:kern w:val="0"/>
                <w:sz w:val="21"/>
                <w:szCs w:val="21"/>
                <w:highlight w:val="none"/>
                <w:u w:val="none"/>
                <w:lang w:val="en-US" w:eastAsia="zh-CN"/>
              </w:rPr>
              <w:t>冷暖变频；</w:t>
            </w:r>
          </w:p>
          <w:p w14:paraId="648DF14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2、能效等级：1级；</w:t>
            </w:r>
          </w:p>
          <w:p w14:paraId="660906E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3、能效比APF：≥4.0；</w:t>
            </w:r>
          </w:p>
          <w:p w14:paraId="04F6C9F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4、额定制冷量(W)：≥7410；</w:t>
            </w:r>
          </w:p>
          <w:p w14:paraId="5BBC7A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 xml:space="preserve">5、额定制热量(W)：≥9250； </w:t>
            </w:r>
          </w:p>
          <w:p w14:paraId="1DC8B3A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6、额定循环风量（m³/h）：≥1350；</w:t>
            </w:r>
          </w:p>
          <w:p w14:paraId="78E282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7、电压/频率（V/Hz）：220V~/50Hz；</w:t>
            </w:r>
          </w:p>
          <w:p w14:paraId="1EE27548">
            <w:pPr>
              <w:widowControl/>
              <w:textAlignment w:val="center"/>
              <w:rPr>
                <w:rFonts w:hint="eastAsia" w:ascii="宋体" w:hAnsi="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rPr>
              <w:t>8、含铜管、制冷剂、供电电缆、控制电缆等安装及配件。</w:t>
            </w:r>
          </w:p>
        </w:tc>
        <w:tc>
          <w:tcPr>
            <w:tcW w:w="220" w:type="pct"/>
            <w:tcBorders>
              <w:top w:val="single" w:color="000000" w:sz="4" w:space="0"/>
              <w:left w:val="single" w:color="000000" w:sz="4" w:space="0"/>
              <w:bottom w:val="single" w:color="000000" w:sz="4" w:space="0"/>
              <w:right w:val="single" w:color="000000" w:sz="4" w:space="0"/>
            </w:tcBorders>
            <w:vAlign w:val="center"/>
          </w:tcPr>
          <w:p w14:paraId="141B42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93" w:type="pct"/>
            <w:tcBorders>
              <w:top w:val="single" w:color="000000" w:sz="4" w:space="0"/>
              <w:left w:val="single" w:color="000000" w:sz="4" w:space="0"/>
              <w:bottom w:val="single" w:color="000000" w:sz="4" w:space="0"/>
              <w:right w:val="single" w:color="000000" w:sz="4" w:space="0"/>
            </w:tcBorders>
            <w:vAlign w:val="center"/>
          </w:tcPr>
          <w:p w14:paraId="0030B24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0FFF1916">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455BA7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1.1.10</w:t>
            </w:r>
          </w:p>
        </w:tc>
        <w:tc>
          <w:tcPr>
            <w:tcW w:w="598" w:type="pct"/>
            <w:tcBorders>
              <w:top w:val="single" w:color="000000" w:sz="4" w:space="0"/>
              <w:left w:val="single" w:color="000000" w:sz="4" w:space="0"/>
              <w:bottom w:val="single" w:color="000000" w:sz="4" w:space="0"/>
              <w:right w:val="single" w:color="000000" w:sz="4" w:space="0"/>
            </w:tcBorders>
            <w:vAlign w:val="center"/>
          </w:tcPr>
          <w:p w14:paraId="5704257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安防系统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7E1513EF">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306B2A6C">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38775FC9">
            <w:pPr>
              <w:jc w:val="center"/>
              <w:rPr>
                <w:rFonts w:hint="eastAsia" w:ascii="宋体" w:hAnsi="宋体" w:cs="宋体"/>
                <w:color w:val="auto"/>
                <w:szCs w:val="21"/>
                <w:highlight w:val="none"/>
              </w:rPr>
            </w:pPr>
          </w:p>
        </w:tc>
      </w:tr>
      <w:tr w14:paraId="5BB361B4">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F49B12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177FB2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AI防火预警仪</w:t>
            </w:r>
          </w:p>
        </w:tc>
        <w:tc>
          <w:tcPr>
            <w:tcW w:w="3502" w:type="pct"/>
            <w:tcBorders>
              <w:top w:val="single" w:color="000000" w:sz="4" w:space="0"/>
              <w:left w:val="single" w:color="000000" w:sz="4" w:space="0"/>
              <w:bottom w:val="single" w:color="000000" w:sz="4" w:space="0"/>
              <w:right w:val="single" w:color="000000" w:sz="4" w:space="0"/>
            </w:tcBorders>
            <w:vAlign w:val="center"/>
          </w:tcPr>
          <w:p w14:paraId="0729541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1、支持通过IE浏览器开启或关闭画面分割功能，开启后会将画面平分为12宫格，每个宫格均可输出最高温、最低温及平均温数值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2、支持将热成像视频图像与可见光视频图像进行融合预览，并可在可见光视频图像上的相同比例位置处叠加热成像测温信息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3、支持在IE浏览器下，具有文字转语音设置选项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4、热成像视频图像噪声等效温差(NETD)≤8mK</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5、支持最小可分辨温差≤200mk</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6、支持对监控画面中由目标发生镜面反射而产生的报警进行过滤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7、支持通过IE浏览器开启或关闭畸变校正功能，开启后样机视场角应减小，开启畸变校正功能后，样机几何失真率应≤2%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通过IE浏览器在热成像视频图像探测温度区域中出现以下条件时，可在客户端给出不同颜色的报警提示，联动报警输出、发送邮件、联动录像及联动抓拍。1、当设定点的探测温度大于/小于预设值时;2、当设定线段上最高温度值/最低温度值/平均温度值大于/小于预设阈值时;3、当设定区域的最高温度值/最低温度值/平均温度值/温度差值大于/小于预设值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9、支持通过IE浏览器设置温度信息的字体大小、及点、线、区域的颜色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10、支持在温度85±3，-60±3℃下正常工作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11、外壳防护等级：IP67</w:t>
            </w:r>
          </w:p>
        </w:tc>
        <w:tc>
          <w:tcPr>
            <w:tcW w:w="220" w:type="pct"/>
            <w:tcBorders>
              <w:top w:val="single" w:color="000000" w:sz="4" w:space="0"/>
              <w:left w:val="single" w:color="000000" w:sz="4" w:space="0"/>
              <w:bottom w:val="single" w:color="000000" w:sz="4" w:space="0"/>
              <w:right w:val="single" w:color="000000" w:sz="4" w:space="0"/>
            </w:tcBorders>
            <w:vAlign w:val="center"/>
          </w:tcPr>
          <w:p w14:paraId="1A2B82A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1391DB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r>
      <w:tr w14:paraId="5022ACB7">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45C393B">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vAlign w:val="center"/>
          </w:tcPr>
          <w:p w14:paraId="74F2397F">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球型摄像机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473A8260">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1、内置加热玻璃，有效除雾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2、支持超低照度，0.005 Lux @F1.5（彩色），0.001 Lux @F1.5（黑白），0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3、支持≥23倍光学变倍，≥16倍数字变倍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4、支持三码流技术，每路码流可独立配置分辨率及帧率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5、支持3D数字降噪，支持真宽动态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6、支持定时抓图与事件抓图功能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7、支持定时任务，一键守望，一键巡航功能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8、支持两进一出报警，一进一出音频，最大支持512 GB MicroSD卡存储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9、IP66，抗干扰能力强，适用于严酷的电磁环境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10、传感器类型：采用不小于1/2.8＂ 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11、最低照度：彩色：0.005Lux @ (F1.5，AGC ON)；黑白：0.001Lux @(F1.5，AGC ON)；0 Lux with IR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12、宽动态：支持真宽动态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13、焦距：5.9-135.7mm，)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14、补光灯类型：混合补光/补光灯距离：红外照射距离：≥150 m/白光照射距离：≥30 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15、水平范围：360°垂直范围：-15°-90°(自动翻转)/水平速度：水平键控速度：0.1°-120°/s,速度可设;水平预置点速度：120°/s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16、垂直速度：垂直键控速度：0.1°-80°/s,速度可设;垂直预置点速度：80°/s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17、主码流帧率分辨率：50Hz:25fps(2560 × 1440，1920 × 1080，1280 × 960，1280 × 720)/60Hz: 30fps(2560 × 1440，1920×1080，1280×960，1280×720)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18、视频压缩标准：H.265;H.264;MJPEG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19、网络接口：RJ45网口，自适应10M/100M网络数据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20、SD卡扩展：内置Micro SD卡插槽，支持Micro SD/Micro SDHC/Micro SDXC卡（最大支持512GB）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21、报警输入：≥2路报警输入/音频输入：≥1路音频输入/音频输出：≥1路音频输出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22、供电方式：DC36V/电流及功耗：最大功耗：≤24 W</w:t>
            </w:r>
          </w:p>
        </w:tc>
        <w:tc>
          <w:tcPr>
            <w:tcW w:w="220" w:type="pct"/>
            <w:tcBorders>
              <w:top w:val="single" w:color="000000" w:sz="4" w:space="0"/>
              <w:left w:val="single" w:color="000000" w:sz="4" w:space="0"/>
              <w:bottom w:val="single" w:color="000000" w:sz="4" w:space="0"/>
              <w:right w:val="single" w:color="000000" w:sz="4" w:space="0"/>
            </w:tcBorders>
            <w:vAlign w:val="center"/>
          </w:tcPr>
          <w:p w14:paraId="4DB3A95C">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1696193F">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2744BFA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F307978">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vAlign w:val="center"/>
          </w:tcPr>
          <w:p w14:paraId="7E94C5F6">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监控级硬盘</w:t>
            </w:r>
          </w:p>
        </w:tc>
        <w:tc>
          <w:tcPr>
            <w:tcW w:w="3502" w:type="pct"/>
            <w:tcBorders>
              <w:top w:val="single" w:color="000000" w:sz="4" w:space="0"/>
              <w:left w:val="single" w:color="000000" w:sz="4" w:space="0"/>
              <w:bottom w:val="single" w:color="000000" w:sz="4" w:space="0"/>
              <w:right w:val="single" w:color="000000" w:sz="4" w:space="0"/>
            </w:tcBorders>
            <w:vAlign w:val="center"/>
          </w:tcPr>
          <w:p w14:paraId="31B37AF9">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高速监控级硬盘，8T存储空间</w:t>
            </w:r>
          </w:p>
        </w:tc>
        <w:tc>
          <w:tcPr>
            <w:tcW w:w="220" w:type="pct"/>
            <w:tcBorders>
              <w:top w:val="single" w:color="000000" w:sz="4" w:space="0"/>
              <w:left w:val="single" w:color="000000" w:sz="4" w:space="0"/>
              <w:bottom w:val="single" w:color="000000" w:sz="4" w:space="0"/>
              <w:right w:val="single" w:color="000000" w:sz="4" w:space="0"/>
            </w:tcBorders>
            <w:vAlign w:val="center"/>
          </w:tcPr>
          <w:p w14:paraId="09DBE920">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93" w:type="pct"/>
            <w:tcBorders>
              <w:top w:val="single" w:color="000000" w:sz="4" w:space="0"/>
              <w:left w:val="single" w:color="000000" w:sz="4" w:space="0"/>
              <w:bottom w:val="single" w:color="000000" w:sz="4" w:space="0"/>
              <w:right w:val="single" w:color="000000" w:sz="4" w:space="0"/>
            </w:tcBorders>
            <w:vAlign w:val="center"/>
          </w:tcPr>
          <w:p w14:paraId="5B1F209A">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32019AD8">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89A08C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vAlign w:val="center"/>
          </w:tcPr>
          <w:p w14:paraId="32572258">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POE交换机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38502DA5">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8个千兆PoE电口交换容量不低于10 Gbps 、支持防浪涌</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整机最大供电功率大于100W</w:t>
            </w:r>
          </w:p>
        </w:tc>
        <w:tc>
          <w:tcPr>
            <w:tcW w:w="220" w:type="pct"/>
            <w:tcBorders>
              <w:top w:val="single" w:color="000000" w:sz="4" w:space="0"/>
              <w:left w:val="single" w:color="000000" w:sz="4" w:space="0"/>
              <w:bottom w:val="single" w:color="000000" w:sz="4" w:space="0"/>
              <w:right w:val="single" w:color="000000" w:sz="4" w:space="0"/>
            </w:tcBorders>
            <w:vAlign w:val="center"/>
          </w:tcPr>
          <w:p w14:paraId="01CE092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193" w:type="pct"/>
            <w:tcBorders>
              <w:top w:val="single" w:color="000000" w:sz="4" w:space="0"/>
              <w:left w:val="single" w:color="000000" w:sz="4" w:space="0"/>
              <w:bottom w:val="single" w:color="000000" w:sz="4" w:space="0"/>
              <w:right w:val="single" w:color="000000" w:sz="4" w:space="0"/>
            </w:tcBorders>
            <w:vAlign w:val="center"/>
          </w:tcPr>
          <w:p w14:paraId="33FBF56B">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143F5375">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F1197C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vAlign w:val="center"/>
          </w:tcPr>
          <w:p w14:paraId="4425671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千兆交换机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70B52793">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cs="宋体"/>
                <w:i w:val="0"/>
                <w:iCs w:val="0"/>
                <w:color w:val="auto"/>
                <w:kern w:val="0"/>
                <w:sz w:val="20"/>
                <w:szCs w:val="20"/>
                <w:highlight w:val="none"/>
                <w:u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交换容量≥672Gbps，包转发率≥126Mpp；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2、≥28个10/100/1000BASE-T端口,≥4个万兆光端口</w:t>
            </w:r>
          </w:p>
        </w:tc>
        <w:tc>
          <w:tcPr>
            <w:tcW w:w="220" w:type="pct"/>
            <w:tcBorders>
              <w:top w:val="single" w:color="000000" w:sz="4" w:space="0"/>
              <w:left w:val="single" w:color="000000" w:sz="4" w:space="0"/>
              <w:bottom w:val="single" w:color="000000" w:sz="4" w:space="0"/>
              <w:right w:val="single" w:color="000000" w:sz="4" w:space="0"/>
            </w:tcBorders>
            <w:vAlign w:val="center"/>
          </w:tcPr>
          <w:p w14:paraId="7BA727D5">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6D53E8B7">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04A7C3B1">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120F953">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w:t>
            </w:r>
          </w:p>
        </w:tc>
        <w:tc>
          <w:tcPr>
            <w:tcW w:w="598" w:type="pct"/>
            <w:tcBorders>
              <w:top w:val="single" w:color="000000" w:sz="4" w:space="0"/>
              <w:left w:val="single" w:color="000000" w:sz="4" w:space="0"/>
              <w:bottom w:val="single" w:color="000000" w:sz="4" w:space="0"/>
              <w:right w:val="single" w:color="000000" w:sz="4" w:space="0"/>
            </w:tcBorders>
            <w:vAlign w:val="center"/>
          </w:tcPr>
          <w:p w14:paraId="41B142FE">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摄像头</w:t>
            </w:r>
          </w:p>
        </w:tc>
        <w:tc>
          <w:tcPr>
            <w:tcW w:w="3502" w:type="pct"/>
            <w:tcBorders>
              <w:top w:val="single" w:color="000000" w:sz="4" w:space="0"/>
              <w:left w:val="single" w:color="000000" w:sz="4" w:space="0"/>
              <w:bottom w:val="single" w:color="000000" w:sz="4" w:space="0"/>
              <w:right w:val="single" w:color="000000" w:sz="4" w:space="0"/>
            </w:tcBorders>
            <w:vAlign w:val="center"/>
          </w:tcPr>
          <w:p w14:paraId="37EF46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1、400万网络摄像机；</w:t>
            </w:r>
          </w:p>
          <w:p w14:paraId="7E7B6D3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2、最高分辨率2688 × 1520 @25 fps，在该分辨率下可输出实时图像；</w:t>
            </w:r>
          </w:p>
          <w:p w14:paraId="181A97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3、支持ROI感兴趣区域增强编码，可根据场景情况自适应调整码率分配；</w:t>
            </w:r>
          </w:p>
          <w:p w14:paraId="573CC71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4、支持背光补偿，强光抑制，3D数字降噪，120 dB宽动态适应不同场景</w:t>
            </w:r>
          </w:p>
          <w:p w14:paraId="745912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5、采用高效阵列红外灯，使用寿命长，红外照射距离最远可达30 m</w:t>
            </w:r>
          </w:p>
          <w:p w14:paraId="097EA51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6、1个内置麦克风</w:t>
            </w:r>
          </w:p>
          <w:p w14:paraId="0C0339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7、符合IP66防尘防水设计</w:t>
            </w:r>
          </w:p>
          <w:p w14:paraId="6413C48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8、传感器类型：不小于1/3"传感器</w:t>
            </w:r>
          </w:p>
          <w:p w14:paraId="1A204F7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9、最低照度：彩色：0.005 Lux @（F1.2，AGC ON），黑白：0 Lux with IR</w:t>
            </w:r>
          </w:p>
          <w:p w14:paraId="114450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10、宽动态：120 dB</w:t>
            </w:r>
          </w:p>
          <w:p w14:paraId="2AC079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11、调节角度：水平：0°~360°，垂直：0°~75°，旋转：0°~360°  </w:t>
            </w:r>
          </w:p>
          <w:p w14:paraId="7A1EFB0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12、焦距：2.8 mm</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 mm</w:t>
            </w:r>
          </w:p>
          <w:p w14:paraId="269E764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13、补光灯类型：红外灯/补光距离：≥30 m</w:t>
            </w:r>
          </w:p>
          <w:p w14:paraId="11DC4C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14、最大图像尺寸：2688 × 1520（默认2560 × 1440）/视频压缩标准：主码流：H.265/H.264/子码流：H.265/H.264/MJPEG /音频：1个内置麦克风/网络：1个RJ45 10 M/100 M自适应以太网口</w:t>
            </w:r>
          </w:p>
          <w:p w14:paraId="0CA2B284">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15、供电方式：DC：12 V ± 25%，支持防反接保护/PoE：802.3af，Class 3</w:t>
            </w:r>
          </w:p>
        </w:tc>
        <w:tc>
          <w:tcPr>
            <w:tcW w:w="220" w:type="pct"/>
            <w:tcBorders>
              <w:top w:val="single" w:color="000000" w:sz="4" w:space="0"/>
              <w:left w:val="single" w:color="000000" w:sz="4" w:space="0"/>
              <w:bottom w:val="single" w:color="000000" w:sz="4" w:space="0"/>
              <w:right w:val="single" w:color="000000" w:sz="4" w:space="0"/>
            </w:tcBorders>
            <w:vAlign w:val="center"/>
          </w:tcPr>
          <w:p w14:paraId="6A68F976">
            <w:pPr>
              <w:keepNext w:val="0"/>
              <w:keepLines w:val="0"/>
              <w:widowControl/>
              <w:suppressLineNumbers w:val="0"/>
              <w:jc w:val="center"/>
              <w:textAlignment w:val="center"/>
              <w:rPr>
                <w:rFonts w:hint="default" w:ascii="宋体" w:hAnsi="宋体" w:cs="宋体"/>
                <w:color w:val="auto"/>
                <w:kern w:val="0"/>
                <w:szCs w:val="21"/>
                <w:highlight w:val="none"/>
                <w:lang w:val="en-US" w:bidi="ar"/>
              </w:rPr>
            </w:pPr>
            <w:r>
              <w:rPr>
                <w:rFonts w:hint="eastAsia" w:ascii="宋体" w:hAnsi="宋体" w:cs="宋体"/>
                <w:i w:val="0"/>
                <w:iCs w:val="0"/>
                <w:color w:val="auto"/>
                <w:kern w:val="0"/>
                <w:sz w:val="20"/>
                <w:szCs w:val="20"/>
                <w:highlight w:val="none"/>
                <w:u w:val="none"/>
                <w:lang w:val="en-US" w:eastAsia="zh-CN" w:bidi="ar"/>
              </w:rPr>
              <w:t>24</w:t>
            </w:r>
          </w:p>
        </w:tc>
        <w:tc>
          <w:tcPr>
            <w:tcW w:w="193" w:type="pct"/>
            <w:tcBorders>
              <w:top w:val="single" w:color="000000" w:sz="4" w:space="0"/>
              <w:left w:val="single" w:color="000000" w:sz="4" w:space="0"/>
              <w:bottom w:val="single" w:color="000000" w:sz="4" w:space="0"/>
              <w:right w:val="single" w:color="000000" w:sz="4" w:space="0"/>
            </w:tcBorders>
            <w:vAlign w:val="center"/>
          </w:tcPr>
          <w:p w14:paraId="69D34EF9">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2"/>
                <w:szCs w:val="22"/>
                <w:highlight w:val="none"/>
                <w:u w:val="none"/>
                <w:lang w:val="en-US" w:eastAsia="zh-CN" w:bidi="ar"/>
              </w:rPr>
              <w:t>台</w:t>
            </w:r>
          </w:p>
        </w:tc>
      </w:tr>
      <w:tr w14:paraId="461BF28F">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0525D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598" w:type="pct"/>
            <w:tcBorders>
              <w:top w:val="single" w:color="000000" w:sz="4" w:space="0"/>
              <w:left w:val="single" w:color="000000" w:sz="4" w:space="0"/>
              <w:bottom w:val="single" w:color="000000" w:sz="4" w:space="0"/>
              <w:right w:val="single" w:color="000000" w:sz="4" w:space="0"/>
            </w:tcBorders>
            <w:vAlign w:val="center"/>
          </w:tcPr>
          <w:p w14:paraId="68BA3CB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指挥中心办公配套设备</w:t>
            </w:r>
          </w:p>
        </w:tc>
        <w:tc>
          <w:tcPr>
            <w:tcW w:w="3502" w:type="pct"/>
            <w:tcBorders>
              <w:top w:val="single" w:color="000000" w:sz="4" w:space="0"/>
              <w:left w:val="single" w:color="000000" w:sz="4" w:space="0"/>
              <w:bottom w:val="single" w:color="000000" w:sz="4" w:space="0"/>
              <w:right w:val="single" w:color="000000" w:sz="4" w:space="0"/>
            </w:tcBorders>
            <w:vAlign w:val="center"/>
          </w:tcPr>
          <w:p w14:paraId="627CE182">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1EAE965E">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1C9FD5D1">
            <w:pPr>
              <w:jc w:val="center"/>
              <w:rPr>
                <w:rFonts w:hint="eastAsia" w:ascii="宋体" w:hAnsi="宋体" w:cs="宋体"/>
                <w:color w:val="auto"/>
                <w:szCs w:val="21"/>
                <w:highlight w:val="none"/>
              </w:rPr>
            </w:pPr>
          </w:p>
        </w:tc>
      </w:tr>
      <w:tr w14:paraId="2BAE2B7E">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404501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w:t>
            </w:r>
          </w:p>
        </w:tc>
        <w:tc>
          <w:tcPr>
            <w:tcW w:w="598" w:type="pct"/>
            <w:tcBorders>
              <w:top w:val="single" w:color="000000" w:sz="4" w:space="0"/>
              <w:left w:val="single" w:color="000000" w:sz="4" w:space="0"/>
              <w:bottom w:val="single" w:color="000000" w:sz="4" w:space="0"/>
              <w:right w:val="single" w:color="000000" w:sz="4" w:space="0"/>
            </w:tcBorders>
            <w:vAlign w:val="center"/>
          </w:tcPr>
          <w:p w14:paraId="6F36113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指挥中心大厅办公配套设备</w:t>
            </w:r>
          </w:p>
        </w:tc>
        <w:tc>
          <w:tcPr>
            <w:tcW w:w="3502" w:type="pct"/>
            <w:tcBorders>
              <w:top w:val="single" w:color="000000" w:sz="4" w:space="0"/>
              <w:left w:val="single" w:color="000000" w:sz="4" w:space="0"/>
              <w:bottom w:val="single" w:color="000000" w:sz="4" w:space="0"/>
              <w:right w:val="single" w:color="000000" w:sz="4" w:space="0"/>
            </w:tcBorders>
            <w:vAlign w:val="center"/>
          </w:tcPr>
          <w:p w14:paraId="7D2F4A4E">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色调与整体一致</w:t>
            </w:r>
          </w:p>
        </w:tc>
        <w:tc>
          <w:tcPr>
            <w:tcW w:w="220" w:type="pct"/>
            <w:tcBorders>
              <w:top w:val="single" w:color="000000" w:sz="4" w:space="0"/>
              <w:left w:val="single" w:color="000000" w:sz="4" w:space="0"/>
              <w:bottom w:val="single" w:color="000000" w:sz="4" w:space="0"/>
              <w:right w:val="single" w:color="000000" w:sz="4" w:space="0"/>
            </w:tcBorders>
            <w:vAlign w:val="center"/>
          </w:tcPr>
          <w:p w14:paraId="5A99E97E">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2AC8EE62">
            <w:pPr>
              <w:jc w:val="center"/>
              <w:rPr>
                <w:rFonts w:hint="eastAsia" w:ascii="宋体" w:hAnsi="宋体" w:cs="宋体"/>
                <w:color w:val="auto"/>
                <w:szCs w:val="21"/>
                <w:highlight w:val="none"/>
              </w:rPr>
            </w:pPr>
          </w:p>
        </w:tc>
      </w:tr>
      <w:tr w14:paraId="7C1CFEA5">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35FDA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0C78A48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操作台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460568D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指挥操作台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操作台工艺：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1、环保板材、灯带、内部走线、带柜体、带电脑箱柜、定制科技异形桌脚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2、色调、风格与指挥大厅保持一致。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3、油漆：采用环保PU聚酯漆，附着性强、涂膜强韧，硬度高、光泽度高，耐水、耐磨，耐撞、耐热性好，可长期保持表面效果；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4、五金配件：采用铰链，导轨；平滑度及滑动性好，承载力强，安全系数高。</w:t>
            </w:r>
          </w:p>
        </w:tc>
        <w:tc>
          <w:tcPr>
            <w:tcW w:w="220" w:type="pct"/>
            <w:tcBorders>
              <w:top w:val="single" w:color="000000" w:sz="4" w:space="0"/>
              <w:left w:val="single" w:color="000000" w:sz="4" w:space="0"/>
              <w:bottom w:val="single" w:color="000000" w:sz="4" w:space="0"/>
              <w:right w:val="single" w:color="000000" w:sz="4" w:space="0"/>
            </w:tcBorders>
            <w:vAlign w:val="center"/>
          </w:tcPr>
          <w:p w14:paraId="5CB1501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93" w:type="pct"/>
            <w:tcBorders>
              <w:top w:val="single" w:color="000000" w:sz="4" w:space="0"/>
              <w:left w:val="single" w:color="000000" w:sz="4" w:space="0"/>
              <w:bottom w:val="single" w:color="000000" w:sz="4" w:space="0"/>
              <w:right w:val="single" w:color="000000" w:sz="4" w:space="0"/>
            </w:tcBorders>
            <w:vAlign w:val="center"/>
          </w:tcPr>
          <w:p w14:paraId="7CA2B80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w:t>
            </w:r>
          </w:p>
        </w:tc>
      </w:tr>
      <w:tr w14:paraId="5E4D101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B0CAF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5ACCBE0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3502" w:type="pct"/>
            <w:tcBorders>
              <w:top w:val="single" w:color="000000" w:sz="4" w:space="0"/>
              <w:left w:val="single" w:color="000000" w:sz="4" w:space="0"/>
              <w:bottom w:val="single" w:color="000000" w:sz="4" w:space="0"/>
              <w:right w:val="single" w:color="000000" w:sz="4" w:space="0"/>
            </w:tcBorders>
            <w:vAlign w:val="center"/>
          </w:tcPr>
          <w:p w14:paraId="4F4FF43A">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1、面料：采用环保皮，外观色泽均匀，自然，手感柔软；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2、座垫及靠背内部框架定型板；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3、海绵：采用海绵，密度高，回弹力好；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4、采用弓字型钢脚，表面经过碱洗除油、酸洗除锈、磷化附膜、钝化、静电机器手自动喷涂和高温固化处理。</w:t>
            </w:r>
          </w:p>
        </w:tc>
        <w:tc>
          <w:tcPr>
            <w:tcW w:w="220" w:type="pct"/>
            <w:tcBorders>
              <w:top w:val="single" w:color="000000" w:sz="4" w:space="0"/>
              <w:left w:val="single" w:color="000000" w:sz="4" w:space="0"/>
              <w:bottom w:val="single" w:color="000000" w:sz="4" w:space="0"/>
              <w:right w:val="single" w:color="000000" w:sz="4" w:space="0"/>
            </w:tcBorders>
            <w:vAlign w:val="center"/>
          </w:tcPr>
          <w:p w14:paraId="6B088EB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93" w:type="pct"/>
            <w:tcBorders>
              <w:top w:val="single" w:color="000000" w:sz="4" w:space="0"/>
              <w:left w:val="single" w:color="000000" w:sz="4" w:space="0"/>
              <w:bottom w:val="single" w:color="000000" w:sz="4" w:space="0"/>
              <w:right w:val="single" w:color="000000" w:sz="4" w:space="0"/>
            </w:tcBorders>
            <w:vAlign w:val="center"/>
          </w:tcPr>
          <w:p w14:paraId="0DAA2C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r>
      <w:tr w14:paraId="51B1ABD9">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75E69B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598" w:type="pct"/>
            <w:tcBorders>
              <w:top w:val="single" w:color="000000" w:sz="4" w:space="0"/>
              <w:left w:val="single" w:color="000000" w:sz="4" w:space="0"/>
              <w:bottom w:val="single" w:color="000000" w:sz="4" w:space="0"/>
              <w:right w:val="single" w:color="000000" w:sz="4" w:space="0"/>
            </w:tcBorders>
            <w:vAlign w:val="center"/>
          </w:tcPr>
          <w:p w14:paraId="652D3D0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应急指挥中心智能化系统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6F503A26">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27BB8316">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7F19F08D">
            <w:pPr>
              <w:jc w:val="center"/>
              <w:rPr>
                <w:rFonts w:hint="eastAsia" w:ascii="宋体" w:hAnsi="宋体" w:cs="宋体"/>
                <w:color w:val="auto"/>
                <w:szCs w:val="21"/>
                <w:highlight w:val="none"/>
              </w:rPr>
            </w:pPr>
          </w:p>
        </w:tc>
      </w:tr>
      <w:tr w14:paraId="08C7DC67">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49EFB2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1.3.1</w:t>
            </w:r>
          </w:p>
        </w:tc>
        <w:tc>
          <w:tcPr>
            <w:tcW w:w="598" w:type="pct"/>
            <w:tcBorders>
              <w:top w:val="single" w:color="000000" w:sz="4" w:space="0"/>
              <w:left w:val="single" w:color="000000" w:sz="4" w:space="0"/>
              <w:bottom w:val="single" w:color="000000" w:sz="4" w:space="0"/>
              <w:right w:val="single" w:color="000000" w:sz="4" w:space="0"/>
            </w:tcBorders>
            <w:vAlign w:val="center"/>
          </w:tcPr>
          <w:p w14:paraId="6ECBF42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指挥中心大厅</w:t>
            </w:r>
          </w:p>
        </w:tc>
        <w:tc>
          <w:tcPr>
            <w:tcW w:w="3502" w:type="pct"/>
            <w:tcBorders>
              <w:top w:val="single" w:color="000000" w:sz="4" w:space="0"/>
              <w:left w:val="single" w:color="000000" w:sz="4" w:space="0"/>
              <w:bottom w:val="single" w:color="000000" w:sz="4" w:space="0"/>
              <w:right w:val="single" w:color="000000" w:sz="4" w:space="0"/>
            </w:tcBorders>
            <w:vAlign w:val="center"/>
          </w:tcPr>
          <w:p w14:paraId="40DCD505">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37AA2A38">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6B5E8945">
            <w:pPr>
              <w:jc w:val="center"/>
              <w:rPr>
                <w:rFonts w:hint="eastAsia" w:ascii="宋体" w:hAnsi="宋体" w:cs="宋体"/>
                <w:color w:val="auto"/>
                <w:szCs w:val="21"/>
                <w:highlight w:val="none"/>
              </w:rPr>
            </w:pPr>
          </w:p>
        </w:tc>
      </w:tr>
      <w:tr w14:paraId="15E3BB4C">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36720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1.3.1.1</w:t>
            </w:r>
          </w:p>
        </w:tc>
        <w:tc>
          <w:tcPr>
            <w:tcW w:w="598" w:type="pct"/>
            <w:tcBorders>
              <w:top w:val="single" w:color="000000" w:sz="4" w:space="0"/>
              <w:left w:val="single" w:color="000000" w:sz="4" w:space="0"/>
              <w:bottom w:val="single" w:color="000000" w:sz="4" w:space="0"/>
              <w:right w:val="single" w:color="000000" w:sz="4" w:space="0"/>
            </w:tcBorders>
            <w:vAlign w:val="center"/>
          </w:tcPr>
          <w:p w14:paraId="6A33FD9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大屏显示系统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7436E4B2">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3F1F50D0">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1BE887E8">
            <w:pPr>
              <w:jc w:val="center"/>
              <w:rPr>
                <w:rFonts w:hint="eastAsia" w:ascii="宋体" w:hAnsi="宋体" w:cs="宋体"/>
                <w:color w:val="auto"/>
                <w:szCs w:val="21"/>
                <w:highlight w:val="none"/>
              </w:rPr>
            </w:pPr>
          </w:p>
        </w:tc>
      </w:tr>
      <w:tr w14:paraId="02DC66D4">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BF68A0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4CFFF7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P1.5小间距屏</w:t>
            </w:r>
          </w:p>
        </w:tc>
        <w:tc>
          <w:tcPr>
            <w:tcW w:w="3502" w:type="pct"/>
            <w:tcBorders>
              <w:top w:val="single" w:color="000000" w:sz="4" w:space="0"/>
              <w:left w:val="single" w:color="000000" w:sz="4" w:space="0"/>
              <w:bottom w:val="single" w:color="000000" w:sz="4" w:space="0"/>
              <w:right w:val="single" w:color="000000" w:sz="4" w:space="0"/>
            </w:tcBorders>
            <w:vAlign w:val="center"/>
          </w:tcPr>
          <w:p w14:paraId="4EEC7E7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1、LED屏体尺寸：≥6.72*2.72；</w:t>
            </w:r>
          </w:p>
          <w:p w14:paraId="614AD7E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2、点间距：1.538mm；</w:t>
            </w:r>
          </w:p>
          <w:p w14:paraId="27E1E0C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3、像素密度:422500点/m2；</w:t>
            </w:r>
          </w:p>
          <w:p w14:paraId="5DE4843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4、信号接口：HUB320；</w:t>
            </w:r>
          </w:p>
          <w:p w14:paraId="32B2F0B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5、模组尺寸：320（W）×160（H）×15</w:t>
            </w:r>
          </w:p>
          <w:p w14:paraId="4347EA1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6、模组像素：208*104，</w:t>
            </w:r>
          </w:p>
          <w:p w14:paraId="199D0C3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7、像素结构：SMD1212黑灯</w:t>
            </w:r>
          </w:p>
          <w:p w14:paraId="60C1388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8、模组重量：0.2Kg/块；</w:t>
            </w:r>
          </w:p>
          <w:p w14:paraId="0563E2A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9、刷新率：≥3840Hz，</w:t>
            </w:r>
          </w:p>
          <w:p w14:paraId="02D48E1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10、驱动芯片：恒流驱动IC，</w:t>
            </w:r>
          </w:p>
          <w:p w14:paraId="5DFE765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11、白平衡亮度：600；</w:t>
            </w:r>
          </w:p>
          <w:p w14:paraId="5F8D9AA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12、色温：8000—19000 可调</w:t>
            </w:r>
          </w:p>
          <w:p w14:paraId="25763EC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13、可视角：水平视角160°，垂直视角160°</w:t>
            </w:r>
          </w:p>
          <w:p w14:paraId="72D4802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14、亮度均匀性：≥97%；</w:t>
            </w:r>
          </w:p>
          <w:p w14:paraId="094B911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15、色度均匀性：±0.003Cx,Cy 之内；</w:t>
            </w:r>
          </w:p>
          <w:p w14:paraId="132D077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16、对比度：4000：1；</w:t>
            </w:r>
          </w:p>
          <w:p w14:paraId="1D4524D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17、峰值功耗：650w/㎡；</w:t>
            </w:r>
          </w:p>
          <w:p w14:paraId="5052ED6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18、平均功耗：170w/㎡；</w:t>
            </w:r>
          </w:p>
          <w:p w14:paraId="3F86FA6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19、供电要求：AC220-240V；</w:t>
            </w:r>
          </w:p>
          <w:p w14:paraId="37252C2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120、运行环境；工作温度：-10—40；工作湿度：10-80%；存储温度：-20—60；存储湿度：10-85%；</w:t>
            </w:r>
          </w:p>
          <w:p w14:paraId="6FDE8B0A">
            <w:pPr>
              <w:widowControl/>
              <w:textAlignment w:val="center"/>
              <w:rPr>
                <w:rFonts w:hint="eastAsia" w:ascii="宋体" w:hAnsi="宋体" w:cs="宋体"/>
                <w:color w:val="auto"/>
                <w:szCs w:val="21"/>
                <w:highlight w:val="none"/>
              </w:rPr>
            </w:pPr>
            <w:r>
              <w:rPr>
                <w:rFonts w:hint="default" w:ascii="宋体" w:hAnsi="宋体" w:eastAsia="宋体" w:cs="宋体"/>
                <w:i w:val="0"/>
                <w:iCs w:val="0"/>
                <w:color w:val="auto"/>
                <w:kern w:val="0"/>
                <w:sz w:val="21"/>
                <w:szCs w:val="21"/>
                <w:highlight w:val="none"/>
                <w:u w:val="none"/>
                <w:lang w:val="en-US" w:eastAsia="zh-CN"/>
              </w:rPr>
              <w:t>21、电源接口：VH4PIN，含电源。</w:t>
            </w:r>
          </w:p>
        </w:tc>
        <w:tc>
          <w:tcPr>
            <w:tcW w:w="220" w:type="pct"/>
            <w:tcBorders>
              <w:top w:val="single" w:color="000000" w:sz="4" w:space="0"/>
              <w:left w:val="single" w:color="000000" w:sz="4" w:space="0"/>
              <w:bottom w:val="single" w:color="000000" w:sz="4" w:space="0"/>
              <w:right w:val="single" w:color="000000" w:sz="4" w:space="0"/>
            </w:tcBorders>
            <w:vAlign w:val="center"/>
          </w:tcPr>
          <w:p w14:paraId="503A0D4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93" w:type="pct"/>
            <w:tcBorders>
              <w:top w:val="single" w:color="000000" w:sz="4" w:space="0"/>
              <w:left w:val="single" w:color="000000" w:sz="4" w:space="0"/>
              <w:bottom w:val="single" w:color="000000" w:sz="4" w:space="0"/>
              <w:right w:val="single" w:color="000000" w:sz="4" w:space="0"/>
            </w:tcBorders>
            <w:vAlign w:val="center"/>
          </w:tcPr>
          <w:p w14:paraId="4424625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5FD25E7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2CC0F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401DA3C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接收卡</w:t>
            </w:r>
          </w:p>
        </w:tc>
        <w:tc>
          <w:tcPr>
            <w:tcW w:w="3502" w:type="pct"/>
            <w:tcBorders>
              <w:top w:val="single" w:color="000000" w:sz="4" w:space="0"/>
              <w:left w:val="single" w:color="000000" w:sz="4" w:space="0"/>
              <w:bottom w:val="single" w:color="000000" w:sz="4" w:space="0"/>
              <w:right w:val="single" w:color="000000" w:sz="4" w:space="0"/>
            </w:tcBorders>
            <w:vAlign w:val="center"/>
          </w:tcPr>
          <w:p w14:paraId="5ABFC3B7">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单卡可带载 512×512像素。支持逐点亮色度校 正，有效消除色差，显著提升 LED 画面显示的一致性，给用 户带来更加细腻的画面。硬件设计和软件设计充分考虑用户 部署、系统运行和维护时的场景，使部署更容易，运行更稳 定、维护更高效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集成 8个标准 HUB320 接口，免接 HUB 板。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采用千兆网口，可以连接 PC 端。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支持逐点亮色度校正。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支持接收卡预存画面设置。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支持温度、电压、网线通讯和视频源信号状态检测。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支持配置文件、固件程序版本回读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支持 5Pin 液晶模块</w:t>
            </w:r>
          </w:p>
        </w:tc>
        <w:tc>
          <w:tcPr>
            <w:tcW w:w="220" w:type="pct"/>
            <w:tcBorders>
              <w:top w:val="single" w:color="000000" w:sz="4" w:space="0"/>
              <w:left w:val="single" w:color="000000" w:sz="4" w:space="0"/>
              <w:bottom w:val="single" w:color="000000" w:sz="4" w:space="0"/>
              <w:right w:val="single" w:color="000000" w:sz="4" w:space="0"/>
            </w:tcBorders>
            <w:vAlign w:val="center"/>
          </w:tcPr>
          <w:p w14:paraId="74EC51C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93" w:type="pct"/>
            <w:tcBorders>
              <w:top w:val="single" w:color="000000" w:sz="4" w:space="0"/>
              <w:left w:val="single" w:color="000000" w:sz="4" w:space="0"/>
              <w:bottom w:val="single" w:color="000000" w:sz="4" w:space="0"/>
              <w:right w:val="single" w:color="000000" w:sz="4" w:space="0"/>
            </w:tcBorders>
            <w:vAlign w:val="center"/>
          </w:tcPr>
          <w:p w14:paraId="6886D46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47AA5E1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9FD2AB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6D0EB8D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LED技术服务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3B695F5E">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LED大屏和条幅屏的基础支撑与安装件，包含型材结构、结构施工、人工、培训及相关辅材（包括顶部、侧边和底部边框型材，箱体固定背条（工字形铝型材，辅助支架（承重部分采用钢结构），固定连接件（包含螺钉，连接片），屏体包边装饰等），大屏支撑架距离墙面预留不小于600MM的间距作为散热空间。</w:t>
            </w:r>
          </w:p>
        </w:tc>
        <w:tc>
          <w:tcPr>
            <w:tcW w:w="220" w:type="pct"/>
            <w:tcBorders>
              <w:top w:val="single" w:color="000000" w:sz="4" w:space="0"/>
              <w:left w:val="single" w:color="000000" w:sz="4" w:space="0"/>
              <w:bottom w:val="single" w:color="000000" w:sz="4" w:space="0"/>
              <w:right w:val="single" w:color="000000" w:sz="4" w:space="0"/>
            </w:tcBorders>
            <w:vAlign w:val="center"/>
          </w:tcPr>
          <w:p w14:paraId="0425EE4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93" w:type="pct"/>
            <w:tcBorders>
              <w:top w:val="single" w:color="000000" w:sz="4" w:space="0"/>
              <w:left w:val="single" w:color="000000" w:sz="4" w:space="0"/>
              <w:bottom w:val="single" w:color="000000" w:sz="4" w:space="0"/>
              <w:right w:val="single" w:color="000000" w:sz="4" w:space="0"/>
            </w:tcBorders>
            <w:vAlign w:val="center"/>
          </w:tcPr>
          <w:p w14:paraId="38FE4D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276EB3F7">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1B7E8D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98" w:type="pct"/>
            <w:tcBorders>
              <w:top w:val="single" w:color="000000" w:sz="4" w:space="0"/>
              <w:left w:val="single" w:color="000000" w:sz="4" w:space="0"/>
              <w:bottom w:val="single" w:color="000000" w:sz="4" w:space="0"/>
              <w:right w:val="single" w:color="000000" w:sz="4" w:space="0"/>
            </w:tcBorders>
            <w:vAlign w:val="center"/>
          </w:tcPr>
          <w:p w14:paraId="6DFED99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智能配电系统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6C9876C8">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20KW标准配电柜，具有过压、过流等保护功能，具有远程控制及定时自动开关功能，具有多路输出及延时上电功能，配电系统包括自电源总进线开始的全部电缆。</w:t>
            </w:r>
          </w:p>
        </w:tc>
        <w:tc>
          <w:tcPr>
            <w:tcW w:w="220" w:type="pct"/>
            <w:tcBorders>
              <w:top w:val="single" w:color="000000" w:sz="4" w:space="0"/>
              <w:left w:val="single" w:color="000000" w:sz="4" w:space="0"/>
              <w:bottom w:val="single" w:color="000000" w:sz="4" w:space="0"/>
              <w:right w:val="single" w:color="000000" w:sz="4" w:space="0"/>
            </w:tcBorders>
            <w:vAlign w:val="center"/>
          </w:tcPr>
          <w:p w14:paraId="4D9205B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1DF4EC6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75799369">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92F8DE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98" w:type="pct"/>
            <w:tcBorders>
              <w:top w:val="single" w:color="000000" w:sz="4" w:space="0"/>
              <w:left w:val="single" w:color="000000" w:sz="4" w:space="0"/>
              <w:bottom w:val="single" w:color="000000" w:sz="4" w:space="0"/>
              <w:right w:val="single" w:color="000000" w:sz="4" w:space="0"/>
            </w:tcBorders>
            <w:vAlign w:val="center"/>
          </w:tcPr>
          <w:p w14:paraId="423CCA4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视频处理器</w:t>
            </w:r>
          </w:p>
        </w:tc>
        <w:tc>
          <w:tcPr>
            <w:tcW w:w="3502" w:type="pct"/>
            <w:tcBorders>
              <w:top w:val="single" w:color="000000" w:sz="4" w:space="0"/>
              <w:left w:val="single" w:color="000000" w:sz="4" w:space="0"/>
              <w:bottom w:val="single" w:color="000000" w:sz="4" w:space="0"/>
              <w:right w:val="single" w:color="000000" w:sz="4" w:space="0"/>
            </w:tcBorders>
            <w:vAlign w:val="center"/>
          </w:tcPr>
          <w:p w14:paraId="784A48D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支持2 路 HDMI1.4，1 路 DVI视频输入，1路HDMI环通输出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 HDMI、DVI 输入分辨率自定义调节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支持快捷配屏和高级配屏功能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支持设备间备份设置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支持10路千兆网口，视频带载高达 650 万像素，带载支持最大宽度10240，高度8192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支持带载屏体亮度调节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支持一键将优先级最低的窗口全屏自动缩放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支持3个图层窗口，图层大小和位置可单独调节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支持创建 10 个用户场景作为模板保存，方便使用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支持选择 HDMI 输入源或 DVI 输入源作为同步信号，达到输出的场级同步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支持逐点亮色度校正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前面板配备直观的 LCD 显示界面，清晰的按键灯提示，简化了系统的控制操作</w:t>
            </w:r>
          </w:p>
        </w:tc>
        <w:tc>
          <w:tcPr>
            <w:tcW w:w="220" w:type="pct"/>
            <w:tcBorders>
              <w:top w:val="single" w:color="000000" w:sz="4" w:space="0"/>
              <w:left w:val="single" w:color="000000" w:sz="4" w:space="0"/>
              <w:bottom w:val="single" w:color="000000" w:sz="4" w:space="0"/>
              <w:right w:val="single" w:color="000000" w:sz="4" w:space="0"/>
            </w:tcBorders>
            <w:vAlign w:val="center"/>
          </w:tcPr>
          <w:p w14:paraId="5C51378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3460B2F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35342A78">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C0516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98" w:type="pct"/>
            <w:tcBorders>
              <w:top w:val="single" w:color="000000" w:sz="4" w:space="0"/>
              <w:left w:val="single" w:color="000000" w:sz="4" w:space="0"/>
              <w:bottom w:val="single" w:color="000000" w:sz="4" w:space="0"/>
              <w:right w:val="single" w:color="000000" w:sz="4" w:space="0"/>
            </w:tcBorders>
            <w:vAlign w:val="center"/>
          </w:tcPr>
          <w:p w14:paraId="6402716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LED条幅屏</w:t>
            </w:r>
          </w:p>
        </w:tc>
        <w:tc>
          <w:tcPr>
            <w:tcW w:w="3502" w:type="pct"/>
            <w:tcBorders>
              <w:top w:val="single" w:color="000000" w:sz="4" w:space="0"/>
              <w:left w:val="single" w:color="000000" w:sz="4" w:space="0"/>
              <w:bottom w:val="single" w:color="000000" w:sz="4" w:space="0"/>
              <w:right w:val="single" w:color="000000" w:sz="4" w:space="0"/>
            </w:tcBorders>
            <w:vAlign w:val="center"/>
          </w:tcPr>
          <w:p w14:paraId="453114C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1、屏体尺寸:≥6.4*0.32米</w:t>
            </w:r>
          </w:p>
          <w:p w14:paraId="711350A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2、像素间距：≤4mm</w:t>
            </w:r>
          </w:p>
          <w:p w14:paraId="4C3ACC4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3、像素结构：1R1G1B</w:t>
            </w:r>
          </w:p>
          <w:p w14:paraId="65BB6A9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4、像素密度：62500/m2</w:t>
            </w:r>
          </w:p>
          <w:p w14:paraId="6B98986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5、模组分辨率： 80（W）*40（H）</w:t>
            </w:r>
          </w:p>
          <w:p w14:paraId="50EA309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6、模组尺寸：320mm*160mm</w:t>
            </w:r>
          </w:p>
          <w:p w14:paraId="0438447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7、单点亮度、色度校正</w:t>
            </w:r>
          </w:p>
          <w:p w14:paraId="757BD27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8、白平衡亮度 白平衡亮度</w:t>
            </w:r>
          </w:p>
          <w:p w14:paraId="32DFA3B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9、色温 3200K—9300K可调</w:t>
            </w:r>
          </w:p>
          <w:p w14:paraId="21CE923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10、水平视角  ≥160°</w:t>
            </w:r>
          </w:p>
          <w:p w14:paraId="538531B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11、垂直视角 ≥160°</w:t>
            </w:r>
          </w:p>
          <w:p w14:paraId="048C735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12、可视距离 ≥4米</w:t>
            </w:r>
          </w:p>
          <w:p w14:paraId="42C2FE2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13、亮度均匀性 ≥97%</w:t>
            </w:r>
          </w:p>
          <w:p w14:paraId="4757C16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14、对比度  ≥5000:1</w:t>
            </w:r>
          </w:p>
          <w:p w14:paraId="4AD3896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kern w:val="0"/>
                <w:sz w:val="21"/>
                <w:szCs w:val="21"/>
                <w:highlight w:val="none"/>
                <w:u w:val="none"/>
                <w:lang w:val="en-US" w:eastAsia="zh-CN"/>
              </w:rPr>
            </w:pPr>
            <w:r>
              <w:rPr>
                <w:rFonts w:hint="default" w:ascii="宋体" w:hAnsi="宋体" w:eastAsia="宋体" w:cs="宋体"/>
                <w:i w:val="0"/>
                <w:iCs w:val="0"/>
                <w:color w:val="auto"/>
                <w:kern w:val="0"/>
                <w:sz w:val="21"/>
                <w:szCs w:val="21"/>
                <w:highlight w:val="none"/>
                <w:u w:val="none"/>
                <w:lang w:val="en-US" w:eastAsia="zh-CN"/>
              </w:rPr>
              <w:t>15、信号处理位数 16位*3</w:t>
            </w:r>
          </w:p>
          <w:p w14:paraId="4F5B1ED7">
            <w:pPr>
              <w:widowControl/>
              <w:textAlignment w:val="center"/>
              <w:rPr>
                <w:rFonts w:hint="eastAsia" w:ascii="宋体" w:hAnsi="宋体" w:cs="宋体"/>
                <w:color w:val="auto"/>
                <w:szCs w:val="21"/>
                <w:highlight w:val="none"/>
              </w:rPr>
            </w:pPr>
            <w:r>
              <w:rPr>
                <w:rFonts w:hint="default" w:ascii="宋体" w:hAnsi="宋体" w:eastAsia="宋体" w:cs="宋体"/>
                <w:i w:val="0"/>
                <w:iCs w:val="0"/>
                <w:color w:val="auto"/>
                <w:kern w:val="0"/>
                <w:sz w:val="21"/>
                <w:szCs w:val="21"/>
                <w:highlight w:val="none"/>
                <w:u w:val="none"/>
                <w:lang w:val="en-US" w:eastAsia="zh-CN"/>
              </w:rPr>
              <w:t>16、灰度等级 16Bit</w:t>
            </w:r>
          </w:p>
        </w:tc>
        <w:tc>
          <w:tcPr>
            <w:tcW w:w="220" w:type="pct"/>
            <w:tcBorders>
              <w:top w:val="single" w:color="000000" w:sz="4" w:space="0"/>
              <w:left w:val="single" w:color="000000" w:sz="4" w:space="0"/>
              <w:bottom w:val="single" w:color="000000" w:sz="4" w:space="0"/>
              <w:right w:val="single" w:color="000000" w:sz="4" w:space="0"/>
            </w:tcBorders>
            <w:vAlign w:val="center"/>
          </w:tcPr>
          <w:p w14:paraId="443FFF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0F9C955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r>
      <w:tr w14:paraId="1DC6DE74">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6FB8E3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1.3.1.2</w:t>
            </w:r>
          </w:p>
        </w:tc>
        <w:tc>
          <w:tcPr>
            <w:tcW w:w="598" w:type="pct"/>
            <w:tcBorders>
              <w:top w:val="single" w:color="000000" w:sz="4" w:space="0"/>
              <w:left w:val="single" w:color="000000" w:sz="4" w:space="0"/>
              <w:bottom w:val="single" w:color="000000" w:sz="4" w:space="0"/>
              <w:right w:val="single" w:color="000000" w:sz="4" w:space="0"/>
            </w:tcBorders>
            <w:vAlign w:val="center"/>
          </w:tcPr>
          <w:p w14:paraId="1DBB636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音频扩声系统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2E0BCCA9">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3ACA13E3">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2172F26D">
            <w:pPr>
              <w:jc w:val="center"/>
              <w:rPr>
                <w:rFonts w:hint="eastAsia" w:ascii="宋体" w:hAnsi="宋体" w:cs="宋体"/>
                <w:color w:val="auto"/>
                <w:szCs w:val="21"/>
                <w:highlight w:val="none"/>
              </w:rPr>
            </w:pPr>
          </w:p>
        </w:tc>
      </w:tr>
      <w:tr w14:paraId="12AF1988">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0FF884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1EC49C4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音箱</w:t>
            </w:r>
          </w:p>
        </w:tc>
        <w:tc>
          <w:tcPr>
            <w:tcW w:w="3502" w:type="pct"/>
            <w:tcBorders>
              <w:top w:val="single" w:color="000000" w:sz="4" w:space="0"/>
              <w:left w:val="single" w:color="000000" w:sz="4" w:space="0"/>
              <w:bottom w:val="single" w:color="000000" w:sz="4" w:space="0"/>
              <w:right w:val="single" w:color="000000" w:sz="4" w:space="0"/>
            </w:tcBorders>
            <w:vAlign w:val="center"/>
          </w:tcPr>
          <w:p w14:paraId="3B37B35B">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1、产品由铝壳、铝网、高音单元*1、低音单元*4等组合成，喇叭单元：4.5”×4，1”×1 ；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2、产品应用于会议室，演艺厅等场所使用，声音清晰明亮，低频层次丰富；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3、产品颜色 黑/白 ；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4、额定功率：120W ，额定阻抗：8Ω ；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5、灵敏度（1m,1W):91dB±2dB  ；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6、最大声压级：112±2dB  ；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7、有效频响范围：95Hz-20kHz ；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、产品配有安装支架方便安装。</w:t>
            </w:r>
          </w:p>
        </w:tc>
        <w:tc>
          <w:tcPr>
            <w:tcW w:w="220" w:type="pct"/>
            <w:tcBorders>
              <w:top w:val="single" w:color="000000" w:sz="4" w:space="0"/>
              <w:left w:val="single" w:color="000000" w:sz="4" w:space="0"/>
              <w:bottom w:val="single" w:color="000000" w:sz="4" w:space="0"/>
              <w:right w:val="single" w:color="000000" w:sz="4" w:space="0"/>
            </w:tcBorders>
            <w:vAlign w:val="center"/>
          </w:tcPr>
          <w:p w14:paraId="57E8EB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93" w:type="pct"/>
            <w:tcBorders>
              <w:top w:val="single" w:color="000000" w:sz="4" w:space="0"/>
              <w:left w:val="single" w:color="000000" w:sz="4" w:space="0"/>
              <w:bottom w:val="single" w:color="000000" w:sz="4" w:space="0"/>
              <w:right w:val="single" w:color="000000" w:sz="4" w:space="0"/>
            </w:tcBorders>
            <w:vAlign w:val="center"/>
          </w:tcPr>
          <w:p w14:paraId="41E2F56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r>
      <w:tr w14:paraId="615D0569">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59D343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26B372D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功率放大器</w:t>
            </w:r>
          </w:p>
        </w:tc>
        <w:tc>
          <w:tcPr>
            <w:tcW w:w="3502" w:type="pct"/>
            <w:tcBorders>
              <w:top w:val="single" w:color="000000" w:sz="4" w:space="0"/>
              <w:left w:val="single" w:color="000000" w:sz="4" w:space="0"/>
              <w:bottom w:val="single" w:color="000000" w:sz="4" w:space="0"/>
              <w:right w:val="single" w:color="000000" w:sz="4" w:space="0"/>
            </w:tcBorders>
            <w:vAlign w:val="center"/>
          </w:tcPr>
          <w:p w14:paraId="0CCCAC7E">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1、双声道立体声专业数字功率放大器,全系列统铝合金面板；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2、有双声道、单声道和BTL桥接三种输出方式供选择，输出方式开关选择；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3、每声道音量可调；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4、立体声工作最小负载阻抗为4Ω，BTL工作最小负载阻抗为8Ω；动态功率强劲，可实现低阻抗驱动。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5、全系列配置XLR平行输入输出接口，更适合专业设备的应用习惯；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6、小信号的时候不会出现交越失真；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7、内置先进的电压压限，可以避免输入电压出现异常或过大导致功率输出异常，出现削波失真影响听音体验以及危害音箱的高音单元。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8、中高频比模拟功放更清晰，非常适合用于会议等多种不同场合的语言传输和扩声；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 xml:space="preserve">、各通道均配备LED工作状态指示；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 xml:space="preserve">、输入灵敏度：≤1000mV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11</w:t>
            </w:r>
            <w:r>
              <w:rPr>
                <w:rFonts w:hint="eastAsia" w:ascii="宋体" w:hAnsi="宋体" w:cs="宋体"/>
                <w:color w:val="auto"/>
                <w:kern w:val="0"/>
                <w:szCs w:val="21"/>
                <w:highlight w:val="none"/>
                <w:lang w:bidi="ar"/>
              </w:rPr>
              <w:t xml:space="preserve">、信噪比：≥95dB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12</w:t>
            </w:r>
            <w:r>
              <w:rPr>
                <w:rFonts w:hint="eastAsia" w:ascii="宋体" w:hAnsi="宋体" w:cs="宋体"/>
                <w:color w:val="auto"/>
                <w:kern w:val="0"/>
                <w:szCs w:val="21"/>
                <w:highlight w:val="none"/>
                <w:lang w:bidi="ar"/>
              </w:rPr>
              <w:t xml:space="preserve">、频响：20Hz-20kHz（±1dB）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13</w:t>
            </w:r>
            <w:r>
              <w:rPr>
                <w:rFonts w:hint="eastAsia" w:ascii="宋体" w:hAnsi="宋体" w:cs="宋体"/>
                <w:color w:val="auto"/>
                <w:kern w:val="0"/>
                <w:szCs w:val="21"/>
                <w:highlight w:val="none"/>
                <w:lang w:bidi="ar"/>
              </w:rPr>
              <w:t xml:space="preserve">、通道串扰：≤70dB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14</w:t>
            </w:r>
            <w:r>
              <w:rPr>
                <w:rFonts w:hint="eastAsia" w:ascii="宋体" w:hAnsi="宋体" w:cs="宋体"/>
                <w:color w:val="auto"/>
                <w:kern w:val="0"/>
                <w:szCs w:val="21"/>
                <w:highlight w:val="none"/>
                <w:lang w:bidi="ar"/>
              </w:rPr>
              <w:t xml:space="preserve">、转换速率：≥15V/uS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15</w:t>
            </w:r>
            <w:r>
              <w:rPr>
                <w:rFonts w:hint="eastAsia" w:ascii="宋体" w:hAnsi="宋体" w:cs="宋体"/>
                <w:color w:val="auto"/>
                <w:kern w:val="0"/>
                <w:szCs w:val="21"/>
                <w:highlight w:val="none"/>
                <w:lang w:bidi="ar"/>
              </w:rPr>
              <w:t xml:space="preserve">、阻尼系数/8Ω@1Khz： ≥230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16</w:t>
            </w:r>
            <w:r>
              <w:rPr>
                <w:rFonts w:hint="eastAsia" w:ascii="宋体" w:hAnsi="宋体" w:cs="宋体"/>
                <w:color w:val="auto"/>
                <w:kern w:val="0"/>
                <w:szCs w:val="21"/>
                <w:highlight w:val="none"/>
                <w:lang w:bidi="ar"/>
              </w:rPr>
              <w:t xml:space="preserve">、总谐波失真：≤0.3% （1kHz，正常工作条件）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17</w:t>
            </w:r>
            <w:r>
              <w:rPr>
                <w:rFonts w:hint="eastAsia" w:ascii="宋体" w:hAnsi="宋体" w:cs="宋体"/>
                <w:color w:val="auto"/>
                <w:kern w:val="0"/>
                <w:szCs w:val="21"/>
                <w:highlight w:val="none"/>
                <w:lang w:bidi="ar"/>
              </w:rPr>
              <w:t>、额定功率：2X230W@8Ω 2X350W@4Ω 700W@桥接8Ω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18</w:t>
            </w:r>
            <w:r>
              <w:rPr>
                <w:rFonts w:hint="eastAsia" w:ascii="宋体" w:hAnsi="宋体" w:cs="宋体"/>
                <w:color w:val="auto"/>
                <w:kern w:val="0"/>
                <w:szCs w:val="21"/>
                <w:highlight w:val="none"/>
                <w:lang w:bidi="ar"/>
              </w:rPr>
              <w:t xml:space="preserve">、指示灯：“电源”, “削顶”, “信号”,“保护”,“温度”     保护：超温、直流、短路、连续信号限制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19</w:t>
            </w:r>
            <w:r>
              <w:rPr>
                <w:rFonts w:hint="eastAsia" w:ascii="宋体" w:hAnsi="宋体" w:cs="宋体"/>
                <w:color w:val="auto"/>
                <w:kern w:val="0"/>
                <w:szCs w:val="21"/>
                <w:highlight w:val="none"/>
                <w:lang w:bidi="ar"/>
              </w:rPr>
              <w:t>、电源：AC220/50-60Hz</w:t>
            </w:r>
          </w:p>
        </w:tc>
        <w:tc>
          <w:tcPr>
            <w:tcW w:w="220" w:type="pct"/>
            <w:tcBorders>
              <w:top w:val="single" w:color="000000" w:sz="4" w:space="0"/>
              <w:left w:val="single" w:color="000000" w:sz="4" w:space="0"/>
              <w:bottom w:val="single" w:color="000000" w:sz="4" w:space="0"/>
              <w:right w:val="single" w:color="000000" w:sz="4" w:space="0"/>
            </w:tcBorders>
            <w:vAlign w:val="center"/>
          </w:tcPr>
          <w:p w14:paraId="7766206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2D5765E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389DECF0">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AF278E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73F3B64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模拟调音台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1E6A8BF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1、10路XLR平衡单声道输入+2路立体声输入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2、每通道3段均衡调节，MUTE静音开关，PFL耳机开关，平滑60MM行程推子器，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3、2编组输出 +2组AUX输出（包括FX),</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4、1组返回，1组监听耳机输出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5、内置48V幻象电源供电；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6、24种DSP数字效果器,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7、内置USB音频播放MP3；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8、USB录音、也可连电脑播放音乐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9、内置蓝牙接收模块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10、LED大显示屏清淅显示播放状态;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11、十段三色电平灯显示信号状态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12、XLR平衡输入话放噪声极低，超低噪音线路设计，动态余量大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13、适用全球供电电压功率30瓦；使用灵活。具有无噪声、瞬间反应好、电耗低的特性</w:t>
            </w:r>
          </w:p>
        </w:tc>
        <w:tc>
          <w:tcPr>
            <w:tcW w:w="220" w:type="pct"/>
            <w:tcBorders>
              <w:top w:val="single" w:color="000000" w:sz="4" w:space="0"/>
              <w:left w:val="single" w:color="000000" w:sz="4" w:space="0"/>
              <w:bottom w:val="single" w:color="000000" w:sz="4" w:space="0"/>
              <w:right w:val="single" w:color="000000" w:sz="4" w:space="0"/>
            </w:tcBorders>
            <w:vAlign w:val="center"/>
          </w:tcPr>
          <w:p w14:paraId="6552A8F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0F8C7DC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7DFEB7EE">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6BBA31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98" w:type="pct"/>
            <w:tcBorders>
              <w:top w:val="single" w:color="000000" w:sz="4" w:space="0"/>
              <w:left w:val="single" w:color="000000" w:sz="4" w:space="0"/>
              <w:bottom w:val="single" w:color="000000" w:sz="4" w:space="0"/>
              <w:right w:val="single" w:color="000000" w:sz="4" w:space="0"/>
            </w:tcBorders>
            <w:vAlign w:val="center"/>
          </w:tcPr>
          <w:p w14:paraId="3E172D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反馈抑制器</w:t>
            </w:r>
          </w:p>
        </w:tc>
        <w:tc>
          <w:tcPr>
            <w:tcW w:w="3502" w:type="pct"/>
            <w:tcBorders>
              <w:top w:val="single" w:color="000000" w:sz="4" w:space="0"/>
              <w:left w:val="single" w:color="000000" w:sz="4" w:space="0"/>
              <w:bottom w:val="single" w:color="000000" w:sz="4" w:space="0"/>
              <w:right w:val="single" w:color="000000" w:sz="4" w:space="0"/>
            </w:tcBorders>
            <w:vAlign w:val="center"/>
          </w:tcPr>
          <w:p w14:paraId="4220A61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1、支持卡侬(XLR)平衡输入输出，单端(RCA)非平衡输入输出，2路线路/话筒输入，2路线路/话筒输出；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2、内置高端高速浮点数字信号处理器和自适应反馈陷波处理算法技术；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3、面板带有4*8段实时电平显示指示灯，精准显示输入/输出信号电平的大小；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4、面板带有通道静音，旁路和滤波器重置的快速按钮；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5、每路输入带15个自适应陷波滤波器，可按需配置动态/固定滤波器数量；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6、TCP/IP控制协议，连接PC电脑进行网页端进行各种详细参数的控制调节；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7、支持多档位模拟音量调节(-18dBV ~ 12dBV)，最大输入电平(1%失真)10V，信噪比(0dBv)≥93dB；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8、设备供电范围：AC100V---240V  50/60 Hz，功耗≤10W；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9、支持卡侬(XLR)平衡输入输出，单端(RCA)非平衡输入输出，2路线路/话筒输入，2路线路/话筒输出；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10、内置高端高速浮点数字信号处理器和自适应反馈陷波处理算法技术；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11、面板带有4*8段实时电平显示指示灯，精准显示输入/输出信号电平的大小；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12、面板带有通道静音，旁路和滤波器重置的快速按钮；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13、每路输入带15个自适应陷波滤波器，可按需配置动态/固定滤波器数量；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14、TCP/IP控制协议，连接PC电脑进行网页端进行各种详细参数的控制调节；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15、支持多档位模拟音量调节(-18dBV ~ 12dBV)，最大输入电平(1%失真)10V，信噪比(0dBv)≥93dB；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16、设备供电范围：AC100V---240V  50/60 Hz，功耗≤10W；</w:t>
            </w:r>
          </w:p>
        </w:tc>
        <w:tc>
          <w:tcPr>
            <w:tcW w:w="220" w:type="pct"/>
            <w:tcBorders>
              <w:top w:val="single" w:color="000000" w:sz="4" w:space="0"/>
              <w:left w:val="single" w:color="000000" w:sz="4" w:space="0"/>
              <w:bottom w:val="single" w:color="000000" w:sz="4" w:space="0"/>
              <w:right w:val="single" w:color="000000" w:sz="4" w:space="0"/>
            </w:tcBorders>
            <w:vAlign w:val="center"/>
          </w:tcPr>
          <w:p w14:paraId="3B10C7B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3F23001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70396C60">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5B7BF9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98" w:type="pct"/>
            <w:tcBorders>
              <w:top w:val="single" w:color="000000" w:sz="4" w:space="0"/>
              <w:left w:val="single" w:color="000000" w:sz="4" w:space="0"/>
              <w:bottom w:val="single" w:color="000000" w:sz="4" w:space="0"/>
              <w:right w:val="single" w:color="000000" w:sz="4" w:space="0"/>
            </w:tcBorders>
            <w:vAlign w:val="center"/>
          </w:tcPr>
          <w:p w14:paraId="507424A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音频处理器</w:t>
            </w:r>
          </w:p>
        </w:tc>
        <w:tc>
          <w:tcPr>
            <w:tcW w:w="3502" w:type="pct"/>
            <w:tcBorders>
              <w:top w:val="single" w:color="000000" w:sz="4" w:space="0"/>
              <w:left w:val="single" w:color="000000" w:sz="4" w:space="0"/>
              <w:bottom w:val="single" w:color="000000" w:sz="4" w:space="0"/>
              <w:right w:val="single" w:color="000000" w:sz="4" w:space="0"/>
            </w:tcBorders>
            <w:vAlign w:val="center"/>
          </w:tcPr>
          <w:p w14:paraId="27909072">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1、4路模拟输入8路模拟输出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2、支持麦克风输入和线路输入自由切换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3、每路输入带48V幻象电源，通过网页开关控制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4、输入电平设置、信号发生器、噪声门、延时、压限器、限幅器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5、每路输入带反馈抑制功能开关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6、矩阵混音功能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7、TCP/IP，网页端进行各种参数调节控制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8、RS-232、RS-485、GPIO接口提供完善的控制功能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9、输入5段EQ可调，输出31段EQ可调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10、多种模式场景快速切换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11、供电范围：AC100V---240V  50/60 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、工作温度：-20℃--80℃</w:t>
            </w:r>
          </w:p>
        </w:tc>
        <w:tc>
          <w:tcPr>
            <w:tcW w:w="220" w:type="pct"/>
            <w:tcBorders>
              <w:top w:val="single" w:color="000000" w:sz="4" w:space="0"/>
              <w:left w:val="single" w:color="000000" w:sz="4" w:space="0"/>
              <w:bottom w:val="single" w:color="000000" w:sz="4" w:space="0"/>
              <w:right w:val="single" w:color="000000" w:sz="4" w:space="0"/>
            </w:tcBorders>
            <w:vAlign w:val="center"/>
          </w:tcPr>
          <w:p w14:paraId="11F8221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76C6860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69682676">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6E539C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98" w:type="pct"/>
            <w:tcBorders>
              <w:top w:val="single" w:color="000000" w:sz="4" w:space="0"/>
              <w:left w:val="single" w:color="000000" w:sz="4" w:space="0"/>
              <w:bottom w:val="single" w:color="000000" w:sz="4" w:space="0"/>
              <w:right w:val="single" w:color="000000" w:sz="4" w:space="0"/>
            </w:tcBorders>
            <w:vAlign w:val="center"/>
          </w:tcPr>
          <w:p w14:paraId="02DF436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电源时序器</w:t>
            </w:r>
          </w:p>
        </w:tc>
        <w:tc>
          <w:tcPr>
            <w:tcW w:w="3502" w:type="pct"/>
            <w:tcBorders>
              <w:top w:val="single" w:color="000000" w:sz="4" w:space="0"/>
              <w:left w:val="single" w:color="000000" w:sz="4" w:space="0"/>
              <w:bottom w:val="single" w:color="000000" w:sz="4" w:space="0"/>
              <w:right w:val="single" w:color="000000" w:sz="4" w:space="0"/>
            </w:tcBorders>
            <w:vAlign w:val="center"/>
          </w:tcPr>
          <w:p w14:paraId="2ED5A055">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独立的八路大功率电源输出，万能插座，可满足多种三极的电源插座，如国标插座、美标插座以及欧标插座等；还可满足二极欧式的圆头插座；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单路最大输出为 10A，总输入电流容量 16A；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八路通道开关状态可由面板控制操作和显示；通过面板一键开关，可时序关启通道，实现时序功能；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开机时由前级到后级按顺序逐个启动各类设备，关机时由后级到前级逐个关闭各个设备，有效的统一管理控制用电设备，确保整个系统的稳定运行；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可广泛用于多媒体教室、多功能厅、会议室、投影拼接、视频会议、监控中心、楼宇控制、管理指挥中心等领域。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性能规格：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电源输出：8路，万能插座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单路最大负荷：10A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控制方式：手动顺序启动、外接短路信号触发启动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电源容量：总容量220V，16A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输入电源：AC220/50Hz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时序间隔：0.4-0.5s</w:t>
            </w:r>
          </w:p>
        </w:tc>
        <w:tc>
          <w:tcPr>
            <w:tcW w:w="220" w:type="pct"/>
            <w:tcBorders>
              <w:top w:val="single" w:color="000000" w:sz="4" w:space="0"/>
              <w:left w:val="single" w:color="000000" w:sz="4" w:space="0"/>
              <w:bottom w:val="single" w:color="000000" w:sz="4" w:space="0"/>
              <w:right w:val="single" w:color="000000" w:sz="4" w:space="0"/>
            </w:tcBorders>
            <w:vAlign w:val="center"/>
          </w:tcPr>
          <w:p w14:paraId="40FB20B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3DE70F0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04A1992D">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60B05F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598" w:type="pct"/>
            <w:tcBorders>
              <w:top w:val="single" w:color="000000" w:sz="4" w:space="0"/>
              <w:left w:val="single" w:color="000000" w:sz="4" w:space="0"/>
              <w:bottom w:val="single" w:color="000000" w:sz="4" w:space="0"/>
              <w:right w:val="single" w:color="000000" w:sz="4" w:space="0"/>
            </w:tcBorders>
            <w:vAlign w:val="center"/>
          </w:tcPr>
          <w:p w14:paraId="4844FB6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无线手持话筒</w:t>
            </w:r>
          </w:p>
        </w:tc>
        <w:tc>
          <w:tcPr>
            <w:tcW w:w="3502" w:type="pct"/>
            <w:tcBorders>
              <w:top w:val="single" w:color="000000" w:sz="4" w:space="0"/>
              <w:left w:val="single" w:color="000000" w:sz="4" w:space="0"/>
              <w:bottom w:val="single" w:color="000000" w:sz="4" w:space="0"/>
              <w:right w:val="single" w:color="000000" w:sz="4" w:space="0"/>
            </w:tcBorders>
            <w:vAlign w:val="center"/>
          </w:tcPr>
          <w:p w14:paraId="7962AE7C">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1、波段范围（UHF）：632MHz～695MHz；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2、PLL双频道锁相环回路设计；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3、UHF200频道PLL数字锁定自动通讯功能；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4、显示屏显示功能(显示频率、频道、静噪、电平等)；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5、每通道有音量调节功能；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6、AF输出（采用“XLR”型插座分别输出，混合输出）；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7、发射功率调节，高功率14dBm; 低功率6dBm；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8、发射机采用2节5号1.5V碱性电池；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9、动态范围：88dB;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10、最大频偏：±45KHz；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11、频率响应：120Hz-16KHz(±3dB)；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12、综合信噪比：&gt;73dB；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13、综合失真度：≤1%；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14、发射机工作时间8小时以上；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15、含1台一拖二接收机及2只手持式话筒.</w:t>
            </w:r>
          </w:p>
        </w:tc>
        <w:tc>
          <w:tcPr>
            <w:tcW w:w="220" w:type="pct"/>
            <w:tcBorders>
              <w:top w:val="single" w:color="000000" w:sz="4" w:space="0"/>
              <w:left w:val="single" w:color="000000" w:sz="4" w:space="0"/>
              <w:bottom w:val="single" w:color="000000" w:sz="4" w:space="0"/>
              <w:right w:val="single" w:color="000000" w:sz="4" w:space="0"/>
            </w:tcBorders>
            <w:vAlign w:val="center"/>
          </w:tcPr>
          <w:p w14:paraId="46EE7DA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7222A50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r>
      <w:tr w14:paraId="2549A1DC">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105FC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598" w:type="pct"/>
            <w:tcBorders>
              <w:top w:val="single" w:color="000000" w:sz="4" w:space="0"/>
              <w:left w:val="single" w:color="000000" w:sz="4" w:space="0"/>
              <w:bottom w:val="single" w:color="000000" w:sz="4" w:space="0"/>
              <w:right w:val="single" w:color="000000" w:sz="4" w:space="0"/>
            </w:tcBorders>
            <w:vAlign w:val="center"/>
          </w:tcPr>
          <w:p w14:paraId="3710D66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桌面式发言主席单元</w:t>
            </w:r>
          </w:p>
        </w:tc>
        <w:tc>
          <w:tcPr>
            <w:tcW w:w="3502" w:type="pct"/>
            <w:tcBorders>
              <w:top w:val="single" w:color="000000" w:sz="4" w:space="0"/>
              <w:left w:val="single" w:color="000000" w:sz="4" w:space="0"/>
              <w:bottom w:val="single" w:color="000000" w:sz="4" w:space="0"/>
              <w:right w:val="single" w:color="000000" w:sz="4" w:space="0"/>
            </w:tcBorders>
            <w:vAlign w:val="center"/>
          </w:tcPr>
          <w:p w14:paraId="2EC78A88">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1、符合IEC60914国际标准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2、纯发言会议单元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3、自带2米专用8芯DIN高密线缆，带一个航空公头插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4、驻极体心型指向性电容式拾音器，带双色指示灯环（红色/绿色）。发言为红色，申请发言为绿色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5、采用旋钮式插头话筒杆，迷你型麦克风，带有麦克风防风罩，话筒杆长度有315mm、415mm、可选，有黑色、银白色可选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6、话筒杆在休会期间可以拆卸，方便设备维护和保存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7、具有内磁式高保真扬声器，打开话筒后自动静音，不易产生啸叫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8、3.5mm的立体声耳机插口可连接耳机，耳机音量可调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9、超强的抗手机干扰能力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10、具有话筒开关键，主席单元有主席优先键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11、具有按键签到功能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12、每个会议单元都有独一无二的ID编号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13、配合摄像头，使用会议控制主机或PC控制软件设置后可进行摄像自动跟踪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14、配合控制主机，单元有自我检测功能。检测的项有：按键、话筒、LED指示灯和内置扬声器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15、单元为无源设备，由系统主机供电，输入电压为24V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16、具有自动调节均衡功能，能抑制啸叫，当话筒打开时，本机扬声器自动关闭，防止声音回输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17、话筒开启时具有提示音，可设置提示音的开关状态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18、通过主机设置，主席单元具有优先权功能（可将所有代表单元静音或关闭）、讲台模式（主席单元始终处于打开状态）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19、主席单元具有批准代表的申请发言功能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20、主席单元不受发言人数限制可自由开启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21、主席单元具有全权控制会议秩序的优先功能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22、主席单元的连接位置不受限制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23、"手拉手"或"T型"、"+型"连接模式</w:t>
            </w:r>
          </w:p>
        </w:tc>
        <w:tc>
          <w:tcPr>
            <w:tcW w:w="220" w:type="pct"/>
            <w:tcBorders>
              <w:top w:val="single" w:color="000000" w:sz="4" w:space="0"/>
              <w:left w:val="single" w:color="000000" w:sz="4" w:space="0"/>
              <w:bottom w:val="single" w:color="000000" w:sz="4" w:space="0"/>
              <w:right w:val="single" w:color="000000" w:sz="4" w:space="0"/>
            </w:tcBorders>
            <w:vAlign w:val="center"/>
          </w:tcPr>
          <w:p w14:paraId="6EF3169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28738C2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r>
      <w:tr w14:paraId="6736FF75">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258D3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598" w:type="pct"/>
            <w:tcBorders>
              <w:top w:val="single" w:color="000000" w:sz="4" w:space="0"/>
              <w:left w:val="single" w:color="000000" w:sz="4" w:space="0"/>
              <w:bottom w:val="single" w:color="000000" w:sz="4" w:space="0"/>
              <w:right w:val="single" w:color="000000" w:sz="4" w:space="0"/>
            </w:tcBorders>
            <w:vAlign w:val="center"/>
          </w:tcPr>
          <w:p w14:paraId="751660C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桌面式发言代表单元</w:t>
            </w:r>
          </w:p>
        </w:tc>
        <w:tc>
          <w:tcPr>
            <w:tcW w:w="3502" w:type="pct"/>
            <w:tcBorders>
              <w:top w:val="single" w:color="000000" w:sz="4" w:space="0"/>
              <w:left w:val="single" w:color="000000" w:sz="4" w:space="0"/>
              <w:bottom w:val="single" w:color="000000" w:sz="4" w:space="0"/>
              <w:right w:val="single" w:color="000000" w:sz="4" w:space="0"/>
            </w:tcBorders>
            <w:vAlign w:val="center"/>
          </w:tcPr>
          <w:p w14:paraId="126BD3BB">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1、符合IEC60914国际标准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2、纯发言会议单元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3、自带2米专用8芯DIN高密线缆，带一个航空公头插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4、驻极体心型指向性电容式拾音器，带双色指示灯环（红色/绿色）。发言为红色，申请发言为绿色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5、采用旋钮式插头话筒杆，迷你型麦克风，带有麦克风防风罩，话筒杆长度有315mm、415mm、可选，有黑色、银白色可选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6、话筒杆在休会期间可以拆卸，方便设备维护和保存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7、具有内磁式高保真扬声器，打开话筒后自动静音，不易产生啸叫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8、3.5mm的立体声耳机插口可连接耳机，耳机音量可调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9、超强的抗手机干扰能力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10、具有话筒开关键，主席单元有主席优先键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11、具有按键签到功能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12、每个会议单元都有独一无二的ID编号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13、配合摄像头，使用会议控制主机或PC控制软件设置后可进行摄像自动跟踪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14、配合控制主机，单元有自我检测功能。检测的项有：按键、话筒、LED指示灯和内置扬声器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15、单元为无源设备，由系统主机供电，输入电压为24V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16、具有自动调节均衡功能，能抑制啸叫，当话筒打开时，本机扬声器自动关闭，防止声音回输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17、话筒开启时具有提示音，可设置提示音的开关状态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18、通过主机设置，主席单元具有优先权功能（可将所有代表单元静音或关闭）、讲台模式（主席单元始终处于打开状态）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19、主席单元具有批准代表的申请发言功能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20、主席单元不受发言人数限制可自由开启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21、主席单元具有全权控制会议秩序的优先功能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22、主席单元的连接位置不受限制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23、"手拉手"或"T型"、"+型"连接模式</w:t>
            </w:r>
          </w:p>
        </w:tc>
        <w:tc>
          <w:tcPr>
            <w:tcW w:w="220" w:type="pct"/>
            <w:tcBorders>
              <w:top w:val="single" w:color="000000" w:sz="4" w:space="0"/>
              <w:left w:val="single" w:color="000000" w:sz="4" w:space="0"/>
              <w:bottom w:val="single" w:color="000000" w:sz="4" w:space="0"/>
              <w:right w:val="single" w:color="000000" w:sz="4" w:space="0"/>
            </w:tcBorders>
            <w:vAlign w:val="center"/>
          </w:tcPr>
          <w:p w14:paraId="13B978D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93" w:type="pct"/>
            <w:tcBorders>
              <w:top w:val="single" w:color="000000" w:sz="4" w:space="0"/>
              <w:left w:val="single" w:color="000000" w:sz="4" w:space="0"/>
              <w:bottom w:val="single" w:color="000000" w:sz="4" w:space="0"/>
              <w:right w:val="single" w:color="000000" w:sz="4" w:space="0"/>
            </w:tcBorders>
            <w:vAlign w:val="center"/>
          </w:tcPr>
          <w:p w14:paraId="647F9F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只</w:t>
            </w:r>
          </w:p>
        </w:tc>
      </w:tr>
      <w:tr w14:paraId="33B1F95A">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703A3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98" w:type="pct"/>
            <w:tcBorders>
              <w:top w:val="single" w:color="000000" w:sz="4" w:space="0"/>
              <w:left w:val="single" w:color="000000" w:sz="4" w:space="0"/>
              <w:bottom w:val="single" w:color="000000" w:sz="4" w:space="0"/>
              <w:right w:val="single" w:color="000000" w:sz="4" w:space="0"/>
            </w:tcBorders>
            <w:vAlign w:val="center"/>
          </w:tcPr>
          <w:p w14:paraId="32E7F83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会议专用延长线</w:t>
            </w:r>
          </w:p>
        </w:tc>
        <w:tc>
          <w:tcPr>
            <w:tcW w:w="3502" w:type="pct"/>
            <w:tcBorders>
              <w:top w:val="single" w:color="000000" w:sz="4" w:space="0"/>
              <w:left w:val="single" w:color="000000" w:sz="4" w:space="0"/>
              <w:bottom w:val="single" w:color="000000" w:sz="4" w:space="0"/>
              <w:right w:val="single" w:color="000000" w:sz="4" w:space="0"/>
            </w:tcBorders>
            <w:vAlign w:val="center"/>
          </w:tcPr>
          <w:p w14:paraId="5114763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1、用于数字会议主机与会议单元或会议单元与会议单元之间的连接；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2、20米8芯航空安装线缆(一公一母接头) ，母座一端具备锁扣功能，避免松动。</w:t>
            </w:r>
          </w:p>
        </w:tc>
        <w:tc>
          <w:tcPr>
            <w:tcW w:w="220" w:type="pct"/>
            <w:tcBorders>
              <w:top w:val="single" w:color="000000" w:sz="4" w:space="0"/>
              <w:left w:val="single" w:color="000000" w:sz="4" w:space="0"/>
              <w:bottom w:val="single" w:color="000000" w:sz="4" w:space="0"/>
              <w:right w:val="single" w:color="000000" w:sz="4" w:space="0"/>
            </w:tcBorders>
            <w:vAlign w:val="center"/>
          </w:tcPr>
          <w:p w14:paraId="20DA2BE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0DA4977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7BEC1814">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B5E76B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598" w:type="pct"/>
            <w:tcBorders>
              <w:top w:val="single" w:color="000000" w:sz="4" w:space="0"/>
              <w:left w:val="single" w:color="000000" w:sz="4" w:space="0"/>
              <w:bottom w:val="single" w:color="000000" w:sz="4" w:space="0"/>
              <w:right w:val="single" w:color="000000" w:sz="4" w:space="0"/>
            </w:tcBorders>
            <w:vAlign w:val="center"/>
          </w:tcPr>
          <w:p w14:paraId="776FE2C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数字会议主机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085E0051">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1、符合IEC 60914 国际标准；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2、会议控制主机可连接128台会议单元，通过会议扩展主机，一套会议系统最多可接入4096台会议单元；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3、8芯航空插头连接，“手拉手”连接方式；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4、具有同时发言人数限制（1/2/3/4/5/6）设置功能；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5、具有投票表决，发言限制等数据管理功能；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6、4.3寸TFT真彩屏/触摸屏：图形化界面设计，所有的功能项及设置操作信息以及单元工作的基本信息一目了然，设计美观时尚；触摸屏操控方式,让人机交互极具人性化；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7、可以调整系统的时间和屏幕显示点亮时间，实现节能运行；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8、系统显示字幕中/英文两种语言可选择；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9、可设定VIP代表发言单元，VIP单元在已开启的话筒总数不超过20台的情况下可以自由开启而不受会议模式限制，可设置30台VIP单元；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10、支持FIFO、NORMAL、VOICE、FREE、APPLY五种会议模式；</w:t>
            </w:r>
          </w:p>
        </w:tc>
        <w:tc>
          <w:tcPr>
            <w:tcW w:w="220" w:type="pct"/>
            <w:tcBorders>
              <w:top w:val="single" w:color="000000" w:sz="4" w:space="0"/>
              <w:left w:val="single" w:color="000000" w:sz="4" w:space="0"/>
              <w:bottom w:val="single" w:color="000000" w:sz="4" w:space="0"/>
              <w:right w:val="single" w:color="000000" w:sz="4" w:space="0"/>
            </w:tcBorders>
            <w:vAlign w:val="center"/>
          </w:tcPr>
          <w:p w14:paraId="33246CE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0C0837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29A9495C">
        <w:tblPrEx>
          <w:tblCellMar>
            <w:top w:w="0" w:type="dxa"/>
            <w:left w:w="108" w:type="dxa"/>
            <w:bottom w:w="0" w:type="dxa"/>
            <w:right w:w="108" w:type="dxa"/>
          </w:tblCellMar>
        </w:tblPrEx>
        <w:trPr>
          <w:trHeight w:val="385"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49499F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598" w:type="pct"/>
            <w:tcBorders>
              <w:top w:val="single" w:color="000000" w:sz="4" w:space="0"/>
              <w:left w:val="single" w:color="000000" w:sz="4" w:space="0"/>
              <w:bottom w:val="single" w:color="000000" w:sz="4" w:space="0"/>
              <w:right w:val="single" w:color="000000" w:sz="4" w:space="0"/>
            </w:tcBorders>
            <w:vAlign w:val="center"/>
          </w:tcPr>
          <w:p w14:paraId="63A4AD6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机柜</w:t>
            </w:r>
          </w:p>
        </w:tc>
        <w:tc>
          <w:tcPr>
            <w:tcW w:w="3502" w:type="pct"/>
            <w:tcBorders>
              <w:top w:val="single" w:color="000000" w:sz="4" w:space="0"/>
              <w:left w:val="single" w:color="000000" w:sz="4" w:space="0"/>
              <w:bottom w:val="single" w:color="000000" w:sz="4" w:space="0"/>
              <w:right w:val="single" w:color="000000" w:sz="4" w:space="0"/>
            </w:tcBorders>
            <w:vAlign w:val="center"/>
          </w:tcPr>
          <w:p w14:paraId="4A1C971A">
            <w:pPr>
              <w:widowControl/>
              <w:numPr>
                <w:ilvl w:val="0"/>
                <w:numId w:val="5"/>
              </w:numP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bidi="ar"/>
              </w:rPr>
              <w:t>机柜规格：≥36U;</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2、机柜采用冷轧钢板，钢板经脱脂、酸洗、磷化和静电喷塑；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3、前部网孔门,后部网孔门；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4、机柜可以满足顶部桥架走线和底部地板下走线两种方式；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5、机柜立柱可调节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6、机柜可同时安装脚轮和支脚；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7、机柜具有可方便拆卸的左右侧门和前后门；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8、配置风扇、八位三孔电源插座、浮动螺母、脚轮和支撑脚；</w:t>
            </w:r>
          </w:p>
        </w:tc>
        <w:tc>
          <w:tcPr>
            <w:tcW w:w="220" w:type="pct"/>
            <w:tcBorders>
              <w:top w:val="single" w:color="000000" w:sz="4" w:space="0"/>
              <w:left w:val="single" w:color="000000" w:sz="4" w:space="0"/>
              <w:bottom w:val="single" w:color="000000" w:sz="4" w:space="0"/>
              <w:right w:val="single" w:color="000000" w:sz="4" w:space="0"/>
            </w:tcBorders>
            <w:vAlign w:val="center"/>
          </w:tcPr>
          <w:p w14:paraId="09E8B45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547C85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r>
      <w:tr w14:paraId="08D112B1">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084381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1.3.2</w:t>
            </w:r>
          </w:p>
        </w:tc>
        <w:tc>
          <w:tcPr>
            <w:tcW w:w="598" w:type="pct"/>
            <w:tcBorders>
              <w:top w:val="single" w:color="000000" w:sz="4" w:space="0"/>
              <w:left w:val="single" w:color="000000" w:sz="4" w:space="0"/>
              <w:bottom w:val="single" w:color="000000" w:sz="4" w:space="0"/>
              <w:right w:val="single" w:color="000000" w:sz="4" w:space="0"/>
            </w:tcBorders>
            <w:vAlign w:val="center"/>
          </w:tcPr>
          <w:p w14:paraId="0F2BA5F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分布式控制系统</w:t>
            </w:r>
          </w:p>
        </w:tc>
        <w:tc>
          <w:tcPr>
            <w:tcW w:w="3502" w:type="pct"/>
            <w:tcBorders>
              <w:top w:val="single" w:color="000000" w:sz="4" w:space="0"/>
              <w:left w:val="single" w:color="000000" w:sz="4" w:space="0"/>
              <w:bottom w:val="single" w:color="000000" w:sz="4" w:space="0"/>
              <w:right w:val="single" w:color="000000" w:sz="4" w:space="0"/>
            </w:tcBorders>
            <w:vAlign w:val="center"/>
          </w:tcPr>
          <w:p w14:paraId="2D7897FD">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满足指挥中心音视频分布式控制</w:t>
            </w:r>
          </w:p>
        </w:tc>
        <w:tc>
          <w:tcPr>
            <w:tcW w:w="220" w:type="pct"/>
            <w:tcBorders>
              <w:top w:val="single" w:color="000000" w:sz="4" w:space="0"/>
              <w:left w:val="single" w:color="000000" w:sz="4" w:space="0"/>
              <w:bottom w:val="single" w:color="000000" w:sz="4" w:space="0"/>
              <w:right w:val="single" w:color="000000" w:sz="4" w:space="0"/>
            </w:tcBorders>
            <w:vAlign w:val="center"/>
          </w:tcPr>
          <w:p w14:paraId="09DD9E98">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40CDEA3D">
            <w:pPr>
              <w:jc w:val="center"/>
              <w:rPr>
                <w:rFonts w:hint="eastAsia" w:ascii="宋体" w:hAnsi="宋体" w:cs="宋体"/>
                <w:color w:val="auto"/>
                <w:szCs w:val="21"/>
                <w:highlight w:val="none"/>
              </w:rPr>
            </w:pPr>
          </w:p>
        </w:tc>
      </w:tr>
      <w:tr w14:paraId="4F86165E">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D0FDA8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7FFD0C8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中心服务平台</w:t>
            </w:r>
          </w:p>
        </w:tc>
        <w:tc>
          <w:tcPr>
            <w:tcW w:w="3502" w:type="pct"/>
            <w:tcBorders>
              <w:top w:val="single" w:color="000000" w:sz="4" w:space="0"/>
              <w:left w:val="single" w:color="000000" w:sz="4" w:space="0"/>
              <w:bottom w:val="single" w:color="000000" w:sz="4" w:space="0"/>
              <w:right w:val="single" w:color="000000" w:sz="4" w:space="0"/>
            </w:tcBorders>
            <w:vAlign w:val="center"/>
          </w:tcPr>
          <w:p w14:paraId="28DAA631">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1、单机支持不低于1000路高清多媒体信号管理能力，可扩展至2048路高清多媒体信号；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3、服务平台支持不低于6机热备,切换时间&lt;1秒,切换过程原有音视频控制业务不受影响；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4、系统应用平台热备份:主服务器下线后自动切换到备份服务器提供系统服务;服务平台之间自动备份用户拓扑信息、系统配置以及 license；</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级联:向上级共享本系统和向下级级联系统共享的音视频码流，向下级共享本系统和上级级联系统共享的音视频码流，向下级共享其他下级级联系统共享的音视频码流。上级平台可调看下级平台任意信号，并对其进行管控;支持多级权限管控、支持权限漫游;支持级联广播显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多级级联，上下级信号共享:上下级之间能同时看到全局的视频源列表且支持动态刷新视频源，包括PC视频、IP摄像机视频和监控平台的视频，可以树形结构按照分支单位方式显示，可以跨级选择视频源进行本地上大屏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基于上下级的级联权限管理，上级平台用户无需下级平台用户配合，即可一键把下级平台的视频源上本地大屏显示;平级之间或者其他无直接上下级关系的平台，相互采用主动分享方式进行跨级的视频源上大屏，而全程无需其他级平台的用户配合操作，做到两键分享上大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8、支持级联时上级一键广播指定的视音频源到部分或者全部下级观看；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9、支持级联时上下级之间级联带宽管理,跨级观看时超过指定的级联带宽则系统自动降速处理，一方面不影响被观看当级的本地上屏高清效果，另一方面同时保证跨级能正常看到图像而不会带宽超标；</w:t>
            </w:r>
          </w:p>
        </w:tc>
        <w:tc>
          <w:tcPr>
            <w:tcW w:w="220" w:type="pct"/>
            <w:tcBorders>
              <w:top w:val="single" w:color="000000" w:sz="4" w:space="0"/>
              <w:left w:val="single" w:color="000000" w:sz="4" w:space="0"/>
              <w:bottom w:val="single" w:color="000000" w:sz="4" w:space="0"/>
              <w:right w:val="single" w:color="000000" w:sz="4" w:space="0"/>
            </w:tcBorders>
            <w:vAlign w:val="center"/>
          </w:tcPr>
          <w:p w14:paraId="534367F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1EB725A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2CFF252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724013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0B419F0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中心服务平台软件</w:t>
            </w:r>
          </w:p>
        </w:tc>
        <w:tc>
          <w:tcPr>
            <w:tcW w:w="3502" w:type="pct"/>
            <w:tcBorders>
              <w:top w:val="single" w:color="000000" w:sz="4" w:space="0"/>
              <w:left w:val="single" w:color="000000" w:sz="4" w:space="0"/>
              <w:bottom w:val="single" w:color="000000" w:sz="4" w:space="0"/>
              <w:right w:val="single" w:color="000000" w:sz="4" w:space="0"/>
            </w:tcBorders>
            <w:vAlign w:val="center"/>
          </w:tcPr>
          <w:p w14:paraId="06E3C5E6">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1、系统支持有中心部署，同时支持无中心部署；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2、支持B/S架构运维管理、提供C/S架构用户使用界面，支持Web系统配置端口，提供多种类的Web管理工具，支持用户权限分级管理，支持多用户同时在线管理操作，支持同一权限多终端管理；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3、支持硬件KVM:支持跨屏、漫游鼠标操作支持多屏间放大缩小;支持多权限管理(仅观看、协作、接管、独占、允许推送);支持空闲自动锁定KVM 坐席:支持快捷键隐藏显示OSD菜单，支持自定义快捷键:支持把本地坐席列表中的任意视频源推送到本地或者远端的拼接大屏全屏显示;延时0-20ms；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4、支持不少于500台电脑远程控制，单组支持不少于16台显示屏同时跨屏、漫游鼠标操作,支持多屏间放大缩小；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5、支持软件KVM:通过系统控制终端(如无线PAD)远程控制电脑，在控制终端回显窗口内即可打开PC端应用程序，控制其内容(修改编辑、复制粘贴、上下翻页、播放暂停等)；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6、可视化管理界面，支持音频动态电平实时反馈、视频信号实时预览及回显，UI界面可根据用户需求定制，提供多套UI模版备选；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7、支持指定一个或多个显示区域任意信号进行视频轮巡,轮询过程中支持双击放大画面；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8、支持一键开启和关闭多屏同步镜像功能，实现主显示设备上的信号同步广播到任意多个从显示设备；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9、支持系统更新后，操作界面自动刷新；</w:t>
            </w:r>
          </w:p>
        </w:tc>
        <w:tc>
          <w:tcPr>
            <w:tcW w:w="220" w:type="pct"/>
            <w:tcBorders>
              <w:top w:val="single" w:color="000000" w:sz="4" w:space="0"/>
              <w:left w:val="single" w:color="000000" w:sz="4" w:space="0"/>
              <w:bottom w:val="single" w:color="000000" w:sz="4" w:space="0"/>
              <w:right w:val="single" w:color="000000" w:sz="4" w:space="0"/>
            </w:tcBorders>
            <w:vAlign w:val="center"/>
          </w:tcPr>
          <w:p w14:paraId="338D5E9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0E4C2D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r>
      <w:tr w14:paraId="19935B36">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9FE030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0977653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单通道4K编码云节点</w:t>
            </w:r>
          </w:p>
        </w:tc>
        <w:tc>
          <w:tcPr>
            <w:tcW w:w="3502" w:type="pct"/>
            <w:tcBorders>
              <w:top w:val="single" w:color="000000" w:sz="4" w:space="0"/>
              <w:left w:val="single" w:color="000000" w:sz="4" w:space="0"/>
              <w:bottom w:val="single" w:color="000000" w:sz="4" w:space="0"/>
              <w:right w:val="single" w:color="000000" w:sz="4" w:space="0"/>
            </w:tcBorders>
            <w:vAlign w:val="center"/>
          </w:tcPr>
          <w:p w14:paraId="3AAE14A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1、采用无风扇静音设计，前面板带显示屏,可显示设备IP地址、设备型号等信息，采用国产化芯片，自主可控；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2、视频接口:≥2路HDMI输入（支持接口备份），≥2路HDMI环出（支持接口备份）；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3、音频接口:≥1路3.5mm耳麦接口，≥1路MIC接口（支持48V幻象供电），≥1路LINE IN L+R左右声道声音输入；音频输出：≥1路LINE OUT L+R左右声道声音输出；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4、支持RJ45网口和SFP光口网络备份，支持链路聚合,支持接入同交换机的光口和电口，支持接入不同交换机的光口和电口，支持使用优先级配置，光电口通讯倒换用户无感知，倒换时间无延时；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5、分辨率支持≥3840x2160@60Hz；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6、支持定码率传输：可设范围≥128Kbps-40Mbps；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7、支持接收单播和组播，一个视频源可一次拖放分发给多个接收端，组播情况下支持无限数量接收端；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8、支持与解码接口机配合，实现一对一网传方式使用传输视音频；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9、支持音视频同步拖放控制，视频源回显画面上可独立控制音频开关；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10、支持参数配置：可调整编码方式、编码码率、编码帧率、输出分辨率、延时、音频选择、音频采集方式；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11、支持POE供电及外部供电互备，电源具有防松脱锁定装置。</w:t>
            </w:r>
          </w:p>
        </w:tc>
        <w:tc>
          <w:tcPr>
            <w:tcW w:w="220" w:type="pct"/>
            <w:tcBorders>
              <w:top w:val="single" w:color="000000" w:sz="4" w:space="0"/>
              <w:left w:val="single" w:color="000000" w:sz="4" w:space="0"/>
              <w:bottom w:val="single" w:color="000000" w:sz="4" w:space="0"/>
              <w:right w:val="single" w:color="000000" w:sz="4" w:space="0"/>
            </w:tcBorders>
            <w:vAlign w:val="center"/>
          </w:tcPr>
          <w:p w14:paraId="33564A8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93" w:type="pct"/>
            <w:tcBorders>
              <w:top w:val="single" w:color="000000" w:sz="4" w:space="0"/>
              <w:left w:val="single" w:color="000000" w:sz="4" w:space="0"/>
              <w:bottom w:val="single" w:color="000000" w:sz="4" w:space="0"/>
              <w:right w:val="single" w:color="000000" w:sz="4" w:space="0"/>
            </w:tcBorders>
            <w:vAlign w:val="center"/>
          </w:tcPr>
          <w:p w14:paraId="29FD1FF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72A59424">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7A4C14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98" w:type="pct"/>
            <w:tcBorders>
              <w:top w:val="single" w:color="000000" w:sz="4" w:space="0"/>
              <w:left w:val="single" w:color="000000" w:sz="4" w:space="0"/>
              <w:bottom w:val="single" w:color="000000" w:sz="4" w:space="0"/>
              <w:right w:val="single" w:color="000000" w:sz="4" w:space="0"/>
            </w:tcBorders>
            <w:vAlign w:val="center"/>
          </w:tcPr>
          <w:p w14:paraId="69BB6A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单通道4K解码云节点</w:t>
            </w:r>
          </w:p>
        </w:tc>
        <w:tc>
          <w:tcPr>
            <w:tcW w:w="3502" w:type="pct"/>
            <w:tcBorders>
              <w:top w:val="single" w:color="000000" w:sz="4" w:space="0"/>
              <w:left w:val="single" w:color="000000" w:sz="4" w:space="0"/>
              <w:bottom w:val="single" w:color="000000" w:sz="4" w:space="0"/>
              <w:right w:val="single" w:color="000000" w:sz="4" w:space="0"/>
            </w:tcBorders>
            <w:vAlign w:val="center"/>
          </w:tcPr>
          <w:p w14:paraId="6EFB45AF">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1、采用无风扇静音设计，前面板带显示屏,可显示设备IP地址、设备型号等信息，采用国产化芯片，自主可控。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2、视频接口:≥2路HDMI输出(互相备份)；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3、具备RJ45网口和SFP光口网络备份功能，支持链路聚合,支持使用优先级配置，光电口倒换用户无感知，倒换时间无延时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4、输出分辨率支持≥3840X2160@60Hz,输出分辨率可自定义，解码分辨率支持8K@60Hz,支持码率调整范围≥128Kbps-40Mbps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5、支持接收单播和组播，一个视频源可一次拖放分发给多个接收端，组播情况下支持无限数量接收端；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6、支持与编码节点一对一网传方式传输音频、视频；</w:t>
            </w:r>
          </w:p>
        </w:tc>
        <w:tc>
          <w:tcPr>
            <w:tcW w:w="220" w:type="pct"/>
            <w:tcBorders>
              <w:top w:val="single" w:color="000000" w:sz="4" w:space="0"/>
              <w:left w:val="single" w:color="000000" w:sz="4" w:space="0"/>
              <w:bottom w:val="single" w:color="000000" w:sz="4" w:space="0"/>
              <w:right w:val="single" w:color="000000" w:sz="4" w:space="0"/>
            </w:tcBorders>
            <w:vAlign w:val="center"/>
          </w:tcPr>
          <w:p w14:paraId="29B9CEC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93" w:type="pct"/>
            <w:tcBorders>
              <w:top w:val="single" w:color="000000" w:sz="4" w:space="0"/>
              <w:left w:val="single" w:color="000000" w:sz="4" w:space="0"/>
              <w:bottom w:val="single" w:color="000000" w:sz="4" w:space="0"/>
              <w:right w:val="single" w:color="000000" w:sz="4" w:space="0"/>
            </w:tcBorders>
            <w:vAlign w:val="center"/>
          </w:tcPr>
          <w:p w14:paraId="0688DF9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7D627857">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3531E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98" w:type="pct"/>
            <w:tcBorders>
              <w:top w:val="single" w:color="000000" w:sz="4" w:space="0"/>
              <w:left w:val="single" w:color="000000" w:sz="4" w:space="0"/>
              <w:bottom w:val="single" w:color="000000" w:sz="4" w:space="0"/>
              <w:right w:val="single" w:color="000000" w:sz="4" w:space="0"/>
            </w:tcBorders>
            <w:vAlign w:val="center"/>
          </w:tcPr>
          <w:p w14:paraId="4E9471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MCN多媒体云节点软件</w:t>
            </w:r>
          </w:p>
        </w:tc>
        <w:tc>
          <w:tcPr>
            <w:tcW w:w="3502" w:type="pct"/>
            <w:tcBorders>
              <w:top w:val="single" w:color="000000" w:sz="4" w:space="0"/>
              <w:left w:val="single" w:color="000000" w:sz="4" w:space="0"/>
              <w:bottom w:val="single" w:color="000000" w:sz="4" w:space="0"/>
              <w:right w:val="single" w:color="000000" w:sz="4" w:space="0"/>
            </w:tcBorders>
            <w:vAlign w:val="center"/>
          </w:tcPr>
          <w:p w14:paraId="3036B759">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1、配合云节点使用；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2、支持低延时模式设置；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3、支持网络休眠和唤醒；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4、支持配置网络访问地址；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5、支持KVM控制；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6、支持IR红外控制设置；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7、支持用户权限限制。</w:t>
            </w:r>
          </w:p>
        </w:tc>
        <w:tc>
          <w:tcPr>
            <w:tcW w:w="220" w:type="pct"/>
            <w:tcBorders>
              <w:top w:val="single" w:color="000000" w:sz="4" w:space="0"/>
              <w:left w:val="single" w:color="000000" w:sz="4" w:space="0"/>
              <w:bottom w:val="single" w:color="000000" w:sz="4" w:space="0"/>
              <w:right w:val="single" w:color="000000" w:sz="4" w:space="0"/>
            </w:tcBorders>
            <w:vAlign w:val="center"/>
          </w:tcPr>
          <w:p w14:paraId="579261F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93" w:type="pct"/>
            <w:tcBorders>
              <w:top w:val="single" w:color="000000" w:sz="4" w:space="0"/>
              <w:left w:val="single" w:color="000000" w:sz="4" w:space="0"/>
              <w:bottom w:val="single" w:color="000000" w:sz="4" w:space="0"/>
              <w:right w:val="single" w:color="000000" w:sz="4" w:space="0"/>
            </w:tcBorders>
            <w:vAlign w:val="center"/>
          </w:tcPr>
          <w:p w14:paraId="6A9A3B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r>
      <w:tr w14:paraId="330323A1">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4F5EAB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98" w:type="pct"/>
            <w:tcBorders>
              <w:top w:val="single" w:color="000000" w:sz="4" w:space="0"/>
              <w:left w:val="single" w:color="000000" w:sz="4" w:space="0"/>
              <w:bottom w:val="single" w:color="000000" w:sz="4" w:space="0"/>
              <w:right w:val="single" w:color="000000" w:sz="4" w:space="0"/>
            </w:tcBorders>
            <w:vAlign w:val="center"/>
          </w:tcPr>
          <w:p w14:paraId="0D40D5C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24口POE交换机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19770244">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1、24端口千兆电，4端口万兆光（1个CLI控制口，24个千兆POE电口，4个万/千兆SFP+光口；标配电源AC220V，POE功率370W，风扇散热，1U高度，标准19英寸机架式安装）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2、交换容量</w:t>
            </w:r>
            <w:r>
              <w:rPr>
                <w:rFonts w:hint="eastAsia" w:ascii="宋体" w:hAnsi="宋体" w:eastAsia="宋体" w:cs="宋体"/>
                <w:color w:val="auto"/>
                <w:kern w:val="0"/>
                <w:sz w:val="20"/>
                <w:szCs w:val="20"/>
                <w:highlight w:val="none"/>
              </w:rPr>
              <w:t>≥</w:t>
            </w:r>
            <w:r>
              <w:rPr>
                <w:rFonts w:hint="eastAsia" w:ascii="宋体" w:hAnsi="宋体" w:cs="宋体"/>
                <w:color w:val="auto"/>
                <w:kern w:val="0"/>
                <w:szCs w:val="21"/>
                <w:highlight w:val="none"/>
                <w:lang w:bidi="ar"/>
              </w:rPr>
              <w:t xml:space="preserve"> 336Gbps/3.36Tbps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3、支持静态配置和动态学习MAC地址、支持查看和清除MAC地址、MAC地址老化时间可配置、支持MAC地址学习数量限制、支持MAC地址过滤功能、支持IEEE 802.1AE MacSec安全控制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4、支持4K VLAN表项、支持GVRP、支持QinQ功能、支持Private VLAN、支持voice vlan</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5、支持ipv4/ipv6双栈协议、 支持静态路由、 支持RIP 、OSPF动态路由、 支持VRRP虚拟路由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6、支持ICMPv6、DHCPv6、ACLv6、IPv6 Telnet、 支持IPv6邻居发现、支持Path MTU发现、 支持MLD v1/v2、 支持MLD Snooping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DHCP 支持DHCP Server、 支持DHCP Relay、 支持DHCP Client、 支持DHCP Snooping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7、支持二层、三层、四层ACL、支持IPv4、IPv6 ACL、支持VLAN ACL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8、支持基于L2/L3/L4的ACL流识别与过滤安全机制、支持防DDoS攻击、TCP的SYN Flood攻击、UDP Flood攻击等。</w:t>
            </w:r>
          </w:p>
        </w:tc>
        <w:tc>
          <w:tcPr>
            <w:tcW w:w="220" w:type="pct"/>
            <w:tcBorders>
              <w:top w:val="single" w:color="000000" w:sz="4" w:space="0"/>
              <w:left w:val="single" w:color="000000" w:sz="4" w:space="0"/>
              <w:bottom w:val="single" w:color="000000" w:sz="4" w:space="0"/>
              <w:right w:val="single" w:color="000000" w:sz="4" w:space="0"/>
            </w:tcBorders>
            <w:vAlign w:val="center"/>
          </w:tcPr>
          <w:p w14:paraId="12CF25B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7A29D41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608DEF03">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D1C8E5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598" w:type="pct"/>
            <w:tcBorders>
              <w:top w:val="single" w:color="000000" w:sz="4" w:space="0"/>
              <w:left w:val="single" w:color="000000" w:sz="4" w:space="0"/>
              <w:bottom w:val="single" w:color="000000" w:sz="4" w:space="0"/>
              <w:right w:val="single" w:color="000000" w:sz="4" w:space="0"/>
            </w:tcBorders>
            <w:vAlign w:val="center"/>
          </w:tcPr>
          <w:p w14:paraId="093EA7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无线触摸屏</w:t>
            </w:r>
          </w:p>
        </w:tc>
        <w:tc>
          <w:tcPr>
            <w:tcW w:w="3502" w:type="pct"/>
            <w:tcBorders>
              <w:top w:val="single" w:color="000000" w:sz="4" w:space="0"/>
              <w:left w:val="single" w:color="000000" w:sz="4" w:space="0"/>
              <w:bottom w:val="single" w:color="000000" w:sz="4" w:space="0"/>
              <w:right w:val="single" w:color="000000" w:sz="4" w:space="0"/>
            </w:tcBorders>
            <w:vAlign w:val="center"/>
          </w:tcPr>
          <w:p w14:paraId="05EC754C">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1、屏幕：不低于10.4 英寸，IPS 触摸屏；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2、存储：运行内存不低于6GB，机身内存不低于128GB。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3、WLAN：支持IEEE 802.11a/b/g/n/ac，频率支持2.4GHz 和5GHz；</w:t>
            </w:r>
          </w:p>
        </w:tc>
        <w:tc>
          <w:tcPr>
            <w:tcW w:w="220" w:type="pct"/>
            <w:tcBorders>
              <w:top w:val="single" w:color="000000" w:sz="4" w:space="0"/>
              <w:left w:val="single" w:color="000000" w:sz="4" w:space="0"/>
              <w:bottom w:val="single" w:color="000000" w:sz="4" w:space="0"/>
              <w:right w:val="single" w:color="000000" w:sz="4" w:space="0"/>
            </w:tcBorders>
            <w:vAlign w:val="center"/>
          </w:tcPr>
          <w:p w14:paraId="64AE3C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7D7A217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2EE2249B">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35ACAB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1.3.3</w:t>
            </w:r>
          </w:p>
        </w:tc>
        <w:tc>
          <w:tcPr>
            <w:tcW w:w="598" w:type="pct"/>
            <w:tcBorders>
              <w:top w:val="single" w:color="000000" w:sz="4" w:space="0"/>
              <w:left w:val="single" w:color="000000" w:sz="4" w:space="0"/>
              <w:bottom w:val="single" w:color="000000" w:sz="4" w:space="0"/>
              <w:right w:val="single" w:color="000000" w:sz="4" w:space="0"/>
            </w:tcBorders>
            <w:vAlign w:val="center"/>
          </w:tcPr>
          <w:p w14:paraId="186E73E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操作区设备配置</w:t>
            </w:r>
          </w:p>
        </w:tc>
        <w:tc>
          <w:tcPr>
            <w:tcW w:w="3502" w:type="pct"/>
            <w:tcBorders>
              <w:top w:val="single" w:color="000000" w:sz="4" w:space="0"/>
              <w:left w:val="single" w:color="000000" w:sz="4" w:space="0"/>
              <w:bottom w:val="single" w:color="000000" w:sz="4" w:space="0"/>
              <w:right w:val="single" w:color="000000" w:sz="4" w:space="0"/>
            </w:tcBorders>
            <w:vAlign w:val="center"/>
          </w:tcPr>
          <w:p w14:paraId="77993C9C">
            <w:pP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5A74CB95">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1ECAE53F">
            <w:pPr>
              <w:jc w:val="center"/>
              <w:rPr>
                <w:rFonts w:hint="eastAsia" w:ascii="宋体" w:hAnsi="宋体" w:cs="宋体"/>
                <w:color w:val="auto"/>
                <w:szCs w:val="21"/>
                <w:highlight w:val="none"/>
              </w:rPr>
            </w:pPr>
          </w:p>
        </w:tc>
      </w:tr>
      <w:tr w14:paraId="6FD49F23">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61DCA1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1C34CB7E">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台式计算机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45F8CEA9">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处理器（8核16线程/主频3.1G/L3缓存16MB）（等于或者优于同档次产品均可），不低于16G内存，不低于512G固态硬盘，不低于23.8寸显示器。包含键鼠套装等。</w:t>
            </w:r>
          </w:p>
          <w:p w14:paraId="6C9BFCD6">
            <w:pPr>
              <w:rPr>
                <w:color w:val="auto"/>
                <w:highlight w:val="none"/>
              </w:rPr>
            </w:pPr>
            <w:r>
              <w:rPr>
                <w:rFonts w:hint="eastAsia" w:ascii="宋体" w:hAnsi="宋体" w:cs="宋体"/>
                <w:color w:val="auto"/>
                <w:kern w:val="0"/>
                <w:szCs w:val="21"/>
                <w:highlight w:val="none"/>
                <w:lang w:bidi="ar"/>
              </w:rPr>
              <w:t>（CPU 和操作系统等关键部件符合安全可靠测评要求，通过政府有关部门指定的中国信息安全测评中心和国家保密科技测评中心网站查看安全可靠测评结果）</w:t>
            </w:r>
          </w:p>
          <w:p w14:paraId="67AE7CBF">
            <w:pPr>
              <w:widowControl/>
              <w:textAlignment w:val="center"/>
              <w:rPr>
                <w:rFonts w:hint="eastAsia" w:ascii="宋体" w:hAnsi="宋体" w:cs="宋体"/>
                <w:color w:val="auto"/>
                <w:szCs w:val="21"/>
                <w:highlight w:val="none"/>
              </w:rPr>
            </w:pPr>
          </w:p>
        </w:tc>
        <w:tc>
          <w:tcPr>
            <w:tcW w:w="220" w:type="pct"/>
            <w:tcBorders>
              <w:top w:val="single" w:color="000000" w:sz="4" w:space="0"/>
              <w:left w:val="single" w:color="000000" w:sz="4" w:space="0"/>
              <w:bottom w:val="single" w:color="000000" w:sz="4" w:space="0"/>
              <w:right w:val="single" w:color="000000" w:sz="4" w:space="0"/>
            </w:tcBorders>
            <w:vAlign w:val="center"/>
          </w:tcPr>
          <w:p w14:paraId="0E7AE59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93" w:type="pct"/>
            <w:tcBorders>
              <w:top w:val="single" w:color="000000" w:sz="4" w:space="0"/>
              <w:left w:val="single" w:color="000000" w:sz="4" w:space="0"/>
              <w:bottom w:val="single" w:color="000000" w:sz="4" w:space="0"/>
              <w:right w:val="single" w:color="000000" w:sz="4" w:space="0"/>
            </w:tcBorders>
            <w:vAlign w:val="center"/>
          </w:tcPr>
          <w:p w14:paraId="2F4D8ED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29B646B8">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FD077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48F1400C">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便携</w:t>
            </w:r>
            <w:r>
              <w:rPr>
                <w:rFonts w:hint="eastAsia" w:ascii="宋体" w:hAnsi="宋体" w:cs="宋体"/>
                <w:color w:val="auto"/>
                <w:kern w:val="0"/>
                <w:szCs w:val="21"/>
                <w:highlight w:val="none"/>
                <w:lang w:val="en-US" w:eastAsia="zh-CN" w:bidi="ar"/>
              </w:rPr>
              <w:t>式计算机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7CA6D6E6">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1、内存容量：DDR4及以上，不小于16GB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2、固态硬盘容量：不小于1TB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3、处理器：（4核 主频2.3GHZ）（等于或者优于同档次产品均可）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4、屏幕尺寸：不小于14英寸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5、屏幕分辨率：1920x1080全高清屏</w:t>
            </w:r>
          </w:p>
          <w:p w14:paraId="4A98BB81">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（CPU 和操作系统等关键部件符合安全可靠测评要求，通过政府有关部门指定的中国信息安全测评中心和国家保密科技测评中心网站查看安全可靠测评结果）。</w:t>
            </w:r>
          </w:p>
        </w:tc>
        <w:tc>
          <w:tcPr>
            <w:tcW w:w="220" w:type="pct"/>
            <w:tcBorders>
              <w:top w:val="single" w:color="000000" w:sz="4" w:space="0"/>
              <w:left w:val="single" w:color="000000" w:sz="4" w:space="0"/>
              <w:bottom w:val="single" w:color="000000" w:sz="4" w:space="0"/>
              <w:right w:val="single" w:color="000000" w:sz="4" w:space="0"/>
            </w:tcBorders>
            <w:vAlign w:val="center"/>
          </w:tcPr>
          <w:p w14:paraId="3B0351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5CF0AD7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04C1B6A3">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02CF37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022FF1E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平板</w:t>
            </w:r>
            <w:r>
              <w:rPr>
                <w:rFonts w:hint="eastAsia" w:ascii="宋体" w:hAnsi="宋体" w:cs="宋体"/>
                <w:color w:val="auto"/>
                <w:kern w:val="0"/>
                <w:szCs w:val="21"/>
                <w:highlight w:val="none"/>
                <w:lang w:bidi="ar"/>
              </w:rPr>
              <w:t>终端</w:t>
            </w:r>
          </w:p>
        </w:tc>
        <w:tc>
          <w:tcPr>
            <w:tcW w:w="3502" w:type="pct"/>
            <w:tcBorders>
              <w:top w:val="single" w:color="000000" w:sz="4" w:space="0"/>
              <w:left w:val="single" w:color="000000" w:sz="4" w:space="0"/>
              <w:bottom w:val="single" w:color="000000" w:sz="4" w:space="0"/>
              <w:right w:val="single" w:color="000000" w:sz="4" w:space="0"/>
            </w:tcBorders>
            <w:vAlign w:val="center"/>
          </w:tcPr>
          <w:p w14:paraId="4CF36E47">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大于11寸大屏， 16G+1TB，含每月大于10G及以上流量。</w:t>
            </w:r>
          </w:p>
        </w:tc>
        <w:tc>
          <w:tcPr>
            <w:tcW w:w="220" w:type="pct"/>
            <w:tcBorders>
              <w:top w:val="single" w:color="000000" w:sz="4" w:space="0"/>
              <w:left w:val="single" w:color="000000" w:sz="4" w:space="0"/>
              <w:bottom w:val="single" w:color="000000" w:sz="4" w:space="0"/>
              <w:right w:val="single" w:color="000000" w:sz="4" w:space="0"/>
            </w:tcBorders>
            <w:vAlign w:val="center"/>
          </w:tcPr>
          <w:p w14:paraId="3910881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93" w:type="pct"/>
            <w:tcBorders>
              <w:top w:val="single" w:color="000000" w:sz="4" w:space="0"/>
              <w:left w:val="single" w:color="000000" w:sz="4" w:space="0"/>
              <w:bottom w:val="single" w:color="000000" w:sz="4" w:space="0"/>
              <w:right w:val="single" w:color="000000" w:sz="4" w:space="0"/>
            </w:tcBorders>
            <w:vAlign w:val="center"/>
          </w:tcPr>
          <w:p w14:paraId="24149EF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70608708">
        <w:tblPrEx>
          <w:tblCellMar>
            <w:top w:w="0" w:type="dxa"/>
            <w:left w:w="108" w:type="dxa"/>
            <w:bottom w:w="0" w:type="dxa"/>
            <w:right w:w="108" w:type="dxa"/>
          </w:tblCellMar>
        </w:tblPrEx>
        <w:trPr>
          <w:trHeight w:val="30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566E4F61">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1180" w:type="dxa"/>
            <w:tcBorders>
              <w:top w:val="single" w:color="000000" w:sz="4" w:space="0"/>
              <w:left w:val="single" w:color="000000" w:sz="4" w:space="0"/>
              <w:bottom w:val="single" w:color="000000" w:sz="4" w:space="0"/>
              <w:right w:val="single" w:color="000000" w:sz="4" w:space="0"/>
            </w:tcBorders>
            <w:vAlign w:val="center"/>
          </w:tcPr>
          <w:p w14:paraId="5AFA0A6D">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彩打复印机扫描机一体机</w:t>
            </w:r>
          </w:p>
        </w:tc>
        <w:tc>
          <w:tcPr>
            <w:tcW w:w="6903" w:type="dxa"/>
            <w:tcBorders>
              <w:top w:val="single" w:color="000000" w:sz="4" w:space="0"/>
              <w:left w:val="single" w:color="000000" w:sz="4" w:space="0"/>
              <w:bottom w:val="single" w:color="000000" w:sz="4" w:space="0"/>
              <w:right w:val="single" w:color="000000" w:sz="4" w:space="0"/>
            </w:tcBorders>
            <w:vAlign w:val="center"/>
          </w:tcPr>
          <w:p w14:paraId="31BA0841">
            <w:pPr>
              <w:keepNext w:val="0"/>
              <w:keepLines w:val="0"/>
              <w:widowControl/>
              <w:suppressLineNumbers w:val="0"/>
              <w:jc w:val="left"/>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类型： 固定式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复印打印速度 "A4*1:27页/分钟(仅限纸盒1);A3:最大15页/分钟；SRA3:最大14页/分钟"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控制面板显示屏：控制面板显示屏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纸张尺寸：最大SRA3, 最小A6R</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纸张容量(80克)：标准：650张(550张+100张手送纸盒)；最大：6,300张(650张+选购550张+2,100张纸盒+3,000张纸盒) 纸盒：60~300g/m²; 手送纸盒：55~300g/m²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预热时间：18秒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内存：5GB (复印/打印共享);512GB 硬盘(选购)*3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电源：220V±10%,50Hz</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最大功率：1.84KW</w:t>
            </w:r>
          </w:p>
        </w:tc>
        <w:tc>
          <w:tcPr>
            <w:tcW w:w="434" w:type="dxa"/>
            <w:tcBorders>
              <w:top w:val="single" w:color="000000" w:sz="4" w:space="0"/>
              <w:left w:val="single" w:color="000000" w:sz="4" w:space="0"/>
              <w:bottom w:val="single" w:color="000000" w:sz="4" w:space="0"/>
              <w:right w:val="single" w:color="000000" w:sz="4" w:space="0"/>
            </w:tcBorders>
            <w:vAlign w:val="center"/>
          </w:tcPr>
          <w:p w14:paraId="067302CA">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381" w:type="dxa"/>
            <w:tcBorders>
              <w:top w:val="single" w:color="000000" w:sz="4" w:space="0"/>
              <w:left w:val="single" w:color="000000" w:sz="4" w:space="0"/>
              <w:bottom w:val="single" w:color="000000" w:sz="4" w:space="0"/>
              <w:right w:val="single" w:color="000000" w:sz="4" w:space="0"/>
            </w:tcBorders>
            <w:vAlign w:val="center"/>
          </w:tcPr>
          <w:p w14:paraId="675475F8">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0"/>
                <w:szCs w:val="20"/>
                <w:highlight w:val="none"/>
                <w:u w:val="none"/>
                <w:lang w:val="en-US" w:eastAsia="zh-CN" w:bidi="ar"/>
              </w:rPr>
              <w:t>台</w:t>
            </w:r>
          </w:p>
        </w:tc>
      </w:tr>
      <w:tr w14:paraId="6B9468F6">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vAlign w:val="center"/>
          </w:tcPr>
          <w:p w14:paraId="745E92B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2、网络系统</w:t>
            </w:r>
          </w:p>
        </w:tc>
        <w:tc>
          <w:tcPr>
            <w:tcW w:w="220" w:type="pct"/>
            <w:tcBorders>
              <w:top w:val="single" w:color="000000" w:sz="4" w:space="0"/>
              <w:left w:val="single" w:color="000000" w:sz="4" w:space="0"/>
              <w:bottom w:val="single" w:color="000000" w:sz="4" w:space="0"/>
              <w:right w:val="single" w:color="000000" w:sz="4" w:space="0"/>
            </w:tcBorders>
            <w:vAlign w:val="center"/>
          </w:tcPr>
          <w:p w14:paraId="43C3BDEF">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05B1BD6D">
            <w:pPr>
              <w:jc w:val="center"/>
              <w:rPr>
                <w:rFonts w:hint="eastAsia" w:ascii="宋体" w:hAnsi="宋体" w:cs="宋体"/>
                <w:color w:val="auto"/>
                <w:szCs w:val="21"/>
                <w:highlight w:val="none"/>
              </w:rPr>
            </w:pPr>
          </w:p>
        </w:tc>
      </w:tr>
      <w:tr w14:paraId="1D0ABF93">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CA208B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4223FA2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汇聚交换机</w:t>
            </w:r>
          </w:p>
        </w:tc>
        <w:tc>
          <w:tcPr>
            <w:tcW w:w="3502" w:type="pct"/>
            <w:tcBorders>
              <w:top w:val="single" w:color="000000" w:sz="4" w:space="0"/>
              <w:left w:val="single" w:color="000000" w:sz="4" w:space="0"/>
              <w:bottom w:val="single" w:color="000000" w:sz="4" w:space="0"/>
              <w:right w:val="single" w:color="000000" w:sz="4" w:space="0"/>
            </w:tcBorders>
            <w:vAlign w:val="center"/>
          </w:tcPr>
          <w:p w14:paraId="7C42C646">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1、提供48个10/100/1000Base-T 以太网端口，4个万兆SFP+光口（含4个单模的光模块）。</w:t>
            </w:r>
          </w:p>
        </w:tc>
        <w:tc>
          <w:tcPr>
            <w:tcW w:w="220" w:type="pct"/>
            <w:tcBorders>
              <w:top w:val="single" w:color="000000" w:sz="4" w:space="0"/>
              <w:left w:val="single" w:color="000000" w:sz="4" w:space="0"/>
              <w:bottom w:val="single" w:color="000000" w:sz="4" w:space="0"/>
              <w:right w:val="single" w:color="000000" w:sz="4" w:space="0"/>
            </w:tcBorders>
            <w:vAlign w:val="center"/>
          </w:tcPr>
          <w:p w14:paraId="23E2E7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7E6D987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5E8FB527">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22D4F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44E279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吸顶AP</w:t>
            </w:r>
          </w:p>
        </w:tc>
        <w:tc>
          <w:tcPr>
            <w:tcW w:w="3502" w:type="pct"/>
            <w:tcBorders>
              <w:top w:val="single" w:color="000000" w:sz="4" w:space="0"/>
              <w:left w:val="single" w:color="000000" w:sz="4" w:space="0"/>
              <w:bottom w:val="single" w:color="000000" w:sz="4" w:space="0"/>
              <w:right w:val="single" w:color="000000" w:sz="4" w:space="0"/>
            </w:tcBorders>
            <w:vAlign w:val="center"/>
          </w:tcPr>
          <w:p w14:paraId="7E87F673">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3000M无线吸顶路由器</w:t>
            </w:r>
          </w:p>
        </w:tc>
        <w:tc>
          <w:tcPr>
            <w:tcW w:w="220" w:type="pct"/>
            <w:tcBorders>
              <w:top w:val="single" w:color="000000" w:sz="4" w:space="0"/>
              <w:left w:val="single" w:color="000000" w:sz="4" w:space="0"/>
              <w:bottom w:val="single" w:color="000000" w:sz="4" w:space="0"/>
              <w:right w:val="single" w:color="000000" w:sz="4" w:space="0"/>
            </w:tcBorders>
            <w:vAlign w:val="center"/>
          </w:tcPr>
          <w:p w14:paraId="2A663F1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vAlign w:val="center"/>
          </w:tcPr>
          <w:p w14:paraId="0460F05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r>
      <w:tr w14:paraId="7D163249">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vAlign w:val="center"/>
          </w:tcPr>
          <w:p w14:paraId="4B62CAA9">
            <w:pPr>
              <w:widowControl/>
              <w:jc w:val="left"/>
              <w:textAlignment w:val="center"/>
              <w:rPr>
                <w:rFonts w:hint="eastAsia" w:ascii="宋体" w:hAnsi="宋体" w:cs="宋体"/>
                <w:color w:val="auto"/>
                <w:szCs w:val="21"/>
                <w:highlight w:val="none"/>
              </w:rPr>
            </w:pPr>
            <w:r>
              <w:rPr>
                <w:rFonts w:hint="eastAsia" w:ascii="宋体" w:hAnsi="宋体" w:cs="宋体"/>
                <w:b/>
                <w:bCs/>
                <w:color w:val="auto"/>
                <w:kern w:val="0"/>
                <w:szCs w:val="21"/>
                <w:highlight w:val="none"/>
                <w:lang w:bidi="ar"/>
              </w:rPr>
              <w:t>四、机柜租赁服务</w:t>
            </w:r>
          </w:p>
        </w:tc>
        <w:tc>
          <w:tcPr>
            <w:tcW w:w="220" w:type="pct"/>
            <w:tcBorders>
              <w:top w:val="single" w:color="000000" w:sz="4" w:space="0"/>
              <w:left w:val="single" w:color="000000" w:sz="4" w:space="0"/>
              <w:bottom w:val="single" w:color="000000" w:sz="4" w:space="0"/>
              <w:right w:val="single" w:color="000000" w:sz="4" w:space="0"/>
            </w:tcBorders>
            <w:vAlign w:val="center"/>
          </w:tcPr>
          <w:p w14:paraId="575FDDC5">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vAlign w:val="center"/>
          </w:tcPr>
          <w:p w14:paraId="170D7A28">
            <w:pPr>
              <w:jc w:val="center"/>
              <w:rPr>
                <w:rFonts w:hint="eastAsia" w:ascii="宋体" w:hAnsi="宋体" w:cs="宋体"/>
                <w:color w:val="auto"/>
                <w:szCs w:val="21"/>
                <w:highlight w:val="none"/>
              </w:rPr>
            </w:pPr>
          </w:p>
        </w:tc>
      </w:tr>
      <w:tr w14:paraId="6839B645">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C2EE21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4848BC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机柜租赁服务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74D43ED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1、提供≥42U标准机柜空间以及相应的机房配套服务，每个机柜运行功率不高于3.2KW,包含运行电费、人员维护、场地租用。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2、不低于《数据中心设计规范》（GB50174-2017）A级和ANSI-TIA-942-2005《数据中心通信基础设施标准》Tier3+级技术要求文件要求等提供服务。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3、机房必须通过国家计算机网络与信息安全管理中心及中华人民共和国公安部三级等保备案。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4、机房所在建筑主体结构具有耐久、抗震、防火、防止不均匀沉陷等性能，变形缝和伸缩缝不穿过机房，抗震设防烈度为7度，主机房承重活荷载标准值为10 kN/㎡，采用机房专用空调。</w:t>
            </w:r>
          </w:p>
        </w:tc>
        <w:tc>
          <w:tcPr>
            <w:tcW w:w="220" w:type="pct"/>
            <w:tcBorders>
              <w:top w:val="single" w:color="000000" w:sz="4" w:space="0"/>
              <w:left w:val="single" w:color="000000" w:sz="4" w:space="0"/>
              <w:bottom w:val="single" w:color="000000" w:sz="4" w:space="0"/>
              <w:right w:val="single" w:color="000000" w:sz="4" w:space="0"/>
            </w:tcBorders>
            <w:vAlign w:val="center"/>
          </w:tcPr>
          <w:p w14:paraId="43FA84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93" w:type="pct"/>
            <w:tcBorders>
              <w:top w:val="single" w:color="000000" w:sz="4" w:space="0"/>
              <w:left w:val="single" w:color="000000" w:sz="4" w:space="0"/>
              <w:bottom w:val="single" w:color="000000" w:sz="4" w:space="0"/>
              <w:right w:val="single" w:color="000000" w:sz="4" w:space="0"/>
            </w:tcBorders>
            <w:vAlign w:val="center"/>
          </w:tcPr>
          <w:p w14:paraId="5642CF2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r>
      <w:tr w14:paraId="3F68AF18">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noWrap/>
            <w:vAlign w:val="center"/>
          </w:tcPr>
          <w:p w14:paraId="0F124F52">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五、系统安全评测</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B38E251">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7650D26A">
            <w:pPr>
              <w:jc w:val="center"/>
              <w:rPr>
                <w:rFonts w:hint="eastAsia" w:ascii="宋体" w:hAnsi="宋体" w:cs="宋体"/>
                <w:color w:val="auto"/>
                <w:szCs w:val="21"/>
                <w:highlight w:val="none"/>
              </w:rPr>
            </w:pPr>
          </w:p>
        </w:tc>
      </w:tr>
      <w:tr w14:paraId="700BD842">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noWrap/>
            <w:vAlign w:val="center"/>
          </w:tcPr>
          <w:p w14:paraId="0F26155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1、等保评测</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723674B">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67A87D2E">
            <w:pPr>
              <w:jc w:val="center"/>
              <w:rPr>
                <w:rFonts w:hint="eastAsia" w:ascii="宋体" w:hAnsi="宋体" w:cs="宋体"/>
                <w:color w:val="auto"/>
                <w:szCs w:val="21"/>
                <w:highlight w:val="none"/>
              </w:rPr>
            </w:pPr>
          </w:p>
        </w:tc>
      </w:tr>
      <w:tr w14:paraId="2689C023">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3137AA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003F02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等保评测</w:t>
            </w:r>
          </w:p>
        </w:tc>
        <w:tc>
          <w:tcPr>
            <w:tcW w:w="3502" w:type="pct"/>
            <w:tcBorders>
              <w:top w:val="single" w:color="000000" w:sz="4" w:space="0"/>
              <w:left w:val="single" w:color="000000" w:sz="4" w:space="0"/>
              <w:bottom w:val="single" w:color="000000" w:sz="4" w:space="0"/>
              <w:right w:val="single" w:color="000000" w:sz="4" w:space="0"/>
            </w:tcBorders>
            <w:noWrap/>
            <w:vAlign w:val="center"/>
          </w:tcPr>
          <w:p w14:paraId="0EBFEA9C">
            <w:pPr>
              <w:widowControl/>
              <w:jc w:val="left"/>
              <w:textAlignment w:val="center"/>
              <w:rPr>
                <w:rFonts w:hint="eastAsia" w:ascii="宋体" w:hAnsi="宋体" w:cs="宋体"/>
                <w:color w:val="auto"/>
                <w:szCs w:val="21"/>
                <w:highlight w:val="none"/>
              </w:rPr>
            </w:pPr>
            <w:r>
              <w:rPr>
                <w:rFonts w:hint="eastAsia" w:ascii="宋体" w:hAnsi="宋体" w:eastAsia="宋体" w:cs="宋体"/>
                <w:color w:val="auto"/>
                <w:kern w:val="0"/>
                <w:sz w:val="21"/>
                <w:szCs w:val="21"/>
                <w:highlight w:val="none"/>
                <w:lang w:bidi="ar"/>
              </w:rPr>
              <w:t>本项目终验前，必须通过二级等级保护测评；在服务期内开展一年一次等级保护测评工作并出具等保测评报告</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F856C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1907B22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5398BF96">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noWrap/>
            <w:vAlign w:val="center"/>
          </w:tcPr>
          <w:p w14:paraId="0F6C64F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2、密码评测</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00CE9214">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7C123BEC">
            <w:pPr>
              <w:jc w:val="center"/>
              <w:rPr>
                <w:rFonts w:hint="eastAsia" w:ascii="宋体" w:hAnsi="宋体" w:cs="宋体"/>
                <w:color w:val="auto"/>
                <w:szCs w:val="21"/>
                <w:highlight w:val="none"/>
              </w:rPr>
            </w:pPr>
          </w:p>
        </w:tc>
      </w:tr>
      <w:tr w14:paraId="17CE35A5">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00C8000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2D2807D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密码评测</w:t>
            </w:r>
          </w:p>
        </w:tc>
        <w:tc>
          <w:tcPr>
            <w:tcW w:w="3502" w:type="pct"/>
            <w:tcBorders>
              <w:top w:val="single" w:color="000000" w:sz="4" w:space="0"/>
              <w:left w:val="single" w:color="000000" w:sz="4" w:space="0"/>
              <w:bottom w:val="single" w:color="000000" w:sz="4" w:space="0"/>
              <w:right w:val="single" w:color="000000" w:sz="4" w:space="0"/>
            </w:tcBorders>
            <w:noWrap/>
            <w:vAlign w:val="center"/>
          </w:tcPr>
          <w:p w14:paraId="5FED4A8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本项目终验前，必须通过商用密码应用安全性评估；在服务期内开展一年一次商用密码应用安全性评估工作并出具商用密码应用安全性评估报告</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4681C5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48FA9FC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73DB32B6">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noWrap/>
            <w:vAlign w:val="center"/>
          </w:tcPr>
          <w:p w14:paraId="53627FC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3、软件测评</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CCBB052">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7908388E">
            <w:pPr>
              <w:jc w:val="center"/>
              <w:rPr>
                <w:rFonts w:hint="eastAsia" w:ascii="宋体" w:hAnsi="宋体" w:cs="宋体"/>
                <w:color w:val="auto"/>
                <w:szCs w:val="21"/>
                <w:highlight w:val="none"/>
              </w:rPr>
            </w:pPr>
          </w:p>
        </w:tc>
      </w:tr>
      <w:tr w14:paraId="14C04B45">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1C6F4D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3BE57DC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软件测评</w:t>
            </w:r>
          </w:p>
        </w:tc>
        <w:tc>
          <w:tcPr>
            <w:tcW w:w="3502" w:type="pct"/>
            <w:tcBorders>
              <w:top w:val="single" w:color="000000" w:sz="4" w:space="0"/>
              <w:left w:val="single" w:color="000000" w:sz="4" w:space="0"/>
              <w:bottom w:val="single" w:color="000000" w:sz="4" w:space="0"/>
              <w:right w:val="single" w:color="000000" w:sz="4" w:space="0"/>
            </w:tcBorders>
            <w:vAlign w:val="center"/>
          </w:tcPr>
          <w:p w14:paraId="13883DA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项目软件（算法）开发服务成果应通过具有资质的第三方评估机构的测评，并取得相关的测评合格结论报告</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56D709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6393F2F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2D85AA6A">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noWrap/>
            <w:vAlign w:val="center"/>
          </w:tcPr>
          <w:p w14:paraId="2449A6CC">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六、项目运维</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3B8D2601">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7B85CC69">
            <w:pPr>
              <w:jc w:val="center"/>
              <w:rPr>
                <w:rFonts w:hint="eastAsia" w:ascii="宋体" w:hAnsi="宋体" w:cs="宋体"/>
                <w:color w:val="auto"/>
                <w:szCs w:val="21"/>
                <w:highlight w:val="none"/>
              </w:rPr>
            </w:pPr>
          </w:p>
        </w:tc>
      </w:tr>
      <w:tr w14:paraId="737A6D69">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3CE5F87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265AA95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软件应用服务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51AC210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1、软件安装：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负责将软件正确安装在用户的设备上，并确保它们能与现有系统兼容。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定期检查并安装最新的补丁和更新，以确保软件的稳定性和安全性。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2、系统监控与维护：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通过持续的系统监控，及时发现并解决潜在的问题，避免因系统故障造成的工作中断。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监控系统会记录并分析各种性能指标，如CPU使用率、内存占用、磁盘空间等，帮助运维人员及时调整和优化系统配置。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定期进行系统维护，包括清理冗余文件、优化数据库、更新驱动程序等，以保证系统的高效运行。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3、安全管理与备份：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建立完善的安全策略，包括防火墙配置、入侵检测系统、数据加密等措施，以防范各种网络攻击和数据泄露风险。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制定详细的备份计划，定期对重要数据进行备份，并确保备份数据的完整性和可恢复性。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对于关键数据，还需要进行异地备份，以防止自然灾害或其他突发事件造成的数据丢失。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4、故障排除与支持：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当用户遇到软件应用的问题时，运维团队需要快速响应并提供有效的解决方案。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提供远程支持、电话支持等多种形式的技术支持服务。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建立详细的故障记录和分析系统，以便总结经验教训，优化运维流程，提高服务质量。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5、用户培训与咨询：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定期为用户提供培训，帮助他们熟悉软件的各种功能和使用技巧。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提供技术咨询服务，帮助用户解决在使用过程中遇到的问题。</w:t>
            </w:r>
          </w:p>
        </w:tc>
        <w:tc>
          <w:tcPr>
            <w:tcW w:w="220" w:type="pct"/>
            <w:tcBorders>
              <w:top w:val="single" w:color="000000" w:sz="4" w:space="0"/>
              <w:left w:val="single" w:color="000000" w:sz="4" w:space="0"/>
              <w:bottom w:val="single" w:color="000000" w:sz="4" w:space="0"/>
              <w:right w:val="single" w:color="000000" w:sz="4" w:space="0"/>
            </w:tcBorders>
            <w:vAlign w:val="center"/>
          </w:tcPr>
          <w:p w14:paraId="604A711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4E57A20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582A5688">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501BEE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6CD3F75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系统安全管理服务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781145D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1、根据采购人业务需求和系统安全分析结果，确定系统的访问控制策略；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2、定期进行漏洞扫描，对发现的系统安全漏洞及时进行修补；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3、对服务器进行安全加固，提升操作系统安全性。在不影响数据库工作性能的前提下，打开安全选项进行安全加固。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4、及时安装系统的最新补丁程序，在安装前，首先报告同意，且在测试环境中测试通过，并对重要文件进行备份后，方可实施系统补丁程序的安装；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5、所有对系统进行的维护，均需详细记录操作日志，包括重要的日常操作、运行维护记录、参数的设置和修改等内容，严禁进行未经授权的操作；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6、定期对运行日志和审计数据进行分析，以便及时发现异常行为；</w:t>
            </w:r>
          </w:p>
        </w:tc>
        <w:tc>
          <w:tcPr>
            <w:tcW w:w="220" w:type="pct"/>
            <w:tcBorders>
              <w:top w:val="single" w:color="000000" w:sz="4" w:space="0"/>
              <w:left w:val="single" w:color="000000" w:sz="4" w:space="0"/>
              <w:bottom w:val="single" w:color="000000" w:sz="4" w:space="0"/>
              <w:right w:val="single" w:color="000000" w:sz="4" w:space="0"/>
            </w:tcBorders>
            <w:vAlign w:val="center"/>
          </w:tcPr>
          <w:p w14:paraId="4B05421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5461807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26842C9E">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1ED556F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2E472AD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指挥中心运维服务</w:t>
            </w:r>
          </w:p>
        </w:tc>
        <w:tc>
          <w:tcPr>
            <w:tcW w:w="3502" w:type="pct"/>
            <w:tcBorders>
              <w:top w:val="single" w:color="000000" w:sz="4" w:space="0"/>
              <w:left w:val="single" w:color="000000" w:sz="4" w:space="0"/>
              <w:bottom w:val="single" w:color="000000" w:sz="4" w:space="0"/>
              <w:right w:val="single" w:color="000000" w:sz="4" w:space="0"/>
            </w:tcBorders>
            <w:vAlign w:val="center"/>
          </w:tcPr>
          <w:p w14:paraId="708E232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服务内容：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1、日常运维保障服务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对指挥中心各系统进行定期的检测、检修和优化，包括运行环境分析、设备状态监测、性能调优等工作。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提供现场支持、系统支持及培训演练，确保运维团队能够熟练掌握系统操作和维护技能。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2、应急运维保障服务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在指挥中心系统出现故障或异常时，迅速响应并进行故障排查和修复。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提供备品备件更换服务，确保故障设备能够及时得到替换，恢复系统正常运行。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3、设备硬件维保服务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对指挥中心系统的设备进行保修服务，包括设备故障的免费维修或更换。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定期对设备进行巡检、维护和系统测试，确保设备处于良好状态。</w:t>
            </w:r>
          </w:p>
        </w:tc>
        <w:tc>
          <w:tcPr>
            <w:tcW w:w="220" w:type="pct"/>
            <w:tcBorders>
              <w:top w:val="single" w:color="000000" w:sz="4" w:space="0"/>
              <w:left w:val="single" w:color="000000" w:sz="4" w:space="0"/>
              <w:bottom w:val="single" w:color="000000" w:sz="4" w:space="0"/>
              <w:right w:val="single" w:color="000000" w:sz="4" w:space="0"/>
            </w:tcBorders>
            <w:vAlign w:val="center"/>
          </w:tcPr>
          <w:p w14:paraId="7C7FC47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vAlign w:val="center"/>
          </w:tcPr>
          <w:p w14:paraId="1F1A2A4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3C8BA8B9">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noWrap/>
            <w:vAlign w:val="center"/>
          </w:tcPr>
          <w:p w14:paraId="06E82132">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七、通信服务</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BEC9BB5">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6E0F79D3">
            <w:pPr>
              <w:jc w:val="center"/>
              <w:rPr>
                <w:rFonts w:hint="eastAsia" w:ascii="宋体" w:hAnsi="宋体" w:cs="宋体"/>
                <w:color w:val="auto"/>
                <w:szCs w:val="21"/>
                <w:highlight w:val="none"/>
              </w:rPr>
            </w:pPr>
          </w:p>
        </w:tc>
      </w:tr>
      <w:tr w14:paraId="7D7219C1">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291113C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vAlign w:val="center"/>
          </w:tcPr>
          <w:p w14:paraId="21F17C9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短信平台</w:t>
            </w:r>
          </w:p>
        </w:tc>
        <w:tc>
          <w:tcPr>
            <w:tcW w:w="3502" w:type="pct"/>
            <w:tcBorders>
              <w:top w:val="single" w:color="000000" w:sz="4" w:space="0"/>
              <w:left w:val="single" w:color="000000" w:sz="4" w:space="0"/>
              <w:bottom w:val="single" w:color="000000" w:sz="4" w:space="0"/>
              <w:right w:val="single" w:color="000000" w:sz="4" w:space="0"/>
            </w:tcBorders>
            <w:noWrap/>
            <w:vAlign w:val="center"/>
          </w:tcPr>
          <w:p w14:paraId="1A78BF3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租用短信网关，每年包含短信发送量1200000条</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6C4781E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2CF1628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1D331B7E">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42DEFF2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98" w:type="pct"/>
            <w:tcBorders>
              <w:top w:val="single" w:color="000000" w:sz="4" w:space="0"/>
              <w:left w:val="single" w:color="000000" w:sz="4" w:space="0"/>
              <w:bottom w:val="single" w:color="000000" w:sz="4" w:space="0"/>
              <w:right w:val="single" w:color="000000" w:sz="4" w:space="0"/>
            </w:tcBorders>
            <w:vAlign w:val="center"/>
          </w:tcPr>
          <w:p w14:paraId="53426F9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语音专线平台（数字中继）</w:t>
            </w:r>
          </w:p>
        </w:tc>
        <w:tc>
          <w:tcPr>
            <w:tcW w:w="3502" w:type="pct"/>
            <w:tcBorders>
              <w:top w:val="single" w:color="000000" w:sz="4" w:space="0"/>
              <w:left w:val="single" w:color="000000" w:sz="4" w:space="0"/>
              <w:bottom w:val="single" w:color="000000" w:sz="4" w:space="0"/>
              <w:right w:val="single" w:color="000000" w:sz="4" w:space="0"/>
            </w:tcBorders>
            <w:noWrap/>
            <w:vAlign w:val="center"/>
          </w:tcPr>
          <w:p w14:paraId="721A72E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租用数字中继，每月包含10000分钟主叫呼出。</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7AEEECF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748CEF4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w:t>
            </w:r>
          </w:p>
        </w:tc>
      </w:tr>
      <w:tr w14:paraId="7B6BCCC6">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C713AE0">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98" w:type="pct"/>
            <w:tcBorders>
              <w:top w:val="single" w:color="000000" w:sz="4" w:space="0"/>
              <w:left w:val="single" w:color="000000" w:sz="4" w:space="0"/>
              <w:bottom w:val="single" w:color="000000" w:sz="4" w:space="0"/>
              <w:right w:val="single" w:color="000000" w:sz="4" w:space="0"/>
            </w:tcBorders>
            <w:vAlign w:val="center"/>
          </w:tcPr>
          <w:p w14:paraId="1C82D39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互联网专线</w:t>
            </w:r>
          </w:p>
        </w:tc>
        <w:tc>
          <w:tcPr>
            <w:tcW w:w="3502" w:type="pct"/>
            <w:tcBorders>
              <w:top w:val="single" w:color="000000" w:sz="4" w:space="0"/>
              <w:left w:val="single" w:color="000000" w:sz="4" w:space="0"/>
              <w:bottom w:val="single" w:color="000000" w:sz="4" w:space="0"/>
              <w:right w:val="single" w:color="000000" w:sz="4" w:space="0"/>
            </w:tcBorders>
            <w:vAlign w:val="center"/>
          </w:tcPr>
          <w:p w14:paraId="5ADA047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1、连接到互联网带宽为300Mbps。接入方式为光纤接入，并提供光纤接口和提供4个互联网固定IP地址；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2、可用带宽：稳定独享300Mbps；上下行带宽一致；</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244C093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36E6D4B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350FA623">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30609C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98" w:type="pct"/>
            <w:tcBorders>
              <w:top w:val="single" w:color="000000" w:sz="4" w:space="0"/>
              <w:left w:val="single" w:color="000000" w:sz="4" w:space="0"/>
              <w:bottom w:val="single" w:color="000000" w:sz="4" w:space="0"/>
              <w:right w:val="single" w:color="000000" w:sz="4" w:space="0"/>
            </w:tcBorders>
            <w:vAlign w:val="center"/>
          </w:tcPr>
          <w:p w14:paraId="7FDBB38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网络专线</w:t>
            </w:r>
          </w:p>
        </w:tc>
        <w:tc>
          <w:tcPr>
            <w:tcW w:w="3502" w:type="pct"/>
            <w:tcBorders>
              <w:top w:val="single" w:color="000000" w:sz="4" w:space="0"/>
              <w:left w:val="single" w:color="000000" w:sz="4" w:space="0"/>
              <w:bottom w:val="single" w:color="000000" w:sz="4" w:space="0"/>
              <w:right w:val="single" w:color="000000" w:sz="4" w:space="0"/>
            </w:tcBorders>
            <w:noWrap/>
            <w:vAlign w:val="center"/>
          </w:tcPr>
          <w:p w14:paraId="6060012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租用5条200M数据专线</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56CAF91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3B47F2D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r w14:paraId="6F802193">
        <w:tblPrEx>
          <w:tblCellMar>
            <w:top w:w="0" w:type="dxa"/>
            <w:left w:w="108" w:type="dxa"/>
            <w:bottom w:w="0" w:type="dxa"/>
            <w:right w:w="108" w:type="dxa"/>
          </w:tblCellMar>
        </w:tblPrEx>
        <w:trPr>
          <w:trHeight w:val="300" w:hRule="atLeast"/>
        </w:trPr>
        <w:tc>
          <w:tcPr>
            <w:tcW w:w="4586" w:type="pct"/>
            <w:gridSpan w:val="3"/>
            <w:tcBorders>
              <w:top w:val="single" w:color="000000" w:sz="4" w:space="0"/>
              <w:left w:val="single" w:color="000000" w:sz="4" w:space="0"/>
              <w:bottom w:val="single" w:color="000000" w:sz="4" w:space="0"/>
              <w:right w:val="single" w:color="000000" w:sz="4" w:space="0"/>
            </w:tcBorders>
            <w:noWrap/>
            <w:vAlign w:val="center"/>
          </w:tcPr>
          <w:p w14:paraId="3E58ADCB">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八、系统集成</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0116C2E0">
            <w:pPr>
              <w:jc w:val="center"/>
              <w:rPr>
                <w:rFonts w:hint="eastAsia" w:ascii="宋体" w:hAnsi="宋体" w:cs="宋体"/>
                <w:color w:val="auto"/>
                <w:szCs w:val="21"/>
                <w:highlight w:val="none"/>
              </w:rPr>
            </w:pP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28F05629">
            <w:pPr>
              <w:jc w:val="center"/>
              <w:rPr>
                <w:rFonts w:hint="eastAsia" w:ascii="宋体" w:hAnsi="宋体" w:cs="宋体"/>
                <w:color w:val="auto"/>
                <w:szCs w:val="21"/>
                <w:highlight w:val="none"/>
              </w:rPr>
            </w:pPr>
          </w:p>
        </w:tc>
      </w:tr>
      <w:tr w14:paraId="2726D4DA">
        <w:tblPrEx>
          <w:tblCellMar>
            <w:top w:w="0" w:type="dxa"/>
            <w:left w:w="108" w:type="dxa"/>
            <w:bottom w:w="0" w:type="dxa"/>
            <w:right w:w="108" w:type="dxa"/>
          </w:tblCellMar>
        </w:tblPrEx>
        <w:trPr>
          <w:trHeight w:val="300" w:hRule="atLeast"/>
        </w:trPr>
        <w:tc>
          <w:tcPr>
            <w:tcW w:w="485" w:type="pct"/>
            <w:tcBorders>
              <w:top w:val="single" w:color="000000" w:sz="4" w:space="0"/>
              <w:left w:val="single" w:color="000000" w:sz="4" w:space="0"/>
              <w:bottom w:val="single" w:color="000000" w:sz="4" w:space="0"/>
              <w:right w:val="single" w:color="000000" w:sz="4" w:space="0"/>
            </w:tcBorders>
            <w:vAlign w:val="center"/>
          </w:tcPr>
          <w:p w14:paraId="789C112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0CCDBC0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系统集成</w:t>
            </w:r>
          </w:p>
        </w:tc>
        <w:tc>
          <w:tcPr>
            <w:tcW w:w="3502" w:type="pct"/>
            <w:tcBorders>
              <w:top w:val="single" w:color="000000" w:sz="4" w:space="0"/>
              <w:left w:val="single" w:color="000000" w:sz="4" w:space="0"/>
              <w:bottom w:val="single" w:color="000000" w:sz="4" w:space="0"/>
              <w:right w:val="single" w:color="000000" w:sz="4" w:space="0"/>
            </w:tcBorders>
            <w:vAlign w:val="center"/>
          </w:tcPr>
          <w:p w14:paraId="1018A89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为项目建设提供设备软硬件安装调试，协调管理各项业务按期按质按量达到交付要求，并为项目提供技术支撑支持等。根据用户需求，将各个分离的子系统连接成为一个完整、可靠、有效的整体，并使之能彼此协调工作，发挥整体效益，达到整体性能最优。</w:t>
            </w:r>
          </w:p>
        </w:tc>
        <w:tc>
          <w:tcPr>
            <w:tcW w:w="220" w:type="pct"/>
            <w:tcBorders>
              <w:top w:val="single" w:color="000000" w:sz="4" w:space="0"/>
              <w:left w:val="single" w:color="000000" w:sz="4" w:space="0"/>
              <w:bottom w:val="single" w:color="000000" w:sz="4" w:space="0"/>
              <w:right w:val="single" w:color="000000" w:sz="4" w:space="0"/>
            </w:tcBorders>
            <w:noWrap/>
            <w:vAlign w:val="center"/>
          </w:tcPr>
          <w:p w14:paraId="4698B7C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3" w:type="pct"/>
            <w:tcBorders>
              <w:top w:val="single" w:color="000000" w:sz="4" w:space="0"/>
              <w:left w:val="single" w:color="000000" w:sz="4" w:space="0"/>
              <w:bottom w:val="single" w:color="000000" w:sz="4" w:space="0"/>
              <w:right w:val="single" w:color="000000" w:sz="4" w:space="0"/>
            </w:tcBorders>
            <w:noWrap/>
            <w:vAlign w:val="center"/>
          </w:tcPr>
          <w:p w14:paraId="5A093B6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r>
    </w:tbl>
    <w:p w14:paraId="60AAAE54">
      <w:pPr>
        <w:rPr>
          <w:color w:val="auto"/>
          <w:highlight w:val="none"/>
        </w:rPr>
      </w:pPr>
    </w:p>
    <w:tbl>
      <w:tblPr>
        <w:tblStyle w:val="19"/>
        <w:tblW w:w="9405" w:type="dxa"/>
        <w:tblInd w:w="262" w:type="dxa"/>
        <w:tblLayout w:type="fixed"/>
        <w:tblCellMar>
          <w:top w:w="0" w:type="dxa"/>
          <w:left w:w="108" w:type="dxa"/>
          <w:bottom w:w="0" w:type="dxa"/>
          <w:right w:w="108" w:type="dxa"/>
        </w:tblCellMar>
      </w:tblPr>
      <w:tblGrid>
        <w:gridCol w:w="9405"/>
      </w:tblGrid>
      <w:tr w14:paraId="715635ED">
        <w:tblPrEx>
          <w:tblCellMar>
            <w:top w:w="0" w:type="dxa"/>
            <w:left w:w="108" w:type="dxa"/>
            <w:bottom w:w="0" w:type="dxa"/>
            <w:right w:w="108" w:type="dxa"/>
          </w:tblCellMar>
        </w:tblPrEx>
        <w:trPr>
          <w:trHeight w:val="789" w:hRule="atLeast"/>
        </w:trPr>
        <w:tc>
          <w:tcPr>
            <w:tcW w:w="9405" w:type="dxa"/>
            <w:tcBorders>
              <w:top w:val="single" w:color="000000" w:sz="4" w:space="0"/>
              <w:left w:val="single" w:color="000000" w:sz="4" w:space="0"/>
              <w:bottom w:val="single" w:color="000000" w:sz="4" w:space="0"/>
              <w:right w:val="single" w:color="000000" w:sz="4" w:space="0"/>
            </w:tcBorders>
            <w:noWrap/>
            <w:vAlign w:val="center"/>
          </w:tcPr>
          <w:p w14:paraId="4652317E">
            <w:pPr>
              <w:widowControl/>
              <w:jc w:val="center"/>
              <w:textAlignment w:val="center"/>
              <w:rPr>
                <w:rFonts w:hint="eastAsia" w:ascii="宋体" w:hAnsi="宋体" w:cs="宋体"/>
                <w:color w:val="auto"/>
                <w:kern w:val="0"/>
                <w:sz w:val="20"/>
                <w:szCs w:val="20"/>
                <w:highlight w:val="none"/>
                <w:lang w:bidi="ar"/>
              </w:rPr>
            </w:pPr>
            <w:r>
              <w:rPr>
                <w:b/>
                <w:bCs/>
                <w:color w:val="auto"/>
                <w:sz w:val="24"/>
                <w:highlight w:val="none"/>
              </w:rPr>
              <w:t>商务条款</w:t>
            </w:r>
            <w:r>
              <w:rPr>
                <w:rFonts w:hint="eastAsia" w:ascii="宋体" w:hAnsi="宋体" w:cs="宋体"/>
                <w:color w:val="auto"/>
                <w:kern w:val="0"/>
                <w:sz w:val="24"/>
                <w:szCs w:val="21"/>
                <w:highlight w:val="none"/>
              </w:rPr>
              <w:t>▲</w:t>
            </w:r>
          </w:p>
        </w:tc>
      </w:tr>
      <w:tr w14:paraId="32990AEF">
        <w:tblPrEx>
          <w:tblCellMar>
            <w:top w:w="0" w:type="dxa"/>
            <w:left w:w="108" w:type="dxa"/>
            <w:bottom w:w="0" w:type="dxa"/>
            <w:right w:w="108" w:type="dxa"/>
          </w:tblCellMar>
        </w:tblPrEx>
        <w:trPr>
          <w:trHeight w:val="789" w:hRule="atLeast"/>
        </w:trPr>
        <w:tc>
          <w:tcPr>
            <w:tcW w:w="9405" w:type="dxa"/>
            <w:tcBorders>
              <w:top w:val="single" w:color="000000" w:sz="4" w:space="0"/>
              <w:left w:val="single" w:color="000000" w:sz="4" w:space="0"/>
              <w:bottom w:val="single" w:color="000000" w:sz="4" w:space="0"/>
              <w:right w:val="single" w:color="000000" w:sz="4" w:space="0"/>
            </w:tcBorders>
            <w:noWrap/>
            <w:vAlign w:val="center"/>
          </w:tcPr>
          <w:p w14:paraId="4C4DBB52">
            <w:pPr>
              <w:ind w:firstLine="420"/>
              <w:rPr>
                <w:rFonts w:hint="eastAsia" w:ascii="宋体" w:hAnsi="宋体" w:cs="宋体"/>
                <w:bCs/>
                <w:color w:val="auto"/>
                <w:szCs w:val="21"/>
                <w:highlight w:val="none"/>
              </w:rPr>
            </w:pPr>
            <w:r>
              <w:rPr>
                <w:rFonts w:ascii="宋体" w:hAnsi="宋体" w:cs="宋体"/>
                <w:bCs/>
                <w:color w:val="auto"/>
                <w:szCs w:val="21"/>
                <w:highlight w:val="none"/>
              </w:rPr>
              <w:t>一、合同签订期：自中标通知书发出之日起</w:t>
            </w:r>
            <w:r>
              <w:rPr>
                <w:rFonts w:hint="eastAsia" w:ascii="宋体" w:hAnsi="宋体" w:cs="宋体"/>
                <w:bCs/>
                <w:color w:val="auto"/>
                <w:szCs w:val="21"/>
                <w:highlight w:val="none"/>
              </w:rPr>
              <w:t>20</w:t>
            </w:r>
            <w:r>
              <w:rPr>
                <w:rFonts w:ascii="宋体" w:hAnsi="宋体" w:cs="宋体"/>
                <w:bCs/>
                <w:color w:val="auto"/>
                <w:szCs w:val="21"/>
                <w:highlight w:val="none"/>
              </w:rPr>
              <w:t>日内。</w:t>
            </w:r>
          </w:p>
          <w:p w14:paraId="5DF54E52">
            <w:pPr>
              <w:ind w:firstLine="420"/>
              <w:rPr>
                <w:rFonts w:hint="eastAsia" w:ascii="宋体" w:hAnsi="宋体" w:cs="宋体"/>
                <w:bCs/>
                <w:color w:val="auto"/>
                <w:szCs w:val="21"/>
                <w:highlight w:val="none"/>
              </w:rPr>
            </w:pPr>
            <w:r>
              <w:rPr>
                <w:rFonts w:hint="eastAsia" w:ascii="宋体" w:hAnsi="宋体" w:cs="宋体"/>
                <w:bCs/>
                <w:color w:val="auto"/>
                <w:szCs w:val="21"/>
                <w:highlight w:val="none"/>
              </w:rPr>
              <w:t>二</w:t>
            </w:r>
            <w:r>
              <w:rPr>
                <w:rFonts w:ascii="宋体" w:hAnsi="宋体" w:cs="宋体"/>
                <w:bCs/>
                <w:color w:val="auto"/>
                <w:szCs w:val="21"/>
                <w:highlight w:val="none"/>
              </w:rPr>
              <w:t>、</w:t>
            </w:r>
            <w:r>
              <w:rPr>
                <w:rFonts w:hint="default" w:ascii="宋体" w:hAnsi="宋体" w:cs="宋体"/>
                <w:bCs/>
                <w:color w:val="auto"/>
                <w:sz w:val="21"/>
                <w:szCs w:val="21"/>
                <w:highlight w:val="none"/>
                <w:lang w:eastAsia="zh-CN"/>
              </w:rPr>
              <w:t>合同履约期限</w:t>
            </w:r>
            <w:r>
              <w:rPr>
                <w:rFonts w:hint="eastAsia" w:ascii="宋体" w:hAnsi="宋体" w:cs="宋体"/>
                <w:bCs/>
                <w:color w:val="auto"/>
                <w:szCs w:val="21"/>
                <w:highlight w:val="none"/>
              </w:rPr>
              <w:t>：自合同签订之日起一年内完成开发、安装调试工作，验收合格正式交付使用之日起提供2年的运维服务。</w:t>
            </w:r>
          </w:p>
          <w:p w14:paraId="6ED38D38">
            <w:pPr>
              <w:ind w:firstLine="420"/>
              <w:rPr>
                <w:rFonts w:hint="eastAsia" w:ascii="宋体" w:hAnsi="宋体" w:cs="宋体"/>
                <w:bCs/>
                <w:color w:val="auto"/>
                <w:szCs w:val="21"/>
                <w:highlight w:val="none"/>
              </w:rPr>
            </w:pPr>
            <w:r>
              <w:rPr>
                <w:rFonts w:hint="eastAsia" w:ascii="宋体" w:hAnsi="宋体" w:cs="宋体"/>
                <w:bCs/>
                <w:color w:val="auto"/>
                <w:szCs w:val="21"/>
                <w:highlight w:val="none"/>
              </w:rPr>
              <w:t>三</w:t>
            </w:r>
            <w:r>
              <w:rPr>
                <w:rFonts w:ascii="宋体" w:hAnsi="宋体" w:cs="宋体"/>
                <w:bCs/>
                <w:color w:val="auto"/>
                <w:szCs w:val="21"/>
                <w:highlight w:val="none"/>
              </w:rPr>
              <w:t>、服务地点：招标人指定地点；</w:t>
            </w:r>
          </w:p>
          <w:p w14:paraId="0DBAE8D2">
            <w:pPr>
              <w:ind w:firstLine="420"/>
              <w:rPr>
                <w:rFonts w:hint="eastAsia" w:ascii="宋体" w:hAnsi="宋体" w:cs="宋体"/>
                <w:bCs/>
                <w:color w:val="auto"/>
                <w:szCs w:val="21"/>
                <w:highlight w:val="none"/>
              </w:rPr>
            </w:pPr>
            <w:r>
              <w:rPr>
                <w:rFonts w:hint="eastAsia" w:ascii="宋体" w:hAnsi="宋体" w:cs="宋体"/>
                <w:bCs/>
                <w:color w:val="auto"/>
                <w:szCs w:val="21"/>
                <w:highlight w:val="none"/>
              </w:rPr>
              <w:t>四、付款方式：1、签订合同后10个工作日内，支付合同总金额的30%作为预付款；</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完成项目平台</w:t>
            </w:r>
            <w:r>
              <w:rPr>
                <w:rFonts w:hint="eastAsia" w:ascii="宋体" w:hAnsi="宋体" w:cs="宋体"/>
                <w:bCs/>
                <w:color w:val="auto"/>
                <w:szCs w:val="21"/>
                <w:highlight w:val="none"/>
                <w:lang w:val="en-US" w:eastAsia="zh-CN"/>
              </w:rPr>
              <w:t>服务器搭建</w:t>
            </w:r>
            <w:r>
              <w:rPr>
                <w:rFonts w:hint="eastAsia" w:ascii="宋体" w:hAnsi="宋体" w:eastAsia="宋体" w:cs="宋体"/>
                <w:bCs/>
                <w:color w:val="auto"/>
                <w:szCs w:val="21"/>
                <w:highlight w:val="none"/>
                <w:lang w:val="en-US" w:eastAsia="zh-CN"/>
              </w:rPr>
              <w:t>，并完成软件详细的</w:t>
            </w:r>
            <w:r>
              <w:rPr>
                <w:rFonts w:hint="eastAsia" w:ascii="宋体" w:hAnsi="宋体" w:eastAsia="宋体" w:cs="宋体"/>
                <w:b w:val="0"/>
                <w:bCs/>
                <w:color w:val="auto"/>
                <w:sz w:val="21"/>
                <w:szCs w:val="21"/>
                <w:highlight w:val="none"/>
              </w:rPr>
              <w:t>需求调研完成后一个月</w:t>
            </w:r>
            <w:r>
              <w:rPr>
                <w:rFonts w:hint="eastAsia" w:ascii="宋体" w:hAnsi="宋体" w:eastAsia="宋体" w:cs="宋体"/>
                <w:b w:val="0"/>
                <w:bCs/>
                <w:color w:val="auto"/>
                <w:sz w:val="21"/>
                <w:szCs w:val="21"/>
                <w:highlight w:val="none"/>
                <w:lang w:val="en-US" w:eastAsia="zh-CN"/>
              </w:rPr>
              <w:t>内付款到总合同金额的</w:t>
            </w:r>
            <w:r>
              <w:rPr>
                <w:rFonts w:hint="eastAsia" w:ascii="宋体" w:hAnsi="宋体" w:eastAsia="宋体" w:cs="宋体"/>
                <w:bCs/>
                <w:color w:val="auto"/>
                <w:szCs w:val="21"/>
                <w:highlight w:val="none"/>
                <w:lang w:val="en-US" w:eastAsia="zh-CN"/>
              </w:rPr>
              <w:t>60%。</w:t>
            </w:r>
            <w:r>
              <w:rPr>
                <w:rFonts w:hint="eastAsia" w:ascii="宋体" w:hAnsi="宋体" w:cs="宋体"/>
                <w:bCs/>
                <w:color w:val="auto"/>
                <w:szCs w:val="21"/>
                <w:highlight w:val="none"/>
                <w:lang w:eastAsia="zh-CN"/>
              </w:rPr>
              <w:t>3</w:t>
            </w:r>
            <w:r>
              <w:rPr>
                <w:rFonts w:hint="eastAsia" w:ascii="宋体" w:hAnsi="宋体" w:cs="宋体"/>
                <w:bCs/>
                <w:color w:val="auto"/>
                <w:szCs w:val="21"/>
                <w:highlight w:val="none"/>
              </w:rPr>
              <w:t>、项目整体完成并业务化试运行，经采购人验收合格后，支付至合同总金额100%。</w:t>
            </w:r>
          </w:p>
          <w:p w14:paraId="5B61B4EF">
            <w:pPr>
              <w:ind w:firstLine="420"/>
              <w:rPr>
                <w:rFonts w:hint="eastAsia" w:ascii="宋体" w:hAnsi="宋体" w:cs="宋体"/>
                <w:bCs/>
                <w:color w:val="auto"/>
                <w:szCs w:val="21"/>
                <w:highlight w:val="none"/>
              </w:rPr>
            </w:pPr>
            <w:r>
              <w:rPr>
                <w:rFonts w:hint="eastAsia" w:ascii="宋体" w:hAnsi="宋体" w:cs="宋体"/>
                <w:bCs/>
                <w:color w:val="auto"/>
                <w:szCs w:val="21"/>
                <w:highlight w:val="none"/>
              </w:rPr>
              <w:t>五</w:t>
            </w:r>
            <w:r>
              <w:rPr>
                <w:rFonts w:ascii="宋体" w:hAnsi="宋体" w:cs="宋体"/>
                <w:bCs/>
                <w:color w:val="auto"/>
                <w:szCs w:val="21"/>
                <w:highlight w:val="none"/>
              </w:rPr>
              <w:t>、</w:t>
            </w:r>
            <w:r>
              <w:rPr>
                <w:rFonts w:hint="eastAsia" w:ascii="宋体" w:hAnsi="宋体" w:cs="宋体"/>
                <w:bCs/>
                <w:color w:val="auto"/>
                <w:szCs w:val="21"/>
                <w:highlight w:val="none"/>
              </w:rPr>
              <w:t>服务响应要求：</w:t>
            </w:r>
          </w:p>
          <w:p w14:paraId="0504FFA9">
            <w:pPr>
              <w:ind w:firstLine="420"/>
              <w:rPr>
                <w:rFonts w:hint="eastAsia" w:ascii="宋体" w:hAnsi="宋体" w:cs="宋体"/>
                <w:bCs/>
                <w:color w:val="auto"/>
                <w:szCs w:val="21"/>
                <w:highlight w:val="none"/>
              </w:rPr>
            </w:pPr>
            <w:r>
              <w:rPr>
                <w:rFonts w:hint="eastAsia" w:ascii="宋体" w:hAnsi="宋体" w:cs="宋体"/>
                <w:bCs/>
                <w:color w:val="auto"/>
                <w:szCs w:val="21"/>
                <w:highlight w:val="none"/>
              </w:rPr>
              <w:t xml:space="preserve">1、响应报价为供应商提供的所有服务的报价，需报出项目整体服务总价。 </w:t>
            </w:r>
          </w:p>
          <w:p w14:paraId="167A86F5">
            <w:pPr>
              <w:ind w:firstLine="420"/>
              <w:rPr>
                <w:rFonts w:hint="eastAsia" w:ascii="宋体" w:hAnsi="宋体" w:cs="宋体"/>
                <w:bCs/>
                <w:color w:val="auto"/>
                <w:szCs w:val="21"/>
                <w:highlight w:val="none"/>
              </w:rPr>
            </w:pPr>
            <w:r>
              <w:rPr>
                <w:rFonts w:hint="eastAsia" w:ascii="宋体" w:hAnsi="宋体" w:cs="宋体"/>
                <w:bCs/>
                <w:color w:val="auto"/>
                <w:szCs w:val="21"/>
                <w:highlight w:val="none"/>
              </w:rPr>
              <w:t>2、供应商响应时必须在投标文件中提供详细的项目实施方案（可包含技术实施方案、售后服务方案等）、保密承诺</w:t>
            </w:r>
            <w:r>
              <w:rPr>
                <w:rFonts w:hint="eastAsia" w:ascii="宋体" w:hAnsi="宋体" w:cs="宋体"/>
                <w:bCs/>
                <w:color w:val="auto"/>
                <w:szCs w:val="21"/>
                <w:highlight w:val="none"/>
                <w:lang w:eastAsia="zh-CN"/>
              </w:rPr>
              <w:t>、</w:t>
            </w:r>
            <w:r>
              <w:rPr>
                <w:rFonts w:hint="eastAsia"/>
                <w:i w:val="0"/>
                <w:iCs w:val="0"/>
                <w:color w:val="000000"/>
                <w:highlight w:val="none"/>
                <w:lang w:eastAsia="zh-CN"/>
              </w:rPr>
              <w:t>人员配备</w:t>
            </w:r>
            <w:r>
              <w:rPr>
                <w:rFonts w:hint="eastAsia" w:ascii="宋体" w:hAnsi="宋体" w:cs="宋体"/>
                <w:bCs/>
                <w:color w:val="auto"/>
                <w:szCs w:val="21"/>
                <w:highlight w:val="none"/>
              </w:rPr>
              <w:t xml:space="preserve">等。 </w:t>
            </w:r>
          </w:p>
          <w:p w14:paraId="7F5826C5">
            <w:pPr>
              <w:ind w:firstLine="420"/>
              <w:rPr>
                <w:rFonts w:hint="eastAsia" w:ascii="宋体" w:hAnsi="宋体" w:cs="宋体"/>
                <w:bCs/>
                <w:color w:val="auto"/>
                <w:szCs w:val="21"/>
                <w:highlight w:val="none"/>
              </w:rPr>
            </w:pPr>
            <w:r>
              <w:rPr>
                <w:rFonts w:hint="eastAsia" w:ascii="宋体" w:hAnsi="宋体" w:cs="宋体"/>
                <w:bCs/>
                <w:color w:val="auto"/>
                <w:szCs w:val="21"/>
                <w:highlight w:val="none"/>
              </w:rPr>
              <w:t xml:space="preserve">3、供应商须提供7×24小时技术支持电话服务，并提供售后服务承诺书。 </w:t>
            </w:r>
          </w:p>
          <w:p w14:paraId="0CF4E02F">
            <w:pPr>
              <w:widowControl/>
              <w:spacing w:line="288" w:lineRule="auto"/>
              <w:ind w:firstLine="420" w:firstLineChars="200"/>
              <w:jc w:val="left"/>
              <w:rPr>
                <w:rFonts w:hint="eastAsia" w:ascii="宋体" w:hAnsi="宋体" w:cs="宋体"/>
                <w:color w:val="auto"/>
                <w:highlight w:val="none"/>
                <w:lang w:val="en-US" w:eastAsia="zh-CN"/>
              </w:rPr>
            </w:pPr>
            <w:r>
              <w:rPr>
                <w:rFonts w:hint="eastAsia" w:ascii="宋体" w:hAnsi="宋体" w:cs="宋体"/>
                <w:color w:val="auto"/>
                <w:highlight w:val="none"/>
              </w:rPr>
              <w:t>六、</w:t>
            </w:r>
            <w:r>
              <w:rPr>
                <w:rFonts w:hint="eastAsia" w:ascii="宋体" w:hAnsi="宋体" w:cs="宋体"/>
                <w:color w:val="auto"/>
                <w:highlight w:val="none"/>
                <w:lang w:val="en-US" w:eastAsia="zh-CN"/>
              </w:rPr>
              <w:t>其他要求：</w:t>
            </w:r>
          </w:p>
          <w:p w14:paraId="5E2EE2AD">
            <w:pPr>
              <w:widowControl/>
              <w:spacing w:line="288"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提供的服务配套技术设备要求提供免费送货上门、安装调试合格，解决产品在使用过程出现的各种问题及提供技术指导，采购人在使用过程中若产品发生质量问题或故障，在接到采购人通知后6小时内电话响应，12个小时内到达现场处理，一般故障处理时限不超过24小时修复，重大故障处理时限不超过72小时修复，若无法修复须提供相应备用配件替换，保障正常使用；</w:t>
            </w:r>
          </w:p>
          <w:p w14:paraId="2A99FB25">
            <w:pPr>
              <w:ind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rPr>
              <w:t>2.投标人根据以上服务要求，于投标文件中必须提供相应售后服务承诺书。</w:t>
            </w:r>
          </w:p>
          <w:p w14:paraId="50BBFBD8">
            <w:pPr>
              <w:widowControl/>
              <w:ind w:firstLine="210" w:firstLineChars="100"/>
              <w:textAlignment w:val="center"/>
              <w:rPr>
                <w:color w:val="auto"/>
                <w:sz w:val="20"/>
                <w:szCs w:val="20"/>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投标人所提供的服务配套技术设备必须是全新、未使用的原装产品，且在正常使用和保养条件下，其使用寿命期内各项指标均达到质量要求。产品到货后，采购人现场根据招标文件要求及投标文件承诺逐条对应进行核验，核验不合格的，采购人有权终止合同执行并全部退货，同时报相关监督管理部门处理，由此造成采购人经济损失的由中标供应商负责承担全部赔偿责任。采购人有权自行或委托第三方检测机构对服务产品质量及功能要求进行核验，核验不合格的，采购人有权终止合同执行并全部退货，同时报相关监督管理部门处理，由此造成采购人经济损失的由中标供应商负责承担全部赔偿责任。委托第三方检测机构对产品进行核验所有产生的费用由中标供应商承担。</w:t>
            </w:r>
          </w:p>
        </w:tc>
      </w:tr>
    </w:tbl>
    <w:p w14:paraId="3689D2C5">
      <w:pPr>
        <w:pStyle w:val="2"/>
        <w:numPr>
          <w:ilvl w:val="-1"/>
          <w:numId w:val="0"/>
        </w:numPr>
        <w:spacing w:line="360" w:lineRule="auto"/>
        <w:jc w:val="both"/>
        <w:rPr>
          <w:color w:val="auto"/>
          <w:highlight w:val="none"/>
        </w:rPr>
      </w:pPr>
    </w:p>
    <w:p w14:paraId="7B71FF0F">
      <w:pPr>
        <w:pStyle w:val="2"/>
        <w:spacing w:before="0" w:after="0" w:line="360" w:lineRule="auto"/>
        <w:jc w:val="both"/>
        <w:rPr>
          <w:rFonts w:hint="eastAsia" w:ascii="宋体" w:hAnsi="宋体" w:cs="宋体"/>
          <w:b w:val="0"/>
          <w:bCs w:val="0"/>
          <w:color w:val="auto"/>
          <w:sz w:val="32"/>
          <w:szCs w:val="32"/>
          <w:highlight w:val="none"/>
        </w:rPr>
      </w:pPr>
    </w:p>
    <w:p w14:paraId="1F1A941C">
      <w:pPr>
        <w:pStyle w:val="2"/>
        <w:spacing w:before="0" w:after="0" w:line="360" w:lineRule="auto"/>
        <w:jc w:val="both"/>
        <w:rPr>
          <w:rFonts w:hint="eastAsia" w:ascii="宋体" w:hAnsi="宋体" w:cs="宋体"/>
          <w:b w:val="0"/>
          <w:bCs w:val="0"/>
          <w:color w:val="auto"/>
          <w:sz w:val="32"/>
          <w:szCs w:val="32"/>
          <w:highlight w:val="none"/>
        </w:rPr>
      </w:pPr>
    </w:p>
    <w:p w14:paraId="6A1D8410">
      <w:pPr>
        <w:rPr>
          <w:rFonts w:hint="eastAsia" w:ascii="宋体" w:hAnsi="宋体" w:cs="宋体"/>
          <w:b w:val="0"/>
          <w:bCs w:val="0"/>
          <w:color w:val="auto"/>
          <w:sz w:val="32"/>
          <w:szCs w:val="32"/>
          <w:highlight w:val="none"/>
        </w:rPr>
      </w:pPr>
    </w:p>
    <w:p w14:paraId="7CA48846">
      <w:pPr>
        <w:pStyle w:val="2"/>
        <w:spacing w:before="0" w:after="0" w:line="360" w:lineRule="auto"/>
        <w:jc w:val="both"/>
        <w:rPr>
          <w:rFonts w:hint="eastAsia" w:ascii="宋体" w:hAnsi="宋体" w:cs="宋体"/>
          <w:b w:val="0"/>
          <w:bCs w:val="0"/>
          <w:color w:val="auto"/>
          <w:sz w:val="32"/>
          <w:szCs w:val="32"/>
          <w:highlight w:val="none"/>
        </w:rPr>
      </w:pPr>
    </w:p>
    <w:p w14:paraId="3F6EB2BF">
      <w:pPr>
        <w:rPr>
          <w:rFonts w:hint="eastAsia" w:ascii="宋体" w:hAnsi="宋体" w:cs="宋体"/>
          <w:b w:val="0"/>
          <w:bCs w:val="0"/>
          <w:color w:val="auto"/>
          <w:sz w:val="32"/>
          <w:szCs w:val="32"/>
          <w:highlight w:val="none"/>
        </w:rPr>
      </w:pPr>
    </w:p>
    <w:p w14:paraId="5E0A5184">
      <w:pPr>
        <w:rPr>
          <w:rFonts w:hint="eastAsia" w:ascii="宋体" w:hAnsi="宋体" w:cs="宋体"/>
          <w:b w:val="0"/>
          <w:bCs w:val="0"/>
          <w:color w:val="auto"/>
          <w:sz w:val="32"/>
          <w:szCs w:val="32"/>
          <w:highlight w:val="none"/>
        </w:rPr>
      </w:pPr>
    </w:p>
    <w:p w14:paraId="2AC2C519">
      <w:pPr>
        <w:rPr>
          <w:rFonts w:hint="eastAsia" w:ascii="宋体" w:hAnsi="宋体" w:cs="宋体"/>
          <w:b w:val="0"/>
          <w:bCs w:val="0"/>
          <w:color w:val="auto"/>
          <w:sz w:val="32"/>
          <w:szCs w:val="32"/>
          <w:highlight w:val="none"/>
        </w:rPr>
      </w:pPr>
    </w:p>
    <w:p w14:paraId="5BD74458">
      <w:pPr>
        <w:rPr>
          <w:rFonts w:hint="eastAsia" w:ascii="宋体" w:hAnsi="宋体" w:cs="宋体"/>
          <w:b w:val="0"/>
          <w:bCs w:val="0"/>
          <w:color w:val="auto"/>
          <w:sz w:val="32"/>
          <w:szCs w:val="32"/>
          <w:highlight w:val="none"/>
        </w:rPr>
      </w:pPr>
    </w:p>
    <w:p w14:paraId="5C0BFC6B">
      <w:pPr>
        <w:spacing w:before="7"/>
        <w:rPr>
          <w:rFonts w:hint="eastAsia" w:ascii="Arial Unicode MS" w:hAnsi="Arial Unicode MS" w:eastAsia="Arial Unicode MS" w:cs="Arial Unicode MS"/>
          <w:color w:val="auto"/>
          <w:sz w:val="17"/>
          <w:szCs w:val="17"/>
          <w:highlight w:val="none"/>
        </w:rPr>
      </w:pPr>
      <w:bookmarkStart w:id="55" w:name="_Toc3579"/>
      <w:r>
        <w:rPr>
          <w:rFonts w:hint="eastAsia" w:ascii="宋体" w:hAnsi="宋体" w:cs="宋体"/>
          <w:b w:val="0"/>
          <w:bCs w:val="0"/>
          <w:color w:val="auto"/>
          <w:sz w:val="32"/>
          <w:szCs w:val="32"/>
          <w:highlight w:val="none"/>
        </w:rPr>
        <w:t>附件：</w:t>
      </w:r>
      <w:bookmarkEnd w:id="55"/>
    </w:p>
    <w:p w14:paraId="5049EFCA">
      <w:pPr>
        <w:spacing w:line="528" w:lineRule="exact"/>
        <w:ind w:left="1871"/>
        <w:rPr>
          <w:rFonts w:hint="eastAsia" w:ascii="宋体" w:hAnsi="宋体" w:cs="宋体"/>
          <w:color w:val="auto"/>
          <w:sz w:val="28"/>
          <w:szCs w:val="28"/>
          <w:highlight w:val="none"/>
        </w:rPr>
      </w:pPr>
      <w:r>
        <w:rPr>
          <w:rFonts w:hint="eastAsia" w:ascii="宋体" w:hAnsi="宋体" w:cs="宋体"/>
          <w:color w:val="auto"/>
          <w:sz w:val="32"/>
          <w:szCs w:val="32"/>
          <w:highlight w:val="none"/>
        </w:rPr>
        <w:t>节能产品政府采购品目清单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38"/>
        <w:gridCol w:w="1638"/>
        <w:gridCol w:w="1684"/>
        <w:gridCol w:w="3976"/>
      </w:tblGrid>
      <w:tr w14:paraId="2142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D69512">
            <w:pPr>
              <w:jc w:val="left"/>
              <w:rPr>
                <w:color w:val="auto"/>
                <w:highlight w:val="none"/>
              </w:rPr>
            </w:pPr>
            <w:r>
              <w:rPr>
                <w:rFonts w:hint="eastAsia"/>
                <w:color w:val="auto"/>
                <w:highlight w:val="none"/>
              </w:rPr>
              <w:t>品目序号</w:t>
            </w:r>
          </w:p>
        </w:tc>
        <w:tc>
          <w:tcPr>
            <w:tcW w:w="4653" w:type="dxa"/>
            <w:gridSpan w:val="3"/>
            <w:tcBorders>
              <w:top w:val="single" w:color="000000" w:sz="4" w:space="0"/>
              <w:left w:val="single" w:color="000000" w:sz="4" w:space="0"/>
              <w:bottom w:val="single" w:color="000000" w:sz="4" w:space="0"/>
              <w:right w:val="single" w:color="000000" w:sz="4" w:space="0"/>
            </w:tcBorders>
            <w:noWrap w:val="0"/>
            <w:vAlign w:val="center"/>
          </w:tcPr>
          <w:p w14:paraId="61FECA72">
            <w:pPr>
              <w:jc w:val="left"/>
              <w:rPr>
                <w:color w:val="auto"/>
                <w:highlight w:val="none"/>
              </w:rPr>
            </w:pPr>
            <w:r>
              <w:rPr>
                <w:rFonts w:hint="eastAsia"/>
                <w:color w:val="auto"/>
                <w:highlight w:val="none"/>
              </w:rPr>
              <w:t>名称</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003EB308">
            <w:pPr>
              <w:jc w:val="left"/>
              <w:rPr>
                <w:color w:val="auto"/>
                <w:highlight w:val="none"/>
              </w:rPr>
            </w:pPr>
            <w:r>
              <w:rPr>
                <w:rFonts w:hint="eastAsia"/>
                <w:color w:val="auto"/>
                <w:highlight w:val="none"/>
              </w:rPr>
              <w:t>依据的标准</w:t>
            </w:r>
          </w:p>
        </w:tc>
      </w:tr>
      <w:tr w14:paraId="3B58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1860A3CA">
            <w:pPr>
              <w:jc w:val="left"/>
              <w:rPr>
                <w:color w:val="auto"/>
                <w:highlight w:val="none"/>
              </w:rPr>
            </w:pPr>
            <w:r>
              <w:rPr>
                <w:rFonts w:hint="eastAsia"/>
                <w:color w:val="auto"/>
                <w:highlight w:val="none"/>
              </w:rPr>
              <w:t>1</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8DBA3EC">
            <w:pPr>
              <w:jc w:val="left"/>
              <w:rPr>
                <w:color w:val="auto"/>
                <w:highlight w:val="none"/>
              </w:rPr>
            </w:pPr>
            <w:r>
              <w:rPr>
                <w:rFonts w:hint="eastAsia"/>
                <w:color w:val="auto"/>
                <w:highlight w:val="none"/>
              </w:rPr>
              <w:t>A02010100计算机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DD68162">
            <w:pPr>
              <w:rPr>
                <w:color w:val="auto"/>
                <w:highlight w:val="none"/>
              </w:rPr>
            </w:pPr>
            <w:r>
              <w:rPr>
                <w:rFonts w:hint="eastAsia"/>
                <w:color w:val="auto"/>
                <w:highlight w:val="none"/>
              </w:rPr>
              <w:t>★A02010105台式计算机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6BE7CCF">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2994D58C">
            <w:pPr>
              <w:rPr>
                <w:color w:val="auto"/>
                <w:highlight w:val="none"/>
              </w:rPr>
            </w:pPr>
            <w:r>
              <w:rPr>
                <w:rFonts w:hint="eastAsia"/>
                <w:color w:val="auto"/>
                <w:highlight w:val="none"/>
              </w:rPr>
              <w:t>《微型计算机能效限定值及能效等级》（GB28380）</w:t>
            </w:r>
          </w:p>
        </w:tc>
      </w:tr>
      <w:tr w14:paraId="4126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9EC35B">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10B468">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14A359E">
            <w:pPr>
              <w:rPr>
                <w:color w:val="auto"/>
                <w:highlight w:val="none"/>
              </w:rPr>
            </w:pPr>
            <w:r>
              <w:rPr>
                <w:rFonts w:hint="eastAsia"/>
                <w:color w:val="auto"/>
                <w:highlight w:val="none"/>
              </w:rPr>
              <w:t>★A02010108便携式计算机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C6C44EA">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4D83A8C2">
            <w:pPr>
              <w:rPr>
                <w:color w:val="auto"/>
                <w:highlight w:val="none"/>
              </w:rPr>
            </w:pPr>
            <w:r>
              <w:rPr>
                <w:rFonts w:hint="eastAsia"/>
                <w:color w:val="auto"/>
                <w:highlight w:val="none"/>
              </w:rPr>
              <w:t>《微型计算机能效限定值及能效等级》（GB28380）</w:t>
            </w:r>
          </w:p>
        </w:tc>
      </w:tr>
      <w:tr w14:paraId="2DC1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A7EE78">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5CBBC0">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C9583BE">
            <w:pPr>
              <w:rPr>
                <w:color w:val="auto"/>
                <w:highlight w:val="none"/>
              </w:rPr>
            </w:pPr>
            <w:r>
              <w:rPr>
                <w:rFonts w:hint="eastAsia"/>
                <w:color w:val="auto"/>
                <w:highlight w:val="none"/>
              </w:rPr>
              <w:t>★A02010109平板式计算机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B430159">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28EEA485">
            <w:pPr>
              <w:rPr>
                <w:color w:val="auto"/>
                <w:highlight w:val="none"/>
              </w:rPr>
            </w:pPr>
            <w:r>
              <w:rPr>
                <w:rFonts w:hint="eastAsia"/>
                <w:color w:val="auto"/>
                <w:highlight w:val="none"/>
              </w:rPr>
              <w:t>《微型计算机能效限定值及能效等级》（GB28380）</w:t>
            </w:r>
          </w:p>
        </w:tc>
      </w:tr>
      <w:tr w14:paraId="61A0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61D7016">
            <w:pPr>
              <w:jc w:val="left"/>
              <w:rPr>
                <w:color w:val="auto"/>
                <w:highlight w:val="none"/>
              </w:rPr>
            </w:pPr>
            <w:r>
              <w:rPr>
                <w:rFonts w:hint="eastAsia"/>
                <w:color w:val="auto"/>
                <w:highlight w:val="none"/>
              </w:rPr>
              <w:t>2</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932226D">
            <w:pPr>
              <w:rPr>
                <w:color w:val="auto"/>
                <w:highlight w:val="none"/>
              </w:rPr>
            </w:pPr>
            <w:r>
              <w:rPr>
                <w:rFonts w:hint="eastAsia"/>
                <w:color w:val="auto"/>
                <w:highlight w:val="none"/>
              </w:rPr>
              <w:t>A02020000办公设备</w:t>
            </w: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47F5D20E">
            <w:pPr>
              <w:jc w:val="left"/>
              <w:rPr>
                <w:color w:val="auto"/>
                <w:highlight w:val="none"/>
              </w:rPr>
            </w:pPr>
            <w:r>
              <w:rPr>
                <w:rFonts w:hint="eastAsia"/>
                <w:color w:val="auto"/>
                <w:highlight w:val="none"/>
              </w:rPr>
              <w:t>A02021000打印机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7BC38B4">
            <w:pPr>
              <w:jc w:val="left"/>
              <w:rPr>
                <w:color w:val="auto"/>
                <w:highlight w:val="none"/>
              </w:rPr>
            </w:pPr>
            <w:r>
              <w:rPr>
                <w:rFonts w:hint="eastAsia"/>
                <w:color w:val="auto"/>
                <w:highlight w:val="none"/>
              </w:rPr>
              <w:t>A02021001 A3黑白打印机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25BD87D">
            <w:pPr>
              <w:rPr>
                <w:color w:val="auto"/>
                <w:highlight w:val="none"/>
              </w:rPr>
            </w:pPr>
            <w:r>
              <w:rPr>
                <w:rFonts w:hint="eastAsia"/>
                <w:color w:val="auto"/>
                <w:highlight w:val="none"/>
              </w:rPr>
              <w:t>《复印机、打印机和传真机能效限定值及能效等级》（GB21521）</w:t>
            </w:r>
          </w:p>
        </w:tc>
      </w:tr>
      <w:tr w14:paraId="6BC5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565493">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8E38EF">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ED403E">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81DF7E5">
            <w:pPr>
              <w:jc w:val="left"/>
              <w:rPr>
                <w:color w:val="auto"/>
                <w:highlight w:val="none"/>
              </w:rPr>
            </w:pPr>
            <w:r>
              <w:rPr>
                <w:rFonts w:hint="eastAsia"/>
                <w:color w:val="auto"/>
                <w:highlight w:val="none"/>
              </w:rPr>
              <w:t>A02021002 A3彩色打印机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48CAEBAA">
            <w:pPr>
              <w:rPr>
                <w:color w:val="auto"/>
                <w:highlight w:val="none"/>
              </w:rPr>
            </w:pPr>
            <w:r>
              <w:rPr>
                <w:rFonts w:hint="eastAsia"/>
                <w:color w:val="auto"/>
                <w:highlight w:val="none"/>
              </w:rPr>
              <w:t>《复印机、打印机和传真机能效限定值及能效等级》（GB21521）</w:t>
            </w:r>
          </w:p>
        </w:tc>
      </w:tr>
      <w:tr w14:paraId="3A2B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2B5174">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60EB49">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D25ABEB">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08396D0">
            <w:pPr>
              <w:jc w:val="left"/>
              <w:rPr>
                <w:color w:val="auto"/>
                <w:highlight w:val="none"/>
              </w:rPr>
            </w:pPr>
            <w:r>
              <w:rPr>
                <w:rFonts w:hint="eastAsia"/>
                <w:color w:val="auto"/>
                <w:highlight w:val="none"/>
              </w:rPr>
              <w:t>A02021003 A4黑白打印机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E441026">
            <w:pPr>
              <w:rPr>
                <w:color w:val="auto"/>
                <w:highlight w:val="none"/>
              </w:rPr>
            </w:pPr>
            <w:r>
              <w:rPr>
                <w:rFonts w:hint="eastAsia"/>
                <w:color w:val="auto"/>
                <w:highlight w:val="none"/>
              </w:rPr>
              <w:t>《复印机、打印机和传真机能效限定值及能效等级》（GB21521）</w:t>
            </w:r>
          </w:p>
        </w:tc>
      </w:tr>
      <w:tr w14:paraId="6874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CBBEE8">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C5F89A">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81650D">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4C1B1AD">
            <w:pPr>
              <w:jc w:val="left"/>
              <w:rPr>
                <w:color w:val="auto"/>
                <w:highlight w:val="none"/>
              </w:rPr>
            </w:pPr>
            <w:r>
              <w:rPr>
                <w:rFonts w:hint="eastAsia"/>
                <w:color w:val="auto"/>
                <w:highlight w:val="none"/>
              </w:rPr>
              <w:t>A02021004 A4彩色打印机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F8B36C3">
            <w:pPr>
              <w:rPr>
                <w:color w:val="auto"/>
                <w:highlight w:val="none"/>
              </w:rPr>
            </w:pPr>
            <w:r>
              <w:rPr>
                <w:rFonts w:hint="eastAsia"/>
                <w:color w:val="auto"/>
                <w:highlight w:val="none"/>
              </w:rPr>
              <w:t>《复印机、打印机和传真机能效限定值及能效等级》（GB21521）</w:t>
            </w:r>
          </w:p>
        </w:tc>
      </w:tr>
      <w:tr w14:paraId="62AD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8F4080">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2D5B93">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8AF696">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4300A39">
            <w:pPr>
              <w:jc w:val="left"/>
              <w:rPr>
                <w:color w:val="auto"/>
                <w:highlight w:val="none"/>
              </w:rPr>
            </w:pPr>
            <w:r>
              <w:rPr>
                <w:rFonts w:hint="eastAsia"/>
                <w:color w:val="auto"/>
                <w:highlight w:val="none"/>
              </w:rPr>
              <w:t>A02021005 3D打印机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4EB49F8">
            <w:pPr>
              <w:rPr>
                <w:color w:val="auto"/>
                <w:highlight w:val="none"/>
              </w:rPr>
            </w:pPr>
            <w:r>
              <w:rPr>
                <w:rFonts w:hint="eastAsia"/>
                <w:color w:val="auto"/>
                <w:highlight w:val="none"/>
              </w:rPr>
              <w:t>《复印机、打印机和传真机能效限定值及能效等级》（GB21521）</w:t>
            </w:r>
          </w:p>
        </w:tc>
      </w:tr>
      <w:tr w14:paraId="11D9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F2C9CB">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8C04A9">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9343D38">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D33BB5D">
            <w:pPr>
              <w:jc w:val="left"/>
              <w:rPr>
                <w:color w:val="auto"/>
                <w:highlight w:val="none"/>
              </w:rPr>
            </w:pPr>
            <w:r>
              <w:rPr>
                <w:rFonts w:hint="eastAsia"/>
                <w:color w:val="auto"/>
                <w:highlight w:val="none"/>
              </w:rPr>
              <w:t>A02021006票据打印机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0072FBC0">
            <w:pPr>
              <w:rPr>
                <w:color w:val="auto"/>
                <w:highlight w:val="none"/>
              </w:rPr>
            </w:pPr>
            <w:r>
              <w:rPr>
                <w:rFonts w:hint="eastAsia"/>
                <w:color w:val="auto"/>
                <w:highlight w:val="none"/>
              </w:rPr>
              <w:t>《复印机、打印机和传真机能效限定值及能效等级》（GB21521）</w:t>
            </w:r>
          </w:p>
        </w:tc>
      </w:tr>
      <w:tr w14:paraId="4254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711B9F">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41F52E">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A414E7">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F3449C5">
            <w:pPr>
              <w:jc w:val="left"/>
              <w:rPr>
                <w:color w:val="auto"/>
                <w:highlight w:val="none"/>
              </w:rPr>
            </w:pPr>
            <w:r>
              <w:rPr>
                <w:rFonts w:hint="eastAsia"/>
                <w:color w:val="auto"/>
                <w:highlight w:val="none"/>
              </w:rPr>
              <w:t>A02021007条码打印机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0963D723">
            <w:pPr>
              <w:rPr>
                <w:color w:val="auto"/>
                <w:highlight w:val="none"/>
              </w:rPr>
            </w:pPr>
            <w:r>
              <w:rPr>
                <w:rFonts w:hint="eastAsia"/>
                <w:color w:val="auto"/>
                <w:highlight w:val="none"/>
              </w:rPr>
              <w:t>《复印机、打印机和传真机能效限定值及能效等级》（GB21521）</w:t>
            </w:r>
          </w:p>
        </w:tc>
      </w:tr>
      <w:tr w14:paraId="3CD3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788163">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5B8201">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1455B5">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2982A7B">
            <w:pPr>
              <w:jc w:val="left"/>
              <w:rPr>
                <w:color w:val="auto"/>
                <w:highlight w:val="none"/>
              </w:rPr>
            </w:pPr>
            <w:r>
              <w:rPr>
                <w:rFonts w:hint="eastAsia"/>
                <w:color w:val="auto"/>
                <w:highlight w:val="none"/>
              </w:rPr>
              <w:t>A02021008地址打印机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164D4A3">
            <w:pPr>
              <w:rPr>
                <w:color w:val="auto"/>
                <w:highlight w:val="none"/>
              </w:rPr>
            </w:pPr>
            <w:r>
              <w:rPr>
                <w:rFonts w:hint="eastAsia"/>
                <w:color w:val="auto"/>
                <w:highlight w:val="none"/>
              </w:rPr>
              <w:t>《复印机、打印机和传真机能效限定值及能效等级》（GB21521）</w:t>
            </w:r>
          </w:p>
        </w:tc>
      </w:tr>
      <w:tr w14:paraId="725C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4333DD">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CCE151">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94E6C6">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050610F">
            <w:pPr>
              <w:jc w:val="left"/>
              <w:rPr>
                <w:color w:val="auto"/>
                <w:highlight w:val="none"/>
              </w:rPr>
            </w:pPr>
            <w:r>
              <w:rPr>
                <w:rFonts w:hint="eastAsia"/>
                <w:color w:val="auto"/>
                <w:highlight w:val="none"/>
              </w:rPr>
              <w:t>A02021099其他打印机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08490F1">
            <w:pPr>
              <w:rPr>
                <w:color w:val="auto"/>
                <w:highlight w:val="none"/>
              </w:rPr>
            </w:pPr>
            <w:r>
              <w:rPr>
                <w:rFonts w:hint="eastAsia"/>
                <w:color w:val="auto"/>
                <w:highlight w:val="none"/>
              </w:rPr>
              <w:t>《复印机、打印机和传真机能效限定值及能效等级》（GB21521）</w:t>
            </w:r>
          </w:p>
        </w:tc>
      </w:tr>
      <w:tr w14:paraId="79EE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9DC482">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873B33">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5C16FA8A">
            <w:pPr>
              <w:jc w:val="left"/>
              <w:rPr>
                <w:color w:val="auto"/>
                <w:highlight w:val="none"/>
              </w:rPr>
            </w:pPr>
            <w:r>
              <w:rPr>
                <w:rFonts w:hint="eastAsia"/>
                <w:color w:val="auto"/>
                <w:highlight w:val="none"/>
              </w:rPr>
              <w:t>A02021100输入输出设备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AFA1868">
            <w:pPr>
              <w:jc w:val="left"/>
              <w:rPr>
                <w:color w:val="auto"/>
                <w:highlight w:val="none"/>
              </w:rPr>
            </w:pPr>
            <w:r>
              <w:rPr>
                <w:rFonts w:hint="eastAsia"/>
                <w:color w:val="auto"/>
                <w:highlight w:val="none"/>
              </w:rPr>
              <w:t>★A02021104液晶显示器</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6C9FB282">
            <w:pPr>
              <w:rPr>
                <w:color w:val="auto"/>
                <w:highlight w:val="none"/>
              </w:rPr>
            </w:pPr>
            <w:r>
              <w:rPr>
                <w:rFonts w:hint="eastAsia"/>
                <w:color w:val="auto"/>
                <w:highlight w:val="none"/>
              </w:rPr>
              <w:t>《计算机显示器能效限定值及能效等级》（GB21520）</w:t>
            </w:r>
          </w:p>
        </w:tc>
      </w:tr>
      <w:tr w14:paraId="3606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8CB31AA">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1BE0A3">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FAFD56">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019B384">
            <w:pPr>
              <w:jc w:val="left"/>
              <w:rPr>
                <w:color w:val="auto"/>
                <w:highlight w:val="none"/>
              </w:rPr>
            </w:pPr>
            <w:r>
              <w:rPr>
                <w:rFonts w:hint="eastAsia"/>
                <w:color w:val="auto"/>
                <w:highlight w:val="none"/>
              </w:rPr>
              <w:t>A02021118扫描仪</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6695D78A">
            <w:pPr>
              <w:rPr>
                <w:color w:val="auto"/>
                <w:highlight w:val="none"/>
              </w:rPr>
            </w:pPr>
            <w:r>
              <w:rPr>
                <w:rFonts w:hint="eastAsia"/>
                <w:color w:val="auto"/>
                <w:highlight w:val="none"/>
              </w:rPr>
              <w:t>参照《复印机、打印机和传真机能效限定值及能效等级》（GB21521）中打印速度为15页/分的针式打印机相关要求</w:t>
            </w:r>
          </w:p>
        </w:tc>
      </w:tr>
      <w:tr w14:paraId="42C3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8B7AEA8">
            <w:pPr>
              <w:jc w:val="left"/>
              <w:rPr>
                <w:color w:val="auto"/>
                <w:highlight w:val="none"/>
              </w:rPr>
            </w:pPr>
            <w:r>
              <w:rPr>
                <w:rFonts w:hint="eastAsia"/>
                <w:color w:val="auto"/>
                <w:highlight w:val="none"/>
              </w:rPr>
              <w:t>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32DE80BE">
            <w:pPr>
              <w:jc w:val="left"/>
              <w:rPr>
                <w:color w:val="auto"/>
                <w:highlight w:val="none"/>
              </w:rPr>
            </w:pPr>
            <w:r>
              <w:rPr>
                <w:rFonts w:hint="eastAsia"/>
                <w:color w:val="auto"/>
                <w:highlight w:val="none"/>
              </w:rPr>
              <w:t>A02020200投影仪</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5627796">
            <w:pPr>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811156A">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458846E9">
            <w:pPr>
              <w:rPr>
                <w:color w:val="auto"/>
                <w:highlight w:val="none"/>
              </w:rPr>
            </w:pPr>
            <w:r>
              <w:rPr>
                <w:rFonts w:hint="eastAsia"/>
                <w:color w:val="auto"/>
                <w:highlight w:val="none"/>
              </w:rPr>
              <w:t>《投影机能效限定值及能效等级》（GB32028）</w:t>
            </w:r>
          </w:p>
        </w:tc>
      </w:tr>
      <w:tr w14:paraId="34E9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E81AF2A">
            <w:pPr>
              <w:jc w:val="left"/>
              <w:rPr>
                <w:color w:val="auto"/>
                <w:highlight w:val="none"/>
              </w:rPr>
            </w:pPr>
            <w:r>
              <w:rPr>
                <w:rFonts w:hint="eastAsia"/>
                <w:color w:val="auto"/>
                <w:highlight w:val="none"/>
              </w:rPr>
              <w:t>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24F6B0FD">
            <w:pPr>
              <w:rPr>
                <w:color w:val="auto"/>
                <w:highlight w:val="none"/>
              </w:rPr>
            </w:pPr>
            <w:r>
              <w:rPr>
                <w:rFonts w:hint="eastAsia"/>
                <w:color w:val="auto"/>
                <w:highlight w:val="none"/>
              </w:rPr>
              <w:t>A02020400多功能一体机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3A202A0">
            <w:pPr>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AB3AE10">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0694F934">
            <w:pPr>
              <w:rPr>
                <w:color w:val="auto"/>
                <w:highlight w:val="none"/>
              </w:rPr>
            </w:pPr>
            <w:r>
              <w:rPr>
                <w:rFonts w:hint="eastAsia"/>
                <w:color w:val="auto"/>
                <w:highlight w:val="none"/>
              </w:rPr>
              <w:t>《复印机、打印机和传真机能效限定值及能效等级》（GB21521）</w:t>
            </w:r>
          </w:p>
        </w:tc>
      </w:tr>
      <w:tr w14:paraId="52BE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1B7965">
            <w:pPr>
              <w:rPr>
                <w:color w:val="auto"/>
                <w:highlight w:val="none"/>
              </w:rPr>
            </w:pPr>
            <w:r>
              <w:rPr>
                <w:rFonts w:hint="eastAsia"/>
                <w:color w:val="auto"/>
                <w:highlight w:val="none"/>
              </w:rPr>
              <w:t>5</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6C28F3F5">
            <w:pPr>
              <w:rPr>
                <w:color w:val="auto"/>
                <w:highlight w:val="none"/>
              </w:rPr>
            </w:pPr>
            <w:r>
              <w:rPr>
                <w:rFonts w:hint="eastAsia"/>
                <w:color w:val="auto"/>
                <w:highlight w:val="none"/>
              </w:rPr>
              <w:t>A02051900泵</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27AB155">
            <w:pPr>
              <w:rPr>
                <w:color w:val="auto"/>
                <w:highlight w:val="none"/>
              </w:rPr>
            </w:pPr>
            <w:r>
              <w:rPr>
                <w:rFonts w:hint="eastAsia"/>
                <w:color w:val="auto"/>
                <w:highlight w:val="none"/>
              </w:rPr>
              <w:t>A02051901离心泵</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E4AE829">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8377E9D">
            <w:pPr>
              <w:rPr>
                <w:color w:val="auto"/>
                <w:highlight w:val="none"/>
              </w:rPr>
            </w:pPr>
            <w:r>
              <w:rPr>
                <w:rFonts w:hint="eastAsia"/>
                <w:color w:val="auto"/>
                <w:highlight w:val="none"/>
              </w:rPr>
              <w:t>《清水离心泵能效限定值及节能评价值》（GB19762）</w:t>
            </w:r>
          </w:p>
        </w:tc>
      </w:tr>
      <w:tr w14:paraId="36B9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4E9011DC">
            <w:pPr>
              <w:jc w:val="left"/>
              <w:rPr>
                <w:color w:val="auto"/>
                <w:highlight w:val="none"/>
              </w:rPr>
            </w:pPr>
            <w:r>
              <w:rPr>
                <w:rFonts w:hint="eastAsia"/>
                <w:color w:val="auto"/>
                <w:highlight w:val="none"/>
              </w:rPr>
              <w:t>6</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8B92D">
            <w:pPr>
              <w:rPr>
                <w:color w:val="auto"/>
                <w:highlight w:val="none"/>
              </w:rPr>
            </w:pPr>
            <w:r>
              <w:rPr>
                <w:rFonts w:hint="eastAsia"/>
                <w:color w:val="auto"/>
                <w:highlight w:val="none"/>
              </w:rPr>
              <w:t>A02052300制冷空调设备</w:t>
            </w: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0DCE1112">
            <w:pPr>
              <w:rPr>
                <w:color w:val="auto"/>
                <w:highlight w:val="none"/>
              </w:rPr>
            </w:pPr>
            <w:r>
              <w:rPr>
                <w:rFonts w:hint="eastAsia"/>
                <w:color w:val="auto"/>
                <w:highlight w:val="none"/>
              </w:rPr>
              <w:t>★A02052301制冷压缩机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7FE53DE">
            <w:pPr>
              <w:rPr>
                <w:color w:val="auto"/>
                <w:highlight w:val="none"/>
              </w:rPr>
            </w:pPr>
            <w:r>
              <w:rPr>
                <w:rFonts w:hint="eastAsia"/>
                <w:color w:val="auto"/>
                <w:highlight w:val="none"/>
              </w:rPr>
              <w:t>冷水机组</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03D73737">
            <w:pPr>
              <w:rPr>
                <w:color w:val="auto"/>
                <w:highlight w:val="none"/>
              </w:rPr>
            </w:pPr>
            <w:r>
              <w:rPr>
                <w:rFonts w:hint="eastAsia"/>
                <w:color w:val="auto"/>
                <w:highlight w:val="none"/>
              </w:rPr>
              <w:t>《冷水机组能效限定值及能效等级》（GB19577），《低环境温度空气源热泵（冷水）机组能效限定值及能效等级》（GB37480）</w:t>
            </w:r>
          </w:p>
        </w:tc>
      </w:tr>
      <w:tr w14:paraId="413E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FC6961">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ACC147">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4D388B">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33E7574">
            <w:pPr>
              <w:jc w:val="left"/>
              <w:rPr>
                <w:color w:val="auto"/>
                <w:highlight w:val="none"/>
              </w:rPr>
            </w:pPr>
            <w:r>
              <w:rPr>
                <w:rFonts w:hint="eastAsia"/>
                <w:color w:val="auto"/>
                <w:highlight w:val="none"/>
              </w:rPr>
              <w:t>溴化锂吸收式冷水机组</w:t>
            </w:r>
          </w:p>
        </w:tc>
        <w:tc>
          <w:tcPr>
            <w:tcW w:w="3976" w:type="dxa"/>
            <w:tcBorders>
              <w:top w:val="single" w:color="000000" w:sz="4" w:space="0"/>
              <w:left w:val="single" w:color="000000" w:sz="4" w:space="0"/>
              <w:bottom w:val="single" w:color="000000" w:sz="4" w:space="0"/>
              <w:right w:val="single" w:color="000000" w:sz="4" w:space="0"/>
            </w:tcBorders>
            <w:noWrap w:val="0"/>
            <w:vAlign w:val="center"/>
          </w:tcPr>
          <w:p w14:paraId="39CD1C40">
            <w:pPr>
              <w:rPr>
                <w:color w:val="auto"/>
                <w:highlight w:val="none"/>
              </w:rPr>
            </w:pPr>
            <w:r>
              <w:rPr>
                <w:rFonts w:hint="eastAsia"/>
                <w:color w:val="auto"/>
                <w:highlight w:val="none"/>
              </w:rPr>
              <w:t>《溴化锂吸收式冷水机组能效限</w:t>
            </w:r>
          </w:p>
          <w:p w14:paraId="0988C525">
            <w:pPr>
              <w:rPr>
                <w:color w:val="auto"/>
                <w:highlight w:val="none"/>
              </w:rPr>
            </w:pPr>
            <w:r>
              <w:rPr>
                <w:rFonts w:hint="eastAsia"/>
                <w:color w:val="auto"/>
                <w:highlight w:val="none"/>
              </w:rPr>
              <w:t>定值及能效等级》（GB29540）</w:t>
            </w:r>
          </w:p>
        </w:tc>
      </w:tr>
      <w:tr w14:paraId="64E1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B89846">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71A5BF">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787D57AD">
            <w:pPr>
              <w:rPr>
                <w:color w:val="auto"/>
                <w:highlight w:val="none"/>
              </w:rPr>
            </w:pPr>
            <w:r>
              <w:rPr>
                <w:rFonts w:hint="eastAsia"/>
                <w:color w:val="auto"/>
                <w:highlight w:val="none"/>
              </w:rPr>
              <w:t>★A02052305空调机组</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3A6D3B8">
            <w:pPr>
              <w:rPr>
                <w:color w:val="auto"/>
                <w:highlight w:val="none"/>
              </w:rPr>
            </w:pPr>
            <w:r>
              <w:rPr>
                <w:rFonts w:hint="eastAsia"/>
                <w:color w:val="auto"/>
                <w:highlight w:val="none"/>
              </w:rPr>
              <w:t>多联式空调（热泵）机组（制冷量&gt;14000W）</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EF92531">
            <w:pPr>
              <w:rPr>
                <w:color w:val="auto"/>
                <w:highlight w:val="none"/>
              </w:rPr>
            </w:pPr>
            <w:r>
              <w:rPr>
                <w:rFonts w:hint="eastAsia"/>
                <w:color w:val="auto"/>
                <w:highlight w:val="none"/>
              </w:rPr>
              <w:t>《多联式空调（热泵）机组能效限定值及能源效率等级》（GB21454）</w:t>
            </w:r>
          </w:p>
        </w:tc>
      </w:tr>
      <w:tr w14:paraId="1312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85CA6E">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F08B94">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60C952">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B51639C">
            <w:pPr>
              <w:jc w:val="left"/>
              <w:rPr>
                <w:color w:val="auto"/>
                <w:highlight w:val="none"/>
              </w:rPr>
            </w:pPr>
            <w:r>
              <w:rPr>
                <w:rFonts w:hint="eastAsia"/>
                <w:color w:val="auto"/>
                <w:highlight w:val="none"/>
              </w:rPr>
              <w:t>单元式空气调节机</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6B859ADF">
            <w:pPr>
              <w:rPr>
                <w:color w:val="auto"/>
                <w:highlight w:val="none"/>
              </w:rPr>
            </w:pPr>
            <w:r>
              <w:rPr>
                <w:rFonts w:hint="eastAsia"/>
                <w:color w:val="auto"/>
                <w:highlight w:val="none"/>
              </w:rPr>
              <w:t>《单元式空气调节机能效限定值及能效等级》（GB19576）《风管送风式空调机组能效限定值及能效等级》（GB37479）</w:t>
            </w:r>
          </w:p>
        </w:tc>
      </w:tr>
      <w:tr w14:paraId="2779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4B19D9B">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0BA0E7">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3B87599">
            <w:pPr>
              <w:rPr>
                <w:color w:val="auto"/>
                <w:highlight w:val="none"/>
              </w:rPr>
            </w:pPr>
            <w:r>
              <w:rPr>
                <w:rFonts w:hint="eastAsia"/>
                <w:color w:val="auto"/>
                <w:highlight w:val="none"/>
              </w:rPr>
              <w:t>★A02052309专用制冷、空调设备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EF27812">
            <w:pPr>
              <w:rPr>
                <w:color w:val="auto"/>
                <w:highlight w:val="none"/>
              </w:rPr>
            </w:pPr>
            <w:r>
              <w:rPr>
                <w:rFonts w:hint="eastAsia"/>
                <w:color w:val="auto"/>
                <w:highlight w:val="none"/>
              </w:rPr>
              <w:t>机房空调</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66E38AA">
            <w:pPr>
              <w:rPr>
                <w:color w:val="auto"/>
                <w:highlight w:val="none"/>
              </w:rPr>
            </w:pPr>
            <w:r>
              <w:rPr>
                <w:rFonts w:hint="eastAsia"/>
                <w:color w:val="auto"/>
                <w:highlight w:val="none"/>
              </w:rPr>
              <w:t>《单元式空气调节机能效限定值</w:t>
            </w:r>
          </w:p>
          <w:p w14:paraId="45C9FB13">
            <w:pPr>
              <w:rPr>
                <w:color w:val="auto"/>
                <w:highlight w:val="none"/>
              </w:rPr>
            </w:pPr>
            <w:r>
              <w:rPr>
                <w:rFonts w:hint="eastAsia"/>
                <w:color w:val="auto"/>
                <w:highlight w:val="none"/>
              </w:rPr>
              <w:t>及能效等级》（GB19576）</w:t>
            </w:r>
          </w:p>
        </w:tc>
      </w:tr>
      <w:tr w14:paraId="0B4C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AEBF7F">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660968">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1A69C0A">
            <w:pPr>
              <w:rPr>
                <w:color w:val="auto"/>
                <w:highlight w:val="none"/>
              </w:rPr>
            </w:pPr>
            <w:r>
              <w:rPr>
                <w:rFonts w:hint="eastAsia"/>
                <w:color w:val="auto"/>
                <w:highlight w:val="none"/>
              </w:rPr>
              <w:t>A02052399其他制冷</w:t>
            </w:r>
          </w:p>
          <w:p w14:paraId="16961E28">
            <w:pPr>
              <w:rPr>
                <w:color w:val="auto"/>
                <w:highlight w:val="none"/>
              </w:rPr>
            </w:pPr>
            <w:r>
              <w:rPr>
                <w:rFonts w:hint="eastAsia"/>
                <w:color w:val="auto"/>
                <w:highlight w:val="none"/>
              </w:rPr>
              <w:t>空调设备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B70AA04">
            <w:pPr>
              <w:widowControl/>
              <w:jc w:val="left"/>
              <w:rPr>
                <w:color w:val="auto"/>
                <w:highlight w:val="none"/>
                <w:lang w:eastAsia="en-US"/>
              </w:rPr>
            </w:pPr>
            <w:r>
              <w:rPr>
                <w:rFonts w:hint="eastAsia"/>
                <w:color w:val="auto"/>
                <w:highlight w:val="none"/>
              </w:rPr>
              <w:t>冷却塔</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69CE29E6">
            <w:pPr>
              <w:rPr>
                <w:color w:val="auto"/>
                <w:highlight w:val="none"/>
              </w:rPr>
            </w:pPr>
            <w:r>
              <w:rPr>
                <w:rFonts w:hint="eastAsia"/>
                <w:color w:val="auto"/>
                <w:highlight w:val="none"/>
              </w:rPr>
              <w:t>《机械通风冷却塔第1部分：中小型开式冷却塔》（GB/T7190.1）</w:t>
            </w:r>
          </w:p>
          <w:p w14:paraId="4A240463">
            <w:pPr>
              <w:rPr>
                <w:color w:val="auto"/>
                <w:highlight w:val="none"/>
              </w:rPr>
            </w:pPr>
            <w:r>
              <w:rPr>
                <w:rFonts w:hint="eastAsia"/>
                <w:color w:val="auto"/>
                <w:highlight w:val="none"/>
              </w:rPr>
              <w:t>《机械通风冷却塔第2部分：大型开式冷却塔》（GB/T7190.2）</w:t>
            </w:r>
          </w:p>
        </w:tc>
      </w:tr>
      <w:tr w14:paraId="14C2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5A0D9860">
            <w:pPr>
              <w:rPr>
                <w:color w:val="auto"/>
                <w:highlight w:val="none"/>
              </w:rPr>
            </w:pPr>
            <w:r>
              <w:rPr>
                <w:rFonts w:hint="eastAsia"/>
                <w:color w:val="auto"/>
                <w:highlight w:val="none"/>
              </w:rPr>
              <w:t>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574D5C8C">
            <w:pPr>
              <w:rPr>
                <w:color w:val="auto"/>
                <w:highlight w:val="none"/>
              </w:rPr>
            </w:pPr>
            <w:r>
              <w:rPr>
                <w:rFonts w:hint="eastAsia"/>
                <w:color w:val="auto"/>
                <w:highlight w:val="none"/>
              </w:rPr>
              <w:t>A02060100电机</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88A3385">
            <w:pPr>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6355BC7">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2AE0CCE">
            <w:pPr>
              <w:rPr>
                <w:color w:val="auto"/>
                <w:highlight w:val="none"/>
              </w:rPr>
            </w:pPr>
            <w:r>
              <w:rPr>
                <w:rFonts w:hint="eastAsia"/>
                <w:color w:val="auto"/>
                <w:highlight w:val="none"/>
              </w:rPr>
              <w:t>《中小型三相异步电动机能效限定值及能效等级》（GB18613）</w:t>
            </w:r>
          </w:p>
        </w:tc>
      </w:tr>
      <w:tr w14:paraId="00EC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7DE5BCB">
            <w:pPr>
              <w:rPr>
                <w:color w:val="auto"/>
                <w:highlight w:val="none"/>
              </w:rPr>
            </w:pPr>
            <w:r>
              <w:rPr>
                <w:rFonts w:hint="eastAsia"/>
                <w:color w:val="auto"/>
                <w:highlight w:val="none"/>
              </w:rPr>
              <w:t>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3565B22D">
            <w:pPr>
              <w:rPr>
                <w:color w:val="auto"/>
                <w:highlight w:val="none"/>
              </w:rPr>
            </w:pPr>
            <w:r>
              <w:rPr>
                <w:rFonts w:hint="eastAsia"/>
                <w:color w:val="auto"/>
                <w:highlight w:val="none"/>
              </w:rPr>
              <w:t>A02060200变压</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4D7498B">
            <w:pPr>
              <w:rPr>
                <w:color w:val="auto"/>
                <w:highlight w:val="none"/>
              </w:rPr>
            </w:pPr>
            <w:r>
              <w:rPr>
                <w:rFonts w:hint="eastAsia"/>
                <w:color w:val="auto"/>
                <w:highlight w:val="none"/>
              </w:rPr>
              <w:t>配电变压器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4231CAA">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8424C1C">
            <w:pPr>
              <w:rPr>
                <w:color w:val="auto"/>
                <w:highlight w:val="none"/>
              </w:rPr>
            </w:pPr>
            <w:r>
              <w:rPr>
                <w:rFonts w:hint="eastAsia"/>
                <w:color w:val="auto"/>
                <w:highlight w:val="none"/>
              </w:rPr>
              <w:t>《三相配电变压器能效限定值及能效等级》（GB 20052）</w:t>
            </w:r>
          </w:p>
        </w:tc>
      </w:tr>
      <w:tr w14:paraId="11FA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69B3E69">
            <w:pPr>
              <w:rPr>
                <w:color w:val="auto"/>
                <w:highlight w:val="none"/>
              </w:rPr>
            </w:pPr>
            <w:r>
              <w:rPr>
                <w:rFonts w:hint="eastAsia"/>
                <w:color w:val="auto"/>
                <w:highlight w:val="none"/>
              </w:rPr>
              <w:t>9</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085CBF6F">
            <w:pPr>
              <w:rPr>
                <w:color w:val="auto"/>
                <w:highlight w:val="none"/>
              </w:rPr>
            </w:pPr>
            <w:r>
              <w:rPr>
                <w:rFonts w:hint="eastAsia"/>
                <w:color w:val="auto"/>
                <w:highlight w:val="none"/>
              </w:rPr>
              <w:t>★A02060900镇流器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CF82FC3">
            <w:pPr>
              <w:rPr>
                <w:color w:val="auto"/>
                <w:highlight w:val="none"/>
              </w:rPr>
            </w:pPr>
            <w:r>
              <w:rPr>
                <w:rFonts w:hint="eastAsia"/>
                <w:color w:val="auto"/>
                <w:highlight w:val="none"/>
              </w:rPr>
              <w:t>管型荧光灯镇流器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AE6A9B7">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23DAA35">
            <w:pPr>
              <w:rPr>
                <w:color w:val="auto"/>
                <w:highlight w:val="none"/>
              </w:rPr>
            </w:pPr>
            <w:r>
              <w:rPr>
                <w:rFonts w:hint="eastAsia"/>
                <w:color w:val="auto"/>
                <w:highlight w:val="none"/>
              </w:rPr>
              <w:t>《管形荧光灯镇流器能效限定值及能效等级》（GB17896）</w:t>
            </w:r>
          </w:p>
        </w:tc>
      </w:tr>
      <w:tr w14:paraId="7038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4B2029F">
            <w:pPr>
              <w:rPr>
                <w:color w:val="auto"/>
                <w:highlight w:val="none"/>
              </w:rPr>
            </w:pPr>
            <w:r>
              <w:rPr>
                <w:rFonts w:hint="eastAsia"/>
                <w:color w:val="auto"/>
                <w:highlight w:val="none"/>
              </w:rPr>
              <w:t>10</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78B502A">
            <w:pPr>
              <w:rPr>
                <w:color w:val="auto"/>
                <w:highlight w:val="none"/>
              </w:rPr>
            </w:pPr>
            <w:r>
              <w:rPr>
                <w:rFonts w:hint="eastAsia"/>
                <w:color w:val="auto"/>
                <w:highlight w:val="none"/>
              </w:rPr>
              <w:t>A02061800生活用电器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448384C">
            <w:pPr>
              <w:rPr>
                <w:color w:val="auto"/>
                <w:highlight w:val="none"/>
              </w:rPr>
            </w:pPr>
            <w:r>
              <w:rPr>
                <w:rFonts w:hint="eastAsia"/>
                <w:color w:val="auto"/>
                <w:highlight w:val="none"/>
              </w:rPr>
              <w:t>A02061801电冰箱</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3FF1E9E">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6427486F">
            <w:pPr>
              <w:rPr>
                <w:color w:val="auto"/>
                <w:highlight w:val="none"/>
              </w:rPr>
            </w:pPr>
            <w:r>
              <w:rPr>
                <w:rFonts w:hint="eastAsia"/>
                <w:color w:val="auto"/>
                <w:highlight w:val="none"/>
              </w:rPr>
              <w:t>《家用电冰箱耗电量限定值及能效等级》（GB12021.2）</w:t>
            </w:r>
          </w:p>
        </w:tc>
      </w:tr>
      <w:tr w14:paraId="0E27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CD6449">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FD303E">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F5B249">
            <w:pPr>
              <w:rPr>
                <w:color w:val="auto"/>
                <w:highlight w:val="none"/>
              </w:rPr>
            </w:pPr>
            <w:r>
              <w:rPr>
                <w:rFonts w:hint="eastAsia"/>
                <w:color w:val="auto"/>
                <w:highlight w:val="none"/>
              </w:rPr>
              <w:t>★A02061804空调机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94FF95C">
            <w:pPr>
              <w:rPr>
                <w:color w:val="auto"/>
                <w:highlight w:val="none"/>
              </w:rPr>
            </w:pPr>
            <w:r>
              <w:rPr>
                <w:rFonts w:hint="eastAsia"/>
                <w:color w:val="auto"/>
                <w:highlight w:val="none"/>
              </w:rPr>
              <w:t>房间空气调节器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A73B42D">
            <w:pPr>
              <w:rPr>
                <w:color w:val="auto"/>
                <w:highlight w:val="none"/>
              </w:rPr>
            </w:pPr>
            <w:r>
              <w:rPr>
                <w:rFonts w:hint="eastAsia"/>
                <w:color w:val="auto"/>
                <w:highlight w:val="none"/>
              </w:rPr>
              <w:t>《房间空气调节器能效限定值及能效等级》（GB21455-2019）</w:t>
            </w:r>
          </w:p>
        </w:tc>
      </w:tr>
      <w:tr w14:paraId="3A6D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23ADCED">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70A9A7C">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914551">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A54B852">
            <w:pPr>
              <w:rPr>
                <w:color w:val="auto"/>
                <w:highlight w:val="none"/>
              </w:rPr>
            </w:pPr>
            <w:r>
              <w:rPr>
                <w:rFonts w:hint="eastAsia"/>
                <w:color w:val="auto"/>
                <w:highlight w:val="none"/>
              </w:rPr>
              <w:t>多联式空调（热泵）机组（制冷量≤ 14000W）</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403B3263">
            <w:pPr>
              <w:rPr>
                <w:color w:val="auto"/>
                <w:highlight w:val="none"/>
              </w:rPr>
            </w:pPr>
            <w:r>
              <w:rPr>
                <w:rFonts w:hint="eastAsia"/>
                <w:color w:val="auto"/>
                <w:highlight w:val="none"/>
              </w:rPr>
              <w:t>《多联式空调（热泵）机组能效限定值及能源效率等级》（GB21454）</w:t>
            </w:r>
          </w:p>
        </w:tc>
      </w:tr>
      <w:tr w14:paraId="1446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5754B5">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EF8C94">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DC09D9">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733AD32F">
            <w:pPr>
              <w:rPr>
                <w:color w:val="auto"/>
                <w:highlight w:val="none"/>
              </w:rPr>
            </w:pPr>
            <w:r>
              <w:rPr>
                <w:rFonts w:hint="eastAsia"/>
                <w:color w:val="auto"/>
                <w:highlight w:val="none"/>
              </w:rPr>
              <w:t>单元式空气调节机（制冷量≤ 14000W）</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0564C93A">
            <w:pPr>
              <w:rPr>
                <w:color w:val="auto"/>
                <w:highlight w:val="none"/>
              </w:rPr>
            </w:pPr>
            <w:r>
              <w:rPr>
                <w:rFonts w:hint="eastAsia"/>
                <w:color w:val="auto"/>
                <w:highlight w:val="none"/>
              </w:rPr>
              <w:t>《单元式空气调节机能效限定值及能源效率等级》（GB19576）《风管送风式空调机组能效限定值及能效等级》（GB37479）</w:t>
            </w:r>
          </w:p>
        </w:tc>
      </w:tr>
      <w:tr w14:paraId="623E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F0DE0D">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4B2EA3">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6F52E77">
            <w:pPr>
              <w:rPr>
                <w:color w:val="auto"/>
                <w:highlight w:val="none"/>
              </w:rPr>
            </w:pPr>
            <w:r>
              <w:rPr>
                <w:rFonts w:hint="eastAsia"/>
                <w:color w:val="auto"/>
                <w:highlight w:val="none"/>
              </w:rPr>
              <w:t>A02061810洗衣机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98D851D">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248EF3D7">
            <w:pPr>
              <w:rPr>
                <w:color w:val="auto"/>
                <w:highlight w:val="none"/>
              </w:rPr>
            </w:pPr>
            <w:r>
              <w:rPr>
                <w:rFonts w:hint="eastAsia"/>
                <w:color w:val="auto"/>
                <w:highlight w:val="none"/>
              </w:rPr>
              <w:t>《电动洗衣机能效水效限定值及等级》（GB12021.4）</w:t>
            </w:r>
          </w:p>
        </w:tc>
      </w:tr>
      <w:tr w14:paraId="3504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B0C949">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66E40C">
            <w:pPr>
              <w:widowControl/>
              <w:jc w:val="left"/>
              <w:rPr>
                <w:color w:val="auto"/>
                <w:highlight w:val="none"/>
              </w:rPr>
            </w:pPr>
          </w:p>
        </w:tc>
        <w:tc>
          <w:tcPr>
            <w:tcW w:w="1582" w:type="dxa"/>
            <w:vMerge w:val="restart"/>
            <w:tcBorders>
              <w:top w:val="single" w:color="000000" w:sz="4" w:space="0"/>
              <w:left w:val="single" w:color="000000" w:sz="4" w:space="0"/>
              <w:bottom w:val="single" w:color="000000" w:sz="4" w:space="0"/>
              <w:right w:val="single" w:color="000000" w:sz="4" w:space="0"/>
            </w:tcBorders>
            <w:noWrap w:val="0"/>
            <w:vAlign w:val="center"/>
          </w:tcPr>
          <w:p w14:paraId="22C38089">
            <w:pPr>
              <w:rPr>
                <w:color w:val="auto"/>
                <w:highlight w:val="none"/>
              </w:rPr>
            </w:pPr>
            <w:r>
              <w:rPr>
                <w:rFonts w:hint="eastAsia"/>
                <w:color w:val="auto"/>
                <w:highlight w:val="none"/>
              </w:rPr>
              <w:t>A02061819热水器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6F473335">
            <w:pPr>
              <w:rPr>
                <w:color w:val="auto"/>
                <w:highlight w:val="none"/>
              </w:rPr>
            </w:pPr>
            <w:r>
              <w:rPr>
                <w:rFonts w:hint="eastAsia"/>
                <w:color w:val="auto"/>
                <w:highlight w:val="none"/>
              </w:rPr>
              <w:t>★电热水器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4C8690C2">
            <w:pPr>
              <w:rPr>
                <w:color w:val="auto"/>
                <w:highlight w:val="none"/>
              </w:rPr>
            </w:pPr>
            <w:r>
              <w:rPr>
                <w:rFonts w:hint="eastAsia"/>
                <w:color w:val="auto"/>
                <w:highlight w:val="none"/>
              </w:rPr>
              <w:t>《储水式电热水器能效限定值及能效等级》（GB21519）</w:t>
            </w:r>
          </w:p>
        </w:tc>
      </w:tr>
      <w:tr w14:paraId="758E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15553F">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F709AE">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608FC0">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4E220795">
            <w:pPr>
              <w:rPr>
                <w:color w:val="auto"/>
                <w:highlight w:val="none"/>
              </w:rPr>
            </w:pPr>
            <w:r>
              <w:rPr>
                <w:rFonts w:hint="eastAsia"/>
                <w:color w:val="auto"/>
                <w:highlight w:val="none"/>
              </w:rPr>
              <w:t>燃气热水器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25892ED">
            <w:pPr>
              <w:rPr>
                <w:color w:val="auto"/>
                <w:highlight w:val="none"/>
              </w:rPr>
            </w:pPr>
            <w:r>
              <w:rPr>
                <w:rFonts w:hint="eastAsia"/>
                <w:color w:val="auto"/>
                <w:highlight w:val="none"/>
              </w:rPr>
              <w:t>《家用燃气快速热水器和燃气采暖热水炉能效限定值及能效等级》（GB20665）</w:t>
            </w:r>
          </w:p>
        </w:tc>
      </w:tr>
      <w:tr w14:paraId="790E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D96BC4">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F02D33C">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BEAFD2">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1285E25">
            <w:pPr>
              <w:rPr>
                <w:color w:val="auto"/>
                <w:highlight w:val="none"/>
              </w:rPr>
            </w:pPr>
            <w:r>
              <w:rPr>
                <w:rFonts w:hint="eastAsia"/>
                <w:color w:val="auto"/>
                <w:highlight w:val="none"/>
              </w:rPr>
              <w:t>热泵热水器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2CA1CA8F">
            <w:pPr>
              <w:rPr>
                <w:color w:val="auto"/>
                <w:highlight w:val="none"/>
              </w:rPr>
            </w:pPr>
            <w:r>
              <w:rPr>
                <w:rFonts w:hint="eastAsia"/>
                <w:color w:val="auto"/>
                <w:highlight w:val="none"/>
              </w:rPr>
              <w:t>《热泵热水机（器）能效限定值及能效等级》（GB29541）</w:t>
            </w:r>
          </w:p>
        </w:tc>
      </w:tr>
      <w:tr w14:paraId="54BF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D5C350">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B9C78C">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069252">
            <w:pPr>
              <w:widowControl/>
              <w:jc w:val="left"/>
              <w:rPr>
                <w:color w:val="auto"/>
                <w:highlight w:val="none"/>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D1A03D8">
            <w:pPr>
              <w:rPr>
                <w:color w:val="auto"/>
                <w:highlight w:val="none"/>
              </w:rPr>
            </w:pPr>
            <w:r>
              <w:rPr>
                <w:rFonts w:hint="eastAsia"/>
                <w:color w:val="auto"/>
                <w:highlight w:val="none"/>
              </w:rPr>
              <w:t>太阳能热水系统</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6ED69CB">
            <w:pPr>
              <w:rPr>
                <w:color w:val="auto"/>
                <w:highlight w:val="none"/>
              </w:rPr>
            </w:pPr>
            <w:r>
              <w:rPr>
                <w:rFonts w:hint="eastAsia"/>
                <w:color w:val="auto"/>
                <w:highlight w:val="none"/>
              </w:rPr>
              <w:t>《家用太阳能热水系统能效限定值及能效等级》（GB26969）</w:t>
            </w:r>
          </w:p>
        </w:tc>
      </w:tr>
      <w:tr w14:paraId="0C7D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DF0E3C9">
            <w:pPr>
              <w:rPr>
                <w:color w:val="auto"/>
                <w:highlight w:val="none"/>
              </w:rPr>
            </w:pPr>
            <w:r>
              <w:rPr>
                <w:rFonts w:hint="eastAsia"/>
                <w:color w:val="auto"/>
                <w:highlight w:val="none"/>
              </w:rPr>
              <w:t>11</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BE0D022">
            <w:pPr>
              <w:rPr>
                <w:color w:val="auto"/>
                <w:highlight w:val="none"/>
              </w:rPr>
            </w:pPr>
            <w:r>
              <w:rPr>
                <w:rFonts w:hint="eastAsia"/>
                <w:color w:val="auto"/>
                <w:highlight w:val="none"/>
              </w:rPr>
              <w:t>A02061900照明设备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82E3F52">
            <w:pPr>
              <w:rPr>
                <w:color w:val="auto"/>
                <w:highlight w:val="none"/>
              </w:rPr>
            </w:pPr>
            <w:r>
              <w:rPr>
                <w:rFonts w:hint="eastAsia"/>
                <w:color w:val="auto"/>
                <w:highlight w:val="none"/>
              </w:rPr>
              <w:t>★普通照明用双端荧光灯</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74036BF">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664839E1">
            <w:pPr>
              <w:rPr>
                <w:color w:val="auto"/>
                <w:highlight w:val="none"/>
              </w:rPr>
            </w:pPr>
            <w:r>
              <w:rPr>
                <w:rFonts w:hint="eastAsia"/>
                <w:color w:val="auto"/>
                <w:highlight w:val="none"/>
              </w:rPr>
              <w:t>《普通照明用双端荧光灯能效限定值及能效等级》（GB19043）</w:t>
            </w:r>
          </w:p>
        </w:tc>
      </w:tr>
      <w:tr w14:paraId="6EBE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6364FC">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CF3E28">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598741F">
            <w:pPr>
              <w:rPr>
                <w:color w:val="auto"/>
                <w:highlight w:val="none"/>
              </w:rPr>
            </w:pPr>
            <w:r>
              <w:rPr>
                <w:rFonts w:hint="eastAsia"/>
                <w:color w:val="auto"/>
                <w:highlight w:val="none"/>
              </w:rPr>
              <w:t>LED道路/隧道照明产品</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3DFFAC45">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9AA472A">
            <w:pPr>
              <w:rPr>
                <w:color w:val="auto"/>
                <w:highlight w:val="none"/>
              </w:rPr>
            </w:pPr>
            <w:r>
              <w:rPr>
                <w:rFonts w:hint="eastAsia"/>
                <w:color w:val="auto"/>
                <w:highlight w:val="none"/>
              </w:rPr>
              <w:t>《道路和隧道照明用LED灯具能效限定值及能效等级》（GB37478</w:t>
            </w:r>
            <w:r>
              <w:rPr>
                <w:color w:val="auto"/>
                <w:highlight w:val="none"/>
              </w:rPr>
              <w:t>）</w:t>
            </w:r>
          </w:p>
        </w:tc>
      </w:tr>
      <w:tr w14:paraId="664A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A698B0">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F7E92D">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D4B81A0">
            <w:pPr>
              <w:rPr>
                <w:color w:val="auto"/>
                <w:highlight w:val="none"/>
              </w:rPr>
            </w:pPr>
            <w:r>
              <w:rPr>
                <w:rFonts w:hint="eastAsia"/>
                <w:color w:val="auto"/>
                <w:highlight w:val="none"/>
              </w:rPr>
              <w:t>LED筒灯</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29D6B8F">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48EAE21">
            <w:pPr>
              <w:rPr>
                <w:color w:val="auto"/>
                <w:highlight w:val="none"/>
              </w:rPr>
            </w:pPr>
            <w:r>
              <w:rPr>
                <w:rFonts w:hint="eastAsia"/>
                <w:color w:val="auto"/>
                <w:highlight w:val="none"/>
              </w:rPr>
              <w:t>《室内照明用LED产品能效限定值及能效等级》（GB30255）</w:t>
            </w:r>
          </w:p>
        </w:tc>
      </w:tr>
      <w:tr w14:paraId="1872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538041">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D59856">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8BF35F7">
            <w:pPr>
              <w:rPr>
                <w:color w:val="auto"/>
                <w:highlight w:val="none"/>
              </w:rPr>
            </w:pPr>
            <w:r>
              <w:rPr>
                <w:rFonts w:hint="eastAsia"/>
                <w:color w:val="auto"/>
                <w:highlight w:val="none"/>
              </w:rPr>
              <w:t>普通照明用非定向自镇流LED灯</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6E06514A">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2714475">
            <w:pPr>
              <w:rPr>
                <w:color w:val="auto"/>
                <w:highlight w:val="none"/>
              </w:rPr>
            </w:pPr>
            <w:r>
              <w:rPr>
                <w:rFonts w:hint="eastAsia"/>
                <w:color w:val="auto"/>
                <w:highlight w:val="none"/>
              </w:rPr>
              <w:t>《室内照明用LED产品能效限定值及能效等级》（GB30255）</w:t>
            </w:r>
          </w:p>
        </w:tc>
      </w:tr>
      <w:tr w14:paraId="4303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8ACE244">
            <w:pPr>
              <w:rPr>
                <w:color w:val="auto"/>
                <w:highlight w:val="none"/>
              </w:rPr>
            </w:pPr>
            <w:r>
              <w:rPr>
                <w:rFonts w:hint="eastAsia"/>
                <w:color w:val="auto"/>
                <w:highlight w:val="none"/>
              </w:rPr>
              <w:t>12</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30E9F689">
            <w:pPr>
              <w:rPr>
                <w:color w:val="auto"/>
                <w:highlight w:val="none"/>
              </w:rPr>
            </w:pPr>
            <w:r>
              <w:rPr>
                <w:rFonts w:hint="eastAsia"/>
                <w:color w:val="auto"/>
                <w:highlight w:val="none"/>
              </w:rPr>
              <w:t>★A02091000电视设备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1F60DF0">
            <w:pPr>
              <w:rPr>
                <w:color w:val="auto"/>
                <w:highlight w:val="none"/>
              </w:rPr>
            </w:pPr>
            <w:r>
              <w:rPr>
                <w:rFonts w:hint="eastAsia"/>
                <w:color w:val="auto"/>
                <w:highlight w:val="none"/>
              </w:rPr>
              <w:t>A02091001普通电视设备（电视机）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F365578">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510D6AA">
            <w:pPr>
              <w:rPr>
                <w:color w:val="auto"/>
                <w:highlight w:val="none"/>
              </w:rPr>
            </w:pPr>
            <w:r>
              <w:rPr>
                <w:rFonts w:hint="eastAsia"/>
                <w:color w:val="auto"/>
                <w:highlight w:val="none"/>
              </w:rPr>
              <w:t>《平板电视能效限定值及能效等级》（GB24850）</w:t>
            </w:r>
          </w:p>
        </w:tc>
      </w:tr>
      <w:tr w14:paraId="1418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25315039">
            <w:pPr>
              <w:rPr>
                <w:color w:val="auto"/>
                <w:highlight w:val="none"/>
              </w:rPr>
            </w:pPr>
            <w:r>
              <w:rPr>
                <w:rFonts w:hint="eastAsia"/>
                <w:color w:val="auto"/>
                <w:highlight w:val="none"/>
              </w:rPr>
              <w:t>13</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1AE89D55">
            <w:pPr>
              <w:rPr>
                <w:color w:val="auto"/>
                <w:highlight w:val="none"/>
              </w:rPr>
            </w:pPr>
            <w:r>
              <w:rPr>
                <w:rFonts w:hint="eastAsia"/>
                <w:color w:val="auto"/>
                <w:highlight w:val="none"/>
              </w:rPr>
              <w:t>★A02091100视频设备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D4F0627">
            <w:pPr>
              <w:rPr>
                <w:color w:val="auto"/>
                <w:highlight w:val="none"/>
              </w:rPr>
            </w:pPr>
            <w:r>
              <w:rPr>
                <w:rFonts w:hint="eastAsia"/>
                <w:color w:val="auto"/>
                <w:highlight w:val="none"/>
              </w:rPr>
              <w:t>A02091107视频监控设备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E0B457B">
            <w:pPr>
              <w:rPr>
                <w:color w:val="auto"/>
                <w:highlight w:val="none"/>
              </w:rPr>
            </w:pPr>
            <w:r>
              <w:rPr>
                <w:rFonts w:hint="eastAsia"/>
                <w:color w:val="auto"/>
                <w:highlight w:val="none"/>
              </w:rPr>
              <w:t>监视器</w:t>
            </w: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5A3089E0">
            <w:pPr>
              <w:rPr>
                <w:color w:val="auto"/>
                <w:highlight w:val="none"/>
              </w:rPr>
            </w:pPr>
            <w:r>
              <w:rPr>
                <w:rFonts w:hint="eastAsia"/>
                <w:color w:val="auto"/>
                <w:highlight w:val="none"/>
              </w:rPr>
              <w:t>以射频信号为主要信号输入的监视器应符合《平板电视能效限定值及能效等级》（GB24850），以数字信号为主要信号输入的监视器应符合《计算机显示器能效限定值及能效等级》（GB21520）</w:t>
            </w:r>
          </w:p>
        </w:tc>
      </w:tr>
      <w:tr w14:paraId="4E19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6274CB3">
            <w:pPr>
              <w:rPr>
                <w:color w:val="auto"/>
                <w:highlight w:val="none"/>
              </w:rPr>
            </w:pPr>
            <w:r>
              <w:rPr>
                <w:rFonts w:hint="eastAsia"/>
                <w:color w:val="auto"/>
                <w:highlight w:val="none"/>
              </w:rPr>
              <w:t>14</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58BFDBF0">
            <w:pPr>
              <w:rPr>
                <w:color w:val="auto"/>
                <w:highlight w:val="none"/>
              </w:rPr>
            </w:pPr>
            <w:r>
              <w:rPr>
                <w:rFonts w:hint="eastAsia"/>
                <w:color w:val="auto"/>
                <w:highlight w:val="none"/>
              </w:rPr>
              <w:t>A02241000饮食炊事机械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E5673CB">
            <w:pPr>
              <w:rPr>
                <w:color w:val="auto"/>
                <w:highlight w:val="none"/>
              </w:rPr>
            </w:pPr>
            <w:r>
              <w:rPr>
                <w:rFonts w:hint="eastAsia"/>
                <w:color w:val="auto"/>
                <w:highlight w:val="none"/>
              </w:rPr>
              <w:t>商用燃气灶具</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1ABD40A">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0470AEF5">
            <w:pPr>
              <w:rPr>
                <w:color w:val="auto"/>
                <w:highlight w:val="none"/>
              </w:rPr>
            </w:pPr>
            <w:r>
              <w:rPr>
                <w:rFonts w:hint="eastAsia"/>
                <w:color w:val="auto"/>
                <w:highlight w:val="none"/>
              </w:rPr>
              <w:t>《商用燃气灶具能效限定值及能效等级》（GB30531）</w:t>
            </w:r>
          </w:p>
        </w:tc>
      </w:tr>
      <w:tr w14:paraId="1603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5B6616">
            <w:pPr>
              <w:jc w:val="left"/>
              <w:rPr>
                <w:color w:val="auto"/>
                <w:highlight w:val="none"/>
              </w:rPr>
            </w:pPr>
            <w:r>
              <w:rPr>
                <w:rFonts w:hint="eastAsia"/>
                <w:color w:val="auto"/>
                <w:highlight w:val="none"/>
              </w:rPr>
              <w:t>15</w:t>
            </w:r>
          </w:p>
        </w:tc>
        <w:tc>
          <w:tcPr>
            <w:tcW w:w="15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2101A46">
            <w:pPr>
              <w:rPr>
                <w:color w:val="auto"/>
                <w:highlight w:val="none"/>
              </w:rPr>
            </w:pPr>
            <w:r>
              <w:rPr>
                <w:rFonts w:hint="eastAsia"/>
                <w:color w:val="auto"/>
                <w:highlight w:val="none"/>
              </w:rPr>
              <w:t>★A05020105便器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C086D7C">
            <w:pPr>
              <w:rPr>
                <w:color w:val="auto"/>
                <w:highlight w:val="none"/>
              </w:rPr>
            </w:pPr>
            <w:r>
              <w:rPr>
                <w:rFonts w:hint="eastAsia"/>
                <w:color w:val="auto"/>
                <w:highlight w:val="none"/>
              </w:rPr>
              <w:t>坐便器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E5AA5CC">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8C37DF7">
            <w:pPr>
              <w:rPr>
                <w:color w:val="auto"/>
                <w:highlight w:val="none"/>
              </w:rPr>
            </w:pPr>
            <w:r>
              <w:rPr>
                <w:rFonts w:hint="eastAsia"/>
                <w:color w:val="auto"/>
                <w:highlight w:val="none"/>
              </w:rPr>
              <w:t>《坐便器水效限定值及水效等级》</w:t>
            </w:r>
          </w:p>
          <w:p w14:paraId="393B1264">
            <w:pPr>
              <w:rPr>
                <w:color w:val="auto"/>
                <w:highlight w:val="none"/>
              </w:rPr>
            </w:pPr>
            <w:r>
              <w:rPr>
                <w:rFonts w:hint="eastAsia"/>
                <w:color w:val="auto"/>
                <w:highlight w:val="none"/>
              </w:rPr>
              <w:t>（GB25502）</w:t>
            </w:r>
          </w:p>
        </w:tc>
      </w:tr>
      <w:tr w14:paraId="2D37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869BFD">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281A388">
            <w:pPr>
              <w:widowControl/>
              <w:jc w:val="left"/>
              <w:rPr>
                <w:color w:val="auto"/>
                <w:highlight w:val="none"/>
                <w:lang w:eastAsia="en-US"/>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F8B033E">
            <w:pPr>
              <w:rPr>
                <w:color w:val="auto"/>
                <w:highlight w:val="none"/>
              </w:rPr>
            </w:pPr>
            <w:r>
              <w:rPr>
                <w:rFonts w:hint="eastAsia"/>
                <w:color w:val="auto"/>
                <w:highlight w:val="none"/>
              </w:rPr>
              <w:t>蹲便器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C005E89">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79B4BA75">
            <w:pPr>
              <w:rPr>
                <w:color w:val="auto"/>
                <w:highlight w:val="none"/>
              </w:rPr>
            </w:pPr>
            <w:r>
              <w:rPr>
                <w:rFonts w:hint="eastAsia"/>
                <w:color w:val="auto"/>
                <w:highlight w:val="none"/>
              </w:rPr>
              <w:t>《蹲便器用水效率限定值及用水效率等级》（GB30717）</w:t>
            </w:r>
          </w:p>
        </w:tc>
      </w:tr>
      <w:tr w14:paraId="79A4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553D4B">
            <w:pPr>
              <w:widowControl/>
              <w:jc w:val="left"/>
              <w:rPr>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24DE67">
            <w:pPr>
              <w:widowControl/>
              <w:jc w:val="left"/>
              <w:rPr>
                <w:color w:val="auto"/>
                <w:highlight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6631169">
            <w:pPr>
              <w:rPr>
                <w:color w:val="auto"/>
                <w:highlight w:val="none"/>
              </w:rPr>
            </w:pPr>
            <w:r>
              <w:rPr>
                <w:rFonts w:hint="eastAsia"/>
                <w:color w:val="auto"/>
                <w:highlight w:val="none"/>
              </w:rPr>
              <w:t>小便器</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283BA5FB">
            <w:pPr>
              <w:jc w:val="left"/>
              <w:rPr>
                <w:color w:val="auto"/>
                <w:highlight w:val="none"/>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189DF451">
            <w:pPr>
              <w:rPr>
                <w:color w:val="auto"/>
                <w:highlight w:val="none"/>
              </w:rPr>
            </w:pPr>
            <w:r>
              <w:rPr>
                <w:rFonts w:hint="eastAsia"/>
                <w:color w:val="auto"/>
                <w:highlight w:val="none"/>
              </w:rPr>
              <w:t>《小便器用水效率限定值及用水效率等级》（GB28377）</w:t>
            </w:r>
          </w:p>
        </w:tc>
      </w:tr>
      <w:tr w14:paraId="4DB2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3CDAA633">
            <w:pPr>
              <w:rPr>
                <w:color w:val="auto"/>
                <w:highlight w:val="none"/>
              </w:rPr>
            </w:pPr>
            <w:r>
              <w:rPr>
                <w:rFonts w:hint="eastAsia"/>
                <w:color w:val="auto"/>
                <w:highlight w:val="none"/>
              </w:rPr>
              <w:t>16</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4678564E">
            <w:pPr>
              <w:rPr>
                <w:color w:val="auto"/>
                <w:highlight w:val="none"/>
              </w:rPr>
            </w:pPr>
            <w:r>
              <w:rPr>
                <w:rFonts w:hint="eastAsia"/>
                <w:color w:val="auto"/>
                <w:highlight w:val="none"/>
              </w:rPr>
              <w:t>★A05020106水嘴</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6F194EA">
            <w:pPr>
              <w:jc w:val="left"/>
              <w:rPr>
                <w:color w:val="auto"/>
                <w:highlight w:val="none"/>
                <w:lang w:eastAsia="en-US"/>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1A30BC74">
            <w:pPr>
              <w:jc w:val="left"/>
              <w:rPr>
                <w:color w:val="auto"/>
                <w:highlight w:val="none"/>
                <w:lang w:eastAsia="en-US"/>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3F1F54D">
            <w:pPr>
              <w:rPr>
                <w:color w:val="auto"/>
                <w:highlight w:val="none"/>
              </w:rPr>
            </w:pPr>
            <w:r>
              <w:rPr>
                <w:rFonts w:hint="eastAsia"/>
                <w:color w:val="auto"/>
                <w:highlight w:val="none"/>
              </w:rPr>
              <w:t>《水嘴用水效率限定值及用水效率等级》（GB 25501）</w:t>
            </w:r>
          </w:p>
        </w:tc>
      </w:tr>
      <w:tr w14:paraId="68A85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0FE0F523">
            <w:pPr>
              <w:rPr>
                <w:color w:val="auto"/>
                <w:highlight w:val="none"/>
              </w:rPr>
            </w:pPr>
            <w:r>
              <w:rPr>
                <w:rFonts w:hint="eastAsia"/>
                <w:color w:val="auto"/>
                <w:highlight w:val="none"/>
              </w:rPr>
              <w:t>17</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4D0867E9">
            <w:pPr>
              <w:rPr>
                <w:color w:val="auto"/>
                <w:highlight w:val="none"/>
              </w:rPr>
            </w:pPr>
            <w:r>
              <w:rPr>
                <w:rFonts w:hint="eastAsia"/>
                <w:color w:val="auto"/>
                <w:highlight w:val="none"/>
              </w:rPr>
              <w:t>A05020107便器冲洗阀</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21F1515">
            <w:pPr>
              <w:jc w:val="left"/>
              <w:rPr>
                <w:color w:val="auto"/>
                <w:highlight w:val="none"/>
                <w:lang w:eastAsia="en-US"/>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59DD1AC4">
            <w:pPr>
              <w:jc w:val="left"/>
              <w:rPr>
                <w:color w:val="auto"/>
                <w:highlight w:val="none"/>
                <w:lang w:eastAsia="en-US"/>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465C4CB5">
            <w:pPr>
              <w:rPr>
                <w:color w:val="auto"/>
                <w:highlight w:val="none"/>
              </w:rPr>
            </w:pPr>
            <w:r>
              <w:rPr>
                <w:rFonts w:hint="eastAsia"/>
                <w:color w:val="auto"/>
                <w:highlight w:val="none"/>
              </w:rPr>
              <w:t>《便器冲洗阀用水效率限定值及用水效率等级》（GB28379）</w:t>
            </w:r>
          </w:p>
        </w:tc>
      </w:tr>
      <w:tr w14:paraId="4BF9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FAD0BB4">
            <w:pPr>
              <w:rPr>
                <w:color w:val="auto"/>
                <w:highlight w:val="none"/>
              </w:rPr>
            </w:pPr>
            <w:r>
              <w:rPr>
                <w:rFonts w:hint="eastAsia"/>
                <w:color w:val="auto"/>
                <w:highlight w:val="none"/>
              </w:rPr>
              <w:t>18</w:t>
            </w:r>
          </w:p>
        </w:tc>
        <w:tc>
          <w:tcPr>
            <w:tcW w:w="1504" w:type="dxa"/>
            <w:tcBorders>
              <w:top w:val="single" w:color="000000" w:sz="4" w:space="0"/>
              <w:left w:val="single" w:color="000000" w:sz="4" w:space="0"/>
              <w:bottom w:val="single" w:color="000000" w:sz="4" w:space="0"/>
              <w:right w:val="single" w:color="000000" w:sz="4" w:space="0"/>
            </w:tcBorders>
            <w:noWrap w:val="0"/>
            <w:vAlign w:val="center"/>
          </w:tcPr>
          <w:p w14:paraId="3D33B0BC">
            <w:pPr>
              <w:rPr>
                <w:color w:val="auto"/>
                <w:highlight w:val="none"/>
              </w:rPr>
            </w:pPr>
            <w:r>
              <w:rPr>
                <w:rFonts w:hint="eastAsia"/>
                <w:color w:val="auto"/>
                <w:highlight w:val="none"/>
              </w:rPr>
              <w:t>A05020110淋浴器</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B0EA04B">
            <w:pPr>
              <w:jc w:val="left"/>
              <w:rPr>
                <w:color w:val="auto"/>
                <w:highlight w:val="none"/>
                <w:lang w:eastAsia="en-US"/>
              </w:rPr>
            </w:pPr>
          </w:p>
        </w:tc>
        <w:tc>
          <w:tcPr>
            <w:tcW w:w="1567" w:type="dxa"/>
            <w:tcBorders>
              <w:top w:val="single" w:color="000000" w:sz="4" w:space="0"/>
              <w:left w:val="single" w:color="000000" w:sz="4" w:space="0"/>
              <w:bottom w:val="single" w:color="000000" w:sz="4" w:space="0"/>
              <w:right w:val="single" w:color="000000" w:sz="4" w:space="0"/>
            </w:tcBorders>
            <w:noWrap w:val="0"/>
            <w:vAlign w:val="center"/>
          </w:tcPr>
          <w:p w14:paraId="09918D65">
            <w:pPr>
              <w:jc w:val="left"/>
              <w:rPr>
                <w:color w:val="auto"/>
                <w:highlight w:val="none"/>
                <w:lang w:eastAsia="en-US"/>
              </w:rPr>
            </w:pPr>
          </w:p>
        </w:tc>
        <w:tc>
          <w:tcPr>
            <w:tcW w:w="3976" w:type="dxa"/>
            <w:tcBorders>
              <w:top w:val="single" w:color="000000" w:sz="4" w:space="0"/>
              <w:left w:val="single" w:color="000000" w:sz="4" w:space="0"/>
              <w:bottom w:val="single" w:color="000000" w:sz="4" w:space="0"/>
              <w:right w:val="single" w:color="000000" w:sz="4" w:space="0"/>
            </w:tcBorders>
            <w:noWrap w:val="0"/>
            <w:vAlign w:val="top"/>
          </w:tcPr>
          <w:p w14:paraId="3B53217F">
            <w:pPr>
              <w:rPr>
                <w:color w:val="auto"/>
                <w:highlight w:val="none"/>
              </w:rPr>
            </w:pPr>
            <w:r>
              <w:rPr>
                <w:rFonts w:hint="eastAsia"/>
                <w:color w:val="auto"/>
                <w:highlight w:val="none"/>
              </w:rPr>
              <w:t>《淋浴器用水效率限定值及用水效率等级》（GB28378）</w:t>
            </w:r>
          </w:p>
        </w:tc>
      </w:tr>
    </w:tbl>
    <w:p w14:paraId="6A873E85">
      <w:pPr>
        <w:pStyle w:val="9"/>
        <w:spacing w:line="360" w:lineRule="auto"/>
        <w:rPr>
          <w:rFonts w:hint="eastAsia" w:ascii="宋体" w:hAnsi="宋体"/>
          <w:color w:val="auto"/>
          <w:kern w:val="2"/>
          <w:sz w:val="21"/>
          <w:szCs w:val="21"/>
          <w:highlight w:val="none"/>
        </w:rPr>
      </w:pPr>
      <w:r>
        <w:rPr>
          <w:rFonts w:hint="eastAsia" w:ascii="宋体" w:hAnsi="宋体"/>
          <w:color w:val="auto"/>
          <w:spacing w:val="-3"/>
          <w:sz w:val="21"/>
          <w:szCs w:val="21"/>
          <w:highlight w:val="none"/>
        </w:rPr>
        <w:t>注：</w:t>
      </w:r>
      <w:r>
        <w:rPr>
          <w:rFonts w:ascii="宋体" w:hAnsi="宋体"/>
          <w:color w:val="auto"/>
          <w:spacing w:val="-3"/>
          <w:sz w:val="21"/>
          <w:szCs w:val="21"/>
          <w:highlight w:val="none"/>
        </w:rPr>
        <w:t>1.</w:t>
      </w:r>
      <w:r>
        <w:rPr>
          <w:rFonts w:hint="eastAsia" w:ascii="宋体" w:hAnsi="宋体"/>
          <w:color w:val="auto"/>
          <w:spacing w:val="-3"/>
          <w:sz w:val="21"/>
          <w:szCs w:val="21"/>
          <w:highlight w:val="none"/>
        </w:rPr>
        <w:t>节能产品认证应依据相关国家标准的最新版本，依据国家标准中二级能效（水效）</w:t>
      </w:r>
      <w:r>
        <w:rPr>
          <w:rFonts w:hint="eastAsia" w:ascii="宋体" w:hAnsi="宋体"/>
          <w:color w:val="auto"/>
          <w:sz w:val="21"/>
          <w:szCs w:val="21"/>
          <w:highlight w:val="none"/>
        </w:rPr>
        <w:t>指标。</w:t>
      </w:r>
    </w:p>
    <w:p w14:paraId="1D940418">
      <w:pPr>
        <w:pStyle w:val="9"/>
        <w:spacing w:line="360" w:lineRule="auto"/>
        <w:ind w:firstLine="465"/>
        <w:rPr>
          <w:rFonts w:hint="eastAsia"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.以</w:t>
      </w:r>
      <w:r>
        <w:rPr>
          <w:rFonts w:ascii="宋体" w:hAnsi="宋体"/>
          <w:color w:val="auto"/>
          <w:sz w:val="21"/>
          <w:szCs w:val="21"/>
          <w:highlight w:val="none"/>
        </w:rPr>
        <w:t>“</w:t>
      </w:r>
      <w:r>
        <w:rPr>
          <w:rFonts w:hint="eastAsia" w:ascii="宋体" w:hAnsi="宋体"/>
          <w:color w:val="auto"/>
          <w:sz w:val="21"/>
          <w:szCs w:val="21"/>
          <w:highlight w:val="none"/>
        </w:rPr>
        <w:t>★</w:t>
      </w:r>
      <w:r>
        <w:rPr>
          <w:rFonts w:ascii="宋体" w:hAnsi="宋体"/>
          <w:color w:val="auto"/>
          <w:sz w:val="21"/>
          <w:szCs w:val="21"/>
          <w:highlight w:val="none"/>
        </w:rPr>
        <w:t>”</w:t>
      </w:r>
      <w:r>
        <w:rPr>
          <w:rFonts w:hint="eastAsia" w:ascii="宋体" w:hAnsi="宋体"/>
          <w:color w:val="auto"/>
          <w:sz w:val="21"/>
          <w:szCs w:val="21"/>
          <w:highlight w:val="none"/>
        </w:rPr>
        <w:t>标注的为政府强制采购产品。</w:t>
      </w:r>
    </w:p>
    <w:p w14:paraId="0A687ADE">
      <w:pPr>
        <w:pStyle w:val="2"/>
        <w:numPr>
          <w:ilvl w:val="-1"/>
          <w:numId w:val="0"/>
        </w:numPr>
        <w:spacing w:line="360" w:lineRule="auto"/>
        <w:jc w:val="both"/>
        <w:rPr>
          <w:color w:val="auto"/>
          <w:highlight w:val="none"/>
        </w:rPr>
      </w:pPr>
      <w:bookmarkStart w:id="56" w:name="_Toc18984"/>
      <w:r>
        <w:rPr>
          <w:rFonts w:hint="eastAsia" w:ascii="宋体" w:hAnsi="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w:t>
      </w:r>
      <w:bookmarkEnd w:id="56"/>
    </w:p>
    <w:p w14:paraId="24B19679">
      <w:pPr>
        <w:pStyle w:val="2"/>
        <w:numPr>
          <w:ilvl w:val="-1"/>
          <w:numId w:val="0"/>
        </w:numPr>
        <w:spacing w:line="360" w:lineRule="auto"/>
        <w:ind w:firstLine="0" w:firstLineChars="0"/>
        <w:jc w:val="both"/>
        <w:rPr>
          <w:rFonts w:hint="eastAsia"/>
          <w:color w:val="auto"/>
          <w:highlight w:val="none"/>
          <w:lang w:val="en-US" w:eastAsia="zh-CN"/>
        </w:rPr>
      </w:pPr>
    </w:p>
    <w:p w14:paraId="6AA3F15C">
      <w:pPr>
        <w:rPr>
          <w:rFonts w:hint="eastAsia"/>
          <w:color w:val="auto"/>
          <w:highlight w:val="none"/>
          <w:lang w:val="en-US" w:eastAsia="zh-CN"/>
        </w:rPr>
      </w:pPr>
    </w:p>
    <w:p w14:paraId="4A998CD1">
      <w:pPr>
        <w:rPr>
          <w:rFonts w:hint="eastAsia"/>
          <w:color w:val="auto"/>
          <w:highlight w:val="none"/>
          <w:lang w:val="en-US" w:eastAsia="zh-CN"/>
        </w:rPr>
      </w:pPr>
    </w:p>
    <w:p w14:paraId="3AB97DC6">
      <w:pPr>
        <w:rPr>
          <w:rFonts w:hint="eastAsia"/>
          <w:color w:val="auto"/>
          <w:highlight w:val="none"/>
          <w:lang w:val="en-US" w:eastAsia="zh-CN"/>
        </w:rPr>
      </w:pPr>
    </w:p>
    <w:p w14:paraId="6B49A874">
      <w:pPr>
        <w:rPr>
          <w:rFonts w:hint="eastAsia"/>
          <w:color w:val="auto"/>
          <w:highlight w:val="none"/>
          <w:lang w:val="en-US" w:eastAsia="zh-CN"/>
        </w:rPr>
      </w:pPr>
    </w:p>
    <w:p w14:paraId="3604F7BF">
      <w:pPr>
        <w:rPr>
          <w:rFonts w:hint="eastAsia"/>
          <w:color w:val="auto"/>
          <w:highlight w:val="none"/>
          <w:lang w:val="en-US" w:eastAsia="zh-CN"/>
        </w:rPr>
      </w:pPr>
    </w:p>
    <w:p w14:paraId="2C9EF530">
      <w:pPr>
        <w:rPr>
          <w:rFonts w:hint="eastAsia"/>
          <w:color w:val="auto"/>
          <w:highlight w:val="none"/>
          <w:lang w:val="en-US" w:eastAsia="zh-CN"/>
        </w:rPr>
      </w:pPr>
    </w:p>
    <w:p w14:paraId="0E4C3CF8">
      <w:pPr>
        <w:rPr>
          <w:rFonts w:hint="eastAsia"/>
          <w:color w:val="auto"/>
          <w:highlight w:val="none"/>
          <w:lang w:val="en-US" w:eastAsia="zh-CN"/>
        </w:rPr>
      </w:pPr>
    </w:p>
    <w:p w14:paraId="549E9F50">
      <w:pPr>
        <w:rPr>
          <w:rFonts w:hint="eastAsia"/>
          <w:color w:val="auto"/>
          <w:highlight w:val="none"/>
          <w:lang w:val="en-US" w:eastAsia="zh-CN"/>
        </w:rPr>
      </w:pPr>
    </w:p>
    <w:p w14:paraId="59E09014">
      <w:pPr>
        <w:rPr>
          <w:rFonts w:hint="eastAsia"/>
          <w:color w:val="auto"/>
          <w:highlight w:val="none"/>
          <w:lang w:val="en-US" w:eastAsia="zh-CN"/>
        </w:rPr>
      </w:pPr>
    </w:p>
    <w:p w14:paraId="5AE464E8">
      <w:pPr>
        <w:rPr>
          <w:rFonts w:hint="eastAsia"/>
          <w:color w:val="auto"/>
          <w:highlight w:val="none"/>
          <w:lang w:val="en-US" w:eastAsia="zh-CN"/>
        </w:rPr>
      </w:pPr>
    </w:p>
    <w:p w14:paraId="0305526B">
      <w:pPr>
        <w:rPr>
          <w:rFonts w:hint="eastAsia"/>
          <w:color w:val="auto"/>
          <w:highlight w:val="none"/>
          <w:lang w:val="en-US" w:eastAsia="zh-CN"/>
        </w:rPr>
      </w:pPr>
    </w:p>
    <w:p w14:paraId="5EBE99E8">
      <w:pPr>
        <w:rPr>
          <w:rFonts w:hint="eastAsia"/>
          <w:color w:val="auto"/>
          <w:highlight w:val="none"/>
          <w:lang w:val="en-US" w:eastAsia="zh-CN"/>
        </w:rPr>
      </w:pPr>
    </w:p>
    <w:p w14:paraId="080CC117">
      <w:pPr>
        <w:rPr>
          <w:rFonts w:hint="eastAsia"/>
          <w:color w:val="auto"/>
          <w:highlight w:val="none"/>
          <w:lang w:val="en-US" w:eastAsia="zh-CN"/>
        </w:rPr>
      </w:pPr>
    </w:p>
    <w:p w14:paraId="7D14CCB8">
      <w:pPr>
        <w:rPr>
          <w:rFonts w:hint="eastAsia"/>
          <w:color w:val="auto"/>
          <w:highlight w:val="none"/>
          <w:lang w:val="en-US" w:eastAsia="zh-CN"/>
        </w:rPr>
      </w:pPr>
    </w:p>
    <w:p w14:paraId="4285181C">
      <w:pPr>
        <w:rPr>
          <w:rFonts w:hint="eastAsia"/>
          <w:color w:val="auto"/>
          <w:highlight w:val="none"/>
          <w:lang w:val="en-US" w:eastAsia="zh-CN"/>
        </w:rPr>
      </w:pPr>
    </w:p>
    <w:p w14:paraId="1F4A7221">
      <w:pPr>
        <w:rPr>
          <w:rFonts w:hint="eastAsia"/>
          <w:color w:val="auto"/>
          <w:highlight w:val="none"/>
          <w:lang w:val="en-US" w:eastAsia="zh-CN"/>
        </w:rPr>
      </w:pPr>
    </w:p>
    <w:p w14:paraId="661E2EFB">
      <w:pPr>
        <w:rPr>
          <w:rFonts w:hint="eastAsia"/>
          <w:color w:val="auto"/>
          <w:highlight w:val="none"/>
          <w:lang w:val="en-US" w:eastAsia="zh-CN"/>
        </w:rPr>
      </w:pPr>
    </w:p>
    <w:p w14:paraId="54073A48">
      <w:pPr>
        <w:rPr>
          <w:rFonts w:hint="eastAsia"/>
          <w:color w:val="auto"/>
          <w:highlight w:val="none"/>
          <w:lang w:val="en-US" w:eastAsia="zh-CN"/>
        </w:rPr>
      </w:pPr>
    </w:p>
    <w:p w14:paraId="1DB1D501">
      <w:pPr>
        <w:rPr>
          <w:rFonts w:hint="eastAsia"/>
          <w:color w:val="auto"/>
          <w:highlight w:val="none"/>
          <w:lang w:val="en-US" w:eastAsia="zh-CN"/>
        </w:rPr>
      </w:pPr>
    </w:p>
    <w:p w14:paraId="72E77103">
      <w:pPr>
        <w:rPr>
          <w:rFonts w:hint="eastAsia"/>
          <w:color w:val="auto"/>
          <w:highlight w:val="none"/>
          <w:lang w:val="en-US" w:eastAsia="zh-CN"/>
        </w:rPr>
      </w:pPr>
    </w:p>
    <w:p w14:paraId="5B54A4C9">
      <w:pPr>
        <w:rPr>
          <w:rFonts w:hint="eastAsia"/>
          <w:color w:val="auto"/>
          <w:highlight w:val="none"/>
          <w:lang w:val="en-US" w:eastAsia="zh-CN"/>
        </w:rPr>
      </w:pPr>
    </w:p>
    <w:p w14:paraId="7D09D924">
      <w:pPr>
        <w:rPr>
          <w:rFonts w:hint="eastAsia"/>
          <w:color w:val="auto"/>
          <w:highlight w:val="none"/>
          <w:lang w:val="en-US" w:eastAsia="zh-CN"/>
        </w:rPr>
      </w:pPr>
    </w:p>
    <w:p w14:paraId="1C015F94">
      <w:pPr>
        <w:rPr>
          <w:rFonts w:hint="eastAsia"/>
          <w:color w:val="auto"/>
          <w:highlight w:val="none"/>
          <w:lang w:val="en-US" w:eastAsia="zh-CN"/>
        </w:rPr>
      </w:pPr>
    </w:p>
    <w:p w14:paraId="0F61CA90">
      <w:pPr>
        <w:rPr>
          <w:rFonts w:hint="eastAsia"/>
          <w:color w:val="auto"/>
          <w:highlight w:val="none"/>
          <w:lang w:val="en-US" w:eastAsia="zh-CN"/>
        </w:rPr>
      </w:pPr>
    </w:p>
    <w:p w14:paraId="04F0371F">
      <w:pPr>
        <w:rPr>
          <w:rFonts w:hint="eastAsia"/>
          <w:color w:val="auto"/>
          <w:highlight w:val="none"/>
          <w:lang w:val="en-US" w:eastAsia="zh-CN"/>
        </w:rPr>
      </w:pPr>
    </w:p>
    <w:p w14:paraId="2102E96E">
      <w:pPr>
        <w:rPr>
          <w:rFonts w:hint="eastAsia"/>
          <w:color w:val="auto"/>
          <w:highlight w:val="none"/>
          <w:lang w:val="en-US" w:eastAsia="zh-CN"/>
        </w:rPr>
      </w:pPr>
    </w:p>
    <w:p w14:paraId="73547356">
      <w:pPr>
        <w:rPr>
          <w:rFonts w:hint="eastAsia"/>
          <w:color w:val="auto"/>
          <w:highlight w:val="none"/>
          <w:lang w:val="en-US" w:eastAsia="zh-CN"/>
        </w:rPr>
      </w:pPr>
    </w:p>
    <w:p w14:paraId="6B271167">
      <w:pPr>
        <w:rPr>
          <w:rFonts w:hint="eastAsia"/>
          <w:color w:val="auto"/>
          <w:highlight w:val="none"/>
          <w:lang w:val="en-US" w:eastAsia="zh-CN"/>
        </w:rPr>
      </w:pPr>
    </w:p>
    <w:p w14:paraId="2DCE758B">
      <w:pPr>
        <w:rPr>
          <w:rFonts w:hint="eastAsia"/>
          <w:color w:val="auto"/>
          <w:highlight w:val="none"/>
          <w:lang w:val="en-US" w:eastAsia="zh-CN"/>
        </w:rPr>
      </w:pPr>
    </w:p>
    <w:p w14:paraId="51744C77">
      <w:pPr>
        <w:rPr>
          <w:rFonts w:hint="eastAsia"/>
          <w:color w:val="auto"/>
          <w:highlight w:val="none"/>
          <w:lang w:val="en-US" w:eastAsia="zh-CN"/>
        </w:rPr>
      </w:pPr>
    </w:p>
    <w:p w14:paraId="2BA0246C">
      <w:pPr>
        <w:pStyle w:val="2"/>
        <w:numPr>
          <w:ilvl w:val="-1"/>
          <w:numId w:val="0"/>
        </w:numPr>
        <w:spacing w:line="360" w:lineRule="auto"/>
        <w:ind w:firstLine="0" w:firstLineChars="0"/>
        <w:jc w:val="both"/>
        <w:rPr>
          <w:rFonts w:hint="eastAsia"/>
          <w:color w:val="auto"/>
          <w:highlight w:val="none"/>
          <w:lang w:val="en-US" w:eastAsia="zh-CN"/>
        </w:rPr>
      </w:pPr>
    </w:p>
    <w:p w14:paraId="15933B83">
      <w:pPr>
        <w:pStyle w:val="2"/>
        <w:numPr>
          <w:ilvl w:val="-1"/>
          <w:numId w:val="0"/>
        </w:numPr>
        <w:spacing w:line="360" w:lineRule="auto"/>
        <w:ind w:firstLine="2530" w:firstLineChars="700"/>
        <w:jc w:val="both"/>
        <w:rPr>
          <w:rFonts w:hint="eastAsia"/>
          <w:color w:val="auto"/>
          <w:highlight w:val="none"/>
          <w:lang w:val="en-US" w:eastAsia="zh-CN"/>
        </w:rPr>
      </w:pPr>
    </w:p>
    <w:p w14:paraId="376D33EF">
      <w:pPr>
        <w:pStyle w:val="2"/>
        <w:numPr>
          <w:ilvl w:val="-1"/>
          <w:numId w:val="0"/>
        </w:numPr>
        <w:spacing w:line="360" w:lineRule="auto"/>
        <w:ind w:firstLine="2530" w:firstLineChars="700"/>
        <w:jc w:val="both"/>
        <w:rPr>
          <w:color w:val="auto"/>
          <w:highlight w:val="none"/>
        </w:rPr>
      </w:pPr>
      <w:bookmarkStart w:id="57" w:name="_Toc11395"/>
      <w:r>
        <w:rPr>
          <w:rFonts w:hint="eastAsia"/>
          <w:color w:val="auto"/>
          <w:highlight w:val="none"/>
          <w:lang w:val="en-US" w:eastAsia="zh-CN"/>
        </w:rPr>
        <w:t xml:space="preserve">第四章 </w:t>
      </w:r>
      <w:r>
        <w:rPr>
          <w:color w:val="auto"/>
          <w:highlight w:val="none"/>
        </w:rPr>
        <w:t>评标原则及评分标准</w:t>
      </w:r>
      <w:bookmarkEnd w:id="57"/>
    </w:p>
    <w:p w14:paraId="654A2D4F">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 xml:space="preserve">     </w:t>
      </w:r>
      <w:r>
        <w:rPr>
          <w:rFonts w:ascii="宋体" w:hAnsi="宋体" w:cs="宋体"/>
          <w:b/>
          <w:bCs/>
          <w:color w:val="auto"/>
          <w:sz w:val="28"/>
          <w:szCs w:val="28"/>
          <w:highlight w:val="none"/>
        </w:rPr>
        <w:t>评标办法及评审标准</w:t>
      </w:r>
    </w:p>
    <w:p w14:paraId="454890B6">
      <w:pPr>
        <w:pStyle w:val="12"/>
        <w:spacing w:line="360" w:lineRule="auto"/>
        <w:ind w:firstLine="482" w:firstLineChars="200"/>
        <w:rPr>
          <w:rFonts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一、评标依据及方式</w:t>
      </w:r>
    </w:p>
    <w:p w14:paraId="3F8DE3C3">
      <w:pPr>
        <w:pStyle w:val="12"/>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1. 评标依据：评标委员会以招标文件和投标文件为评标依据，对投标人的投标报价、技术、商务等方面内容按百分制打分。</w:t>
      </w:r>
    </w:p>
    <w:p w14:paraId="683F61F7">
      <w:pPr>
        <w:pStyle w:val="12"/>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2.评标原则</w:t>
      </w:r>
    </w:p>
    <w:p w14:paraId="24A90E07">
      <w:pPr>
        <w:pStyle w:val="12"/>
        <w:spacing w:line="360" w:lineRule="auto"/>
        <w:ind w:firstLine="240" w:firstLineChars="100"/>
        <w:rPr>
          <w:rFonts w:ascii="Times New Roman" w:hAnsi="Times New Roman" w:eastAsia="宋体"/>
          <w:bCs/>
          <w:color w:val="auto"/>
          <w:sz w:val="24"/>
          <w:szCs w:val="24"/>
          <w:highlight w:val="none"/>
          <w:u w:val="single"/>
        </w:rPr>
      </w:pPr>
      <w:r>
        <w:rPr>
          <w:rFonts w:ascii="Times New Roman" w:hAnsi="Times New Roman" w:eastAsia="宋体"/>
          <w:bCs/>
          <w:color w:val="auto"/>
          <w:sz w:val="24"/>
          <w:szCs w:val="24"/>
          <w:highlight w:val="none"/>
        </w:rPr>
        <w:t>（一）评委构成：评标委员会由采购人代表和评审专家组成，成员人数应当为</w:t>
      </w:r>
      <w:r>
        <w:rPr>
          <w:rFonts w:hint="eastAsia" w:ascii="Times New Roman" w:hAnsi="Times New Roman" w:eastAsia="宋体"/>
          <w:bCs/>
          <w:color w:val="auto"/>
          <w:sz w:val="24"/>
          <w:szCs w:val="24"/>
          <w:highlight w:val="none"/>
          <w:u w:val="single"/>
          <w:lang w:val="en-US" w:eastAsia="zh-CN"/>
        </w:rPr>
        <w:t>7</w:t>
      </w:r>
      <w:r>
        <w:rPr>
          <w:rFonts w:ascii="Times New Roman" w:hAnsi="Times New Roman" w:eastAsia="宋体"/>
          <w:bCs/>
          <w:color w:val="auto"/>
          <w:sz w:val="24"/>
          <w:szCs w:val="24"/>
          <w:highlight w:val="none"/>
        </w:rPr>
        <w:t>人以上单数，其中评审专家不得少于成员总数的三分之二。采购项目符合下列情形之一的，评标委员会成员人数应当为</w:t>
      </w:r>
      <w:r>
        <w:rPr>
          <w:rFonts w:ascii="Times New Roman" w:hAnsi="Times New Roman" w:eastAsia="宋体"/>
          <w:bCs/>
          <w:color w:val="auto"/>
          <w:sz w:val="24"/>
          <w:szCs w:val="24"/>
          <w:highlight w:val="none"/>
          <w:u w:val="single"/>
        </w:rPr>
        <w:t>7</w:t>
      </w:r>
      <w:r>
        <w:rPr>
          <w:rFonts w:ascii="Times New Roman" w:hAnsi="Times New Roman" w:eastAsia="宋体"/>
          <w:bCs/>
          <w:color w:val="auto"/>
          <w:sz w:val="24"/>
          <w:szCs w:val="24"/>
          <w:highlight w:val="none"/>
        </w:rPr>
        <w:t>人以上单数：1.采购预算金额在1000万元以上；2.技术复杂；3.社会影响较大。</w:t>
      </w:r>
    </w:p>
    <w:p w14:paraId="09028219">
      <w:pPr>
        <w:pStyle w:val="12"/>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3. 评标方式：以封闭方式进行评标。</w:t>
      </w:r>
    </w:p>
    <w:p w14:paraId="2803BCCE">
      <w:pPr>
        <w:pStyle w:val="12"/>
        <w:spacing w:line="36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4. 根据财库〔2012〕69号文规定，采购人和采购代理机构、评标委员会成员要严格遵守政府采购相关法律制度，依法履行各自职责，公正、客观、审慎地组织和参与评审工作。</w:t>
      </w:r>
    </w:p>
    <w:p w14:paraId="2A80B8A4">
      <w:pPr>
        <w:pStyle w:val="12"/>
        <w:spacing w:line="360" w:lineRule="auto"/>
        <w:ind w:firstLine="482" w:firstLineChars="200"/>
        <w:rPr>
          <w:rFonts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二、评标办法</w:t>
      </w:r>
    </w:p>
    <w:p w14:paraId="3288EA92">
      <w:pPr>
        <w:pStyle w:val="12"/>
        <w:spacing w:line="360" w:lineRule="auto"/>
        <w:ind w:firstLine="240" w:firstLineChars="1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（一）对进入详评的，采用综合评分法。</w:t>
      </w:r>
    </w:p>
    <w:p w14:paraId="1DFA2A12">
      <w:pPr>
        <w:pStyle w:val="12"/>
        <w:spacing w:line="360" w:lineRule="auto"/>
        <w:ind w:firstLine="240" w:firstLineChars="100"/>
        <w:rPr>
          <w:rFonts w:ascii="Times New Roman" w:hAnsi="Times New Roman" w:eastAsia="宋体"/>
          <w:color w:val="auto"/>
          <w:highlight w:val="none"/>
        </w:rPr>
      </w:pPr>
      <w:r>
        <w:rPr>
          <w:rFonts w:ascii="Times New Roman" w:hAnsi="Times New Roman" w:eastAsia="宋体"/>
          <w:bCs/>
          <w:color w:val="auto"/>
          <w:sz w:val="24"/>
          <w:szCs w:val="24"/>
          <w:highlight w:val="none"/>
        </w:rPr>
        <w:t>（二）计分办法（按四舍五入取至小数点后一位）。</w:t>
      </w:r>
    </w:p>
    <w:p w14:paraId="0B9508BD">
      <w:pPr>
        <w:pStyle w:val="12"/>
        <w:adjustRightInd w:val="0"/>
        <w:spacing w:line="360" w:lineRule="auto"/>
        <w:ind w:firstLine="482" w:firstLineChars="200"/>
        <w:contextualSpacing/>
        <w:rPr>
          <w:rFonts w:hint="eastAsia" w:ascii="Times New Roman" w:hAnsi="Times New Roman" w:eastAsia="宋体"/>
          <w:b/>
          <w:bCs/>
          <w:color w:val="auto"/>
          <w:sz w:val="24"/>
          <w:szCs w:val="24"/>
          <w:highlight w:val="none"/>
        </w:rPr>
      </w:pPr>
      <w:r>
        <w:rPr>
          <w:rFonts w:ascii="Times New Roman" w:hAnsi="Times New Roman" w:eastAsia="宋体"/>
          <w:b/>
          <w:bCs/>
          <w:color w:val="auto"/>
          <w:sz w:val="24"/>
          <w:szCs w:val="24"/>
          <w:highlight w:val="none"/>
        </w:rPr>
        <w:t>1、价格分 …………………………………………………………………………</w:t>
      </w:r>
      <w:r>
        <w:rPr>
          <w:rFonts w:hint="eastAsia" w:ascii="宋体" w:hAnsi="宋体" w:eastAsia="宋体"/>
          <w:b/>
          <w:bCs/>
          <w:color w:val="auto"/>
          <w:sz w:val="24"/>
          <w:szCs w:val="24"/>
          <w:highlight w:val="none"/>
        </w:rPr>
        <w:t>（满分</w:t>
      </w:r>
      <w:r>
        <w:rPr>
          <w:rFonts w:ascii="Times New Roman" w:hAnsi="Times New Roman" w:eastAsia="宋体"/>
          <w:b/>
          <w:bCs/>
          <w:color w:val="auto"/>
          <w:sz w:val="24"/>
          <w:szCs w:val="24"/>
          <w:highlight w:val="none"/>
        </w:rPr>
        <w:t>10分</w:t>
      </w:r>
      <w:r>
        <w:rPr>
          <w:rFonts w:hint="eastAsia" w:ascii="宋体" w:hAnsi="宋体" w:eastAsia="宋体"/>
          <w:b/>
          <w:bCs/>
          <w:color w:val="auto"/>
          <w:sz w:val="24"/>
          <w:szCs w:val="24"/>
          <w:highlight w:val="none"/>
        </w:rPr>
        <w:t>）</w:t>
      </w:r>
    </w:p>
    <w:p w14:paraId="10288DF7">
      <w:pPr>
        <w:pStyle w:val="12"/>
        <w:adjustRightInd w:val="0"/>
        <w:spacing w:line="360" w:lineRule="auto"/>
        <w:ind w:firstLine="480" w:firstLineChars="200"/>
        <w:contextualSpacing/>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（1）以进入评标的最低评标价为10分</w:t>
      </w:r>
    </w:p>
    <w:p w14:paraId="5AD1150B">
      <w:pPr>
        <w:pStyle w:val="12"/>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（2）</w:t>
      </w:r>
      <w:r>
        <w:rPr>
          <w:rFonts w:hint="eastAsia" w:ascii="Times New Roman" w:hAnsi="Times New Roman" w:eastAsia="宋体"/>
          <w:bCs/>
          <w:color w:val="auto"/>
          <w:sz w:val="24"/>
          <w:szCs w:val="24"/>
          <w:highlight w:val="none"/>
        </w:rPr>
        <w:t>根据财政部《政府采购促进中小企业发展管理办法》（财库〔2020〕46 号）</w:t>
      </w: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lang w:val="en-US" w:eastAsia="zh-CN"/>
        </w:rPr>
        <w:t>(</w:t>
      </w:r>
      <w:r>
        <w:rPr>
          <w:rFonts w:hint="eastAsia" w:ascii="宋体" w:hAnsi="宋体" w:eastAsia="宋体" w:cs="宋体"/>
          <w:i w:val="0"/>
          <w:iCs w:val="0"/>
          <w:caps w:val="0"/>
          <w:color w:val="auto"/>
          <w:spacing w:val="0"/>
          <w:sz w:val="24"/>
          <w:szCs w:val="24"/>
          <w:highlight w:val="none"/>
          <w:shd w:val="clear" w:color="auto" w:fill="FFFFFF"/>
        </w:rPr>
        <w:t>财库〔2022〕19号</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Times New Roman" w:hAnsi="Times New Roman" w:eastAsia="宋体"/>
          <w:bCs/>
          <w:color w:val="auto"/>
          <w:sz w:val="24"/>
          <w:szCs w:val="24"/>
          <w:highlight w:val="none"/>
        </w:rPr>
        <w:t>规定，对小型和微型企业服务产品的价格给予</w:t>
      </w:r>
      <w:r>
        <w:rPr>
          <w:rFonts w:hint="eastAsia" w:ascii="Times New Roman" w:hAnsi="Times New Roman" w:eastAsia="宋体"/>
          <w:bCs/>
          <w:color w:val="auto"/>
          <w:sz w:val="24"/>
          <w:szCs w:val="24"/>
          <w:highlight w:val="none"/>
          <w:lang w:val="en-US" w:eastAsia="zh-CN"/>
        </w:rPr>
        <w:t>10</w:t>
      </w:r>
      <w:r>
        <w:rPr>
          <w:rFonts w:hint="eastAsia" w:ascii="Times New Roman" w:hAnsi="Times New Roman" w:eastAsia="宋体"/>
          <w:bCs/>
          <w:color w:val="auto"/>
          <w:sz w:val="24"/>
          <w:szCs w:val="24"/>
          <w:highlight w:val="none"/>
        </w:rPr>
        <w:t>%的扣除</w:t>
      </w:r>
      <w:r>
        <w:rPr>
          <w:rFonts w:ascii="Times New Roman" w:hAnsi="Times New Roman" w:eastAsia="宋体"/>
          <w:bCs/>
          <w:color w:val="auto"/>
          <w:sz w:val="24"/>
          <w:szCs w:val="24"/>
          <w:highlight w:val="none"/>
        </w:rPr>
        <w:t>，扣除后的价格为评标价，即评标价＝投标报价×（1-</w:t>
      </w:r>
      <w:r>
        <w:rPr>
          <w:rFonts w:hint="eastAsia" w:ascii="Times New Roman" w:hAnsi="Times New Roman" w:eastAsia="宋体"/>
          <w:bCs/>
          <w:color w:val="auto"/>
          <w:sz w:val="24"/>
          <w:szCs w:val="24"/>
          <w:highlight w:val="none"/>
          <w:lang w:val="en-US" w:eastAsia="zh-CN"/>
        </w:rPr>
        <w:t>10</w:t>
      </w:r>
      <w:r>
        <w:rPr>
          <w:rFonts w:ascii="Times New Roman" w:hAnsi="Times New Roman" w:eastAsia="宋体"/>
          <w:bCs/>
          <w:color w:val="auto"/>
          <w:sz w:val="24"/>
          <w:szCs w:val="24"/>
          <w:highlight w:val="none"/>
        </w:rPr>
        <w:t>%）（按第六章“投标文件格式”要求提供的《投标报价表》和《中小企业声明函》并提供相关证明材料为评分依据）；</w:t>
      </w:r>
    </w:p>
    <w:p w14:paraId="451D96D9">
      <w:pPr>
        <w:pStyle w:val="12"/>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（3）对大中型企业和其他自然人、法人或者其他组织与小型、微型企业组成联合体，且联合体协议中约定小型、微型企业的协议合同金额占到联合体协议合同总金额30%以上的，给予</w:t>
      </w:r>
      <w:r>
        <w:rPr>
          <w:rFonts w:hint="eastAsia" w:ascii="Times New Roman" w:hAnsi="Times New Roman" w:eastAsia="宋体"/>
          <w:bCs/>
          <w:color w:val="auto"/>
          <w:sz w:val="24"/>
          <w:szCs w:val="24"/>
          <w:highlight w:val="none"/>
          <w:lang w:val="en-US" w:eastAsia="zh-CN"/>
        </w:rPr>
        <w:t>3</w:t>
      </w:r>
      <w:r>
        <w:rPr>
          <w:rFonts w:ascii="Times New Roman" w:hAnsi="Times New Roman" w:eastAsia="宋体"/>
          <w:bCs/>
          <w:color w:val="auto"/>
          <w:sz w:val="24"/>
          <w:szCs w:val="24"/>
          <w:highlight w:val="none"/>
        </w:rPr>
        <w:t>%的价格扣除，扣除后的价格为评标价，即评标价＝投标报价×（1-</w:t>
      </w:r>
      <w:r>
        <w:rPr>
          <w:rFonts w:hint="eastAsia" w:ascii="Times New Roman" w:hAnsi="Times New Roman" w:eastAsia="宋体"/>
          <w:bCs/>
          <w:color w:val="auto"/>
          <w:sz w:val="24"/>
          <w:szCs w:val="24"/>
          <w:highlight w:val="none"/>
          <w:lang w:val="en-US" w:eastAsia="zh-CN"/>
        </w:rPr>
        <w:t>3</w:t>
      </w:r>
      <w:r>
        <w:rPr>
          <w:rFonts w:ascii="Times New Roman" w:hAnsi="Times New Roman" w:eastAsia="宋体"/>
          <w:bCs/>
          <w:color w:val="auto"/>
          <w:sz w:val="24"/>
          <w:szCs w:val="24"/>
          <w:highlight w:val="none"/>
        </w:rPr>
        <w:t>%）（按第六章“投标文件格式”要求提供的《投标报价表》和《中小企业声明函》并提供相关证明材料为评分依据）。</w:t>
      </w:r>
    </w:p>
    <w:p w14:paraId="730DDA20">
      <w:pPr>
        <w:pStyle w:val="12"/>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r>
        <w:rPr>
          <w:rFonts w:hint="eastAsia" w:ascii="Times New Roman" w:hAnsi="Times New Roman" w:eastAsia="宋体"/>
          <w:bCs/>
          <w:color w:val="auto"/>
          <w:sz w:val="24"/>
          <w:szCs w:val="24"/>
          <w:highlight w:val="none"/>
          <w:lang w:eastAsia="zh-CN"/>
        </w:rPr>
        <w:t>投标人</w:t>
      </w:r>
      <w:r>
        <w:rPr>
          <w:rFonts w:ascii="Times New Roman" w:hAnsi="Times New Roman" w:eastAsia="宋体"/>
          <w:bCs/>
          <w:color w:val="auto"/>
          <w:sz w:val="24"/>
          <w:szCs w:val="24"/>
          <w:highlight w:val="none"/>
        </w:rPr>
        <w:t>须在投标</w:t>
      </w:r>
      <w:r>
        <w:rPr>
          <w:rFonts w:hint="eastAsia" w:ascii="Times New Roman" w:hAnsi="Times New Roman" w:eastAsia="宋体"/>
          <w:bCs/>
          <w:color w:val="auto"/>
          <w:sz w:val="24"/>
          <w:szCs w:val="24"/>
          <w:highlight w:val="none"/>
          <w:lang w:eastAsia="zh-CN"/>
        </w:rPr>
        <w:t>投标文件</w:t>
      </w:r>
      <w:r>
        <w:rPr>
          <w:rFonts w:ascii="Times New Roman" w:hAnsi="Times New Roman" w:eastAsia="宋体"/>
          <w:bCs/>
          <w:color w:val="auto"/>
          <w:sz w:val="24"/>
          <w:szCs w:val="24"/>
          <w:highlight w:val="none"/>
        </w:rPr>
        <w:t>中提供《残疾人福利性单位声明函》，否则不予价格扣除；并随成交结果同时公告其《残疾人福利性单位声明函》，接受社会监督。</w:t>
      </w:r>
      <w:r>
        <w:rPr>
          <w:rFonts w:hint="eastAsia" w:ascii="Times New Roman" w:hAnsi="Times New Roman" w:eastAsia="宋体"/>
          <w:bCs/>
          <w:color w:val="auto"/>
          <w:sz w:val="24"/>
          <w:szCs w:val="24"/>
          <w:highlight w:val="none"/>
          <w:lang w:eastAsia="zh-CN"/>
        </w:rPr>
        <w:t>投标人</w:t>
      </w:r>
      <w:r>
        <w:rPr>
          <w:rFonts w:ascii="Times New Roman" w:hAnsi="Times New Roman" w:eastAsia="宋体"/>
          <w:bCs/>
          <w:color w:val="auto"/>
          <w:sz w:val="24"/>
          <w:szCs w:val="24"/>
          <w:highlight w:val="none"/>
        </w:rPr>
        <w:t>提供的《残疾人福利性单位声明函》与事实不符的，依照《政府采购法》第七十七条第一款的规定追究法律责任]。</w:t>
      </w:r>
    </w:p>
    <w:p w14:paraId="6B6461CF">
      <w:pPr>
        <w:pStyle w:val="12"/>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5）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6FDA126F">
      <w:pPr>
        <w:pStyle w:val="12"/>
        <w:spacing w:line="360" w:lineRule="auto"/>
        <w:ind w:firstLine="480" w:firstLineChars="200"/>
        <w:rPr>
          <w:rFonts w:ascii="Times New Roman" w:hAnsi="Times New Roman" w:eastAsia="宋体"/>
          <w:bCs/>
          <w:color w:val="auto"/>
          <w:sz w:val="24"/>
          <w:szCs w:val="24"/>
          <w:highlight w:val="none"/>
        </w:rPr>
      </w:pPr>
      <w:r>
        <w:rPr>
          <w:rFonts w:ascii="Times New Roman" w:hAnsi="Times New Roman" w:eastAsia="宋体"/>
          <w:bCs/>
          <w:color w:val="auto"/>
          <w:sz w:val="24"/>
          <w:szCs w:val="24"/>
          <w:highlight w:val="none"/>
        </w:rPr>
        <w:t>除上述情况外，评标价=投标报价。</w:t>
      </w:r>
    </w:p>
    <w:p w14:paraId="440BF5DA">
      <w:pPr>
        <w:pStyle w:val="12"/>
        <w:spacing w:line="360" w:lineRule="auto"/>
        <w:ind w:firstLine="480" w:firstLineChars="200"/>
        <w:rPr>
          <w:rFonts w:ascii="Times New Roman" w:hAnsi="Times New Roman"/>
          <w:color w:val="auto"/>
          <w:sz w:val="24"/>
          <w:szCs w:val="24"/>
          <w:highlight w:val="none"/>
        </w:rPr>
      </w:pPr>
      <w:r>
        <w:rPr>
          <w:rFonts w:ascii="Times New Roman" w:hAnsi="Times New Roman" w:eastAsia="宋体"/>
          <w:bCs/>
          <w:color w:val="auto"/>
          <w:sz w:val="24"/>
          <w:szCs w:val="24"/>
          <w:highlight w:val="none"/>
        </w:rPr>
        <w:t>满足招标文件要求且投标价格最低的投标报价为评标基准价，其价格分为满分，其他</w:t>
      </w:r>
      <w:r>
        <w:rPr>
          <w:rFonts w:hint="eastAsia" w:ascii="Times New Roman" w:hAnsi="Times New Roman" w:eastAsia="宋体"/>
          <w:bCs/>
          <w:color w:val="auto"/>
          <w:sz w:val="24"/>
          <w:szCs w:val="24"/>
          <w:highlight w:val="none"/>
          <w:lang w:eastAsia="zh-CN"/>
        </w:rPr>
        <w:t>投标人</w:t>
      </w:r>
      <w:r>
        <w:rPr>
          <w:rFonts w:ascii="Times New Roman" w:hAnsi="Times New Roman" w:eastAsia="宋体"/>
          <w:bCs/>
          <w:color w:val="auto"/>
          <w:sz w:val="24"/>
          <w:szCs w:val="24"/>
          <w:highlight w:val="none"/>
        </w:rPr>
        <w:t>的价格分统一按照下列公式计算：</w:t>
      </w:r>
    </w:p>
    <w:p w14:paraId="135A65BE">
      <w:pPr>
        <w:widowControl/>
        <w:spacing w:line="360" w:lineRule="auto"/>
        <w:ind w:firstLine="3120" w:firstLineChars="1300"/>
        <w:jc w:val="left"/>
        <w:rPr>
          <w:rFonts w:ascii="Times New Roman" w:hAnsi="Times New Roman"/>
          <w:color w:val="auto"/>
          <w:sz w:val="24"/>
          <w:highlight w:val="none"/>
        </w:rPr>
      </w:pPr>
      <w:r>
        <w:rPr>
          <w:rFonts w:ascii="Times New Roman" w:hAnsi="Times New Roman"/>
          <w:color w:val="auto"/>
          <w:kern w:val="0"/>
          <w:sz w:val="24"/>
          <w:highlight w:val="none"/>
          <w:lang w:bidi="ar"/>
        </w:rPr>
        <w:t>投标基准价</w:t>
      </w:r>
    </w:p>
    <w:p w14:paraId="2A5B7B00">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2" name="1026"/>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26" o:spid="_x0000_s1026" o:spt="20" style="position:absolute;left:0pt;flip:y;margin-left:124.75pt;margin-top:10.45pt;height:0.05pt;width:119.65pt;z-index:251663360;mso-width-relative:page;mso-height-relative:page;" filled="f" stroked="t" coordsize="21600,21600" o:gfxdata="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op1WnXAAAA&#10;CQEAAA8AAAAAAAAAAQAgAAAAIgAAAGRycy9kb3ducmV2LnhtbFBLAQIUABQAAAAIAIdO4kC++5BP&#10;5QEAAPEDAAAOAAAAAAAAAAEAIAAAACYBAABkcnMvZTJvRG9jLnhtbFBLBQYAAAAABgAGAFkBAAB9&#10;BQAAAAA=&#10;">
                <v:fill on="f" focussize="0,0"/>
                <v:stroke color="#000000" joinstyle="round"/>
                <v:imagedata o:title=""/>
                <o:lock v:ext="edit" aspectratio="f"/>
              </v:line>
            </w:pict>
          </mc:Fallback>
        </mc:AlternateContent>
      </w:r>
      <w:r>
        <w:rPr>
          <w:rFonts w:ascii="Times New Roman" w:hAnsi="Times New Roman"/>
          <w:bCs/>
          <w:color w:val="auto"/>
          <w:sz w:val="24"/>
          <w:highlight w:val="none"/>
        </w:rPr>
        <w:t>投标报价得分</w:t>
      </w:r>
      <w:r>
        <w:rPr>
          <w:rFonts w:ascii="Times New Roman" w:hAnsi="Times New Roman"/>
          <w:color w:val="auto"/>
          <w:sz w:val="24"/>
          <w:highlight w:val="none"/>
        </w:rPr>
        <w:t>=                          ×10分</w:t>
      </w:r>
    </w:p>
    <w:p w14:paraId="2CCE4843">
      <w:pPr>
        <w:pStyle w:val="12"/>
        <w:spacing w:line="360" w:lineRule="auto"/>
        <w:ind w:firstLine="3120" w:firstLineChars="13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lang w:bidi="ar"/>
        </w:rPr>
        <w:t>某投标人报价</w:t>
      </w:r>
    </w:p>
    <w:p w14:paraId="2BE9842B">
      <w:pPr>
        <w:numPr>
          <w:ilvl w:val="0"/>
          <w:numId w:val="0"/>
        </w:numPr>
        <w:adjustRightInd w:val="0"/>
        <w:snapToGrid w:val="0"/>
        <w:spacing w:line="360" w:lineRule="auto"/>
        <w:ind w:firstLine="482" w:firstLineChars="200"/>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2、基本技术性能分…………………………………………………（满分10分）</w:t>
      </w:r>
    </w:p>
    <w:p w14:paraId="1CD75EAB">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bCs/>
          <w:color w:val="auto"/>
          <w:kern w:val="0"/>
          <w:sz w:val="24"/>
          <w:highlight w:val="none"/>
          <w:lang w:val="en-US" w:eastAsia="zh-CN"/>
        </w:rPr>
        <w:t>1</w:t>
      </w:r>
      <w:r>
        <w:rPr>
          <w:rFonts w:hint="eastAsia" w:ascii="Times New Roman" w:hAnsi="Times New Roman" w:eastAsia="宋体" w:cs="Times New Roman"/>
          <w:bCs/>
          <w:color w:val="auto"/>
          <w:kern w:val="0"/>
          <w:sz w:val="24"/>
          <w:highlight w:val="none"/>
          <w:lang w:eastAsia="zh-CN"/>
        </w:rPr>
        <w:t>）基本分：</w:t>
      </w:r>
    </w:p>
    <w:p w14:paraId="2BDC3D4D">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bCs/>
          <w:color w:val="auto"/>
          <w:kern w:val="0"/>
          <w:sz w:val="24"/>
          <w:highlight w:val="none"/>
          <w:lang w:eastAsia="zh-CN"/>
        </w:rPr>
        <w:t>提供的投标产品参数满足</w:t>
      </w:r>
      <w:r>
        <w:rPr>
          <w:rFonts w:hint="eastAsia" w:ascii="Times New Roman" w:hAnsi="Times New Roman" w:eastAsia="宋体" w:cs="Times New Roman"/>
          <w:bCs/>
          <w:color w:val="auto"/>
          <w:kern w:val="0"/>
          <w:sz w:val="24"/>
          <w:highlight w:val="none"/>
          <w:lang w:val="en-US" w:eastAsia="zh-CN"/>
        </w:rPr>
        <w:t>招标</w:t>
      </w:r>
      <w:r>
        <w:rPr>
          <w:rFonts w:hint="eastAsia" w:ascii="Times New Roman" w:hAnsi="Times New Roman" w:eastAsia="宋体" w:cs="Times New Roman"/>
          <w:bCs/>
          <w:color w:val="auto"/>
          <w:kern w:val="0"/>
          <w:sz w:val="24"/>
          <w:highlight w:val="none"/>
          <w:lang w:eastAsia="zh-CN"/>
        </w:rPr>
        <w:t>文件要求，无任何负偏离，则本项得基本分</w:t>
      </w:r>
      <w:r>
        <w:rPr>
          <w:rFonts w:hint="eastAsia" w:ascii="Times New Roman" w:hAnsi="Times New Roman" w:eastAsia="宋体" w:cs="Times New Roman"/>
          <w:bCs/>
          <w:color w:val="auto"/>
          <w:kern w:val="0"/>
          <w:sz w:val="24"/>
          <w:highlight w:val="none"/>
          <w:lang w:val="en-US" w:eastAsia="zh-CN"/>
        </w:rPr>
        <w:t>10</w:t>
      </w:r>
      <w:r>
        <w:rPr>
          <w:rFonts w:hint="eastAsia" w:ascii="Times New Roman" w:hAnsi="Times New Roman" w:eastAsia="宋体" w:cs="Times New Roman"/>
          <w:bCs/>
          <w:color w:val="auto"/>
          <w:kern w:val="0"/>
          <w:sz w:val="24"/>
          <w:highlight w:val="none"/>
          <w:lang w:eastAsia="zh-CN"/>
        </w:rPr>
        <w:t>分。</w:t>
      </w:r>
    </w:p>
    <w:p w14:paraId="74AA852D">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bCs/>
          <w:color w:val="auto"/>
          <w:kern w:val="0"/>
          <w:sz w:val="24"/>
          <w:highlight w:val="none"/>
          <w:lang w:val="en-US" w:eastAsia="zh-CN"/>
        </w:rPr>
        <w:t>2</w:t>
      </w:r>
      <w:r>
        <w:rPr>
          <w:rFonts w:hint="eastAsia" w:ascii="Times New Roman" w:hAnsi="Times New Roman" w:eastAsia="宋体" w:cs="Times New Roman"/>
          <w:bCs/>
          <w:color w:val="auto"/>
          <w:kern w:val="0"/>
          <w:sz w:val="24"/>
          <w:highlight w:val="none"/>
          <w:lang w:eastAsia="zh-CN"/>
        </w:rPr>
        <w:t>）负偏离扣</w:t>
      </w:r>
      <w:r>
        <w:rPr>
          <w:rFonts w:hint="eastAsia" w:ascii="Times New Roman" w:hAnsi="Times New Roman" w:eastAsia="宋体" w:cs="Times New Roman"/>
          <w:bCs/>
          <w:color w:val="auto"/>
          <w:kern w:val="0"/>
          <w:sz w:val="24"/>
          <w:highlight w:val="none"/>
          <w:lang w:val="en-US" w:eastAsia="zh-CN"/>
        </w:rPr>
        <w:t>分</w:t>
      </w:r>
      <w:r>
        <w:rPr>
          <w:rFonts w:hint="eastAsia" w:ascii="Times New Roman" w:hAnsi="Times New Roman" w:eastAsia="宋体" w:cs="Times New Roman"/>
          <w:bCs/>
          <w:color w:val="auto"/>
          <w:kern w:val="0"/>
          <w:sz w:val="24"/>
          <w:highlight w:val="none"/>
          <w:lang w:eastAsia="zh-CN"/>
        </w:rPr>
        <w:t>：</w:t>
      </w:r>
    </w:p>
    <w:p w14:paraId="78C672D6">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bCs/>
          <w:color w:val="auto"/>
          <w:kern w:val="0"/>
          <w:sz w:val="24"/>
          <w:highlight w:val="none"/>
          <w:lang w:eastAsia="zh-CN"/>
        </w:rPr>
        <w:t>《采购需求》中打有“</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Times New Roman"/>
          <w:bCs/>
          <w:color w:val="auto"/>
          <w:kern w:val="0"/>
          <w:sz w:val="24"/>
          <w:highlight w:val="none"/>
          <w:lang w:eastAsia="zh-CN"/>
        </w:rPr>
        <w:t>”的参数为重要参数，供应商须在投标文件中提供证明材料以证明相应打有“</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Times New Roman"/>
          <w:bCs/>
          <w:color w:val="auto"/>
          <w:kern w:val="0"/>
          <w:sz w:val="24"/>
          <w:highlight w:val="none"/>
          <w:lang w:eastAsia="zh-CN"/>
        </w:rPr>
        <w:t>”的参数的真实性（可证明材料可以是运行界面截图或第三方机构出具的检测检验报告原件扫描件、且该证明材料中须包含投标产品相应打有“</w:t>
      </w:r>
      <w:r>
        <w:rPr>
          <w:rFonts w:hint="eastAsia" w:ascii="宋体" w:hAnsi="宋体" w:eastAsia="宋体" w:cs="宋体"/>
          <w:i w:val="0"/>
          <w:iCs w:val="0"/>
          <w:color w:val="auto"/>
          <w:kern w:val="0"/>
          <w:sz w:val="20"/>
          <w:szCs w:val="20"/>
          <w:highlight w:val="none"/>
          <w:u w:val="none"/>
          <w:lang w:val="en-US" w:eastAsia="zh-CN" w:bidi="ar"/>
        </w:rPr>
        <w:t>★</w:t>
      </w:r>
      <w:r>
        <w:rPr>
          <w:rFonts w:hint="eastAsia" w:ascii="Times New Roman" w:hAnsi="Times New Roman" w:eastAsia="宋体" w:cs="Times New Roman"/>
          <w:bCs/>
          <w:color w:val="auto"/>
          <w:kern w:val="0"/>
          <w:sz w:val="24"/>
          <w:highlight w:val="none"/>
          <w:lang w:eastAsia="zh-CN"/>
        </w:rPr>
        <w:t>”的技术指标，未按要求提供以上证明材料或证明材料不合格的，视为</w:t>
      </w:r>
      <w:r>
        <w:rPr>
          <w:rFonts w:hint="eastAsia" w:ascii="Times New Roman" w:hAnsi="Times New Roman" w:eastAsia="宋体" w:cs="Times New Roman"/>
          <w:bCs/>
          <w:color w:val="auto"/>
          <w:kern w:val="0"/>
          <w:sz w:val="24"/>
          <w:highlight w:val="none"/>
          <w:lang w:val="en-US" w:eastAsia="zh-CN"/>
        </w:rPr>
        <w:t>不提供</w:t>
      </w:r>
      <w:r>
        <w:rPr>
          <w:rFonts w:hint="eastAsia" w:ascii="Times New Roman" w:hAnsi="Times New Roman" w:eastAsia="宋体" w:cs="Times New Roman"/>
          <w:bCs/>
          <w:color w:val="auto"/>
          <w:kern w:val="0"/>
          <w:sz w:val="24"/>
          <w:highlight w:val="none"/>
          <w:lang w:eastAsia="zh-CN"/>
        </w:rPr>
        <w:t>。打有“★”的参数每出现一项不提供相关材料的扣1分，扣完为止，不计负分。</w:t>
      </w:r>
    </w:p>
    <w:p w14:paraId="5965984A">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lang w:eastAsia="zh-CN"/>
        </w:rPr>
      </w:pPr>
      <w:r>
        <w:rPr>
          <w:rFonts w:hint="eastAsia" w:ascii="Times New Roman" w:hAnsi="Times New Roman" w:eastAsia="宋体" w:cs="Times New Roman"/>
          <w:bCs/>
          <w:color w:val="auto"/>
          <w:kern w:val="0"/>
          <w:sz w:val="24"/>
          <w:highlight w:val="none"/>
          <w:lang w:eastAsia="zh-CN"/>
        </w:rPr>
        <w:t>（</w:t>
      </w:r>
      <w:r>
        <w:rPr>
          <w:rFonts w:hint="eastAsia" w:ascii="Times New Roman" w:hAnsi="Times New Roman" w:eastAsia="宋体" w:cs="Times New Roman"/>
          <w:bCs/>
          <w:color w:val="auto"/>
          <w:kern w:val="0"/>
          <w:sz w:val="24"/>
          <w:highlight w:val="none"/>
          <w:lang w:val="en-US" w:eastAsia="zh-CN"/>
        </w:rPr>
        <w:t>3</w:t>
      </w:r>
      <w:r>
        <w:rPr>
          <w:rFonts w:hint="eastAsia" w:ascii="Times New Roman" w:hAnsi="Times New Roman" w:eastAsia="宋体" w:cs="Times New Roman"/>
          <w:bCs/>
          <w:color w:val="auto"/>
          <w:kern w:val="0"/>
          <w:sz w:val="24"/>
          <w:highlight w:val="none"/>
          <w:lang w:eastAsia="zh-CN"/>
        </w:rPr>
        <w:t>）说明：</w:t>
      </w:r>
    </w:p>
    <w:p w14:paraId="390D5637">
      <w:pPr>
        <w:adjustRightInd w:val="0"/>
        <w:snapToGrid w:val="0"/>
        <w:spacing w:line="360" w:lineRule="auto"/>
        <w:ind w:firstLine="480" w:firstLineChars="200"/>
        <w:rPr>
          <w:rFonts w:hint="eastAsia" w:ascii="Times New Roman" w:hAnsi="Times New Roman" w:eastAsia="宋体" w:cs="Times New Roman"/>
          <w:bCs/>
          <w:color w:val="auto"/>
          <w:kern w:val="0"/>
          <w:sz w:val="24"/>
          <w:highlight w:val="none"/>
        </w:rPr>
      </w:pPr>
      <w:r>
        <w:rPr>
          <w:rFonts w:hint="eastAsia" w:ascii="Times New Roman" w:hAnsi="Times New Roman" w:eastAsia="宋体" w:cs="Times New Roman"/>
          <w:bCs/>
          <w:color w:val="auto"/>
          <w:kern w:val="0"/>
          <w:sz w:val="24"/>
          <w:highlight w:val="none"/>
          <w:lang w:eastAsia="zh-CN"/>
        </w:rPr>
        <w:t>负偏离扣分从供应商的基本分1</w:t>
      </w:r>
      <w:r>
        <w:rPr>
          <w:rFonts w:hint="eastAsia" w:ascii="Times New Roman" w:hAnsi="Times New Roman" w:eastAsia="宋体" w:cs="Times New Roman"/>
          <w:bCs/>
          <w:color w:val="auto"/>
          <w:kern w:val="0"/>
          <w:sz w:val="24"/>
          <w:highlight w:val="none"/>
          <w:lang w:val="en-US" w:eastAsia="zh-CN"/>
        </w:rPr>
        <w:t>0</w:t>
      </w:r>
      <w:r>
        <w:rPr>
          <w:rFonts w:hint="eastAsia" w:ascii="Times New Roman" w:hAnsi="Times New Roman" w:eastAsia="宋体" w:cs="Times New Roman"/>
          <w:bCs/>
          <w:color w:val="auto"/>
          <w:kern w:val="0"/>
          <w:sz w:val="24"/>
          <w:highlight w:val="none"/>
          <w:lang w:eastAsia="zh-CN"/>
        </w:rPr>
        <w:t>分中扣除，最多扣1</w:t>
      </w:r>
      <w:r>
        <w:rPr>
          <w:rFonts w:hint="eastAsia" w:ascii="Times New Roman" w:hAnsi="Times New Roman" w:eastAsia="宋体" w:cs="Times New Roman"/>
          <w:bCs/>
          <w:color w:val="auto"/>
          <w:kern w:val="0"/>
          <w:sz w:val="24"/>
          <w:highlight w:val="none"/>
          <w:lang w:val="en-US" w:eastAsia="zh-CN"/>
        </w:rPr>
        <w:t>0</w:t>
      </w:r>
      <w:r>
        <w:rPr>
          <w:rFonts w:hint="eastAsia" w:ascii="Times New Roman" w:hAnsi="Times New Roman" w:eastAsia="宋体" w:cs="Times New Roman"/>
          <w:bCs/>
          <w:color w:val="auto"/>
          <w:kern w:val="0"/>
          <w:sz w:val="24"/>
          <w:highlight w:val="none"/>
          <w:lang w:eastAsia="zh-CN"/>
        </w:rPr>
        <w:t>分，本项不计负分，产品技术性能分为0分时不影响投标有效性。</w:t>
      </w:r>
    </w:p>
    <w:p w14:paraId="596876CE">
      <w:pPr>
        <w:numPr>
          <w:ilvl w:val="0"/>
          <w:numId w:val="0"/>
        </w:numPr>
        <w:adjustRightInd w:val="0"/>
        <w:snapToGrid w:val="0"/>
        <w:spacing w:line="360" w:lineRule="auto"/>
        <w:ind w:firstLine="482" w:firstLineChars="200"/>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3、技术方案分………………………………………………………………（满分</w:t>
      </w:r>
      <w:r>
        <w:rPr>
          <w:rFonts w:hint="eastAsia" w:ascii="宋体" w:hAnsi="宋体" w:cs="宋体"/>
          <w:b/>
          <w:bCs/>
          <w:color w:val="auto"/>
          <w:kern w:val="0"/>
          <w:sz w:val="24"/>
          <w:szCs w:val="20"/>
          <w:highlight w:val="none"/>
          <w:lang w:val="en-US" w:eastAsia="zh-CN" w:bidi="ar-SA"/>
        </w:rPr>
        <w:t>28</w:t>
      </w:r>
      <w:r>
        <w:rPr>
          <w:rFonts w:hint="eastAsia" w:ascii="宋体" w:hAnsi="宋体" w:eastAsia="宋体" w:cs="宋体"/>
          <w:b/>
          <w:bCs/>
          <w:color w:val="auto"/>
          <w:kern w:val="0"/>
          <w:sz w:val="24"/>
          <w:szCs w:val="20"/>
          <w:highlight w:val="none"/>
          <w:lang w:val="en-US" w:eastAsia="zh-CN" w:bidi="ar-SA"/>
        </w:rPr>
        <w:t>分</w:t>
      </w:r>
      <w:r>
        <w:rPr>
          <w:rFonts w:hint="eastAsia" w:ascii="宋体" w:hAnsi="宋体" w:cs="宋体"/>
          <w:b/>
          <w:bCs/>
          <w:color w:val="auto"/>
          <w:kern w:val="0"/>
          <w:sz w:val="24"/>
          <w:szCs w:val="20"/>
          <w:highlight w:val="none"/>
          <w:lang w:val="en-US" w:eastAsia="zh-CN" w:bidi="ar-SA"/>
        </w:rPr>
        <w:t>）</w:t>
      </w:r>
    </w:p>
    <w:p w14:paraId="043EA9F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由评委根据技术方案的完整性、可行性等内容进行评定并在相应档次内独立打分。</w:t>
      </w:r>
    </w:p>
    <w:p w14:paraId="4120094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color w:val="auto"/>
          <w:highlight w:val="none"/>
          <w:lang w:val="en-US" w:eastAsia="zh-CN"/>
        </w:rPr>
      </w:pPr>
      <w:r>
        <w:rPr>
          <w:rFonts w:hint="eastAsia" w:ascii="宋体" w:hAnsi="宋体" w:eastAsia="宋体" w:cs="宋体"/>
          <w:b/>
          <w:bCs w:val="0"/>
          <w:color w:val="auto"/>
          <w:kern w:val="0"/>
          <w:sz w:val="24"/>
          <w:szCs w:val="24"/>
          <w:highlight w:val="none"/>
          <w:lang w:val="en-US" w:eastAsia="zh-CN" w:bidi="ar-SA"/>
        </w:rPr>
        <w:t>一档（</w:t>
      </w:r>
      <w:r>
        <w:rPr>
          <w:rFonts w:hint="eastAsia" w:ascii="宋体" w:hAnsi="宋体" w:cs="宋体"/>
          <w:b/>
          <w:bCs w:val="0"/>
          <w:color w:val="auto"/>
          <w:kern w:val="0"/>
          <w:sz w:val="24"/>
          <w:szCs w:val="24"/>
          <w:highlight w:val="none"/>
          <w:lang w:val="en-US" w:eastAsia="zh-CN" w:bidi="ar-SA"/>
        </w:rPr>
        <w:t>7</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根据项目服务需求，有简单的项目概述、项目需求理解，有详细总体设计说明，综合评定基本满足采购文件项目的技术要求。</w:t>
      </w:r>
    </w:p>
    <w:p w14:paraId="57417588">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color w:val="auto"/>
          <w:highlight w:val="none"/>
          <w:lang w:val="en-US" w:eastAsia="zh-CN"/>
        </w:rPr>
      </w:pPr>
      <w:r>
        <w:rPr>
          <w:rFonts w:hint="eastAsia" w:ascii="宋体" w:hAnsi="宋体" w:eastAsia="宋体" w:cs="宋体"/>
          <w:b/>
          <w:bCs w:val="0"/>
          <w:color w:val="auto"/>
          <w:kern w:val="0"/>
          <w:sz w:val="24"/>
          <w:szCs w:val="24"/>
          <w:highlight w:val="none"/>
          <w:lang w:val="en-US" w:eastAsia="zh-CN" w:bidi="ar-SA"/>
        </w:rPr>
        <w:t>二档（</w:t>
      </w:r>
      <w:r>
        <w:rPr>
          <w:rFonts w:hint="eastAsia" w:ascii="宋体" w:hAnsi="宋体" w:cs="宋体"/>
          <w:b/>
          <w:bCs w:val="0"/>
          <w:color w:val="auto"/>
          <w:kern w:val="0"/>
          <w:sz w:val="24"/>
          <w:szCs w:val="24"/>
          <w:highlight w:val="none"/>
          <w:lang w:val="en-US" w:eastAsia="zh-CN" w:bidi="ar-SA"/>
        </w:rPr>
        <w:t>14</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一档基础上，项目总体设计说明具有设计目标、设计原则、总体逻辑架构设计图、功能设计等，项目需求分析基本满足本项目需求，能保障业务系统基本不受影响。</w:t>
      </w:r>
    </w:p>
    <w:p w14:paraId="3EC59027">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color w:val="auto"/>
          <w:highlight w:val="none"/>
          <w:lang w:val="en-US" w:eastAsia="zh-CN"/>
        </w:rPr>
      </w:pPr>
      <w:r>
        <w:rPr>
          <w:rFonts w:hint="eastAsia" w:ascii="宋体" w:hAnsi="宋体" w:eastAsia="宋体" w:cs="宋体"/>
          <w:b/>
          <w:bCs w:val="0"/>
          <w:color w:val="auto"/>
          <w:kern w:val="0"/>
          <w:sz w:val="24"/>
          <w:szCs w:val="24"/>
          <w:highlight w:val="none"/>
          <w:lang w:val="en-US" w:eastAsia="zh-CN" w:bidi="ar-SA"/>
        </w:rPr>
        <w:t>三档（</w:t>
      </w:r>
      <w:r>
        <w:rPr>
          <w:rFonts w:hint="eastAsia" w:ascii="宋体" w:hAnsi="宋体" w:cs="宋体"/>
          <w:b/>
          <w:bCs w:val="0"/>
          <w:color w:val="auto"/>
          <w:kern w:val="0"/>
          <w:sz w:val="24"/>
          <w:szCs w:val="24"/>
          <w:highlight w:val="none"/>
          <w:lang w:val="en-US" w:eastAsia="zh-CN" w:bidi="ar-SA"/>
        </w:rPr>
        <w:t>21</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二档基础上，提供的技术方案有具体的功能描述，完全满足本项目需求及详细的系统运行环境等内容，方案详细且具有针对性，能保障业务系统完全不受影响，指标平台应具备数据源数据采集、采集方式应包括表单采集、数据库采集和接口采集、指标数据接口服务查阅、接口服务发布等详细功能描述。</w:t>
      </w:r>
    </w:p>
    <w:p w14:paraId="5A81218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color w:val="auto"/>
          <w:highlight w:val="none"/>
          <w:lang w:val="en-US" w:eastAsia="zh-CN"/>
        </w:rPr>
      </w:pPr>
      <w:r>
        <w:rPr>
          <w:rFonts w:hint="eastAsia" w:ascii="宋体" w:hAnsi="宋体" w:eastAsia="宋体" w:cs="宋体"/>
          <w:b/>
          <w:bCs w:val="0"/>
          <w:color w:val="auto"/>
          <w:kern w:val="0"/>
          <w:sz w:val="24"/>
          <w:szCs w:val="24"/>
          <w:highlight w:val="none"/>
          <w:lang w:val="en-US" w:eastAsia="zh-CN" w:bidi="ar-SA"/>
        </w:rPr>
        <w:t>四档（</w:t>
      </w:r>
      <w:r>
        <w:rPr>
          <w:rFonts w:hint="eastAsia" w:ascii="宋体" w:hAnsi="宋体" w:cs="宋体"/>
          <w:b/>
          <w:bCs w:val="0"/>
          <w:color w:val="auto"/>
          <w:kern w:val="0"/>
          <w:sz w:val="24"/>
          <w:szCs w:val="24"/>
          <w:highlight w:val="none"/>
          <w:lang w:val="en-US" w:eastAsia="zh-CN" w:bidi="ar-SA"/>
        </w:rPr>
        <w:t>28</w:t>
      </w:r>
      <w:r>
        <w:rPr>
          <w:rFonts w:hint="eastAsia" w:ascii="宋体" w:hAnsi="宋体" w:eastAsia="宋体" w:cs="宋体"/>
          <w:b/>
          <w:bCs w:val="0"/>
          <w:color w:val="auto"/>
          <w:kern w:val="0"/>
          <w:sz w:val="24"/>
          <w:szCs w:val="24"/>
          <w:highlight w:val="none"/>
          <w:lang w:val="en-US" w:eastAsia="zh-CN" w:bidi="ar-SA"/>
        </w:rPr>
        <w:t>分）：</w:t>
      </w:r>
      <w:r>
        <w:rPr>
          <w:rFonts w:hint="eastAsia" w:ascii="宋体" w:hAnsi="宋体" w:eastAsia="宋体" w:cs="宋体"/>
          <w:color w:val="auto"/>
          <w:kern w:val="2"/>
          <w:sz w:val="24"/>
          <w:szCs w:val="24"/>
          <w:highlight w:val="none"/>
          <w:lang w:val="en-US" w:eastAsia="zh-CN" w:bidi="ar-SA"/>
        </w:rPr>
        <w:t>三档基础上，提供的技术方案有具体的功能描述，完全满足本项目功能需求及详细的系统运行环境等内容，方案详细且具有针对性、安全性、全面性、稳定性，能保障业务系统在长时间运行过程中保持稳定运行，完全不受影响，确保用户使用体验，指标平台应具备数据源数据采集、采集方式应包括表单采集、数据库采集和接口采集、指标数据接口服务查阅、接口服务发布等详细功能描述。视频综合智能监控平台应视频巡检、视频借阅服务、借阅审批服务功能项、视频监控接入设备场景化设置等详细功能描述。</w:t>
      </w:r>
    </w:p>
    <w:bookmarkEnd w:id="41"/>
    <w:bookmarkEnd w:id="42"/>
    <w:bookmarkEnd w:id="43"/>
    <w:bookmarkEnd w:id="46"/>
    <w:bookmarkEnd w:id="47"/>
    <w:bookmarkEnd w:id="48"/>
    <w:bookmarkEnd w:id="49"/>
    <w:bookmarkEnd w:id="50"/>
    <w:bookmarkEnd w:id="51"/>
    <w:p w14:paraId="1B72A062">
      <w:pPr>
        <w:pStyle w:val="12"/>
        <w:spacing w:line="360" w:lineRule="auto"/>
        <w:ind w:firstLine="482" w:firstLineChars="200"/>
        <w:outlineLvl w:val="0"/>
        <w:rPr>
          <w:rFonts w:hint="eastAsia" w:ascii="宋体" w:hAnsi="宋体" w:eastAsia="宋体" w:cs="宋体"/>
          <w:b/>
          <w:bCs/>
          <w:color w:val="auto"/>
          <w:sz w:val="24"/>
          <w:szCs w:val="20"/>
          <w:highlight w:val="none"/>
        </w:rPr>
      </w:pPr>
      <w:bookmarkStart w:id="58" w:name="_Toc2559"/>
      <w:r>
        <w:rPr>
          <w:rFonts w:hint="eastAsia" w:ascii="宋体" w:hAnsi="宋体" w:eastAsia="宋体" w:cs="宋体"/>
          <w:b/>
          <w:bCs/>
          <w:color w:val="auto"/>
          <w:sz w:val="24"/>
          <w:szCs w:val="20"/>
          <w:highlight w:val="none"/>
        </w:rPr>
        <w:t>4、项目实施方案分………………………………………………（满分</w:t>
      </w:r>
      <w:r>
        <w:rPr>
          <w:rFonts w:hint="eastAsia" w:ascii="宋体" w:hAnsi="宋体" w:eastAsia="宋体" w:cs="宋体"/>
          <w:b/>
          <w:bCs/>
          <w:color w:val="auto"/>
          <w:sz w:val="24"/>
          <w:szCs w:val="20"/>
          <w:highlight w:val="none"/>
          <w:lang w:val="en-US" w:eastAsia="zh-CN"/>
        </w:rPr>
        <w:t>22</w:t>
      </w:r>
      <w:r>
        <w:rPr>
          <w:rFonts w:hint="eastAsia" w:ascii="宋体" w:hAnsi="宋体" w:eastAsia="宋体" w:cs="宋体"/>
          <w:b/>
          <w:bCs/>
          <w:color w:val="auto"/>
          <w:sz w:val="24"/>
          <w:szCs w:val="20"/>
          <w:highlight w:val="none"/>
        </w:rPr>
        <w:t>分）</w:t>
      </w:r>
      <w:bookmarkEnd w:id="58"/>
    </w:p>
    <w:p w14:paraId="2186E53D">
      <w:pPr>
        <w:spacing w:line="360" w:lineRule="auto"/>
        <w:ind w:firstLine="482" w:firstLineChars="200"/>
        <w:rPr>
          <w:rFonts w:hint="eastAsia" w:ascii="宋体" w:hAnsi="宋体" w:cs="宋体"/>
          <w:color w:val="auto"/>
          <w:szCs w:val="21"/>
          <w:highlight w:val="none"/>
        </w:rPr>
      </w:pPr>
      <w:r>
        <w:rPr>
          <w:rFonts w:hint="eastAsia" w:ascii="宋体" w:hAnsi="宋体" w:cs="宋体"/>
          <w:b/>
          <w:color w:val="auto"/>
          <w:kern w:val="0"/>
          <w:sz w:val="24"/>
          <w:highlight w:val="none"/>
        </w:rPr>
        <w:t>一档（</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分）：</w:t>
      </w:r>
      <w:r>
        <w:rPr>
          <w:rFonts w:hint="eastAsia" w:ascii="宋体" w:hAnsi="宋体" w:cs="宋体"/>
          <w:color w:val="auto"/>
          <w:sz w:val="24"/>
          <w:highlight w:val="none"/>
        </w:rPr>
        <w:t>项目实施方案较简单，投标人提供的项目组织实施方案内容简单，方案不够切合实际，基本能满足项目需求，且投入实施人员不少于 2名。</w:t>
      </w:r>
    </w:p>
    <w:p w14:paraId="31A20257">
      <w:pPr>
        <w:spacing w:line="360" w:lineRule="auto"/>
        <w:ind w:firstLine="482" w:firstLineChars="200"/>
        <w:rPr>
          <w:rFonts w:hint="eastAsia" w:ascii="宋体" w:hAnsi="宋体" w:cs="宋体"/>
          <w:color w:val="auto"/>
          <w:szCs w:val="21"/>
          <w:highlight w:val="none"/>
        </w:rPr>
      </w:pPr>
      <w:r>
        <w:rPr>
          <w:rFonts w:hint="eastAsia" w:ascii="宋体" w:hAnsi="宋体" w:cs="宋体"/>
          <w:b/>
          <w:color w:val="auto"/>
          <w:kern w:val="0"/>
          <w:sz w:val="24"/>
          <w:highlight w:val="none"/>
        </w:rPr>
        <w:t>二档（</w:t>
      </w:r>
      <w:r>
        <w:rPr>
          <w:rFonts w:hint="eastAsia" w:ascii="宋体" w:hAnsi="宋体" w:cs="宋体"/>
          <w:b/>
          <w:color w:val="auto"/>
          <w:kern w:val="0"/>
          <w:sz w:val="24"/>
          <w:highlight w:val="none"/>
          <w:lang w:val="en-US" w:eastAsia="zh-CN"/>
        </w:rPr>
        <w:t>10</w:t>
      </w:r>
      <w:r>
        <w:rPr>
          <w:rFonts w:hint="eastAsia" w:ascii="宋体" w:hAnsi="宋体" w:cs="宋体"/>
          <w:b/>
          <w:color w:val="auto"/>
          <w:kern w:val="0"/>
          <w:sz w:val="24"/>
          <w:highlight w:val="none"/>
        </w:rPr>
        <w:t xml:space="preserve"> 分）：</w:t>
      </w:r>
      <w:r>
        <w:rPr>
          <w:rFonts w:hint="eastAsia" w:ascii="宋体" w:hAnsi="宋体" w:cs="宋体"/>
          <w:color w:val="auto"/>
          <w:sz w:val="24"/>
          <w:highlight w:val="none"/>
        </w:rPr>
        <w:t>项目实施方案较合理，投标人提供的项目组织实施方案有基本的</w:t>
      </w:r>
      <w:r>
        <w:rPr>
          <w:rFonts w:hint="eastAsia" w:ascii="宋体" w:hAnsi="宋体" w:cs="宋体"/>
          <w:color w:val="auto"/>
          <w:sz w:val="24"/>
          <w:highlight w:val="none"/>
          <w:lang w:val="en-US" w:eastAsia="zh-CN"/>
        </w:rPr>
        <w:t>工作</w:t>
      </w:r>
      <w:r>
        <w:rPr>
          <w:rFonts w:hint="eastAsia" w:ascii="宋体" w:hAnsi="宋体" w:cs="宋体"/>
          <w:color w:val="auto"/>
          <w:sz w:val="24"/>
          <w:highlight w:val="none"/>
        </w:rPr>
        <w:t>进度计划和工期保证措施，有基本的安全控制措施及实施质量控制保证方案，施工安装方案中含有各系统的基本描述的，且投入实施人员不少于4名。</w:t>
      </w:r>
    </w:p>
    <w:p w14:paraId="46DB429E">
      <w:pPr>
        <w:spacing w:line="360" w:lineRule="auto"/>
        <w:ind w:firstLine="482" w:firstLineChars="200"/>
        <w:rPr>
          <w:rFonts w:hint="eastAsia" w:ascii="宋体" w:hAnsi="宋体" w:cs="宋体"/>
          <w:color w:val="auto"/>
          <w:szCs w:val="21"/>
          <w:highlight w:val="none"/>
        </w:rPr>
      </w:pPr>
      <w:r>
        <w:rPr>
          <w:rFonts w:hint="eastAsia" w:ascii="宋体" w:hAnsi="宋体" w:cs="宋体"/>
          <w:b/>
          <w:color w:val="auto"/>
          <w:kern w:val="0"/>
          <w:sz w:val="24"/>
          <w:highlight w:val="none"/>
        </w:rPr>
        <w:t>三档（</w:t>
      </w:r>
      <w:r>
        <w:rPr>
          <w:rFonts w:hint="eastAsia" w:ascii="宋体" w:hAnsi="宋体" w:cs="宋体"/>
          <w:b/>
          <w:color w:val="auto"/>
          <w:kern w:val="0"/>
          <w:sz w:val="24"/>
          <w:highlight w:val="none"/>
          <w:lang w:val="en-US" w:eastAsia="zh-CN"/>
        </w:rPr>
        <w:t>15</w:t>
      </w:r>
      <w:r>
        <w:rPr>
          <w:rFonts w:hint="eastAsia" w:ascii="宋体" w:hAnsi="宋体" w:cs="宋体"/>
          <w:b/>
          <w:color w:val="auto"/>
          <w:kern w:val="0"/>
          <w:sz w:val="24"/>
          <w:highlight w:val="none"/>
        </w:rPr>
        <w:t>分）：</w:t>
      </w:r>
      <w:r>
        <w:rPr>
          <w:rFonts w:hint="eastAsia" w:ascii="宋体" w:hAnsi="宋体" w:cs="宋体"/>
          <w:color w:val="auto"/>
          <w:sz w:val="24"/>
          <w:highlight w:val="none"/>
        </w:rPr>
        <w:t>投标人提供的项目组织实施方案有较好的</w:t>
      </w:r>
      <w:r>
        <w:rPr>
          <w:rFonts w:hint="eastAsia" w:ascii="宋体" w:hAnsi="宋体" w:cs="宋体"/>
          <w:color w:val="auto"/>
          <w:sz w:val="24"/>
          <w:highlight w:val="none"/>
          <w:lang w:val="en-US" w:eastAsia="zh-CN"/>
        </w:rPr>
        <w:t>工作</w:t>
      </w:r>
      <w:r>
        <w:rPr>
          <w:rFonts w:hint="eastAsia" w:ascii="宋体" w:hAnsi="宋体" w:cs="宋体"/>
          <w:color w:val="auto"/>
          <w:sz w:val="24"/>
          <w:highlight w:val="none"/>
        </w:rPr>
        <w:t>进度计划和工期保证措施； 有较好的安全控制措施、实施质量控制方案及实施质量保证措施及质量管理程序。实施投入人员不少于 6 名。</w:t>
      </w:r>
    </w:p>
    <w:p w14:paraId="0626E4A8">
      <w:pPr>
        <w:spacing w:line="360" w:lineRule="auto"/>
        <w:ind w:firstLine="482" w:firstLineChars="200"/>
        <w:rPr>
          <w:rFonts w:hint="eastAsia" w:ascii="宋体" w:hAnsi="宋体" w:cs="宋体"/>
          <w:color w:val="auto"/>
          <w:szCs w:val="21"/>
          <w:highlight w:val="none"/>
        </w:rPr>
      </w:pPr>
      <w:r>
        <w:rPr>
          <w:rFonts w:hint="eastAsia" w:ascii="宋体" w:hAnsi="宋体" w:cs="宋体"/>
          <w:b/>
          <w:color w:val="auto"/>
          <w:kern w:val="0"/>
          <w:sz w:val="24"/>
          <w:highlight w:val="none"/>
        </w:rPr>
        <w:t>四档（</w:t>
      </w:r>
      <w:r>
        <w:rPr>
          <w:rFonts w:hint="eastAsia" w:ascii="宋体" w:hAnsi="宋体" w:cs="宋体"/>
          <w:b/>
          <w:color w:val="auto"/>
          <w:kern w:val="0"/>
          <w:sz w:val="24"/>
          <w:highlight w:val="none"/>
          <w:lang w:val="en-US" w:eastAsia="zh-CN"/>
        </w:rPr>
        <w:t>22</w:t>
      </w:r>
      <w:r>
        <w:rPr>
          <w:rFonts w:hint="eastAsia" w:ascii="宋体" w:hAnsi="宋体" w:cs="宋体"/>
          <w:b/>
          <w:color w:val="auto"/>
          <w:kern w:val="0"/>
          <w:sz w:val="24"/>
          <w:highlight w:val="none"/>
        </w:rPr>
        <w:t>分）：</w:t>
      </w:r>
      <w:r>
        <w:rPr>
          <w:rFonts w:hint="eastAsia" w:ascii="宋体" w:hAnsi="宋体" w:cs="宋体"/>
          <w:color w:val="auto"/>
          <w:sz w:val="24"/>
          <w:highlight w:val="none"/>
        </w:rPr>
        <w:t>投标人提供的项目组织实施方案有完善的</w:t>
      </w:r>
      <w:r>
        <w:rPr>
          <w:rFonts w:hint="eastAsia" w:ascii="宋体" w:hAnsi="宋体" w:cs="宋体"/>
          <w:color w:val="auto"/>
          <w:sz w:val="24"/>
          <w:highlight w:val="none"/>
          <w:lang w:val="en-US" w:eastAsia="zh-CN"/>
        </w:rPr>
        <w:t>工作</w:t>
      </w:r>
      <w:r>
        <w:rPr>
          <w:rFonts w:hint="eastAsia" w:ascii="宋体" w:hAnsi="宋体" w:cs="宋体"/>
          <w:color w:val="auto"/>
          <w:sz w:val="24"/>
          <w:highlight w:val="none"/>
        </w:rPr>
        <w:t>进度计划和工期保证措施；有完善的安全控制措施及实施质量控制方案、具有工程项目安全管理、项目实施保障措施、项目信息管理措施、安全及质量保证措施、具有能提前完工及具有赶工计划，内容齐全、详细、可行，最贴合采购人实际需求，实施人员充足，实施投入人员不少于 10 名。</w:t>
      </w:r>
    </w:p>
    <w:p w14:paraId="7BBF8FC8">
      <w:pPr>
        <w:pStyle w:val="12"/>
        <w:spacing w:line="360" w:lineRule="auto"/>
        <w:ind w:firstLine="482" w:firstLineChars="200"/>
        <w:outlineLvl w:val="0"/>
        <w:rPr>
          <w:rFonts w:hint="eastAsia" w:ascii="宋体" w:hAnsi="宋体" w:eastAsia="宋体" w:cs="宋体"/>
          <w:b/>
          <w:bCs/>
          <w:color w:val="auto"/>
          <w:sz w:val="24"/>
          <w:szCs w:val="20"/>
          <w:highlight w:val="none"/>
        </w:rPr>
      </w:pPr>
      <w:bookmarkStart w:id="59" w:name="_Toc18514"/>
      <w:r>
        <w:rPr>
          <w:rFonts w:hint="eastAsia" w:ascii="宋体" w:hAnsi="宋体" w:eastAsia="宋体" w:cs="宋体"/>
          <w:b/>
          <w:bCs/>
          <w:color w:val="auto"/>
          <w:sz w:val="24"/>
          <w:szCs w:val="20"/>
          <w:highlight w:val="none"/>
        </w:rPr>
        <w:t>5、售后服务方案分…………………………………………………………（满分</w:t>
      </w:r>
      <w:r>
        <w:rPr>
          <w:rFonts w:hint="eastAsia" w:ascii="宋体" w:hAnsi="宋体" w:eastAsia="宋体" w:cs="宋体"/>
          <w:b/>
          <w:bCs/>
          <w:color w:val="auto"/>
          <w:sz w:val="24"/>
          <w:szCs w:val="20"/>
          <w:highlight w:val="none"/>
          <w:lang w:val="en-US" w:eastAsia="zh-CN"/>
        </w:rPr>
        <w:t>18</w:t>
      </w:r>
      <w:r>
        <w:rPr>
          <w:rFonts w:hint="eastAsia" w:ascii="宋体" w:hAnsi="宋体" w:eastAsia="宋体" w:cs="宋体"/>
          <w:b/>
          <w:bCs/>
          <w:color w:val="auto"/>
          <w:sz w:val="24"/>
          <w:szCs w:val="20"/>
          <w:highlight w:val="none"/>
        </w:rPr>
        <w:t>分）</w:t>
      </w:r>
      <w:bookmarkEnd w:id="59"/>
    </w:p>
    <w:p w14:paraId="01FA6597">
      <w:pPr>
        <w:pStyle w:val="12"/>
        <w:spacing w:line="360" w:lineRule="auto"/>
        <w:ind w:firstLine="420"/>
        <w:rPr>
          <w:rFonts w:hint="eastAsia" w:hAnsi="宋体"/>
          <w:bCs/>
          <w:color w:val="auto"/>
          <w:highlight w:val="none"/>
        </w:rPr>
      </w:pPr>
      <w:r>
        <w:rPr>
          <w:rFonts w:hint="eastAsia" w:ascii="宋体" w:hAnsi="宋体" w:eastAsia="宋体" w:cs="宋体"/>
          <w:b/>
          <w:color w:val="auto"/>
          <w:sz w:val="24"/>
          <w:szCs w:val="24"/>
          <w:highlight w:val="none"/>
        </w:rPr>
        <w:t>一档（4分）：</w:t>
      </w:r>
      <w:r>
        <w:rPr>
          <w:rFonts w:hint="eastAsia" w:ascii="宋体" w:hAnsi="宋体" w:eastAsia="宋体" w:cs="宋体"/>
          <w:color w:val="auto"/>
          <w:kern w:val="2"/>
          <w:sz w:val="24"/>
          <w:szCs w:val="24"/>
          <w:highlight w:val="none"/>
        </w:rPr>
        <w:t>投标人提供的售后服务方案内容不完整，对采购服务需求的理解有偏差。</w:t>
      </w:r>
    </w:p>
    <w:p w14:paraId="239473C8">
      <w:pPr>
        <w:pStyle w:val="12"/>
        <w:spacing w:line="360" w:lineRule="auto"/>
        <w:ind w:firstLine="420"/>
        <w:rPr>
          <w:rFonts w:hint="eastAsia" w:hAnsi="宋体"/>
          <w:bCs/>
          <w:color w:val="auto"/>
          <w:highlight w:val="none"/>
        </w:rPr>
      </w:pPr>
      <w:r>
        <w:rPr>
          <w:rFonts w:hint="eastAsia" w:ascii="宋体" w:hAnsi="宋体" w:eastAsia="宋体" w:cs="宋体"/>
          <w:b/>
          <w:color w:val="auto"/>
          <w:sz w:val="24"/>
          <w:szCs w:val="24"/>
          <w:highlight w:val="none"/>
        </w:rPr>
        <w:t>二档（8分）：</w:t>
      </w:r>
      <w:r>
        <w:rPr>
          <w:rFonts w:hint="eastAsia" w:ascii="宋体" w:hAnsi="宋体" w:eastAsia="宋体" w:cs="宋体"/>
          <w:color w:val="auto"/>
          <w:kern w:val="2"/>
          <w:sz w:val="24"/>
          <w:szCs w:val="24"/>
          <w:highlight w:val="none"/>
        </w:rPr>
        <w:t>投标人提供的运维及售后服务方案基本满足采购项目运维服务要求的和提供有简单的运维服务方案，有项目售后维护和应急保障方案描述。</w:t>
      </w:r>
    </w:p>
    <w:p w14:paraId="4B4FD9F0">
      <w:pPr>
        <w:pStyle w:val="12"/>
        <w:spacing w:line="360" w:lineRule="auto"/>
        <w:ind w:firstLine="420"/>
        <w:rPr>
          <w:rFonts w:hint="eastAsia" w:hAnsi="宋体"/>
          <w:bCs/>
          <w:color w:val="auto"/>
          <w:highlight w:val="none"/>
        </w:rPr>
      </w:pPr>
      <w:r>
        <w:rPr>
          <w:rFonts w:hint="eastAsia" w:ascii="宋体" w:hAnsi="宋体" w:eastAsia="宋体" w:cs="宋体"/>
          <w:b/>
          <w:color w:val="auto"/>
          <w:sz w:val="24"/>
          <w:szCs w:val="24"/>
          <w:highlight w:val="none"/>
        </w:rPr>
        <w:t>三档（12分）：</w:t>
      </w:r>
      <w:r>
        <w:rPr>
          <w:rFonts w:hint="eastAsia" w:ascii="宋体" w:hAnsi="宋体" w:eastAsia="宋体" w:cs="宋体"/>
          <w:color w:val="auto"/>
          <w:kern w:val="2"/>
          <w:sz w:val="24"/>
          <w:szCs w:val="24"/>
          <w:highlight w:val="none"/>
        </w:rPr>
        <w:t>投标人提供的运维及售后服务方案运维服务方案提供故障处理流程、维护保障流程及组织架构，提供免费服务电话和售后服务承诺、项目运维服务和应急保障方案。方案可行较详细及具备同类型项目应急保障服务能力，且拟投入本项目的售后维护服务人员不少于5 人。同时投标人故障响应时间在2小时内响应；需要到现场维修的，在</w:t>
      </w:r>
      <w:r>
        <w:rPr>
          <w:rFonts w:hint="eastAsia" w:ascii="宋体" w:hAnsi="宋体" w:eastAsia="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rPr>
        <w:t>小时内到达故障现场；一般问题在12小时内解决。</w:t>
      </w:r>
    </w:p>
    <w:p w14:paraId="65C69D61">
      <w:pPr>
        <w:pStyle w:val="12"/>
        <w:spacing w:line="360" w:lineRule="auto"/>
        <w:ind w:firstLine="420"/>
        <w:rPr>
          <w:rFonts w:hint="eastAsia" w:hAnsi="宋体"/>
          <w:bCs/>
          <w:color w:val="auto"/>
          <w:highlight w:val="none"/>
        </w:rPr>
      </w:pPr>
      <w:r>
        <w:rPr>
          <w:rFonts w:hint="eastAsia" w:ascii="宋体" w:hAnsi="宋体" w:eastAsia="宋体" w:cs="宋体"/>
          <w:b/>
          <w:color w:val="auto"/>
          <w:sz w:val="24"/>
          <w:szCs w:val="24"/>
          <w:highlight w:val="none"/>
        </w:rPr>
        <w:t>四档（</w:t>
      </w:r>
      <w:r>
        <w:rPr>
          <w:rFonts w:hint="eastAsia" w:ascii="宋体" w:hAnsi="宋体" w:eastAsia="宋体" w:cs="宋体"/>
          <w:b/>
          <w:color w:val="auto"/>
          <w:sz w:val="24"/>
          <w:szCs w:val="24"/>
          <w:highlight w:val="none"/>
          <w:lang w:val="en-US" w:eastAsia="zh-CN"/>
        </w:rPr>
        <w:t>18</w:t>
      </w:r>
      <w:r>
        <w:rPr>
          <w:rFonts w:hint="eastAsia" w:ascii="宋体" w:hAnsi="宋体" w:eastAsia="宋体" w:cs="宋体"/>
          <w:b/>
          <w:color w:val="auto"/>
          <w:sz w:val="24"/>
          <w:szCs w:val="24"/>
          <w:highlight w:val="none"/>
        </w:rPr>
        <w:t>分）：</w:t>
      </w:r>
      <w:r>
        <w:rPr>
          <w:rFonts w:hint="eastAsia" w:ascii="宋体" w:hAnsi="宋体" w:eastAsia="宋体" w:cs="宋体"/>
          <w:color w:val="auto"/>
          <w:kern w:val="2"/>
          <w:sz w:val="24"/>
          <w:szCs w:val="24"/>
          <w:highlight w:val="none"/>
        </w:rPr>
        <w:t>投标人提供的运维及售后服务方案满足采购项目运维服务要求，编制详细的运维服务方案，售后响应时间、故障修复时间的相关描述，每季度进行设备巡检，提供详细的运维服务障处理流程、维护保障流程及组织架构，并能提供5种故障申告途径及绿色通道，提供的运维服务方案详细、完整及具备同类型项目应急保障服务能力的，且为保证货物售后服务质量，保障用户利益。提供本项目的售后维护服务人员不少于8 名，同时投标人在接到故障通知后30分钟内响应，2小时内派认证工程师到达现场，8小时内解决问题，12小时内仍无法解决问题的，提供相同性能参数的备件替用。方案包含售后服务承诺书、保密承诺书、廉洁承诺书、技术培训计划等，满足项目需求，提供服务流程，提供备品备件，本地化售后服务机构等内容。</w:t>
      </w:r>
    </w:p>
    <w:p w14:paraId="53974ECE">
      <w:pPr>
        <w:ind w:firstLine="482" w:firstLineChars="200"/>
        <w:rPr>
          <w:rFonts w:hint="eastAsia" w:ascii="宋体" w:hAnsi="宋体" w:cs="宋体"/>
          <w:b/>
          <w:bCs/>
          <w:color w:val="auto"/>
          <w:kern w:val="0"/>
          <w:sz w:val="24"/>
          <w:szCs w:val="20"/>
          <w:highlight w:val="none"/>
        </w:rPr>
      </w:pPr>
      <w:r>
        <w:rPr>
          <w:rFonts w:hint="eastAsia" w:ascii="宋体" w:hAnsi="宋体" w:cs="宋体"/>
          <w:b/>
          <w:bCs/>
          <w:color w:val="auto"/>
          <w:kern w:val="0"/>
          <w:sz w:val="24"/>
          <w:szCs w:val="20"/>
          <w:highlight w:val="none"/>
        </w:rPr>
        <w:t>6、项目团队配置分…………………………………………………………（满分12分）</w:t>
      </w:r>
    </w:p>
    <w:p w14:paraId="551F5F84">
      <w:pPr>
        <w:spacing w:line="360" w:lineRule="auto"/>
        <w:ind w:firstLine="588" w:firstLineChars="245"/>
        <w:rPr>
          <w:rFonts w:hint="eastAsia" w:ascii="宋体" w:hAnsi="宋体" w:cs="宋体"/>
          <w:color w:val="auto"/>
          <w:sz w:val="24"/>
          <w:highlight w:val="none"/>
        </w:rPr>
      </w:pPr>
      <w:r>
        <w:rPr>
          <w:rFonts w:hint="eastAsia" w:ascii="宋体" w:hAnsi="宋体" w:cs="宋体"/>
          <w:color w:val="auto"/>
          <w:sz w:val="24"/>
          <w:highlight w:val="none"/>
        </w:rPr>
        <w:t>拟投入本项目实施项目经理 1 人，具备高级信息系统项目管理师证书、高级工程师证书（</w:t>
      </w:r>
      <w:r>
        <w:rPr>
          <w:rFonts w:hint="eastAsia" w:ascii="宋体" w:hAnsi="宋体" w:cs="宋体"/>
          <w:color w:val="auto"/>
          <w:sz w:val="24"/>
          <w:highlight w:val="none"/>
          <w:lang w:eastAsia="zh-CN"/>
        </w:rPr>
        <w:t>计算机类</w:t>
      </w:r>
      <w:r>
        <w:rPr>
          <w:rFonts w:hint="eastAsia" w:ascii="宋体" w:hAnsi="宋体" w:cs="宋体"/>
          <w:color w:val="auto"/>
          <w:sz w:val="24"/>
          <w:highlight w:val="none"/>
          <w:lang w:val="en-US" w:eastAsia="zh-CN"/>
        </w:rPr>
        <w:t>或</w:t>
      </w:r>
      <w:r>
        <w:rPr>
          <w:rFonts w:hint="eastAsia" w:ascii="宋体" w:hAnsi="宋体" w:cs="宋体"/>
          <w:color w:val="auto"/>
          <w:sz w:val="24"/>
          <w:highlight w:val="none"/>
          <w:lang w:eastAsia="zh-CN"/>
        </w:rPr>
        <w:t>通信类相关专业</w:t>
      </w:r>
      <w:r>
        <w:rPr>
          <w:rFonts w:hint="eastAsia" w:ascii="宋体" w:hAnsi="宋体" w:cs="宋体"/>
          <w:color w:val="auto"/>
          <w:sz w:val="24"/>
          <w:highlight w:val="none"/>
        </w:rPr>
        <w:t>）、注册信息安全专业人员（CISP-CISE）证书、网络安全能力认证-网络安全技术(Ⅰ级)证书，每具备1个证书得1分，满分4分。</w:t>
      </w:r>
    </w:p>
    <w:p w14:paraId="2FD212FD">
      <w:pPr>
        <w:spacing w:line="360" w:lineRule="auto"/>
        <w:ind w:firstLine="588" w:firstLineChars="245"/>
        <w:rPr>
          <w:rFonts w:hint="eastAsia" w:ascii="宋体" w:hAnsi="宋体" w:cs="宋体"/>
          <w:color w:val="auto"/>
          <w:sz w:val="24"/>
          <w:highlight w:val="none"/>
        </w:rPr>
      </w:pPr>
      <w:r>
        <w:rPr>
          <w:rFonts w:hint="eastAsia" w:ascii="宋体" w:hAnsi="宋体" w:cs="宋体"/>
          <w:color w:val="auto"/>
          <w:sz w:val="24"/>
          <w:highlight w:val="none"/>
        </w:rPr>
        <w:t>拟投入本项目技术负责人1人，具备高级信息系统项目管理师证书、高级系统规划与管理师证书、高级工程师证书（</w:t>
      </w:r>
      <w:r>
        <w:rPr>
          <w:rFonts w:hint="eastAsia" w:ascii="宋体" w:hAnsi="宋体" w:cs="宋体"/>
          <w:color w:val="auto"/>
          <w:sz w:val="24"/>
          <w:highlight w:val="none"/>
          <w:lang w:eastAsia="zh-CN"/>
        </w:rPr>
        <w:t>计算机类</w:t>
      </w:r>
      <w:r>
        <w:rPr>
          <w:rFonts w:hint="eastAsia" w:ascii="宋体" w:hAnsi="宋体" w:cs="宋体"/>
          <w:color w:val="auto"/>
          <w:sz w:val="24"/>
          <w:highlight w:val="none"/>
          <w:lang w:val="en-US" w:eastAsia="zh-CN"/>
        </w:rPr>
        <w:t>或</w:t>
      </w:r>
      <w:r>
        <w:rPr>
          <w:rFonts w:hint="eastAsia" w:ascii="宋体" w:hAnsi="宋体" w:cs="宋体"/>
          <w:color w:val="auto"/>
          <w:sz w:val="24"/>
          <w:highlight w:val="none"/>
          <w:lang w:eastAsia="zh-CN"/>
        </w:rPr>
        <w:t>通信类相关专业</w:t>
      </w:r>
      <w:r>
        <w:rPr>
          <w:rFonts w:hint="eastAsia" w:ascii="宋体" w:hAnsi="宋体" w:cs="宋体"/>
          <w:color w:val="auto"/>
          <w:sz w:val="24"/>
          <w:highlight w:val="none"/>
        </w:rPr>
        <w:t>）、注册信息安全专业人员（CISP-CISE），每具备1个证书得1分，满分4分。</w:t>
      </w:r>
    </w:p>
    <w:p w14:paraId="6916E1F7">
      <w:pPr>
        <w:spacing w:line="360" w:lineRule="auto"/>
        <w:ind w:firstLine="588" w:firstLineChars="245"/>
        <w:rPr>
          <w:rFonts w:hint="eastAsia" w:ascii="宋体" w:hAnsi="宋体" w:cs="宋体"/>
          <w:color w:val="auto"/>
          <w:sz w:val="24"/>
          <w:highlight w:val="none"/>
        </w:rPr>
      </w:pPr>
      <w:r>
        <w:rPr>
          <w:rFonts w:hint="eastAsia" w:ascii="宋体" w:hAnsi="宋体" w:cs="宋体"/>
          <w:color w:val="auto"/>
          <w:sz w:val="24"/>
          <w:highlight w:val="none"/>
        </w:rPr>
        <w:t>拟投入本项目的售后运维负责人1人，具备售后服务高级管理师证书、高级信息系统项目管理师证书、高级系统分析师证书、高级工程师证书（</w:t>
      </w:r>
      <w:r>
        <w:rPr>
          <w:rFonts w:hint="eastAsia" w:ascii="宋体" w:hAnsi="宋体" w:cs="宋体"/>
          <w:color w:val="auto"/>
          <w:sz w:val="24"/>
          <w:highlight w:val="none"/>
          <w:lang w:eastAsia="zh-CN"/>
        </w:rPr>
        <w:t>计算机类</w:t>
      </w:r>
      <w:r>
        <w:rPr>
          <w:rFonts w:hint="eastAsia" w:ascii="宋体" w:hAnsi="宋体" w:cs="宋体"/>
          <w:color w:val="auto"/>
          <w:sz w:val="24"/>
          <w:highlight w:val="none"/>
          <w:lang w:val="en-US" w:eastAsia="zh-CN"/>
        </w:rPr>
        <w:t>或</w:t>
      </w:r>
      <w:r>
        <w:rPr>
          <w:rFonts w:hint="eastAsia" w:ascii="宋体" w:hAnsi="宋体" w:cs="宋体"/>
          <w:color w:val="auto"/>
          <w:sz w:val="24"/>
          <w:highlight w:val="none"/>
          <w:lang w:eastAsia="zh-CN"/>
        </w:rPr>
        <w:t>通信类相关专业</w:t>
      </w:r>
      <w:r>
        <w:rPr>
          <w:rFonts w:hint="eastAsia" w:ascii="宋体" w:hAnsi="宋体" w:cs="宋体"/>
          <w:color w:val="auto"/>
          <w:sz w:val="24"/>
          <w:highlight w:val="none"/>
        </w:rPr>
        <w:t>），每具备1个证书得1分，满分4分。</w:t>
      </w:r>
    </w:p>
    <w:p w14:paraId="79C86ED5">
      <w:pPr>
        <w:spacing w:line="360" w:lineRule="auto"/>
        <w:ind w:firstLine="590" w:firstLineChars="245"/>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注：在投标文件中提供名单、及有效证明证书或其他可以直接证明上述人员为投标人单位员工的相关材料复印件并加盖公章，不按要求提供的不得分</w:t>
      </w:r>
      <w:r>
        <w:rPr>
          <w:rFonts w:hint="eastAsia" w:ascii="宋体" w:hAnsi="宋体" w:cs="宋体"/>
          <w:b/>
          <w:bCs/>
          <w:color w:val="auto"/>
          <w:sz w:val="24"/>
          <w:highlight w:val="none"/>
          <w:lang w:eastAsia="zh-CN"/>
        </w:rPr>
        <w:t>。</w:t>
      </w:r>
    </w:p>
    <w:p w14:paraId="6423AA7B">
      <w:pPr>
        <w:spacing w:line="360" w:lineRule="auto"/>
        <w:ind w:left="210"/>
        <w:rPr>
          <w:rFonts w:hint="eastAsia" w:ascii="宋体" w:hAnsi="宋体" w:cs="宋体"/>
          <w:color w:val="auto"/>
          <w:sz w:val="30"/>
          <w:szCs w:val="30"/>
          <w:highlight w:val="none"/>
        </w:rPr>
      </w:pPr>
    </w:p>
    <w:p w14:paraId="5266D25F">
      <w:pPr>
        <w:spacing w:line="360" w:lineRule="auto"/>
        <w:ind w:left="210"/>
        <w:rPr>
          <w:rFonts w:ascii="Times New Roman" w:hAnsi="Times New Roman"/>
          <w:b/>
          <w:bCs/>
          <w:color w:val="auto"/>
          <w:kern w:val="0"/>
          <w:sz w:val="24"/>
          <w:highlight w:val="none"/>
        </w:rPr>
      </w:pPr>
      <w:r>
        <w:rPr>
          <w:rFonts w:hint="default" w:ascii="Times New Roman" w:hAnsi="Times New Roman" w:cs="Times New Roman"/>
          <w:b/>
          <w:bCs/>
          <w:color w:val="auto"/>
          <w:kern w:val="0"/>
          <w:sz w:val="24"/>
          <w:szCs w:val="24"/>
          <w:highlight w:val="none"/>
        </w:rPr>
        <w:t>三、中标候选人推荐</w:t>
      </w:r>
    </w:p>
    <w:p w14:paraId="07C84C8C">
      <w:pPr>
        <w:pStyle w:val="12"/>
        <w:spacing w:line="360" w:lineRule="auto"/>
        <w:ind w:firstLine="480" w:firstLineChars="200"/>
        <w:contextualSpacing/>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1.评标委员会根据原始评标记录和评标结果编写评标报告，并通过电子交易平台向采购人、采购代理机构提交。</w:t>
      </w:r>
    </w:p>
    <w:p w14:paraId="23C4F84B">
      <w:pPr>
        <w:pStyle w:val="7"/>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评标委员会将根据总得分由高到低排列次序并推荐3名中标候选人。得分相同的，按投标报价由低到高顺序排列。得分相同且投标报价相同的并列。投标文件满足招标文件全部实质性要求，且按照评审因素的量化指标评审得分最高的投标人为排名第一的中标候选人。</w:t>
      </w:r>
    </w:p>
    <w:p w14:paraId="766CB7E7">
      <w:pPr>
        <w:pStyle w:val="7"/>
        <w:ind w:firstLine="480" w:firstLineChars="200"/>
        <w:rPr>
          <w:rFonts w:hint="eastAsia" w:ascii="宋体" w:hAnsi="宋体" w:cs="宋体"/>
          <w:color w:val="auto"/>
          <w:sz w:val="24"/>
          <w:szCs w:val="24"/>
          <w:highlight w:val="none"/>
        </w:rPr>
      </w:pPr>
    </w:p>
    <w:p w14:paraId="60114004">
      <w:pPr>
        <w:spacing w:line="360" w:lineRule="auto"/>
        <w:ind w:firstLine="420" w:firstLineChars="200"/>
        <w:rPr>
          <w:color w:val="auto"/>
          <w:highlight w:val="none"/>
        </w:rPr>
      </w:pPr>
    </w:p>
    <w:p w14:paraId="4ACFFA81">
      <w:pPr>
        <w:rPr>
          <w:rStyle w:val="26"/>
          <w:color w:val="auto"/>
          <w:highlight w:val="none"/>
        </w:rPr>
      </w:pPr>
      <w:bookmarkStart w:id="60" w:name="_Toc24912"/>
      <w:bookmarkStart w:id="61" w:name="_Toc482865159"/>
      <w:bookmarkStart w:id="62" w:name="_Toc26616"/>
      <w:bookmarkStart w:id="63" w:name="_Toc482865329"/>
      <w:bookmarkStart w:id="64" w:name="_Toc483327818"/>
      <w:bookmarkStart w:id="65" w:name="_Toc341"/>
      <w:bookmarkStart w:id="66" w:name="_Toc29077"/>
      <w:bookmarkStart w:id="67" w:name="_Toc20270"/>
      <w:bookmarkStart w:id="68" w:name="_Toc19521"/>
      <w:bookmarkStart w:id="69" w:name="_Toc4597"/>
    </w:p>
    <w:p w14:paraId="519996C2">
      <w:pPr>
        <w:jc w:val="center"/>
        <w:rPr>
          <w:rStyle w:val="26"/>
          <w:color w:val="auto"/>
          <w:highlight w:val="none"/>
        </w:rPr>
      </w:pPr>
    </w:p>
    <w:p w14:paraId="714A145F">
      <w:pPr>
        <w:rPr>
          <w:rStyle w:val="26"/>
          <w:color w:val="auto"/>
          <w:highlight w:val="none"/>
        </w:rPr>
      </w:pPr>
    </w:p>
    <w:p w14:paraId="2E2EED46">
      <w:pPr>
        <w:rPr>
          <w:rStyle w:val="26"/>
          <w:color w:val="auto"/>
          <w:highlight w:val="none"/>
        </w:rPr>
      </w:pPr>
    </w:p>
    <w:p w14:paraId="3317BA56">
      <w:pPr>
        <w:rPr>
          <w:rStyle w:val="26"/>
          <w:color w:val="auto"/>
          <w:highlight w:val="none"/>
        </w:rPr>
      </w:pPr>
    </w:p>
    <w:p w14:paraId="293092F2">
      <w:pPr>
        <w:rPr>
          <w:rStyle w:val="26"/>
          <w:color w:val="auto"/>
          <w:highlight w:val="none"/>
        </w:rPr>
      </w:pPr>
    </w:p>
    <w:p w14:paraId="39877B18">
      <w:pPr>
        <w:rPr>
          <w:rStyle w:val="26"/>
          <w:color w:val="auto"/>
          <w:highlight w:val="none"/>
        </w:rPr>
      </w:pPr>
    </w:p>
    <w:p w14:paraId="08238D29">
      <w:pPr>
        <w:rPr>
          <w:rStyle w:val="26"/>
          <w:color w:val="auto"/>
          <w:highlight w:val="none"/>
        </w:rPr>
      </w:pPr>
    </w:p>
    <w:p w14:paraId="1AC564AE">
      <w:pPr>
        <w:rPr>
          <w:rStyle w:val="26"/>
          <w:color w:val="auto"/>
          <w:highlight w:val="none"/>
        </w:rPr>
      </w:pPr>
    </w:p>
    <w:p w14:paraId="62F2356A">
      <w:pPr>
        <w:rPr>
          <w:rStyle w:val="26"/>
          <w:color w:val="auto"/>
          <w:highlight w:val="none"/>
        </w:rPr>
      </w:pPr>
    </w:p>
    <w:p w14:paraId="4225DDE8">
      <w:pPr>
        <w:rPr>
          <w:rStyle w:val="26"/>
          <w:color w:val="auto"/>
          <w:highlight w:val="none"/>
        </w:rPr>
      </w:pPr>
    </w:p>
    <w:p w14:paraId="7AD6807B">
      <w:pPr>
        <w:rPr>
          <w:rStyle w:val="26"/>
          <w:color w:val="auto"/>
          <w:highlight w:val="none"/>
        </w:rPr>
      </w:pPr>
    </w:p>
    <w:p w14:paraId="6F3AE692">
      <w:pPr>
        <w:rPr>
          <w:rStyle w:val="26"/>
          <w:color w:val="auto"/>
          <w:highlight w:val="none"/>
        </w:rPr>
      </w:pPr>
    </w:p>
    <w:p w14:paraId="5E3BFB4C">
      <w:pPr>
        <w:rPr>
          <w:rStyle w:val="26"/>
          <w:color w:val="auto"/>
          <w:highlight w:val="none"/>
        </w:rPr>
      </w:pPr>
    </w:p>
    <w:p w14:paraId="1A41CE2B">
      <w:pPr>
        <w:rPr>
          <w:rStyle w:val="26"/>
          <w:color w:val="auto"/>
          <w:highlight w:val="none"/>
        </w:rPr>
      </w:pPr>
    </w:p>
    <w:p w14:paraId="7499A252">
      <w:pPr>
        <w:rPr>
          <w:rStyle w:val="26"/>
          <w:color w:val="auto"/>
          <w:highlight w:val="none"/>
        </w:rPr>
      </w:pPr>
    </w:p>
    <w:p w14:paraId="6AA82E72">
      <w:pPr>
        <w:rPr>
          <w:rStyle w:val="26"/>
          <w:color w:val="auto"/>
          <w:highlight w:val="none"/>
        </w:rPr>
      </w:pPr>
    </w:p>
    <w:p w14:paraId="509669CD">
      <w:pPr>
        <w:rPr>
          <w:rStyle w:val="26"/>
          <w:color w:val="auto"/>
          <w:highlight w:val="none"/>
        </w:rPr>
      </w:pPr>
    </w:p>
    <w:p w14:paraId="6D212734">
      <w:pPr>
        <w:rPr>
          <w:rStyle w:val="26"/>
          <w:color w:val="auto"/>
          <w:highlight w:val="none"/>
        </w:rPr>
      </w:pPr>
    </w:p>
    <w:p w14:paraId="63503476">
      <w:pPr>
        <w:rPr>
          <w:rStyle w:val="26"/>
          <w:color w:val="auto"/>
          <w:highlight w:val="none"/>
        </w:rPr>
      </w:pPr>
    </w:p>
    <w:p w14:paraId="2C9F17AF">
      <w:pPr>
        <w:jc w:val="center"/>
        <w:rPr>
          <w:color w:val="auto"/>
          <w:sz w:val="24"/>
          <w:highlight w:val="none"/>
        </w:rPr>
      </w:pPr>
      <w:bookmarkStart w:id="70" w:name="_Toc7097"/>
      <w:r>
        <w:rPr>
          <w:rStyle w:val="26"/>
          <w:color w:val="auto"/>
          <w:highlight w:val="none"/>
        </w:rPr>
        <w:t>第五章 合同主要条款</w:t>
      </w:r>
      <w:r>
        <w:rPr>
          <w:rStyle w:val="26"/>
          <w:rFonts w:hint="eastAsia"/>
          <w:color w:val="auto"/>
          <w:highlight w:val="none"/>
        </w:rPr>
        <w:t>（</w:t>
      </w:r>
      <w:r>
        <w:rPr>
          <w:rStyle w:val="26"/>
          <w:color w:val="auto"/>
          <w:highlight w:val="none"/>
        </w:rPr>
        <w:t>格式</w:t>
      </w:r>
      <w:bookmarkEnd w:id="60"/>
      <w:bookmarkEnd w:id="61"/>
      <w:bookmarkEnd w:id="62"/>
      <w:bookmarkEnd w:id="63"/>
      <w:bookmarkEnd w:id="64"/>
      <w:bookmarkEnd w:id="65"/>
      <w:bookmarkEnd w:id="66"/>
      <w:bookmarkEnd w:id="67"/>
      <w:bookmarkEnd w:id="68"/>
      <w:r>
        <w:rPr>
          <w:rStyle w:val="26"/>
          <w:rFonts w:hint="eastAsia"/>
          <w:color w:val="auto"/>
          <w:highlight w:val="none"/>
        </w:rPr>
        <w:t>）</w:t>
      </w:r>
      <w:bookmarkEnd w:id="69"/>
      <w:bookmarkEnd w:id="70"/>
    </w:p>
    <w:p w14:paraId="1072DFEA">
      <w:pPr>
        <w:jc w:val="center"/>
        <w:rPr>
          <w:color w:val="auto"/>
          <w:sz w:val="24"/>
          <w:highlight w:val="none"/>
        </w:rPr>
      </w:pPr>
    </w:p>
    <w:p w14:paraId="0F4D6BF8">
      <w:pPr>
        <w:spacing w:line="360" w:lineRule="auto"/>
        <w:jc w:val="center"/>
        <w:rPr>
          <w:color w:val="auto"/>
          <w:sz w:val="24"/>
          <w:highlight w:val="none"/>
        </w:rPr>
      </w:pPr>
      <w:bookmarkStart w:id="71" w:name="_Toc482865330"/>
      <w:bookmarkStart w:id="72" w:name="_Toc483327819"/>
      <w:bookmarkStart w:id="73" w:name="_Toc482865160"/>
      <w:r>
        <w:rPr>
          <w:color w:val="auto"/>
          <w:sz w:val="24"/>
          <w:highlight w:val="none"/>
        </w:rPr>
        <w:t>（注：本合同格式仅为合同的参考文本，合同签订双方可根据项目的具体要求进行修订。）</w:t>
      </w:r>
    </w:p>
    <w:p w14:paraId="4697FFCB">
      <w:pPr>
        <w:widowControl/>
        <w:shd w:val="clear" w:color="auto" w:fill="FFFFFF"/>
        <w:spacing w:line="360" w:lineRule="auto"/>
        <w:jc w:val="left"/>
        <w:rPr>
          <w:rFonts w:ascii="Arial" w:hAnsi="Arial" w:cs="Arial"/>
          <w:color w:val="auto"/>
          <w:kern w:val="0"/>
          <w:sz w:val="24"/>
          <w:highlight w:val="none"/>
        </w:rPr>
      </w:pPr>
      <w:r>
        <w:rPr>
          <w:rFonts w:ascii="Arial" w:hAnsi="Arial" w:cs="Arial"/>
          <w:color w:val="auto"/>
          <w:kern w:val="0"/>
          <w:sz w:val="24"/>
          <w:highlight w:val="none"/>
        </w:rPr>
        <w:t>项目名称：</w:t>
      </w:r>
      <w:r>
        <w:rPr>
          <w:rFonts w:ascii="宋体" w:hAnsi="宋体" w:cs="宋体"/>
          <w:color w:val="auto"/>
          <w:spacing w:val="4"/>
          <w:sz w:val="24"/>
          <w:highlight w:val="none"/>
          <w:u w:val="single"/>
        </w:rPr>
        <w:t xml:space="preserve">                     </w:t>
      </w:r>
      <w:r>
        <w:rPr>
          <w:rFonts w:ascii="Arial" w:hAnsi="Arial" w:cs="Arial"/>
          <w:color w:val="auto"/>
          <w:kern w:val="0"/>
          <w:sz w:val="24"/>
          <w:highlight w:val="none"/>
        </w:rPr>
        <w:t xml:space="preserve">               项目编号：</w:t>
      </w:r>
      <w:r>
        <w:rPr>
          <w:rFonts w:ascii="宋体" w:hAnsi="宋体" w:cs="宋体"/>
          <w:color w:val="auto"/>
          <w:spacing w:val="4"/>
          <w:sz w:val="24"/>
          <w:highlight w:val="none"/>
          <w:u w:val="single"/>
        </w:rPr>
        <w:t xml:space="preserve">                     </w:t>
      </w:r>
    </w:p>
    <w:p w14:paraId="6E4EAFED">
      <w:pPr>
        <w:widowControl/>
        <w:shd w:val="clear" w:color="auto" w:fill="FFFFFF"/>
        <w:spacing w:line="360" w:lineRule="auto"/>
        <w:jc w:val="left"/>
        <w:rPr>
          <w:rFonts w:ascii="Arial" w:hAnsi="Arial" w:cs="Arial"/>
          <w:color w:val="auto"/>
          <w:kern w:val="0"/>
          <w:sz w:val="24"/>
          <w:highlight w:val="none"/>
        </w:rPr>
      </w:pPr>
      <w:r>
        <w:rPr>
          <w:rFonts w:ascii="Arial" w:hAnsi="Arial" w:cs="Arial"/>
          <w:color w:val="auto"/>
          <w:kern w:val="0"/>
          <w:sz w:val="24"/>
          <w:highlight w:val="none"/>
        </w:rPr>
        <w:t>甲方：（采购人）</w:t>
      </w:r>
      <w:r>
        <w:rPr>
          <w:rFonts w:ascii="宋体" w:hAnsi="宋体" w:cs="宋体"/>
          <w:color w:val="auto"/>
          <w:spacing w:val="4"/>
          <w:sz w:val="24"/>
          <w:highlight w:val="none"/>
          <w:u w:val="single"/>
        </w:rPr>
        <w:t xml:space="preserve">                  </w:t>
      </w:r>
      <w:r>
        <w:rPr>
          <w:rFonts w:ascii="Arial" w:hAnsi="Arial" w:cs="Arial"/>
          <w:color w:val="auto"/>
          <w:kern w:val="0"/>
          <w:sz w:val="24"/>
          <w:highlight w:val="none"/>
        </w:rPr>
        <w:t xml:space="preserve">            乙方</w:t>
      </w:r>
      <w:r>
        <w:rPr>
          <w:rFonts w:hint="eastAsia" w:ascii="Arial" w:hAnsi="Arial" w:cs="Arial"/>
          <w:color w:val="auto"/>
          <w:kern w:val="0"/>
          <w:sz w:val="24"/>
          <w:highlight w:val="none"/>
        </w:rPr>
        <w:t>：</w:t>
      </w:r>
      <w:r>
        <w:rPr>
          <w:rFonts w:ascii="Arial" w:hAnsi="Arial" w:cs="Arial"/>
          <w:color w:val="auto"/>
          <w:kern w:val="0"/>
          <w:sz w:val="24"/>
          <w:highlight w:val="none"/>
        </w:rPr>
        <w:t>（</w:t>
      </w:r>
      <w:r>
        <w:rPr>
          <w:rFonts w:hint="eastAsia" w:ascii="宋体" w:hAnsi="宋体" w:cs="宋体"/>
          <w:color w:val="auto"/>
          <w:spacing w:val="-20"/>
          <w:sz w:val="24"/>
          <w:highlight w:val="none"/>
        </w:rPr>
        <w:t>供应商</w:t>
      </w:r>
      <w:r>
        <w:rPr>
          <w:rFonts w:ascii="Arial" w:hAnsi="Arial" w:cs="Arial"/>
          <w:color w:val="auto"/>
          <w:kern w:val="0"/>
          <w:sz w:val="24"/>
          <w:highlight w:val="none"/>
        </w:rPr>
        <w:t>）</w:t>
      </w:r>
      <w:r>
        <w:rPr>
          <w:rFonts w:ascii="宋体" w:hAnsi="宋体" w:cs="宋体"/>
          <w:color w:val="auto"/>
          <w:spacing w:val="4"/>
          <w:sz w:val="24"/>
          <w:highlight w:val="none"/>
          <w:u w:val="single"/>
        </w:rPr>
        <w:t xml:space="preserve">                     </w:t>
      </w:r>
    </w:p>
    <w:p w14:paraId="3D550602">
      <w:pPr>
        <w:widowControl/>
        <w:shd w:val="clear" w:color="auto" w:fill="FFFFFF"/>
        <w:spacing w:line="360" w:lineRule="auto"/>
        <w:ind w:firstLine="480" w:firstLineChars="200"/>
        <w:jc w:val="left"/>
        <w:rPr>
          <w:rFonts w:ascii="Arial" w:hAnsi="Arial" w:cs="Arial"/>
          <w:color w:val="auto"/>
          <w:kern w:val="0"/>
          <w:sz w:val="24"/>
          <w:highlight w:val="none"/>
        </w:rPr>
      </w:pPr>
      <w:r>
        <w:rPr>
          <w:rFonts w:ascii="Arial" w:hAnsi="Arial" w:cs="Arial"/>
          <w:color w:val="auto"/>
          <w:kern w:val="0"/>
          <w:sz w:val="24"/>
          <w:highlight w:val="none"/>
        </w:rPr>
        <w:t>根据《中华人民共和国政府采购法》、《中华人民共和国</w:t>
      </w:r>
      <w:r>
        <w:rPr>
          <w:rFonts w:hint="eastAsia" w:ascii="Arial" w:hAnsi="Arial" w:cs="Arial"/>
          <w:color w:val="auto"/>
          <w:kern w:val="0"/>
          <w:sz w:val="24"/>
          <w:highlight w:val="none"/>
        </w:rPr>
        <w:t>民法典</w:t>
      </w:r>
      <w:r>
        <w:rPr>
          <w:rFonts w:ascii="Arial" w:hAnsi="Arial" w:cs="Arial"/>
          <w:color w:val="auto"/>
          <w:kern w:val="0"/>
          <w:sz w:val="24"/>
          <w:highlight w:val="none"/>
        </w:rPr>
        <w:t>》等法律、法规规定，按照招投标文件规定条款和成交</w:t>
      </w:r>
      <w:r>
        <w:rPr>
          <w:rFonts w:hint="eastAsia" w:ascii="Arial" w:hAnsi="Arial" w:cs="Arial"/>
          <w:color w:val="auto"/>
          <w:kern w:val="0"/>
          <w:sz w:val="24"/>
          <w:highlight w:val="none"/>
        </w:rPr>
        <w:t>投标人</w:t>
      </w:r>
      <w:r>
        <w:rPr>
          <w:rFonts w:ascii="Arial" w:hAnsi="Arial" w:cs="Arial"/>
          <w:color w:val="auto"/>
          <w:kern w:val="0"/>
          <w:sz w:val="24"/>
          <w:highlight w:val="none"/>
        </w:rPr>
        <w:t>承诺、甲乙双方签订本合同。</w:t>
      </w:r>
    </w:p>
    <w:p w14:paraId="306F4C8C">
      <w:pPr>
        <w:pStyle w:val="9"/>
        <w:numPr>
          <w:ilvl w:val="0"/>
          <w:numId w:val="6"/>
        </w:numPr>
        <w:ind w:firstLine="468" w:firstLineChars="200"/>
        <w:rPr>
          <w:rFonts w:hint="eastAsia" w:ascii="宋体" w:hAnsi="宋体" w:eastAsia="宋体" w:cs="宋体"/>
          <w:color w:val="auto"/>
          <w:spacing w:val="-3"/>
          <w:highlight w:val="none"/>
        </w:rPr>
      </w:pPr>
      <w:r>
        <w:rPr>
          <w:rFonts w:ascii="宋体" w:hAnsi="宋体" w:eastAsia="宋体" w:cs="宋体"/>
          <w:color w:val="auto"/>
          <w:spacing w:val="-3"/>
          <w:highlight w:val="none"/>
        </w:rPr>
        <w:t>合同标的</w:t>
      </w:r>
    </w:p>
    <w:p w14:paraId="4BD38CD3">
      <w:pPr>
        <w:spacing w:before="160" w:line="185" w:lineRule="auto"/>
        <w:ind w:firstLine="619"/>
        <w:rPr>
          <w:rFonts w:hint="eastAsia" w:ascii="宋体" w:hAnsi="宋体" w:cs="宋体"/>
          <w:color w:val="auto"/>
          <w:sz w:val="24"/>
          <w:highlight w:val="none"/>
        </w:rPr>
      </w:pPr>
      <w:r>
        <w:rPr>
          <w:rFonts w:ascii="宋体" w:hAnsi="宋体" w:cs="宋体"/>
          <w:color w:val="auto"/>
          <w:spacing w:val="-4"/>
          <w:sz w:val="24"/>
          <w:highlight w:val="none"/>
        </w:rPr>
        <w:t>1、服务内容一览表</w:t>
      </w:r>
    </w:p>
    <w:tbl>
      <w:tblPr>
        <w:tblStyle w:val="19"/>
        <w:tblW w:w="9657" w:type="dxa"/>
        <w:jc w:val="center"/>
        <w:tblLayout w:type="fixed"/>
        <w:tblCellMar>
          <w:top w:w="0" w:type="dxa"/>
          <w:left w:w="108" w:type="dxa"/>
          <w:bottom w:w="0" w:type="dxa"/>
          <w:right w:w="108" w:type="dxa"/>
        </w:tblCellMar>
      </w:tblPr>
      <w:tblGrid>
        <w:gridCol w:w="932"/>
        <w:gridCol w:w="4166"/>
        <w:gridCol w:w="1111"/>
        <w:gridCol w:w="681"/>
        <w:gridCol w:w="1195"/>
        <w:gridCol w:w="1572"/>
      </w:tblGrid>
      <w:tr w14:paraId="122E61CC">
        <w:tblPrEx>
          <w:tblCellMar>
            <w:top w:w="0" w:type="dxa"/>
            <w:left w:w="108" w:type="dxa"/>
            <w:bottom w:w="0" w:type="dxa"/>
            <w:right w:w="108" w:type="dxa"/>
          </w:tblCellMar>
        </w:tblPrEx>
        <w:trPr>
          <w:trHeight w:val="591" w:hRule="atLeast"/>
          <w:jc w:val="center"/>
        </w:trPr>
        <w:tc>
          <w:tcPr>
            <w:tcW w:w="932" w:type="dxa"/>
            <w:tcBorders>
              <w:top w:val="single" w:color="auto" w:sz="4" w:space="0"/>
              <w:left w:val="single" w:color="auto" w:sz="4" w:space="0"/>
              <w:bottom w:val="single" w:color="auto" w:sz="4" w:space="0"/>
              <w:right w:val="single" w:color="auto" w:sz="4" w:space="0"/>
            </w:tcBorders>
            <w:noWrap/>
            <w:vAlign w:val="center"/>
          </w:tcPr>
          <w:p w14:paraId="5F0A8A21">
            <w:pPr>
              <w:jc w:val="center"/>
              <w:rPr>
                <w:color w:val="auto"/>
                <w:highlight w:val="none"/>
              </w:rPr>
            </w:pPr>
            <w:r>
              <w:rPr>
                <w:rFonts w:ascii="Arial" w:hAnsi="Arial" w:cs="Arial"/>
                <w:color w:val="auto"/>
                <w:kern w:val="0"/>
                <w:sz w:val="24"/>
                <w:highlight w:val="none"/>
              </w:rPr>
              <w:t>序</w:t>
            </w:r>
            <w:r>
              <w:rPr>
                <w:rFonts w:hint="eastAsia" w:ascii="Arial" w:hAnsi="Arial" w:cs="Arial"/>
                <w:color w:val="auto"/>
                <w:kern w:val="0"/>
                <w:sz w:val="24"/>
                <w:highlight w:val="none"/>
              </w:rPr>
              <w:t>号</w:t>
            </w:r>
          </w:p>
        </w:tc>
        <w:tc>
          <w:tcPr>
            <w:tcW w:w="4166" w:type="dxa"/>
            <w:tcBorders>
              <w:top w:val="single" w:color="auto" w:sz="4" w:space="0"/>
              <w:left w:val="single" w:color="auto" w:sz="4" w:space="0"/>
              <w:bottom w:val="single" w:color="auto" w:sz="4" w:space="0"/>
              <w:right w:val="single" w:color="auto" w:sz="4" w:space="0"/>
            </w:tcBorders>
            <w:noWrap/>
            <w:vAlign w:val="center"/>
          </w:tcPr>
          <w:p w14:paraId="1D86CB0A">
            <w:pPr>
              <w:jc w:val="center"/>
              <w:rPr>
                <w:rFonts w:ascii="Arial" w:hAnsi="Arial" w:cs="Arial"/>
                <w:color w:val="auto"/>
                <w:kern w:val="0"/>
                <w:sz w:val="24"/>
                <w:highlight w:val="none"/>
              </w:rPr>
            </w:pPr>
            <w:r>
              <w:rPr>
                <w:rFonts w:ascii="Arial" w:hAnsi="Arial" w:cs="Arial"/>
                <w:color w:val="auto"/>
                <w:kern w:val="0"/>
                <w:sz w:val="24"/>
                <w:highlight w:val="none"/>
              </w:rPr>
              <w:t>服务内容</w:t>
            </w:r>
          </w:p>
        </w:tc>
        <w:tc>
          <w:tcPr>
            <w:tcW w:w="1111" w:type="dxa"/>
            <w:tcBorders>
              <w:top w:val="single" w:color="auto" w:sz="4" w:space="0"/>
              <w:left w:val="single" w:color="auto" w:sz="4" w:space="0"/>
              <w:bottom w:val="single" w:color="auto" w:sz="4" w:space="0"/>
              <w:right w:val="single" w:color="auto" w:sz="4" w:space="0"/>
            </w:tcBorders>
            <w:noWrap/>
            <w:vAlign w:val="center"/>
          </w:tcPr>
          <w:p w14:paraId="1BC0A3E0">
            <w:pPr>
              <w:jc w:val="center"/>
              <w:rPr>
                <w:rFonts w:ascii="Arial" w:hAnsi="Arial" w:cs="Arial"/>
                <w:color w:val="auto"/>
                <w:kern w:val="0"/>
                <w:sz w:val="24"/>
                <w:highlight w:val="none"/>
              </w:rPr>
            </w:pPr>
            <w:r>
              <w:rPr>
                <w:rFonts w:ascii="Arial" w:hAnsi="Arial" w:cs="Arial"/>
                <w:color w:val="auto"/>
                <w:kern w:val="0"/>
                <w:sz w:val="24"/>
                <w:highlight w:val="none"/>
              </w:rPr>
              <w:t>单位</w:t>
            </w:r>
          </w:p>
        </w:tc>
        <w:tc>
          <w:tcPr>
            <w:tcW w:w="681" w:type="dxa"/>
            <w:tcBorders>
              <w:top w:val="single" w:color="auto" w:sz="4" w:space="0"/>
              <w:left w:val="single" w:color="auto" w:sz="4" w:space="0"/>
              <w:bottom w:val="single" w:color="auto" w:sz="4" w:space="0"/>
              <w:right w:val="single" w:color="auto" w:sz="4" w:space="0"/>
            </w:tcBorders>
            <w:noWrap/>
            <w:vAlign w:val="center"/>
          </w:tcPr>
          <w:p w14:paraId="1D94BD5C">
            <w:pPr>
              <w:jc w:val="center"/>
              <w:rPr>
                <w:rFonts w:ascii="Arial" w:hAnsi="Arial" w:cs="Arial"/>
                <w:color w:val="auto"/>
                <w:highlight w:val="none"/>
              </w:rPr>
            </w:pPr>
            <w:r>
              <w:rPr>
                <w:rFonts w:ascii="Arial" w:hAnsi="Arial" w:cs="Arial"/>
                <w:color w:val="auto"/>
                <w:highlight w:val="none"/>
              </w:rPr>
              <w:t>数量</w:t>
            </w:r>
            <w:r>
              <w:rPr>
                <w:rFonts w:ascii="Arial" w:hAnsi="Arial" w:cs="Arial"/>
                <w:color w:val="auto"/>
                <w:szCs w:val="22"/>
                <w:highlight w:val="none"/>
              </w:rPr>
              <w:t>①</w:t>
            </w:r>
          </w:p>
        </w:tc>
        <w:tc>
          <w:tcPr>
            <w:tcW w:w="1195" w:type="dxa"/>
            <w:tcBorders>
              <w:top w:val="single" w:color="auto" w:sz="4" w:space="0"/>
              <w:left w:val="single" w:color="auto" w:sz="4" w:space="0"/>
              <w:bottom w:val="single" w:color="auto" w:sz="4" w:space="0"/>
              <w:right w:val="single" w:color="auto" w:sz="4" w:space="0"/>
            </w:tcBorders>
            <w:noWrap/>
            <w:vAlign w:val="center"/>
          </w:tcPr>
          <w:p w14:paraId="5DE30EB5">
            <w:pPr>
              <w:jc w:val="center"/>
              <w:rPr>
                <w:rFonts w:ascii="Arial" w:hAnsi="Arial" w:cs="Arial"/>
                <w:color w:val="auto"/>
                <w:highlight w:val="none"/>
              </w:rPr>
            </w:pPr>
            <w:r>
              <w:rPr>
                <w:rFonts w:ascii="Arial" w:hAnsi="Arial" w:cs="Arial"/>
                <w:color w:val="auto"/>
                <w:highlight w:val="none"/>
              </w:rPr>
              <w:t>单价（元）</w:t>
            </w:r>
            <w:r>
              <w:rPr>
                <w:rFonts w:ascii="Arial" w:hAnsi="Arial" w:cs="Arial"/>
                <w:color w:val="auto"/>
                <w:szCs w:val="22"/>
                <w:highlight w:val="none"/>
              </w:rPr>
              <w:t>②</w:t>
            </w:r>
          </w:p>
        </w:tc>
        <w:tc>
          <w:tcPr>
            <w:tcW w:w="1572" w:type="dxa"/>
            <w:tcBorders>
              <w:top w:val="single" w:color="auto" w:sz="4" w:space="0"/>
              <w:left w:val="single" w:color="auto" w:sz="4" w:space="0"/>
              <w:bottom w:val="single" w:color="auto" w:sz="4" w:space="0"/>
              <w:right w:val="single" w:color="auto" w:sz="4" w:space="0"/>
            </w:tcBorders>
            <w:noWrap/>
            <w:vAlign w:val="center"/>
          </w:tcPr>
          <w:p w14:paraId="61728B04">
            <w:pPr>
              <w:pStyle w:val="12"/>
              <w:jc w:val="center"/>
              <w:rPr>
                <w:rFonts w:ascii="Arial" w:hAnsi="Arial" w:eastAsia="宋体" w:cs="Arial"/>
                <w:color w:val="auto"/>
                <w:highlight w:val="none"/>
              </w:rPr>
            </w:pPr>
            <w:r>
              <w:rPr>
                <w:rFonts w:ascii="Arial" w:hAnsi="Arial" w:eastAsia="宋体" w:cs="Arial"/>
                <w:color w:val="auto"/>
                <w:highlight w:val="none"/>
              </w:rPr>
              <w:t>单项合价（元）</w:t>
            </w:r>
          </w:p>
          <w:p w14:paraId="54C18FF9">
            <w:pPr>
              <w:jc w:val="center"/>
              <w:rPr>
                <w:rFonts w:ascii="Arial" w:hAnsi="Arial" w:cs="Arial"/>
                <w:color w:val="auto"/>
                <w:kern w:val="0"/>
                <w:sz w:val="24"/>
                <w:highlight w:val="none"/>
              </w:rPr>
            </w:pPr>
            <w:r>
              <w:rPr>
                <w:rFonts w:ascii="Arial" w:hAnsi="Arial" w:cs="Arial"/>
                <w:color w:val="auto"/>
                <w:highlight w:val="none"/>
              </w:rPr>
              <w:t>③=①×②</w:t>
            </w:r>
          </w:p>
        </w:tc>
      </w:tr>
      <w:tr w14:paraId="5F8C0045">
        <w:tblPrEx>
          <w:tblCellMar>
            <w:top w:w="0" w:type="dxa"/>
            <w:left w:w="108" w:type="dxa"/>
            <w:bottom w:w="0" w:type="dxa"/>
            <w:right w:w="108" w:type="dxa"/>
          </w:tblCellMar>
        </w:tblPrEx>
        <w:trPr>
          <w:trHeight w:val="433" w:hRule="atLeast"/>
          <w:jc w:val="center"/>
        </w:trPr>
        <w:tc>
          <w:tcPr>
            <w:tcW w:w="932" w:type="dxa"/>
            <w:tcBorders>
              <w:top w:val="single" w:color="auto" w:sz="4" w:space="0"/>
              <w:left w:val="single" w:color="auto" w:sz="4" w:space="0"/>
              <w:bottom w:val="single" w:color="auto" w:sz="4" w:space="0"/>
              <w:right w:val="single" w:color="auto" w:sz="4" w:space="0"/>
            </w:tcBorders>
            <w:noWrap/>
            <w:vAlign w:val="center"/>
          </w:tcPr>
          <w:p w14:paraId="7D2CE163">
            <w:pPr>
              <w:jc w:val="center"/>
              <w:rPr>
                <w:rFonts w:ascii="Arial" w:hAnsi="Arial" w:cs="Arial"/>
                <w:color w:val="auto"/>
                <w:kern w:val="0"/>
                <w:sz w:val="24"/>
                <w:highlight w:val="none"/>
              </w:rPr>
            </w:pPr>
          </w:p>
        </w:tc>
        <w:tc>
          <w:tcPr>
            <w:tcW w:w="4166" w:type="dxa"/>
            <w:tcBorders>
              <w:top w:val="single" w:color="auto" w:sz="4" w:space="0"/>
              <w:left w:val="single" w:color="auto" w:sz="4" w:space="0"/>
              <w:bottom w:val="single" w:color="auto" w:sz="4" w:space="0"/>
              <w:right w:val="single" w:color="auto" w:sz="4" w:space="0"/>
            </w:tcBorders>
            <w:vAlign w:val="center"/>
          </w:tcPr>
          <w:p w14:paraId="491E28FF">
            <w:pPr>
              <w:rPr>
                <w:rFonts w:ascii="Arial" w:hAnsi="Arial" w:cs="Arial"/>
                <w:color w:val="auto"/>
                <w:kern w:val="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4709FD25">
            <w:pPr>
              <w:jc w:val="center"/>
              <w:rPr>
                <w:rFonts w:ascii="Arial" w:hAnsi="Arial" w:cs="Arial"/>
                <w:color w:val="auto"/>
                <w:kern w:val="0"/>
                <w:sz w:val="24"/>
                <w:highlight w:val="none"/>
              </w:rPr>
            </w:pPr>
          </w:p>
        </w:tc>
        <w:tc>
          <w:tcPr>
            <w:tcW w:w="681" w:type="dxa"/>
            <w:tcBorders>
              <w:top w:val="single" w:color="auto" w:sz="4" w:space="0"/>
              <w:left w:val="single" w:color="auto" w:sz="4" w:space="0"/>
              <w:bottom w:val="single" w:color="auto" w:sz="4" w:space="0"/>
              <w:right w:val="single" w:color="auto" w:sz="4" w:space="0"/>
            </w:tcBorders>
            <w:vAlign w:val="center"/>
          </w:tcPr>
          <w:p w14:paraId="6CCF52AF">
            <w:pPr>
              <w:jc w:val="center"/>
              <w:rPr>
                <w:rFonts w:ascii="Arial" w:hAnsi="Arial" w:cs="Arial"/>
                <w:color w:val="auto"/>
                <w:kern w:val="0"/>
                <w:sz w:val="24"/>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14:paraId="08CC8D1D">
            <w:pPr>
              <w:jc w:val="center"/>
              <w:rPr>
                <w:rFonts w:ascii="Arial" w:hAnsi="Arial" w:cs="Arial"/>
                <w:color w:val="auto"/>
                <w:kern w:val="0"/>
                <w:sz w:val="24"/>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63BA4EF9">
            <w:pPr>
              <w:jc w:val="center"/>
              <w:rPr>
                <w:rFonts w:ascii="Arial" w:hAnsi="Arial" w:cs="Arial"/>
                <w:color w:val="auto"/>
                <w:kern w:val="0"/>
                <w:sz w:val="24"/>
                <w:highlight w:val="none"/>
              </w:rPr>
            </w:pPr>
          </w:p>
        </w:tc>
      </w:tr>
      <w:tr w14:paraId="7D23BB95">
        <w:tblPrEx>
          <w:tblCellMar>
            <w:top w:w="0" w:type="dxa"/>
            <w:left w:w="108" w:type="dxa"/>
            <w:bottom w:w="0" w:type="dxa"/>
            <w:right w:w="108" w:type="dxa"/>
          </w:tblCellMar>
        </w:tblPrEx>
        <w:trPr>
          <w:trHeight w:val="367"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14:paraId="291DE81B">
            <w:pPr>
              <w:pStyle w:val="13"/>
              <w:jc w:val="center"/>
              <w:rPr>
                <w:rFonts w:ascii="Arial" w:hAnsi="Arial" w:eastAsia="宋体" w:cs="Arial"/>
                <w:color w:val="auto"/>
                <w:sz w:val="24"/>
                <w:szCs w:val="24"/>
                <w:highlight w:val="none"/>
              </w:rPr>
            </w:pPr>
          </w:p>
        </w:tc>
        <w:tc>
          <w:tcPr>
            <w:tcW w:w="4166" w:type="dxa"/>
            <w:tcBorders>
              <w:top w:val="single" w:color="auto" w:sz="4" w:space="0"/>
              <w:left w:val="single" w:color="auto" w:sz="4" w:space="0"/>
              <w:bottom w:val="single" w:color="auto" w:sz="4" w:space="0"/>
              <w:right w:val="single" w:color="auto" w:sz="4" w:space="0"/>
            </w:tcBorders>
            <w:vAlign w:val="center"/>
          </w:tcPr>
          <w:p w14:paraId="3B911FDA">
            <w:pPr>
              <w:jc w:val="center"/>
              <w:rPr>
                <w:rFonts w:ascii="Arial" w:hAnsi="Arial" w:cs="Arial"/>
                <w:color w:val="auto"/>
                <w:kern w:val="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784DC9FA">
            <w:pPr>
              <w:jc w:val="center"/>
              <w:rPr>
                <w:rFonts w:ascii="Arial" w:hAnsi="Arial" w:cs="Arial"/>
                <w:color w:val="auto"/>
                <w:kern w:val="0"/>
                <w:sz w:val="24"/>
                <w:highlight w:val="none"/>
              </w:rPr>
            </w:pPr>
          </w:p>
        </w:tc>
        <w:tc>
          <w:tcPr>
            <w:tcW w:w="681" w:type="dxa"/>
            <w:tcBorders>
              <w:top w:val="single" w:color="auto" w:sz="4" w:space="0"/>
              <w:left w:val="single" w:color="auto" w:sz="4" w:space="0"/>
              <w:bottom w:val="single" w:color="auto" w:sz="4" w:space="0"/>
              <w:right w:val="single" w:color="auto" w:sz="4" w:space="0"/>
            </w:tcBorders>
            <w:vAlign w:val="center"/>
          </w:tcPr>
          <w:p w14:paraId="418DFA03">
            <w:pPr>
              <w:jc w:val="center"/>
              <w:rPr>
                <w:rFonts w:ascii="Arial" w:hAnsi="Arial" w:cs="Arial"/>
                <w:color w:val="auto"/>
                <w:kern w:val="0"/>
                <w:sz w:val="24"/>
                <w:highlight w:val="none"/>
              </w:rPr>
            </w:pPr>
          </w:p>
        </w:tc>
        <w:tc>
          <w:tcPr>
            <w:tcW w:w="1195" w:type="dxa"/>
            <w:tcBorders>
              <w:top w:val="single" w:color="auto" w:sz="4" w:space="0"/>
              <w:left w:val="single" w:color="auto" w:sz="4" w:space="0"/>
              <w:bottom w:val="single" w:color="auto" w:sz="4" w:space="0"/>
              <w:right w:val="single" w:color="auto" w:sz="4" w:space="0"/>
            </w:tcBorders>
            <w:vAlign w:val="center"/>
          </w:tcPr>
          <w:p w14:paraId="396BE0EF">
            <w:pPr>
              <w:jc w:val="center"/>
              <w:rPr>
                <w:rFonts w:ascii="Arial" w:hAnsi="Arial" w:cs="Arial"/>
                <w:color w:val="auto"/>
                <w:kern w:val="0"/>
                <w:sz w:val="24"/>
                <w:highlight w:val="none"/>
              </w:rPr>
            </w:pPr>
          </w:p>
        </w:tc>
        <w:tc>
          <w:tcPr>
            <w:tcW w:w="1572" w:type="dxa"/>
            <w:tcBorders>
              <w:top w:val="single" w:color="auto" w:sz="4" w:space="0"/>
              <w:left w:val="single" w:color="auto" w:sz="4" w:space="0"/>
              <w:bottom w:val="single" w:color="auto" w:sz="4" w:space="0"/>
              <w:right w:val="single" w:color="auto" w:sz="4" w:space="0"/>
            </w:tcBorders>
            <w:vAlign w:val="center"/>
          </w:tcPr>
          <w:p w14:paraId="793FADEC">
            <w:pPr>
              <w:jc w:val="center"/>
              <w:rPr>
                <w:rFonts w:ascii="Arial" w:hAnsi="Arial" w:cs="Arial"/>
                <w:color w:val="auto"/>
                <w:kern w:val="0"/>
                <w:sz w:val="24"/>
                <w:highlight w:val="none"/>
              </w:rPr>
            </w:pPr>
          </w:p>
        </w:tc>
      </w:tr>
      <w:tr w14:paraId="346D5FC2">
        <w:tblPrEx>
          <w:tblCellMar>
            <w:top w:w="0" w:type="dxa"/>
            <w:left w:w="108" w:type="dxa"/>
            <w:bottom w:w="0" w:type="dxa"/>
            <w:right w:w="108" w:type="dxa"/>
          </w:tblCellMar>
        </w:tblPrEx>
        <w:trPr>
          <w:trHeight w:val="487" w:hRule="atLeast"/>
          <w:jc w:val="center"/>
        </w:trPr>
        <w:tc>
          <w:tcPr>
            <w:tcW w:w="932" w:type="dxa"/>
            <w:tcBorders>
              <w:top w:val="single" w:color="auto" w:sz="4" w:space="0"/>
              <w:left w:val="single" w:color="auto" w:sz="4" w:space="0"/>
              <w:bottom w:val="single" w:color="auto" w:sz="4" w:space="0"/>
              <w:right w:val="single" w:color="auto" w:sz="4" w:space="0"/>
            </w:tcBorders>
            <w:noWrap/>
            <w:vAlign w:val="center"/>
          </w:tcPr>
          <w:p w14:paraId="3DF2327B">
            <w:pPr>
              <w:jc w:val="center"/>
              <w:rPr>
                <w:rFonts w:ascii="Arial" w:hAnsi="Arial" w:cs="Arial"/>
                <w:color w:val="auto"/>
                <w:kern w:val="0"/>
                <w:sz w:val="24"/>
                <w:highlight w:val="none"/>
              </w:rPr>
            </w:pPr>
          </w:p>
        </w:tc>
        <w:tc>
          <w:tcPr>
            <w:tcW w:w="4166" w:type="dxa"/>
            <w:tcBorders>
              <w:top w:val="single" w:color="auto" w:sz="4" w:space="0"/>
              <w:left w:val="single" w:color="auto" w:sz="4" w:space="0"/>
              <w:bottom w:val="single" w:color="auto" w:sz="4" w:space="0"/>
              <w:right w:val="single" w:color="auto" w:sz="4" w:space="0"/>
            </w:tcBorders>
            <w:vAlign w:val="center"/>
          </w:tcPr>
          <w:p w14:paraId="0A079E76">
            <w:pPr>
              <w:rPr>
                <w:rFonts w:ascii="Arial" w:hAnsi="Arial" w:cs="Arial"/>
                <w:color w:val="auto"/>
                <w:kern w:val="0"/>
                <w:sz w:val="24"/>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14:paraId="48912256">
            <w:pPr>
              <w:jc w:val="center"/>
              <w:rPr>
                <w:rFonts w:ascii="Arial" w:hAnsi="Arial" w:cs="Arial"/>
                <w:color w:val="auto"/>
                <w:kern w:val="0"/>
                <w:sz w:val="24"/>
                <w:highlight w:val="none"/>
              </w:rPr>
            </w:pPr>
          </w:p>
        </w:tc>
        <w:tc>
          <w:tcPr>
            <w:tcW w:w="681" w:type="dxa"/>
            <w:tcBorders>
              <w:top w:val="single" w:color="auto" w:sz="4" w:space="0"/>
              <w:left w:val="single" w:color="auto" w:sz="4" w:space="0"/>
              <w:bottom w:val="single" w:color="auto" w:sz="4" w:space="0"/>
              <w:right w:val="single" w:color="auto" w:sz="4" w:space="0"/>
            </w:tcBorders>
            <w:noWrap/>
            <w:vAlign w:val="center"/>
          </w:tcPr>
          <w:p w14:paraId="15ECCA7E">
            <w:pPr>
              <w:jc w:val="center"/>
              <w:rPr>
                <w:rFonts w:ascii="Arial" w:hAnsi="Arial" w:cs="Arial"/>
                <w:color w:val="auto"/>
                <w:kern w:val="0"/>
                <w:sz w:val="24"/>
                <w:highlight w:val="none"/>
              </w:rPr>
            </w:pPr>
          </w:p>
        </w:tc>
        <w:tc>
          <w:tcPr>
            <w:tcW w:w="1195" w:type="dxa"/>
            <w:tcBorders>
              <w:top w:val="single" w:color="auto" w:sz="4" w:space="0"/>
              <w:left w:val="single" w:color="auto" w:sz="4" w:space="0"/>
              <w:bottom w:val="single" w:color="auto" w:sz="4" w:space="0"/>
              <w:right w:val="single" w:color="auto" w:sz="4" w:space="0"/>
            </w:tcBorders>
            <w:noWrap/>
            <w:vAlign w:val="center"/>
          </w:tcPr>
          <w:p w14:paraId="7AB12860">
            <w:pPr>
              <w:jc w:val="center"/>
              <w:rPr>
                <w:rFonts w:ascii="Arial" w:hAnsi="Arial" w:cs="Arial"/>
                <w:color w:val="auto"/>
                <w:kern w:val="0"/>
                <w:sz w:val="24"/>
                <w:highlight w:val="none"/>
              </w:rPr>
            </w:pPr>
          </w:p>
        </w:tc>
        <w:tc>
          <w:tcPr>
            <w:tcW w:w="1572" w:type="dxa"/>
            <w:tcBorders>
              <w:top w:val="single" w:color="auto" w:sz="4" w:space="0"/>
              <w:left w:val="single" w:color="auto" w:sz="4" w:space="0"/>
              <w:bottom w:val="single" w:color="auto" w:sz="4" w:space="0"/>
              <w:right w:val="single" w:color="auto" w:sz="4" w:space="0"/>
            </w:tcBorders>
            <w:noWrap/>
            <w:vAlign w:val="center"/>
          </w:tcPr>
          <w:p w14:paraId="50DEDD49">
            <w:pPr>
              <w:jc w:val="center"/>
              <w:rPr>
                <w:rFonts w:ascii="Arial" w:hAnsi="Arial" w:cs="Arial"/>
                <w:color w:val="auto"/>
                <w:kern w:val="0"/>
                <w:sz w:val="24"/>
                <w:highlight w:val="none"/>
              </w:rPr>
            </w:pPr>
          </w:p>
        </w:tc>
      </w:tr>
      <w:tr w14:paraId="57FECE8D">
        <w:tblPrEx>
          <w:tblCellMar>
            <w:top w:w="0" w:type="dxa"/>
            <w:left w:w="108" w:type="dxa"/>
            <w:bottom w:w="0" w:type="dxa"/>
            <w:right w:w="108" w:type="dxa"/>
          </w:tblCellMar>
        </w:tblPrEx>
        <w:trPr>
          <w:trHeight w:val="1067" w:hRule="atLeast"/>
          <w:jc w:val="center"/>
        </w:trPr>
        <w:tc>
          <w:tcPr>
            <w:tcW w:w="9657" w:type="dxa"/>
            <w:gridSpan w:val="6"/>
            <w:tcBorders>
              <w:top w:val="single" w:color="auto" w:sz="4" w:space="0"/>
              <w:left w:val="single" w:color="auto" w:sz="4" w:space="0"/>
              <w:bottom w:val="single" w:color="auto" w:sz="4" w:space="0"/>
              <w:right w:val="single" w:color="auto" w:sz="4" w:space="0"/>
            </w:tcBorders>
            <w:noWrap/>
            <w:vAlign w:val="center"/>
          </w:tcPr>
          <w:p w14:paraId="35AC50A5">
            <w:pPr>
              <w:spacing w:line="360" w:lineRule="auto"/>
              <w:jc w:val="left"/>
              <w:rPr>
                <w:rFonts w:ascii="Arial" w:hAnsi="Arial" w:cs="Arial"/>
                <w:color w:val="auto"/>
                <w:kern w:val="0"/>
                <w:sz w:val="24"/>
                <w:highlight w:val="none"/>
              </w:rPr>
            </w:pPr>
            <w:r>
              <w:rPr>
                <w:rFonts w:ascii="Arial" w:hAnsi="Arial" w:cs="Arial"/>
                <w:bCs/>
                <w:color w:val="auto"/>
                <w:kern w:val="0"/>
                <w:sz w:val="24"/>
                <w:highlight w:val="none"/>
              </w:rPr>
              <w:t>总报价（人民币大写）：</w:t>
            </w:r>
            <w:r>
              <w:rPr>
                <w:rFonts w:ascii="Arial" w:hAnsi="Arial" w:cs="Arial"/>
                <w:bCs/>
                <w:color w:val="auto"/>
                <w:kern w:val="0"/>
                <w:sz w:val="24"/>
                <w:highlight w:val="none"/>
                <w:u w:val="single"/>
              </w:rPr>
              <w:t xml:space="preserve">                             </w:t>
            </w:r>
            <w:r>
              <w:rPr>
                <w:rFonts w:ascii="Arial" w:hAnsi="Arial" w:cs="Arial"/>
                <w:bCs/>
                <w:color w:val="auto"/>
                <w:kern w:val="0"/>
                <w:sz w:val="24"/>
                <w:highlight w:val="none"/>
              </w:rPr>
              <w:t>小写（ ￥</w:t>
            </w:r>
            <w:r>
              <w:rPr>
                <w:rFonts w:ascii="Arial" w:hAnsi="Arial" w:cs="Arial"/>
                <w:bCs/>
                <w:color w:val="auto"/>
                <w:kern w:val="0"/>
                <w:sz w:val="24"/>
                <w:highlight w:val="none"/>
                <w:u w:val="single"/>
              </w:rPr>
              <w:t xml:space="preserve">                 </w:t>
            </w:r>
            <w:r>
              <w:rPr>
                <w:rFonts w:ascii="Arial" w:hAnsi="Arial" w:cs="Arial"/>
                <w:bCs/>
                <w:color w:val="auto"/>
                <w:kern w:val="0"/>
                <w:sz w:val="24"/>
                <w:highlight w:val="none"/>
              </w:rPr>
              <w:t>）</w:t>
            </w:r>
            <w:r>
              <w:rPr>
                <w:rFonts w:hint="eastAsia" w:ascii="Arial" w:hAnsi="Arial" w:cs="Arial"/>
                <w:bCs/>
                <w:color w:val="auto"/>
                <w:kern w:val="0"/>
                <w:sz w:val="24"/>
                <w:highlight w:val="none"/>
                <w:lang w:eastAsia="zh-CN"/>
              </w:rPr>
              <w:t>合同履约期限</w:t>
            </w:r>
            <w:r>
              <w:rPr>
                <w:rFonts w:ascii="Arial" w:hAnsi="Arial" w:cs="Arial"/>
                <w:bCs/>
                <w:color w:val="auto"/>
                <w:kern w:val="0"/>
                <w:sz w:val="24"/>
                <w:highlight w:val="none"/>
              </w:rPr>
              <w:t>：</w:t>
            </w:r>
            <w:r>
              <w:rPr>
                <w:rFonts w:ascii="Arial" w:hAnsi="Arial" w:cs="Arial"/>
                <w:bCs/>
                <w:color w:val="auto"/>
                <w:kern w:val="0"/>
                <w:sz w:val="24"/>
                <w:highlight w:val="none"/>
                <w:u w:val="single"/>
              </w:rPr>
              <w:t xml:space="preserve">                             </w:t>
            </w:r>
          </w:p>
        </w:tc>
      </w:tr>
    </w:tbl>
    <w:p w14:paraId="47CA76CA">
      <w:pPr>
        <w:spacing w:before="115" w:line="185" w:lineRule="auto"/>
        <w:ind w:firstLine="601"/>
        <w:rPr>
          <w:rFonts w:hint="eastAsia" w:ascii="宋体" w:hAnsi="宋体" w:cs="宋体"/>
          <w:color w:val="auto"/>
          <w:sz w:val="24"/>
          <w:highlight w:val="none"/>
        </w:rPr>
      </w:pPr>
      <w:r>
        <w:rPr>
          <w:rFonts w:ascii="宋体" w:hAnsi="宋体" w:cs="宋体"/>
          <w:b/>
          <w:bCs/>
          <w:color w:val="auto"/>
          <w:spacing w:val="-2"/>
          <w:sz w:val="24"/>
          <w:highlight w:val="none"/>
        </w:rPr>
        <w:t>第二条</w:t>
      </w:r>
      <w:r>
        <w:rPr>
          <w:rFonts w:ascii="宋体" w:hAnsi="宋体" w:cs="宋体"/>
          <w:color w:val="auto"/>
          <w:spacing w:val="17"/>
          <w:sz w:val="24"/>
          <w:highlight w:val="none"/>
        </w:rPr>
        <w:t xml:space="preserve"> </w:t>
      </w:r>
      <w:r>
        <w:rPr>
          <w:rFonts w:ascii="宋体" w:hAnsi="宋体" w:cs="宋体"/>
          <w:color w:val="auto"/>
          <w:spacing w:val="-2"/>
          <w:sz w:val="24"/>
          <w:highlight w:val="none"/>
        </w:rPr>
        <w:t>服务基本情况如下：</w:t>
      </w:r>
    </w:p>
    <w:p w14:paraId="1D128C1D">
      <w:pPr>
        <w:spacing w:before="159" w:line="247" w:lineRule="auto"/>
        <w:ind w:left="601" w:right="1739" w:firstLine="4"/>
        <w:rPr>
          <w:rFonts w:hint="eastAsia" w:ascii="宋体" w:hAnsi="宋体" w:cs="宋体"/>
          <w:color w:val="auto"/>
          <w:spacing w:val="-6"/>
          <w:sz w:val="24"/>
          <w:highlight w:val="none"/>
        </w:rPr>
      </w:pPr>
      <w:r>
        <w:rPr>
          <w:rFonts w:ascii="宋体" w:hAnsi="宋体" w:cs="宋体"/>
          <w:color w:val="auto"/>
          <w:spacing w:val="-6"/>
          <w:sz w:val="24"/>
          <w:highlight w:val="none"/>
        </w:rPr>
        <w:t>具体服务范围及构成细目见本项目招标文件中《</w:t>
      </w:r>
      <w:r>
        <w:rPr>
          <w:rFonts w:hint="eastAsia" w:ascii="宋体" w:hAnsi="宋体" w:cs="宋体"/>
          <w:color w:val="auto"/>
          <w:spacing w:val="-6"/>
          <w:sz w:val="24"/>
          <w:highlight w:val="none"/>
        </w:rPr>
        <w:t>项目采购需求</w:t>
      </w:r>
      <w:r>
        <w:rPr>
          <w:rFonts w:ascii="宋体" w:hAnsi="宋体" w:cs="宋体"/>
          <w:color w:val="auto"/>
          <w:spacing w:val="-6"/>
          <w:sz w:val="24"/>
          <w:highlight w:val="none"/>
        </w:rPr>
        <w:t>》。</w:t>
      </w:r>
    </w:p>
    <w:p w14:paraId="59896EA7">
      <w:pPr>
        <w:spacing w:before="159" w:line="247" w:lineRule="auto"/>
        <w:ind w:left="601" w:right="1739" w:firstLine="4"/>
        <w:rPr>
          <w:rFonts w:hint="eastAsia" w:ascii="宋体" w:hAnsi="宋体" w:cs="宋体"/>
          <w:color w:val="auto"/>
          <w:sz w:val="24"/>
          <w:highlight w:val="none"/>
        </w:rPr>
      </w:pPr>
      <w:r>
        <w:rPr>
          <w:rFonts w:ascii="宋体" w:hAnsi="宋体" w:cs="宋体"/>
          <w:b/>
          <w:bCs/>
          <w:color w:val="auto"/>
          <w:spacing w:val="-3"/>
          <w:sz w:val="24"/>
          <w:highlight w:val="none"/>
        </w:rPr>
        <w:t>第三条</w:t>
      </w:r>
      <w:r>
        <w:rPr>
          <w:rFonts w:ascii="宋体" w:hAnsi="宋体" w:cs="宋体"/>
          <w:color w:val="auto"/>
          <w:spacing w:val="44"/>
          <w:sz w:val="24"/>
          <w:highlight w:val="none"/>
        </w:rPr>
        <w:t xml:space="preserve"> </w:t>
      </w:r>
      <w:r>
        <w:rPr>
          <w:rFonts w:ascii="宋体" w:hAnsi="宋体" w:cs="宋体"/>
          <w:color w:val="auto"/>
          <w:spacing w:val="-3"/>
          <w:sz w:val="24"/>
          <w:highlight w:val="none"/>
        </w:rPr>
        <w:t>乙方提供的服务包括以下内容：</w:t>
      </w:r>
    </w:p>
    <w:p w14:paraId="6C5073A5">
      <w:pPr>
        <w:spacing w:before="158" w:line="308" w:lineRule="auto"/>
        <w:ind w:left="141" w:right="68" w:firstLine="465"/>
        <w:rPr>
          <w:rFonts w:hint="eastAsia" w:ascii="宋体" w:hAnsi="宋体" w:cs="宋体"/>
          <w:color w:val="auto"/>
          <w:spacing w:val="-3"/>
          <w:sz w:val="24"/>
          <w:highlight w:val="none"/>
        </w:rPr>
      </w:pPr>
      <w:r>
        <w:rPr>
          <w:rFonts w:ascii="宋体" w:hAnsi="宋体" w:cs="宋体"/>
          <w:color w:val="auto"/>
          <w:spacing w:val="-8"/>
          <w:sz w:val="24"/>
          <w:highlight w:val="none"/>
        </w:rPr>
        <w:t>具体服务内容包含招标文件的《</w:t>
      </w:r>
      <w:r>
        <w:rPr>
          <w:rFonts w:hint="eastAsia" w:ascii="宋体" w:hAnsi="宋体" w:cs="宋体"/>
          <w:color w:val="auto"/>
          <w:spacing w:val="-8"/>
          <w:sz w:val="24"/>
          <w:highlight w:val="none"/>
        </w:rPr>
        <w:t>项目采购需求</w:t>
      </w:r>
      <w:r>
        <w:rPr>
          <w:rFonts w:ascii="宋体" w:hAnsi="宋体" w:cs="宋体"/>
          <w:color w:val="auto"/>
          <w:spacing w:val="-8"/>
          <w:sz w:val="24"/>
          <w:highlight w:val="none"/>
        </w:rPr>
        <w:t>》、投标文件的《服务实施计划方案》</w:t>
      </w:r>
      <w:r>
        <w:rPr>
          <w:rFonts w:ascii="宋体" w:hAnsi="宋体" w:cs="宋体"/>
          <w:color w:val="auto"/>
          <w:spacing w:val="-11"/>
          <w:sz w:val="24"/>
          <w:highlight w:val="none"/>
        </w:rPr>
        <w:t xml:space="preserve"> </w:t>
      </w:r>
      <w:r>
        <w:rPr>
          <w:rFonts w:ascii="宋体" w:hAnsi="宋体" w:cs="宋体"/>
          <w:color w:val="auto"/>
          <w:spacing w:val="-8"/>
          <w:sz w:val="24"/>
          <w:highlight w:val="none"/>
        </w:rPr>
        <w:t>和乙方</w:t>
      </w:r>
      <w:r>
        <w:rPr>
          <w:rFonts w:ascii="宋体" w:hAnsi="宋体" w:cs="宋体"/>
          <w:color w:val="auto"/>
          <w:sz w:val="24"/>
          <w:highlight w:val="none"/>
        </w:rPr>
        <w:t xml:space="preserve"> </w:t>
      </w:r>
      <w:r>
        <w:rPr>
          <w:rFonts w:ascii="宋体" w:hAnsi="宋体" w:cs="宋体"/>
          <w:color w:val="auto"/>
          <w:spacing w:val="-3"/>
          <w:sz w:val="24"/>
          <w:highlight w:val="none"/>
        </w:rPr>
        <w:t>的所有承诺服务内容。</w:t>
      </w:r>
    </w:p>
    <w:p w14:paraId="71126098">
      <w:pPr>
        <w:spacing w:before="158" w:line="308" w:lineRule="auto"/>
        <w:ind w:left="141" w:right="68" w:firstLine="465"/>
        <w:rPr>
          <w:rFonts w:hint="eastAsia" w:ascii="宋体" w:hAnsi="宋体" w:cs="宋体"/>
          <w:color w:val="auto"/>
          <w:sz w:val="24"/>
          <w:highlight w:val="none"/>
        </w:rPr>
      </w:pPr>
      <w:r>
        <w:rPr>
          <w:rFonts w:ascii="宋体" w:hAnsi="宋体" w:cs="宋体"/>
          <w:b/>
          <w:bCs/>
          <w:color w:val="auto"/>
          <w:sz w:val="24"/>
          <w:highlight w:val="none"/>
        </w:rPr>
        <w:t>第四条</w:t>
      </w:r>
      <w:r>
        <w:rPr>
          <w:rFonts w:ascii="宋体" w:hAnsi="宋体" w:cs="宋体"/>
          <w:color w:val="auto"/>
          <w:spacing w:val="69"/>
          <w:sz w:val="24"/>
          <w:highlight w:val="none"/>
        </w:rPr>
        <w:t xml:space="preserve"> </w:t>
      </w:r>
      <w:r>
        <w:rPr>
          <w:rFonts w:ascii="宋体" w:hAnsi="宋体" w:cs="宋体"/>
          <w:color w:val="auto"/>
          <w:sz w:val="24"/>
          <w:highlight w:val="none"/>
        </w:rPr>
        <w:t xml:space="preserve">乙方提供的服务质量标准按国家和地方政府的规定和本合同约定的服务质量 </w:t>
      </w:r>
      <w:r>
        <w:rPr>
          <w:rFonts w:ascii="宋体" w:hAnsi="宋体" w:cs="宋体"/>
          <w:color w:val="auto"/>
          <w:spacing w:val="-3"/>
          <w:sz w:val="24"/>
          <w:highlight w:val="none"/>
        </w:rPr>
        <w:t>要求执行。</w:t>
      </w:r>
    </w:p>
    <w:p w14:paraId="3A212419">
      <w:pPr>
        <w:spacing w:before="3" w:line="360" w:lineRule="auto"/>
        <w:ind w:left="601" w:right="1499"/>
        <w:rPr>
          <w:rFonts w:hint="eastAsia" w:ascii="宋体" w:hAnsi="宋体" w:cs="宋体"/>
          <w:color w:val="auto"/>
          <w:spacing w:val="-5"/>
          <w:sz w:val="24"/>
          <w:highlight w:val="none"/>
        </w:rPr>
      </w:pPr>
      <w:r>
        <w:rPr>
          <w:rFonts w:ascii="宋体" w:hAnsi="宋体" w:cs="宋体"/>
          <w:color w:val="auto"/>
          <w:spacing w:val="-5"/>
          <w:sz w:val="24"/>
          <w:highlight w:val="none"/>
        </w:rPr>
        <w:t>本合同约定的服务质量要求见本项目招标文件中《</w:t>
      </w:r>
      <w:r>
        <w:rPr>
          <w:rFonts w:hint="eastAsia" w:ascii="宋体" w:hAnsi="宋体" w:cs="宋体"/>
          <w:color w:val="auto"/>
          <w:spacing w:val="-5"/>
          <w:sz w:val="24"/>
          <w:highlight w:val="none"/>
        </w:rPr>
        <w:t>项目采购需求</w:t>
      </w:r>
      <w:r>
        <w:rPr>
          <w:rFonts w:ascii="宋体" w:hAnsi="宋体" w:cs="宋体"/>
          <w:color w:val="auto"/>
          <w:spacing w:val="-5"/>
          <w:sz w:val="24"/>
          <w:highlight w:val="none"/>
        </w:rPr>
        <w:t>》。</w:t>
      </w:r>
    </w:p>
    <w:p w14:paraId="00737F0A">
      <w:pPr>
        <w:spacing w:before="3" w:line="360" w:lineRule="auto"/>
        <w:ind w:left="601" w:right="1499"/>
        <w:rPr>
          <w:rFonts w:hint="eastAsia" w:ascii="宋体" w:hAnsi="宋体" w:cs="宋体"/>
          <w:color w:val="auto"/>
          <w:spacing w:val="-3"/>
          <w:sz w:val="24"/>
          <w:highlight w:val="none"/>
        </w:rPr>
      </w:pPr>
      <w:r>
        <w:rPr>
          <w:rFonts w:ascii="宋体" w:hAnsi="宋体" w:cs="宋体"/>
          <w:b/>
          <w:bCs/>
          <w:color w:val="auto"/>
          <w:spacing w:val="-3"/>
          <w:sz w:val="24"/>
          <w:highlight w:val="none"/>
        </w:rPr>
        <w:t>第五条</w:t>
      </w:r>
      <w:r>
        <w:rPr>
          <w:rFonts w:ascii="宋体" w:hAnsi="宋体" w:cs="宋体"/>
          <w:b/>
          <w:bCs/>
          <w:color w:val="auto"/>
          <w:spacing w:val="19"/>
          <w:sz w:val="24"/>
          <w:highlight w:val="none"/>
        </w:rPr>
        <w:t xml:space="preserve"> </w:t>
      </w:r>
      <w:r>
        <w:rPr>
          <w:rFonts w:ascii="宋体" w:hAnsi="宋体" w:cs="宋体"/>
          <w:color w:val="auto"/>
          <w:spacing w:val="-3"/>
          <w:sz w:val="24"/>
          <w:highlight w:val="none"/>
        </w:rPr>
        <w:t>付款方式：</w:t>
      </w:r>
    </w:p>
    <w:p w14:paraId="3F096EA7">
      <w:pPr>
        <w:spacing w:before="158" w:line="308" w:lineRule="auto"/>
        <w:ind w:left="141" w:right="68" w:firstLine="465" w:firstLineChars="0"/>
        <w:jc w:val="left"/>
        <w:rPr>
          <w:rFonts w:hint="default" w:ascii="宋体" w:hAnsi="宋体" w:cs="宋体"/>
          <w:color w:val="auto"/>
          <w:spacing w:val="0"/>
          <w:sz w:val="24"/>
          <w:highlight w:val="none"/>
        </w:rPr>
      </w:pPr>
      <w:r>
        <w:rPr>
          <w:rFonts w:hint="default" w:ascii="宋体" w:hAnsi="宋体" w:cs="宋体"/>
          <w:bCs w:val="0"/>
          <w:color w:val="auto"/>
          <w:sz w:val="24"/>
          <w:szCs w:val="24"/>
          <w:highlight w:val="none"/>
        </w:rPr>
        <w:t>1、签订合同后10个工作日内，支付合同总金额的30%作为预付款；</w:t>
      </w:r>
      <w:r>
        <w:rPr>
          <w:rFonts w:hint="default" w:ascii="宋体" w:hAnsi="宋体" w:cs="宋体"/>
          <w:bCs w:val="0"/>
          <w:color w:val="auto"/>
          <w:sz w:val="24"/>
          <w:szCs w:val="24"/>
          <w:highlight w:val="none"/>
          <w:lang w:val="en-US" w:eastAsia="zh-CN"/>
        </w:rPr>
        <w:t>2、</w:t>
      </w:r>
      <w:r>
        <w:rPr>
          <w:rFonts w:hint="default" w:ascii="宋体" w:hAnsi="宋体" w:eastAsia="宋体" w:cs="宋体"/>
          <w:bCs w:val="0"/>
          <w:color w:val="auto"/>
          <w:sz w:val="24"/>
          <w:szCs w:val="24"/>
          <w:highlight w:val="none"/>
          <w:lang w:val="en-US" w:eastAsia="zh-CN"/>
        </w:rPr>
        <w:t>完成项目平台</w:t>
      </w:r>
      <w:r>
        <w:rPr>
          <w:rFonts w:hint="default" w:ascii="宋体" w:hAnsi="宋体" w:cs="宋体"/>
          <w:bCs w:val="0"/>
          <w:color w:val="auto"/>
          <w:sz w:val="24"/>
          <w:szCs w:val="24"/>
          <w:highlight w:val="none"/>
          <w:lang w:val="en-US" w:eastAsia="zh-CN"/>
        </w:rPr>
        <w:t>服务器搭建</w:t>
      </w:r>
      <w:r>
        <w:rPr>
          <w:rFonts w:hint="default" w:ascii="宋体" w:hAnsi="宋体" w:eastAsia="宋体" w:cs="宋体"/>
          <w:bCs w:val="0"/>
          <w:color w:val="auto"/>
          <w:sz w:val="24"/>
          <w:szCs w:val="24"/>
          <w:highlight w:val="none"/>
          <w:lang w:val="en-US" w:eastAsia="zh-CN"/>
        </w:rPr>
        <w:t>，并完成软件详细的</w:t>
      </w:r>
      <w:r>
        <w:rPr>
          <w:rFonts w:hint="default" w:ascii="宋体" w:hAnsi="宋体" w:eastAsia="宋体" w:cs="宋体"/>
          <w:b w:val="0"/>
          <w:bCs w:val="0"/>
          <w:color w:val="auto"/>
          <w:sz w:val="24"/>
          <w:szCs w:val="24"/>
          <w:highlight w:val="none"/>
        </w:rPr>
        <w:t>需求调研完成后一个月</w:t>
      </w:r>
      <w:r>
        <w:rPr>
          <w:rFonts w:hint="default" w:ascii="宋体" w:hAnsi="宋体" w:eastAsia="宋体" w:cs="宋体"/>
          <w:b w:val="0"/>
          <w:bCs w:val="0"/>
          <w:color w:val="auto"/>
          <w:sz w:val="24"/>
          <w:szCs w:val="24"/>
          <w:highlight w:val="none"/>
          <w:lang w:val="en-US" w:eastAsia="zh-CN"/>
        </w:rPr>
        <w:t>内付款到总合同金额的</w:t>
      </w:r>
      <w:r>
        <w:rPr>
          <w:rFonts w:hint="default" w:ascii="宋体" w:hAnsi="宋体" w:eastAsia="宋体" w:cs="宋体"/>
          <w:bCs w:val="0"/>
          <w:color w:val="auto"/>
          <w:sz w:val="24"/>
          <w:szCs w:val="24"/>
          <w:highlight w:val="none"/>
          <w:lang w:val="en-US" w:eastAsia="zh-CN"/>
        </w:rPr>
        <w:t>60%。</w:t>
      </w:r>
      <w:r>
        <w:rPr>
          <w:rFonts w:hint="default" w:ascii="宋体" w:hAnsi="宋体" w:cs="宋体"/>
          <w:bCs w:val="0"/>
          <w:color w:val="auto"/>
          <w:sz w:val="24"/>
          <w:szCs w:val="24"/>
          <w:highlight w:val="none"/>
          <w:lang w:eastAsia="zh-CN"/>
        </w:rPr>
        <w:t>3</w:t>
      </w:r>
      <w:r>
        <w:rPr>
          <w:rFonts w:hint="default" w:ascii="宋体" w:hAnsi="宋体" w:cs="宋体"/>
          <w:bCs w:val="0"/>
          <w:color w:val="auto"/>
          <w:sz w:val="24"/>
          <w:szCs w:val="24"/>
          <w:highlight w:val="none"/>
        </w:rPr>
        <w:t>、项目整体完成并业务化试运行，经采购人验收合格后，支付至合同总金额100%。</w:t>
      </w:r>
    </w:p>
    <w:p w14:paraId="2EB22F95">
      <w:pPr>
        <w:spacing w:before="223" w:line="185" w:lineRule="auto"/>
        <w:ind w:firstLine="601"/>
        <w:rPr>
          <w:rFonts w:hint="eastAsia" w:ascii="宋体" w:hAnsi="宋体" w:cs="宋体"/>
          <w:color w:val="auto"/>
          <w:sz w:val="24"/>
          <w:highlight w:val="none"/>
        </w:rPr>
      </w:pPr>
      <w:r>
        <w:rPr>
          <w:rFonts w:ascii="宋体" w:hAnsi="宋体" w:cs="宋体"/>
          <w:b/>
          <w:bCs/>
          <w:color w:val="auto"/>
          <w:spacing w:val="-3"/>
          <w:sz w:val="24"/>
          <w:highlight w:val="none"/>
        </w:rPr>
        <w:t>第六条</w:t>
      </w:r>
      <w:r>
        <w:rPr>
          <w:rFonts w:ascii="宋体" w:hAnsi="宋体" w:cs="宋体"/>
          <w:b/>
          <w:bCs/>
          <w:color w:val="auto"/>
          <w:spacing w:val="14"/>
          <w:sz w:val="24"/>
          <w:highlight w:val="none"/>
        </w:rPr>
        <w:t xml:space="preserve"> </w:t>
      </w:r>
      <w:r>
        <w:rPr>
          <w:rFonts w:ascii="宋体" w:hAnsi="宋体" w:cs="宋体"/>
          <w:color w:val="auto"/>
          <w:spacing w:val="-3"/>
          <w:sz w:val="24"/>
          <w:highlight w:val="none"/>
        </w:rPr>
        <w:t>违约责任</w:t>
      </w:r>
    </w:p>
    <w:p w14:paraId="68BE1AC3">
      <w:pPr>
        <w:spacing w:before="161" w:line="185" w:lineRule="auto"/>
        <w:ind w:firstLine="607"/>
        <w:rPr>
          <w:rFonts w:hint="eastAsia" w:ascii="宋体" w:hAnsi="宋体" w:cs="宋体"/>
          <w:color w:val="auto"/>
          <w:sz w:val="24"/>
          <w:highlight w:val="none"/>
        </w:rPr>
      </w:pPr>
      <w:r>
        <w:rPr>
          <w:rFonts w:ascii="宋体" w:hAnsi="宋体" w:cs="宋体"/>
          <w:color w:val="auto"/>
          <w:spacing w:val="-6"/>
          <w:sz w:val="24"/>
          <w:highlight w:val="none"/>
        </w:rPr>
        <w:t>（一）</w:t>
      </w:r>
      <w:r>
        <w:rPr>
          <w:rFonts w:ascii="宋体" w:hAnsi="宋体" w:cs="宋体"/>
          <w:color w:val="auto"/>
          <w:spacing w:val="62"/>
          <w:sz w:val="24"/>
          <w:highlight w:val="none"/>
        </w:rPr>
        <w:t xml:space="preserve"> </w:t>
      </w:r>
      <w:r>
        <w:rPr>
          <w:rFonts w:ascii="宋体" w:hAnsi="宋体" w:cs="宋体"/>
          <w:color w:val="auto"/>
          <w:spacing w:val="-6"/>
          <w:sz w:val="24"/>
          <w:highlight w:val="none"/>
        </w:rPr>
        <w:t>乙方未尽管理责任导致损坏、损失的，应按责任比例相应承担费用；</w:t>
      </w:r>
    </w:p>
    <w:p w14:paraId="3AF862AE">
      <w:pPr>
        <w:spacing w:before="158" w:line="267" w:lineRule="auto"/>
        <w:ind w:left="120" w:right="68" w:firstLine="487"/>
        <w:rPr>
          <w:rFonts w:hint="eastAsia" w:ascii="宋体" w:hAnsi="宋体" w:cs="宋体"/>
          <w:color w:val="auto"/>
          <w:sz w:val="24"/>
          <w:highlight w:val="none"/>
        </w:rPr>
      </w:pPr>
      <w:r>
        <w:rPr>
          <w:rFonts w:ascii="宋体" w:hAnsi="宋体" w:cs="宋体"/>
          <w:color w:val="auto"/>
          <w:spacing w:val="-6"/>
          <w:sz w:val="24"/>
          <w:highlight w:val="none"/>
        </w:rPr>
        <w:t>（二）</w:t>
      </w:r>
      <w:r>
        <w:rPr>
          <w:rFonts w:ascii="宋体" w:hAnsi="宋体" w:cs="宋体"/>
          <w:color w:val="auto"/>
          <w:spacing w:val="42"/>
          <w:sz w:val="24"/>
          <w:highlight w:val="none"/>
        </w:rPr>
        <w:t xml:space="preserve"> </w:t>
      </w:r>
      <w:r>
        <w:rPr>
          <w:rFonts w:ascii="宋体" w:hAnsi="宋体" w:cs="宋体"/>
          <w:color w:val="auto"/>
          <w:spacing w:val="-6"/>
          <w:sz w:val="24"/>
          <w:highlight w:val="none"/>
        </w:rPr>
        <w:t>甲方违法、违约导致乙方不能提供约定服务的，乙方有权要求甲方在一个月内</w:t>
      </w:r>
      <w:r>
        <w:rPr>
          <w:rFonts w:ascii="宋体" w:hAnsi="宋体" w:cs="宋体"/>
          <w:color w:val="auto"/>
          <w:sz w:val="24"/>
          <w:highlight w:val="none"/>
        </w:rPr>
        <w:t xml:space="preserve"> </w:t>
      </w:r>
      <w:r>
        <w:rPr>
          <w:rFonts w:ascii="宋体" w:hAnsi="宋体" w:cs="宋体"/>
          <w:color w:val="auto"/>
          <w:spacing w:val="-6"/>
          <w:sz w:val="24"/>
          <w:highlight w:val="none"/>
        </w:rPr>
        <w:t>解决，逾期未解决的，甲方应承担相应的责任；乙方违法、违约，不履行投标承诺和约定</w:t>
      </w:r>
      <w:r>
        <w:rPr>
          <w:rFonts w:ascii="宋体" w:hAnsi="宋体" w:cs="宋体"/>
          <w:color w:val="auto"/>
          <w:sz w:val="24"/>
          <w:highlight w:val="none"/>
        </w:rPr>
        <w:t xml:space="preserve"> </w:t>
      </w:r>
      <w:r>
        <w:rPr>
          <w:rFonts w:ascii="宋体" w:hAnsi="宋体" w:cs="宋体"/>
          <w:color w:val="auto"/>
          <w:spacing w:val="-1"/>
          <w:sz w:val="24"/>
          <w:highlight w:val="none"/>
        </w:rPr>
        <w:t>服务的，甲方有权要求向乙方承担相应责任，直至取消乙方的服务合约。</w:t>
      </w:r>
    </w:p>
    <w:p w14:paraId="23958036">
      <w:pPr>
        <w:spacing w:before="157" w:line="247" w:lineRule="auto"/>
        <w:ind w:left="121" w:right="68" w:firstLine="486"/>
        <w:rPr>
          <w:rFonts w:hint="eastAsia" w:ascii="宋体" w:hAnsi="宋体" w:cs="宋体"/>
          <w:color w:val="auto"/>
          <w:sz w:val="24"/>
          <w:highlight w:val="none"/>
        </w:rPr>
      </w:pPr>
      <w:r>
        <w:rPr>
          <w:rFonts w:ascii="宋体" w:hAnsi="宋体" w:cs="宋体"/>
          <w:color w:val="auto"/>
          <w:spacing w:val="-4"/>
          <w:sz w:val="24"/>
          <w:highlight w:val="none"/>
        </w:rPr>
        <w:t>（三）</w:t>
      </w:r>
      <w:r>
        <w:rPr>
          <w:rFonts w:ascii="宋体" w:hAnsi="宋体" w:cs="宋体"/>
          <w:color w:val="auto"/>
          <w:spacing w:val="-32"/>
          <w:sz w:val="24"/>
          <w:highlight w:val="none"/>
        </w:rPr>
        <w:t xml:space="preserve"> </w:t>
      </w:r>
      <w:r>
        <w:rPr>
          <w:rFonts w:ascii="宋体" w:hAnsi="宋体" w:cs="宋体"/>
          <w:color w:val="auto"/>
          <w:spacing w:val="-4"/>
          <w:sz w:val="24"/>
          <w:highlight w:val="none"/>
        </w:rPr>
        <w:t>任何一方违约解除合同或因违约被解除合同的，应向对方支付共为三个月的安</w:t>
      </w:r>
      <w:r>
        <w:rPr>
          <w:rFonts w:ascii="宋体" w:hAnsi="宋体" w:cs="宋体"/>
          <w:color w:val="auto"/>
          <w:sz w:val="24"/>
          <w:highlight w:val="none"/>
        </w:rPr>
        <w:t xml:space="preserve"> </w:t>
      </w:r>
      <w:r>
        <w:rPr>
          <w:rFonts w:ascii="宋体" w:hAnsi="宋体" w:cs="宋体"/>
          <w:color w:val="auto"/>
          <w:spacing w:val="-1"/>
          <w:sz w:val="24"/>
          <w:highlight w:val="none"/>
        </w:rPr>
        <w:t>全管理服务费总和的违约金。</w:t>
      </w:r>
    </w:p>
    <w:p w14:paraId="18B19AB6">
      <w:pPr>
        <w:spacing w:before="161" w:line="185" w:lineRule="auto"/>
        <w:ind w:firstLine="607"/>
        <w:rPr>
          <w:rFonts w:hint="eastAsia" w:ascii="宋体" w:hAnsi="宋体" w:cs="宋体"/>
          <w:color w:val="auto"/>
          <w:sz w:val="24"/>
          <w:highlight w:val="none"/>
        </w:rPr>
      </w:pPr>
      <w:r>
        <w:rPr>
          <w:rFonts w:ascii="宋体" w:hAnsi="宋体" w:cs="宋体"/>
          <w:color w:val="auto"/>
          <w:spacing w:val="-19"/>
          <w:sz w:val="24"/>
          <w:highlight w:val="none"/>
        </w:rPr>
        <w:t>（四）</w:t>
      </w:r>
      <w:r>
        <w:rPr>
          <w:rFonts w:ascii="宋体" w:hAnsi="宋体" w:cs="宋体"/>
          <w:color w:val="auto"/>
          <w:spacing w:val="2"/>
          <w:sz w:val="24"/>
          <w:highlight w:val="none"/>
        </w:rPr>
        <w:t xml:space="preserve"> </w:t>
      </w:r>
      <w:r>
        <w:rPr>
          <w:rFonts w:ascii="宋体" w:hAnsi="宋体" w:cs="宋体"/>
          <w:color w:val="auto"/>
          <w:spacing w:val="-19"/>
          <w:sz w:val="24"/>
          <w:highlight w:val="none"/>
        </w:rPr>
        <w:t>双方约定的其他违约责任：</w:t>
      </w:r>
      <w:r>
        <w:rPr>
          <w:rFonts w:ascii="宋体" w:hAnsi="宋体" w:cs="宋体"/>
          <w:color w:val="auto"/>
          <w:spacing w:val="3"/>
          <w:sz w:val="24"/>
          <w:highlight w:val="none"/>
          <w:u w:val="single"/>
        </w:rPr>
        <w:t xml:space="preserve">            </w:t>
      </w:r>
      <w:r>
        <w:rPr>
          <w:rFonts w:ascii="宋体" w:hAnsi="宋体" w:cs="宋体"/>
          <w:color w:val="auto"/>
          <w:spacing w:val="-19"/>
          <w:sz w:val="24"/>
          <w:highlight w:val="none"/>
        </w:rPr>
        <w:t>。</w:t>
      </w:r>
    </w:p>
    <w:p w14:paraId="47ADA8C7">
      <w:pPr>
        <w:spacing w:before="157" w:line="247" w:lineRule="auto"/>
        <w:ind w:left="144" w:right="66" w:firstLine="456"/>
        <w:rPr>
          <w:rFonts w:hint="eastAsia" w:ascii="宋体" w:hAnsi="宋体" w:cs="宋体"/>
          <w:color w:val="auto"/>
          <w:sz w:val="24"/>
          <w:highlight w:val="none"/>
        </w:rPr>
      </w:pPr>
      <w:r>
        <w:rPr>
          <w:rFonts w:ascii="宋体" w:hAnsi="宋体" w:cs="宋体"/>
          <w:b/>
          <w:bCs/>
          <w:color w:val="auto"/>
          <w:spacing w:val="1"/>
          <w:sz w:val="24"/>
          <w:highlight w:val="none"/>
        </w:rPr>
        <w:t>第七条</w:t>
      </w:r>
      <w:r>
        <w:rPr>
          <w:rFonts w:ascii="宋体" w:hAnsi="宋体" w:cs="宋体"/>
          <w:color w:val="auto"/>
          <w:spacing w:val="33"/>
          <w:sz w:val="24"/>
          <w:highlight w:val="none"/>
        </w:rPr>
        <w:t xml:space="preserve"> </w:t>
      </w:r>
      <w:r>
        <w:rPr>
          <w:rFonts w:ascii="宋体" w:hAnsi="宋体" w:cs="宋体"/>
          <w:color w:val="auto"/>
          <w:spacing w:val="1"/>
          <w:sz w:val="24"/>
          <w:highlight w:val="none"/>
        </w:rPr>
        <w:t>双方在履行合同中所发生的一切争议，应通过协商解决。如协商不成，按合</w:t>
      </w:r>
      <w:r>
        <w:rPr>
          <w:rFonts w:ascii="宋体" w:hAnsi="宋体" w:cs="宋体"/>
          <w:color w:val="auto"/>
          <w:spacing w:val="-3"/>
          <w:sz w:val="24"/>
          <w:highlight w:val="none"/>
        </w:rPr>
        <w:t>同事先约定的条款，向</w:t>
      </w:r>
      <w:r>
        <w:rPr>
          <w:rFonts w:ascii="宋体" w:hAnsi="宋体" w:cs="宋体"/>
          <w:color w:val="auto"/>
          <w:spacing w:val="3"/>
          <w:sz w:val="24"/>
          <w:highlight w:val="none"/>
          <w:u w:val="single"/>
        </w:rPr>
        <w:t xml:space="preserve">  </w:t>
      </w:r>
      <w:r>
        <w:rPr>
          <w:rFonts w:hint="eastAsia" w:ascii="宋体" w:hAnsi="宋体" w:cs="宋体"/>
          <w:color w:val="auto"/>
          <w:spacing w:val="3"/>
          <w:sz w:val="24"/>
          <w:highlight w:val="none"/>
          <w:u w:val="single"/>
        </w:rPr>
        <w:t>项目所在地</w:t>
      </w:r>
      <w:r>
        <w:rPr>
          <w:rFonts w:ascii="宋体" w:hAnsi="宋体" w:cs="宋体"/>
          <w:color w:val="auto"/>
          <w:spacing w:val="3"/>
          <w:sz w:val="24"/>
          <w:highlight w:val="none"/>
          <w:u w:val="single"/>
        </w:rPr>
        <w:t xml:space="preserve">   </w:t>
      </w:r>
      <w:r>
        <w:rPr>
          <w:rFonts w:ascii="宋体" w:hAnsi="宋体" w:cs="宋体"/>
          <w:color w:val="auto"/>
          <w:spacing w:val="-3"/>
          <w:sz w:val="24"/>
          <w:highlight w:val="none"/>
        </w:rPr>
        <w:t>仲裁委员会申请仲裁。</w:t>
      </w:r>
    </w:p>
    <w:p w14:paraId="21EBF36F">
      <w:pPr>
        <w:spacing w:before="78" w:line="306" w:lineRule="auto"/>
        <w:ind w:left="141" w:right="2" w:firstLine="486" w:firstLineChars="200"/>
        <w:rPr>
          <w:rFonts w:hint="eastAsia" w:ascii="宋体" w:hAnsi="宋体" w:cs="宋体"/>
          <w:color w:val="auto"/>
          <w:sz w:val="24"/>
          <w:highlight w:val="none"/>
        </w:rPr>
      </w:pPr>
      <w:r>
        <w:rPr>
          <w:rFonts w:ascii="宋体" w:hAnsi="宋体" w:cs="宋体"/>
          <w:b/>
          <w:bCs/>
          <w:color w:val="auto"/>
          <w:spacing w:val="1"/>
          <w:sz w:val="24"/>
          <w:highlight w:val="none"/>
        </w:rPr>
        <w:t>第八条</w:t>
      </w:r>
      <w:r>
        <w:rPr>
          <w:rFonts w:ascii="宋体" w:hAnsi="宋体" w:cs="宋体"/>
          <w:color w:val="auto"/>
          <w:spacing w:val="33"/>
          <w:sz w:val="24"/>
          <w:highlight w:val="none"/>
        </w:rPr>
        <w:t xml:space="preserve"> </w:t>
      </w:r>
      <w:r>
        <w:rPr>
          <w:rFonts w:ascii="宋体" w:hAnsi="宋体" w:cs="宋体"/>
          <w:color w:val="auto"/>
          <w:spacing w:val="1"/>
          <w:sz w:val="24"/>
          <w:highlight w:val="none"/>
        </w:rPr>
        <w:t>在合同有效期限内，任何一方因不可抗力事件导致不能按时履行合同，则合</w:t>
      </w:r>
      <w:r>
        <w:rPr>
          <w:rFonts w:ascii="宋体" w:hAnsi="宋体" w:cs="宋体"/>
          <w:color w:val="auto"/>
          <w:spacing w:val="-2"/>
          <w:sz w:val="24"/>
          <w:highlight w:val="none"/>
        </w:rPr>
        <w:t>同履行期可延长，其延长期与不可抗力影响期相同。由于不可抗力事件导致合同的根本目</w:t>
      </w:r>
      <w:r>
        <w:rPr>
          <w:rFonts w:ascii="宋体" w:hAnsi="宋体" w:cs="宋体"/>
          <w:color w:val="auto"/>
          <w:spacing w:val="1"/>
          <w:sz w:val="24"/>
          <w:highlight w:val="none"/>
        </w:rPr>
        <w:t xml:space="preserve"> </w:t>
      </w:r>
      <w:r>
        <w:rPr>
          <w:rFonts w:ascii="宋体" w:hAnsi="宋体" w:cs="宋体"/>
          <w:color w:val="auto"/>
          <w:spacing w:val="-2"/>
          <w:sz w:val="24"/>
          <w:highlight w:val="none"/>
        </w:rPr>
        <w:t>的不能实现时，一方可解除合同。</w:t>
      </w:r>
    </w:p>
    <w:p w14:paraId="334D0A47">
      <w:pPr>
        <w:spacing w:before="2" w:line="202" w:lineRule="auto"/>
        <w:ind w:firstLine="605"/>
        <w:rPr>
          <w:rFonts w:hint="eastAsia" w:ascii="宋体" w:hAnsi="宋体" w:cs="宋体"/>
          <w:color w:val="auto"/>
          <w:sz w:val="24"/>
          <w:highlight w:val="none"/>
        </w:rPr>
      </w:pPr>
      <w:r>
        <w:rPr>
          <w:rFonts w:ascii="宋体" w:hAnsi="宋体" w:cs="宋体"/>
          <w:color w:val="auto"/>
          <w:spacing w:val="-1"/>
          <w:sz w:val="24"/>
          <w:highlight w:val="none"/>
        </w:rPr>
        <w:t>不可抗力事件发生后，应立即通知对方，并寄送有关权威机构出具的证明。</w:t>
      </w:r>
    </w:p>
    <w:p w14:paraId="63B422C6">
      <w:pPr>
        <w:spacing w:before="138" w:line="185" w:lineRule="auto"/>
        <w:ind w:firstLine="605"/>
        <w:rPr>
          <w:rFonts w:ascii="Times New Roman" w:hAnsi="Times New Roman"/>
          <w:color w:val="auto"/>
          <w:sz w:val="24"/>
          <w:highlight w:val="none"/>
        </w:rPr>
      </w:pPr>
      <w:r>
        <w:rPr>
          <w:rFonts w:ascii="宋体" w:hAnsi="宋体" w:cs="宋体"/>
          <w:color w:val="auto"/>
          <w:spacing w:val="-2"/>
          <w:sz w:val="24"/>
          <w:highlight w:val="none"/>
        </w:rPr>
        <w:t>不可抗</w:t>
      </w:r>
      <w:r>
        <w:rPr>
          <w:rFonts w:ascii="Times New Roman" w:hAnsi="Times New Roman"/>
          <w:color w:val="auto"/>
          <w:spacing w:val="-2"/>
          <w:sz w:val="24"/>
          <w:highlight w:val="none"/>
        </w:rPr>
        <w:t>力事件延续</w:t>
      </w:r>
      <w:r>
        <w:rPr>
          <w:rFonts w:ascii="Times New Roman" w:hAnsi="Times New Roman"/>
          <w:color w:val="auto"/>
          <w:spacing w:val="-16"/>
          <w:sz w:val="24"/>
          <w:highlight w:val="none"/>
        </w:rPr>
        <w:t xml:space="preserve"> </w:t>
      </w:r>
      <w:r>
        <w:rPr>
          <w:rFonts w:ascii="Times New Roman" w:hAnsi="Times New Roman"/>
          <w:color w:val="auto"/>
          <w:spacing w:val="-2"/>
          <w:sz w:val="24"/>
          <w:highlight w:val="none"/>
        </w:rPr>
        <w:t>120</w:t>
      </w:r>
      <w:r>
        <w:rPr>
          <w:rFonts w:ascii="Times New Roman" w:hAnsi="Times New Roman"/>
          <w:color w:val="auto"/>
          <w:spacing w:val="-46"/>
          <w:sz w:val="24"/>
          <w:highlight w:val="none"/>
        </w:rPr>
        <w:t xml:space="preserve"> </w:t>
      </w:r>
      <w:r>
        <w:rPr>
          <w:rFonts w:ascii="Times New Roman" w:hAnsi="Times New Roman"/>
          <w:color w:val="auto"/>
          <w:spacing w:val="-2"/>
          <w:sz w:val="24"/>
          <w:highlight w:val="none"/>
        </w:rPr>
        <w:t>天以上，双方应通过友好协商，确定是否继续履行合同。</w:t>
      </w:r>
    </w:p>
    <w:p w14:paraId="4D80EC53">
      <w:pPr>
        <w:spacing w:before="157" w:line="185" w:lineRule="auto"/>
        <w:ind w:firstLine="601"/>
        <w:rPr>
          <w:rFonts w:ascii="Times New Roman" w:hAnsi="Times New Roman"/>
          <w:color w:val="auto"/>
          <w:sz w:val="24"/>
          <w:highlight w:val="none"/>
        </w:rPr>
      </w:pPr>
      <w:r>
        <w:rPr>
          <w:rFonts w:ascii="Times New Roman" w:hAnsi="Times New Roman"/>
          <w:b/>
          <w:bCs/>
          <w:color w:val="auto"/>
          <w:spacing w:val="1"/>
          <w:sz w:val="24"/>
          <w:highlight w:val="none"/>
        </w:rPr>
        <w:t>第九条</w:t>
      </w:r>
      <w:r>
        <w:rPr>
          <w:rFonts w:ascii="Times New Roman" w:hAnsi="Times New Roman"/>
          <w:color w:val="auto"/>
          <w:spacing w:val="33"/>
          <w:sz w:val="24"/>
          <w:highlight w:val="none"/>
        </w:rPr>
        <w:t xml:space="preserve"> </w:t>
      </w:r>
      <w:r>
        <w:rPr>
          <w:rFonts w:ascii="Times New Roman" w:hAnsi="Times New Roman"/>
          <w:color w:val="auto"/>
          <w:spacing w:val="1"/>
          <w:sz w:val="24"/>
          <w:highlight w:val="none"/>
        </w:rPr>
        <w:t>本合同附件为合同有效组成部分。凡本合同及附件未规定的事宜以及合同词</w:t>
      </w:r>
    </w:p>
    <w:p w14:paraId="13BE13E7">
      <w:pPr>
        <w:spacing w:before="160" w:line="185" w:lineRule="auto"/>
        <w:ind w:firstLine="121"/>
        <w:rPr>
          <w:rFonts w:ascii="Times New Roman" w:hAnsi="Times New Roman"/>
          <w:color w:val="auto"/>
          <w:sz w:val="24"/>
          <w:highlight w:val="none"/>
        </w:rPr>
      </w:pPr>
      <w:r>
        <w:rPr>
          <w:rFonts w:ascii="Times New Roman" w:hAnsi="Times New Roman"/>
          <w:color w:val="auto"/>
          <w:spacing w:val="-1"/>
          <w:sz w:val="24"/>
          <w:highlight w:val="none"/>
        </w:rPr>
        <w:t>语，均以有关法律、法规、政策规定为准。</w:t>
      </w:r>
    </w:p>
    <w:p w14:paraId="16F7A40D">
      <w:pPr>
        <w:spacing w:before="162" w:line="306" w:lineRule="auto"/>
        <w:ind w:left="126" w:firstLine="475"/>
        <w:rPr>
          <w:rFonts w:hint="eastAsia" w:ascii="宋体" w:hAnsi="宋体" w:cs="宋体"/>
          <w:color w:val="auto"/>
          <w:spacing w:val="-3"/>
          <w:sz w:val="24"/>
          <w:highlight w:val="none"/>
        </w:rPr>
      </w:pPr>
      <w:r>
        <w:rPr>
          <w:rFonts w:ascii="宋体" w:hAnsi="宋体" w:cs="宋体"/>
          <w:b/>
          <w:bCs/>
          <w:color w:val="auto"/>
          <w:spacing w:val="1"/>
          <w:sz w:val="24"/>
          <w:highlight w:val="none"/>
        </w:rPr>
        <w:t>第十条</w:t>
      </w:r>
      <w:r>
        <w:rPr>
          <w:rFonts w:ascii="宋体" w:hAnsi="宋体" w:cs="宋体"/>
          <w:b/>
          <w:bCs/>
          <w:color w:val="auto"/>
          <w:spacing w:val="33"/>
          <w:sz w:val="24"/>
          <w:highlight w:val="none"/>
        </w:rPr>
        <w:t xml:space="preserve"> </w:t>
      </w:r>
      <w:r>
        <w:rPr>
          <w:rFonts w:ascii="宋体" w:hAnsi="宋体" w:cs="宋体"/>
          <w:color w:val="auto"/>
          <w:spacing w:val="1"/>
          <w:sz w:val="24"/>
          <w:highlight w:val="none"/>
        </w:rPr>
        <w:t>本合同未尽事宜由甲、乙方双方另行协商签订补充协议，补充协议与本合同</w:t>
      </w:r>
      <w:r>
        <w:rPr>
          <w:rFonts w:ascii="宋体" w:hAnsi="宋体" w:cs="宋体"/>
          <w:color w:val="auto"/>
          <w:sz w:val="24"/>
          <w:highlight w:val="none"/>
        </w:rPr>
        <w:t xml:space="preserve"> </w:t>
      </w:r>
      <w:r>
        <w:rPr>
          <w:rFonts w:ascii="宋体" w:hAnsi="宋体" w:cs="宋体"/>
          <w:color w:val="auto"/>
          <w:spacing w:val="-3"/>
          <w:sz w:val="24"/>
          <w:highlight w:val="none"/>
        </w:rPr>
        <w:t>具有同等效力。</w:t>
      </w:r>
    </w:p>
    <w:p w14:paraId="7C577F40">
      <w:pPr>
        <w:spacing w:before="162" w:line="306" w:lineRule="auto"/>
        <w:ind w:left="126" w:firstLine="475"/>
        <w:rPr>
          <w:rFonts w:hint="eastAsia" w:ascii="宋体" w:hAnsi="宋体" w:cs="宋体"/>
          <w:color w:val="auto"/>
          <w:sz w:val="24"/>
          <w:highlight w:val="none"/>
        </w:rPr>
      </w:pPr>
      <w:r>
        <w:rPr>
          <w:rFonts w:ascii="宋体" w:hAnsi="宋体" w:cs="宋体"/>
          <w:b/>
          <w:bCs/>
          <w:color w:val="auto"/>
          <w:spacing w:val="-5"/>
          <w:sz w:val="24"/>
          <w:highlight w:val="none"/>
        </w:rPr>
        <w:t>第十一条</w:t>
      </w:r>
      <w:r>
        <w:rPr>
          <w:rFonts w:hint="eastAsia" w:ascii="宋体" w:hAnsi="宋体" w:cs="宋体"/>
          <w:color w:val="auto"/>
          <w:spacing w:val="-5"/>
          <w:sz w:val="24"/>
          <w:highlight w:val="none"/>
        </w:rPr>
        <w:t xml:space="preserve"> </w:t>
      </w:r>
      <w:r>
        <w:rPr>
          <w:rFonts w:ascii="宋体" w:hAnsi="宋体" w:cs="宋体"/>
          <w:color w:val="auto"/>
          <w:spacing w:val="-5"/>
          <w:sz w:val="24"/>
          <w:highlight w:val="none"/>
        </w:rPr>
        <w:t>本合同一式</w:t>
      </w:r>
      <w:r>
        <w:rPr>
          <w:rFonts w:hint="eastAsia" w:ascii="宋体" w:hAnsi="宋体" w:cs="宋体"/>
          <w:color w:val="auto"/>
          <w:spacing w:val="-5"/>
          <w:sz w:val="24"/>
          <w:highlight w:val="none"/>
        </w:rPr>
        <w:t>五</w:t>
      </w:r>
      <w:r>
        <w:rPr>
          <w:rFonts w:ascii="宋体" w:hAnsi="宋体" w:cs="宋体"/>
          <w:color w:val="auto"/>
          <w:spacing w:val="-5"/>
          <w:sz w:val="24"/>
          <w:highlight w:val="none"/>
        </w:rPr>
        <w:t>份，具有同等法律效力，</w:t>
      </w:r>
      <w:r>
        <w:rPr>
          <w:rFonts w:ascii="宋体" w:hAnsi="宋体" w:cs="宋体"/>
          <w:color w:val="auto"/>
          <w:spacing w:val="14"/>
          <w:sz w:val="24"/>
          <w:highlight w:val="none"/>
        </w:rPr>
        <w:t xml:space="preserve"> </w:t>
      </w:r>
      <w:r>
        <w:rPr>
          <w:rFonts w:ascii="宋体" w:hAnsi="宋体" w:cs="宋体"/>
          <w:color w:val="auto"/>
          <w:spacing w:val="-5"/>
          <w:sz w:val="24"/>
          <w:highlight w:val="none"/>
        </w:rPr>
        <w:t>采购代理机构各一份，甲乙双方各两份（可根据需要另增加）</w:t>
      </w:r>
      <w:r>
        <w:rPr>
          <w:rFonts w:ascii="宋体" w:hAnsi="宋体" w:cs="宋体"/>
          <w:color w:val="auto"/>
          <w:spacing w:val="7"/>
          <w:sz w:val="24"/>
          <w:highlight w:val="none"/>
        </w:rPr>
        <w:t xml:space="preserve"> </w:t>
      </w:r>
      <w:r>
        <w:rPr>
          <w:rFonts w:ascii="宋体" w:hAnsi="宋体" w:cs="宋体"/>
          <w:color w:val="auto"/>
          <w:spacing w:val="-5"/>
          <w:sz w:val="24"/>
          <w:highlight w:val="none"/>
        </w:rPr>
        <w:t>。</w:t>
      </w:r>
    </w:p>
    <w:p w14:paraId="46C24D8C">
      <w:pPr>
        <w:spacing w:before="157" w:line="360" w:lineRule="auto"/>
        <w:ind w:left="124" w:right="2" w:firstLine="478" w:firstLineChars="0"/>
        <w:rPr>
          <w:rFonts w:ascii="Arial" w:hAnsi="Arial" w:cs="Arial"/>
          <w:color w:val="auto"/>
          <w:sz w:val="24"/>
          <w:highlight w:val="none"/>
        </w:rPr>
      </w:pPr>
      <w:r>
        <w:rPr>
          <w:rFonts w:ascii="宋体" w:hAnsi="宋体" w:cs="宋体"/>
          <w:color w:val="auto"/>
          <w:spacing w:val="-2"/>
          <w:sz w:val="24"/>
          <w:highlight w:val="none"/>
        </w:rPr>
        <w:t>本合同甲乙双方签字盖章后生效，自签订之日起</w:t>
      </w:r>
      <w:r>
        <w:rPr>
          <w:rFonts w:hint="eastAsia" w:ascii="宋体" w:hAnsi="宋体" w:cs="宋体"/>
          <w:color w:val="auto"/>
          <w:spacing w:val="-2"/>
          <w:sz w:val="24"/>
          <w:highlight w:val="none"/>
        </w:rPr>
        <w:t>2</w:t>
      </w:r>
      <w:r>
        <w:rPr>
          <w:rFonts w:ascii="宋体" w:hAnsi="宋体" w:cs="宋体"/>
          <w:color w:val="auto"/>
          <w:spacing w:val="-2"/>
          <w:sz w:val="24"/>
          <w:highlight w:val="none"/>
        </w:rPr>
        <w:t>个工作日内，采购人或采购代理机</w:t>
      </w:r>
      <w:r>
        <w:rPr>
          <w:rFonts w:ascii="宋体" w:hAnsi="宋体" w:cs="宋体"/>
          <w:color w:val="auto"/>
          <w:spacing w:val="-1"/>
          <w:sz w:val="24"/>
          <w:highlight w:val="none"/>
        </w:rPr>
        <w:t>构应当将合同副本报同级财政部门备案。</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40"/>
      </w:tblGrid>
      <w:tr w14:paraId="41B5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139" w:type="dxa"/>
            <w:vAlign w:val="center"/>
          </w:tcPr>
          <w:p w14:paraId="7B652396">
            <w:pPr>
              <w:snapToGrid w:val="0"/>
              <w:spacing w:line="400" w:lineRule="exact"/>
              <w:rPr>
                <w:rFonts w:ascii="Arial" w:hAnsi="Arial" w:cs="Arial"/>
                <w:color w:val="auto"/>
                <w:sz w:val="24"/>
                <w:highlight w:val="none"/>
              </w:rPr>
            </w:pPr>
            <w:r>
              <w:rPr>
                <w:rFonts w:ascii="Arial" w:hAnsi="Arial" w:cs="Arial"/>
                <w:color w:val="auto"/>
                <w:sz w:val="24"/>
                <w:highlight w:val="none"/>
              </w:rPr>
              <w:t xml:space="preserve">甲方（章）           </w:t>
            </w:r>
          </w:p>
          <w:p w14:paraId="6843F938">
            <w:pPr>
              <w:snapToGrid w:val="0"/>
              <w:spacing w:line="400" w:lineRule="exact"/>
              <w:ind w:firstLine="1080" w:firstLineChars="450"/>
              <w:jc w:val="right"/>
              <w:rPr>
                <w:rFonts w:ascii="Arial" w:hAnsi="Arial" w:cs="Arial"/>
                <w:color w:val="auto"/>
                <w:sz w:val="24"/>
                <w:highlight w:val="none"/>
              </w:rPr>
            </w:pPr>
            <w:r>
              <w:rPr>
                <w:rFonts w:ascii="Arial" w:hAnsi="Arial" w:cs="Arial"/>
                <w:color w:val="auto"/>
                <w:sz w:val="24"/>
                <w:highlight w:val="none"/>
              </w:rPr>
              <w:t>年   月   日</w:t>
            </w:r>
          </w:p>
        </w:tc>
        <w:tc>
          <w:tcPr>
            <w:tcW w:w="4140" w:type="dxa"/>
            <w:vAlign w:val="center"/>
          </w:tcPr>
          <w:p w14:paraId="62879D48">
            <w:pPr>
              <w:snapToGrid w:val="0"/>
              <w:spacing w:line="400" w:lineRule="exact"/>
              <w:rPr>
                <w:rFonts w:ascii="Arial" w:hAnsi="Arial" w:cs="Arial"/>
                <w:color w:val="auto"/>
                <w:sz w:val="24"/>
                <w:highlight w:val="none"/>
              </w:rPr>
            </w:pPr>
            <w:r>
              <w:rPr>
                <w:rFonts w:ascii="Arial" w:hAnsi="Arial" w:cs="Arial"/>
                <w:color w:val="auto"/>
                <w:sz w:val="24"/>
                <w:highlight w:val="none"/>
              </w:rPr>
              <w:t xml:space="preserve">乙方（章）              </w:t>
            </w:r>
          </w:p>
          <w:p w14:paraId="019A0B0F">
            <w:pPr>
              <w:snapToGrid w:val="0"/>
              <w:spacing w:line="400" w:lineRule="exact"/>
              <w:jc w:val="right"/>
              <w:rPr>
                <w:rFonts w:ascii="Arial" w:hAnsi="Arial" w:cs="Arial"/>
                <w:color w:val="auto"/>
                <w:sz w:val="24"/>
                <w:highlight w:val="none"/>
              </w:rPr>
            </w:pPr>
            <w:r>
              <w:rPr>
                <w:rFonts w:ascii="Arial" w:hAnsi="Arial" w:cs="Arial"/>
                <w:color w:val="auto"/>
                <w:sz w:val="24"/>
                <w:highlight w:val="none"/>
              </w:rPr>
              <w:t xml:space="preserve"> 年   月   日</w:t>
            </w:r>
          </w:p>
        </w:tc>
      </w:tr>
      <w:tr w14:paraId="1F3A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139" w:type="dxa"/>
            <w:vAlign w:val="center"/>
          </w:tcPr>
          <w:p w14:paraId="51E0E82F">
            <w:pPr>
              <w:snapToGrid w:val="0"/>
              <w:spacing w:line="400" w:lineRule="exact"/>
              <w:rPr>
                <w:rFonts w:ascii="Arial" w:hAnsi="Arial" w:cs="Arial"/>
                <w:color w:val="auto"/>
                <w:sz w:val="24"/>
                <w:highlight w:val="none"/>
              </w:rPr>
            </w:pPr>
            <w:r>
              <w:rPr>
                <w:rFonts w:ascii="Arial" w:hAnsi="Arial" w:cs="Arial"/>
                <w:color w:val="auto"/>
                <w:sz w:val="24"/>
                <w:highlight w:val="none"/>
              </w:rPr>
              <w:t>单位地址：</w:t>
            </w:r>
          </w:p>
        </w:tc>
        <w:tc>
          <w:tcPr>
            <w:tcW w:w="4140" w:type="dxa"/>
            <w:vAlign w:val="center"/>
          </w:tcPr>
          <w:p w14:paraId="12E8BFD9">
            <w:pPr>
              <w:snapToGrid w:val="0"/>
              <w:spacing w:line="400" w:lineRule="exact"/>
              <w:rPr>
                <w:rFonts w:ascii="Arial" w:hAnsi="Arial" w:cs="Arial"/>
                <w:color w:val="auto"/>
                <w:sz w:val="24"/>
                <w:highlight w:val="none"/>
              </w:rPr>
            </w:pPr>
            <w:r>
              <w:rPr>
                <w:rFonts w:ascii="Arial" w:hAnsi="Arial" w:cs="Arial"/>
                <w:color w:val="auto"/>
                <w:sz w:val="24"/>
                <w:highlight w:val="none"/>
              </w:rPr>
              <w:t>单位地址：</w:t>
            </w:r>
          </w:p>
        </w:tc>
      </w:tr>
      <w:tr w14:paraId="1199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139" w:type="dxa"/>
            <w:vAlign w:val="center"/>
          </w:tcPr>
          <w:p w14:paraId="71FD1387">
            <w:pPr>
              <w:snapToGrid w:val="0"/>
              <w:spacing w:line="400" w:lineRule="exact"/>
              <w:rPr>
                <w:rFonts w:ascii="Arial" w:hAnsi="Arial" w:cs="Arial"/>
                <w:color w:val="auto"/>
                <w:sz w:val="24"/>
                <w:highlight w:val="none"/>
              </w:rPr>
            </w:pPr>
            <w:r>
              <w:rPr>
                <w:rFonts w:ascii="Arial" w:hAnsi="Arial" w:cs="Arial"/>
                <w:color w:val="auto"/>
                <w:sz w:val="24"/>
                <w:highlight w:val="none"/>
              </w:rPr>
              <w:t>法定代表人：</w:t>
            </w:r>
          </w:p>
        </w:tc>
        <w:tc>
          <w:tcPr>
            <w:tcW w:w="4140" w:type="dxa"/>
            <w:vAlign w:val="center"/>
          </w:tcPr>
          <w:p w14:paraId="3F502AD9">
            <w:pPr>
              <w:snapToGrid w:val="0"/>
              <w:spacing w:line="400" w:lineRule="exact"/>
              <w:rPr>
                <w:rFonts w:ascii="Arial" w:hAnsi="Arial" w:cs="Arial"/>
                <w:color w:val="auto"/>
                <w:sz w:val="24"/>
                <w:highlight w:val="none"/>
              </w:rPr>
            </w:pPr>
            <w:r>
              <w:rPr>
                <w:rFonts w:ascii="Arial" w:hAnsi="Arial" w:cs="Arial"/>
                <w:color w:val="auto"/>
                <w:sz w:val="24"/>
                <w:highlight w:val="none"/>
              </w:rPr>
              <w:t>法定代表人：</w:t>
            </w:r>
          </w:p>
        </w:tc>
      </w:tr>
      <w:tr w14:paraId="5C9B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139" w:type="dxa"/>
            <w:vAlign w:val="center"/>
          </w:tcPr>
          <w:p w14:paraId="47CDAD65">
            <w:pPr>
              <w:snapToGrid w:val="0"/>
              <w:spacing w:line="400" w:lineRule="exact"/>
              <w:rPr>
                <w:rFonts w:ascii="Arial" w:hAnsi="Arial" w:cs="Arial"/>
                <w:color w:val="auto"/>
                <w:sz w:val="24"/>
                <w:highlight w:val="none"/>
              </w:rPr>
            </w:pPr>
            <w:r>
              <w:rPr>
                <w:rFonts w:ascii="Arial" w:hAnsi="Arial" w:cs="Arial"/>
                <w:color w:val="auto"/>
                <w:sz w:val="24"/>
                <w:highlight w:val="none"/>
              </w:rPr>
              <w:t>委托代理人：</w:t>
            </w:r>
          </w:p>
        </w:tc>
        <w:tc>
          <w:tcPr>
            <w:tcW w:w="4140" w:type="dxa"/>
            <w:vAlign w:val="center"/>
          </w:tcPr>
          <w:p w14:paraId="2710ABE2">
            <w:pPr>
              <w:snapToGrid w:val="0"/>
              <w:spacing w:line="400" w:lineRule="exact"/>
              <w:rPr>
                <w:rFonts w:ascii="Arial" w:hAnsi="Arial" w:cs="Arial"/>
                <w:color w:val="auto"/>
                <w:sz w:val="24"/>
                <w:highlight w:val="none"/>
              </w:rPr>
            </w:pPr>
            <w:r>
              <w:rPr>
                <w:rFonts w:ascii="Arial" w:hAnsi="Arial" w:cs="Arial"/>
                <w:color w:val="auto"/>
                <w:sz w:val="24"/>
                <w:highlight w:val="none"/>
              </w:rPr>
              <w:t>委托代理人</w:t>
            </w:r>
          </w:p>
        </w:tc>
      </w:tr>
      <w:tr w14:paraId="21DC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139" w:type="dxa"/>
            <w:vAlign w:val="center"/>
          </w:tcPr>
          <w:p w14:paraId="76138AC2">
            <w:pPr>
              <w:snapToGrid w:val="0"/>
              <w:spacing w:line="400" w:lineRule="exact"/>
              <w:rPr>
                <w:rFonts w:ascii="Arial" w:hAnsi="Arial" w:cs="Arial"/>
                <w:color w:val="auto"/>
                <w:sz w:val="24"/>
                <w:highlight w:val="none"/>
              </w:rPr>
            </w:pPr>
            <w:r>
              <w:rPr>
                <w:rFonts w:ascii="Arial" w:hAnsi="Arial" w:cs="Arial"/>
                <w:color w:val="auto"/>
                <w:sz w:val="24"/>
                <w:highlight w:val="none"/>
              </w:rPr>
              <w:t>电话：</w:t>
            </w:r>
          </w:p>
        </w:tc>
        <w:tc>
          <w:tcPr>
            <w:tcW w:w="4140" w:type="dxa"/>
            <w:vAlign w:val="center"/>
          </w:tcPr>
          <w:p w14:paraId="3908F5FB">
            <w:pPr>
              <w:snapToGrid w:val="0"/>
              <w:spacing w:line="400" w:lineRule="exact"/>
              <w:rPr>
                <w:rFonts w:ascii="Arial" w:hAnsi="Arial" w:cs="Arial"/>
                <w:color w:val="auto"/>
                <w:sz w:val="24"/>
                <w:highlight w:val="none"/>
              </w:rPr>
            </w:pPr>
            <w:r>
              <w:rPr>
                <w:rFonts w:ascii="Arial" w:hAnsi="Arial" w:cs="Arial"/>
                <w:color w:val="auto"/>
                <w:sz w:val="24"/>
                <w:highlight w:val="none"/>
              </w:rPr>
              <w:t>电话：</w:t>
            </w:r>
          </w:p>
        </w:tc>
      </w:tr>
      <w:tr w14:paraId="6CFE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139" w:type="dxa"/>
            <w:vAlign w:val="center"/>
          </w:tcPr>
          <w:p w14:paraId="6ED364A7">
            <w:pPr>
              <w:snapToGrid w:val="0"/>
              <w:spacing w:line="400" w:lineRule="exact"/>
              <w:rPr>
                <w:rFonts w:ascii="Arial" w:hAnsi="Arial" w:cs="Arial"/>
                <w:color w:val="auto"/>
                <w:sz w:val="24"/>
                <w:highlight w:val="none"/>
              </w:rPr>
            </w:pPr>
            <w:r>
              <w:rPr>
                <w:rFonts w:ascii="Arial" w:hAnsi="Arial" w:cs="Arial"/>
                <w:color w:val="auto"/>
                <w:sz w:val="24"/>
                <w:highlight w:val="none"/>
              </w:rPr>
              <w:t>电子邮箱：</w:t>
            </w:r>
          </w:p>
        </w:tc>
        <w:tc>
          <w:tcPr>
            <w:tcW w:w="4140" w:type="dxa"/>
            <w:vAlign w:val="center"/>
          </w:tcPr>
          <w:p w14:paraId="34C2B2F8">
            <w:pPr>
              <w:snapToGrid w:val="0"/>
              <w:spacing w:line="400" w:lineRule="exact"/>
              <w:rPr>
                <w:rFonts w:ascii="Arial" w:hAnsi="Arial" w:cs="Arial"/>
                <w:color w:val="auto"/>
                <w:sz w:val="24"/>
                <w:highlight w:val="none"/>
              </w:rPr>
            </w:pPr>
            <w:r>
              <w:rPr>
                <w:rFonts w:ascii="Arial" w:hAnsi="Arial" w:cs="Arial"/>
                <w:color w:val="auto"/>
                <w:sz w:val="24"/>
                <w:highlight w:val="none"/>
              </w:rPr>
              <w:t>电子邮箱：</w:t>
            </w:r>
          </w:p>
        </w:tc>
      </w:tr>
      <w:tr w14:paraId="0FEE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139" w:type="dxa"/>
            <w:vAlign w:val="center"/>
          </w:tcPr>
          <w:p w14:paraId="30FA7E06">
            <w:pPr>
              <w:snapToGrid w:val="0"/>
              <w:spacing w:line="400" w:lineRule="exact"/>
              <w:rPr>
                <w:rFonts w:ascii="Arial" w:hAnsi="Arial" w:cs="Arial"/>
                <w:color w:val="auto"/>
                <w:sz w:val="24"/>
                <w:highlight w:val="none"/>
              </w:rPr>
            </w:pPr>
            <w:r>
              <w:rPr>
                <w:rFonts w:ascii="Arial" w:hAnsi="Arial" w:cs="Arial"/>
                <w:color w:val="auto"/>
                <w:sz w:val="24"/>
                <w:highlight w:val="none"/>
              </w:rPr>
              <w:t>开户银行：</w:t>
            </w:r>
          </w:p>
        </w:tc>
        <w:tc>
          <w:tcPr>
            <w:tcW w:w="4140" w:type="dxa"/>
            <w:vAlign w:val="center"/>
          </w:tcPr>
          <w:p w14:paraId="4DDF876A">
            <w:pPr>
              <w:snapToGrid w:val="0"/>
              <w:spacing w:line="400" w:lineRule="exact"/>
              <w:rPr>
                <w:rFonts w:ascii="Arial" w:hAnsi="Arial" w:cs="Arial"/>
                <w:color w:val="auto"/>
                <w:sz w:val="24"/>
                <w:highlight w:val="none"/>
              </w:rPr>
            </w:pPr>
            <w:r>
              <w:rPr>
                <w:rFonts w:ascii="Arial" w:hAnsi="Arial" w:cs="Arial"/>
                <w:color w:val="auto"/>
                <w:sz w:val="24"/>
                <w:highlight w:val="none"/>
              </w:rPr>
              <w:t>开户银行：</w:t>
            </w:r>
          </w:p>
        </w:tc>
      </w:tr>
      <w:tr w14:paraId="0506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139" w:type="dxa"/>
            <w:vAlign w:val="center"/>
          </w:tcPr>
          <w:p w14:paraId="793FB620">
            <w:pPr>
              <w:snapToGrid w:val="0"/>
              <w:spacing w:line="400" w:lineRule="exact"/>
              <w:rPr>
                <w:rFonts w:ascii="Arial" w:hAnsi="Arial" w:cs="Arial"/>
                <w:color w:val="auto"/>
                <w:sz w:val="24"/>
                <w:highlight w:val="none"/>
              </w:rPr>
            </w:pPr>
            <w:r>
              <w:rPr>
                <w:rFonts w:ascii="Arial" w:hAnsi="Arial" w:cs="Arial"/>
                <w:color w:val="auto"/>
                <w:sz w:val="24"/>
                <w:highlight w:val="none"/>
              </w:rPr>
              <w:t>账号：</w:t>
            </w:r>
          </w:p>
        </w:tc>
        <w:tc>
          <w:tcPr>
            <w:tcW w:w="4140" w:type="dxa"/>
            <w:vAlign w:val="center"/>
          </w:tcPr>
          <w:p w14:paraId="0AC9E396">
            <w:pPr>
              <w:snapToGrid w:val="0"/>
              <w:spacing w:line="400" w:lineRule="exact"/>
              <w:rPr>
                <w:rFonts w:ascii="Arial" w:hAnsi="Arial" w:cs="Arial"/>
                <w:color w:val="auto"/>
                <w:sz w:val="24"/>
                <w:highlight w:val="none"/>
              </w:rPr>
            </w:pPr>
            <w:r>
              <w:rPr>
                <w:rFonts w:ascii="Arial" w:hAnsi="Arial" w:cs="Arial"/>
                <w:color w:val="auto"/>
                <w:sz w:val="24"/>
                <w:highlight w:val="none"/>
              </w:rPr>
              <w:t>账号：</w:t>
            </w:r>
          </w:p>
        </w:tc>
      </w:tr>
      <w:tr w14:paraId="754B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139" w:type="dxa"/>
            <w:vAlign w:val="center"/>
          </w:tcPr>
          <w:p w14:paraId="44FA5CF6">
            <w:pPr>
              <w:snapToGrid w:val="0"/>
              <w:spacing w:line="400" w:lineRule="exact"/>
              <w:rPr>
                <w:rFonts w:ascii="Arial" w:hAnsi="Arial" w:cs="Arial"/>
                <w:color w:val="auto"/>
                <w:sz w:val="24"/>
                <w:highlight w:val="none"/>
              </w:rPr>
            </w:pPr>
            <w:r>
              <w:rPr>
                <w:rFonts w:ascii="Arial" w:hAnsi="Arial" w:cs="Arial"/>
                <w:color w:val="auto"/>
                <w:sz w:val="24"/>
                <w:highlight w:val="none"/>
              </w:rPr>
              <w:t>邮政编码：</w:t>
            </w:r>
          </w:p>
        </w:tc>
        <w:tc>
          <w:tcPr>
            <w:tcW w:w="4140" w:type="dxa"/>
            <w:vAlign w:val="center"/>
          </w:tcPr>
          <w:p w14:paraId="2F34264F">
            <w:pPr>
              <w:snapToGrid w:val="0"/>
              <w:spacing w:line="400" w:lineRule="exact"/>
              <w:rPr>
                <w:rFonts w:ascii="Arial" w:hAnsi="Arial" w:cs="Arial"/>
                <w:color w:val="auto"/>
                <w:sz w:val="24"/>
                <w:highlight w:val="none"/>
              </w:rPr>
            </w:pPr>
            <w:r>
              <w:rPr>
                <w:rFonts w:ascii="Arial" w:hAnsi="Arial" w:cs="Arial"/>
                <w:color w:val="auto"/>
                <w:sz w:val="24"/>
                <w:highlight w:val="none"/>
              </w:rPr>
              <w:t>邮政编码：</w:t>
            </w:r>
          </w:p>
        </w:tc>
      </w:tr>
      <w:tr w14:paraId="1160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279" w:type="dxa"/>
            <w:gridSpan w:val="2"/>
          </w:tcPr>
          <w:p w14:paraId="57B086F4">
            <w:pPr>
              <w:snapToGrid w:val="0"/>
              <w:spacing w:line="400" w:lineRule="exact"/>
              <w:ind w:left="2475" w:leftChars="1007" w:hanging="360" w:hangingChars="150"/>
              <w:rPr>
                <w:rFonts w:ascii="Arial" w:hAnsi="Arial" w:cs="Arial"/>
                <w:color w:val="auto"/>
                <w:sz w:val="24"/>
                <w:highlight w:val="none"/>
              </w:rPr>
            </w:pPr>
          </w:p>
          <w:p w14:paraId="650AC854">
            <w:pPr>
              <w:snapToGrid w:val="0"/>
              <w:spacing w:line="400" w:lineRule="exact"/>
              <w:rPr>
                <w:rFonts w:ascii="Arial" w:hAnsi="Arial" w:cs="Arial"/>
                <w:color w:val="auto"/>
                <w:sz w:val="24"/>
                <w:highlight w:val="none"/>
              </w:rPr>
            </w:pPr>
            <w:r>
              <w:rPr>
                <w:rFonts w:ascii="Arial" w:hAnsi="Arial" w:cs="Arial"/>
                <w:color w:val="auto"/>
                <w:sz w:val="24"/>
                <w:highlight w:val="none"/>
              </w:rPr>
              <w:t>经办人：</w:t>
            </w:r>
          </w:p>
          <w:p w14:paraId="4850E7F9">
            <w:pPr>
              <w:snapToGrid w:val="0"/>
              <w:spacing w:line="400" w:lineRule="exact"/>
              <w:ind w:firstLine="720" w:firstLineChars="300"/>
              <w:jc w:val="right"/>
              <w:rPr>
                <w:rFonts w:ascii="Arial" w:hAnsi="Arial" w:cs="Arial"/>
                <w:color w:val="auto"/>
                <w:sz w:val="24"/>
                <w:highlight w:val="none"/>
              </w:rPr>
            </w:pPr>
            <w:r>
              <w:rPr>
                <w:rFonts w:ascii="Arial" w:hAnsi="Arial" w:cs="Arial"/>
                <w:color w:val="auto"/>
                <w:sz w:val="24"/>
                <w:highlight w:val="none"/>
              </w:rPr>
              <w:t>年    月    日</w:t>
            </w:r>
          </w:p>
        </w:tc>
      </w:tr>
    </w:tbl>
    <w:p w14:paraId="07E3957D">
      <w:pPr>
        <w:snapToGrid w:val="0"/>
        <w:spacing w:line="440" w:lineRule="exact"/>
        <w:rPr>
          <w:rFonts w:ascii="Arial" w:hAnsi="Arial" w:cs="Arial"/>
          <w:b/>
          <w:color w:val="auto"/>
          <w:kern w:val="0"/>
          <w:sz w:val="24"/>
          <w:highlight w:val="none"/>
        </w:rPr>
      </w:pPr>
    </w:p>
    <w:p w14:paraId="7D153A17">
      <w:pPr>
        <w:snapToGrid w:val="0"/>
        <w:spacing w:line="440" w:lineRule="exact"/>
        <w:rPr>
          <w:rFonts w:ascii="Arial" w:hAnsi="Arial" w:cs="Arial"/>
          <w:b/>
          <w:color w:val="auto"/>
          <w:kern w:val="0"/>
          <w:sz w:val="24"/>
          <w:highlight w:val="none"/>
        </w:rPr>
      </w:pPr>
    </w:p>
    <w:p w14:paraId="4FDCD07A">
      <w:pPr>
        <w:snapToGrid w:val="0"/>
        <w:spacing w:line="440" w:lineRule="exact"/>
        <w:jc w:val="center"/>
        <w:rPr>
          <w:rFonts w:ascii="Arial" w:hAnsi="Arial" w:cs="Arial"/>
          <w:b/>
          <w:color w:val="auto"/>
          <w:kern w:val="0"/>
          <w:sz w:val="24"/>
          <w:highlight w:val="none"/>
        </w:rPr>
      </w:pPr>
      <w:r>
        <w:rPr>
          <w:rFonts w:ascii="Arial" w:hAnsi="Arial" w:cs="Arial"/>
          <w:b/>
          <w:color w:val="auto"/>
          <w:kern w:val="0"/>
          <w:sz w:val="24"/>
          <w:highlight w:val="none"/>
        </w:rPr>
        <w:t>合 同 附 件</w:t>
      </w:r>
    </w:p>
    <w:p w14:paraId="43532317">
      <w:pPr>
        <w:snapToGrid w:val="0"/>
        <w:rPr>
          <w:rFonts w:ascii="Arial" w:hAnsi="Arial" w:cs="Arial"/>
          <w:color w:val="auto"/>
          <w:kern w:val="0"/>
          <w:sz w:val="24"/>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14:paraId="5B80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0" w:hRule="atLeast"/>
          <w:jc w:val="center"/>
        </w:trPr>
        <w:tc>
          <w:tcPr>
            <w:tcW w:w="9540" w:type="dxa"/>
            <w:gridSpan w:val="2"/>
            <w:tcBorders>
              <w:top w:val="single" w:color="auto" w:sz="4" w:space="0"/>
              <w:left w:val="single" w:color="auto" w:sz="4" w:space="0"/>
              <w:bottom w:val="single" w:color="auto" w:sz="4" w:space="0"/>
              <w:right w:val="single" w:color="auto" w:sz="4" w:space="0"/>
            </w:tcBorders>
          </w:tcPr>
          <w:p w14:paraId="632734A2">
            <w:pPr>
              <w:snapToGrid w:val="0"/>
              <w:rPr>
                <w:rFonts w:ascii="Arial" w:hAnsi="Arial" w:cs="Arial"/>
                <w:color w:val="auto"/>
                <w:kern w:val="0"/>
                <w:sz w:val="24"/>
                <w:highlight w:val="none"/>
              </w:rPr>
            </w:pPr>
          </w:p>
          <w:p w14:paraId="29E90083">
            <w:pPr>
              <w:snapToGrid w:val="0"/>
              <w:rPr>
                <w:rFonts w:ascii="Arial" w:hAnsi="Arial" w:cs="Arial"/>
                <w:color w:val="auto"/>
                <w:kern w:val="0"/>
                <w:sz w:val="24"/>
                <w:highlight w:val="none"/>
              </w:rPr>
            </w:pPr>
            <w:r>
              <w:rPr>
                <w:rFonts w:ascii="Arial" w:hAnsi="Arial" w:cs="Arial"/>
                <w:color w:val="auto"/>
                <w:kern w:val="0"/>
                <w:sz w:val="24"/>
                <w:highlight w:val="none"/>
              </w:rPr>
              <w:t>1、</w:t>
            </w:r>
            <w:r>
              <w:rPr>
                <w:rFonts w:hint="eastAsia" w:ascii="Arial" w:hAnsi="Arial" w:cs="Arial"/>
                <w:color w:val="auto"/>
                <w:kern w:val="0"/>
                <w:sz w:val="24"/>
                <w:highlight w:val="none"/>
              </w:rPr>
              <w:t>投标人</w:t>
            </w:r>
            <w:r>
              <w:rPr>
                <w:rFonts w:ascii="Arial" w:hAnsi="Arial" w:cs="Arial"/>
                <w:color w:val="auto"/>
                <w:kern w:val="0"/>
                <w:sz w:val="24"/>
                <w:highlight w:val="none"/>
              </w:rPr>
              <w:t>承诺具体事项：</w:t>
            </w:r>
          </w:p>
        </w:tc>
      </w:tr>
      <w:tr w14:paraId="69B1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Borders>
              <w:top w:val="single" w:color="auto" w:sz="4" w:space="0"/>
              <w:left w:val="single" w:color="auto" w:sz="4" w:space="0"/>
              <w:bottom w:val="single" w:color="auto" w:sz="4" w:space="0"/>
              <w:right w:val="single" w:color="auto" w:sz="4" w:space="0"/>
            </w:tcBorders>
          </w:tcPr>
          <w:p w14:paraId="0366DB15">
            <w:pPr>
              <w:snapToGrid w:val="0"/>
              <w:rPr>
                <w:rFonts w:ascii="Arial" w:hAnsi="Arial" w:cs="Arial"/>
                <w:color w:val="auto"/>
                <w:kern w:val="0"/>
                <w:sz w:val="24"/>
                <w:highlight w:val="none"/>
              </w:rPr>
            </w:pPr>
          </w:p>
          <w:p w14:paraId="24C05191">
            <w:pPr>
              <w:snapToGrid w:val="0"/>
              <w:rPr>
                <w:rFonts w:ascii="Arial" w:hAnsi="Arial" w:cs="Arial"/>
                <w:color w:val="auto"/>
                <w:kern w:val="0"/>
                <w:sz w:val="24"/>
                <w:highlight w:val="none"/>
              </w:rPr>
            </w:pPr>
            <w:r>
              <w:rPr>
                <w:rFonts w:ascii="Arial" w:hAnsi="Arial" w:cs="Arial"/>
                <w:color w:val="auto"/>
                <w:kern w:val="0"/>
                <w:sz w:val="24"/>
                <w:highlight w:val="none"/>
              </w:rPr>
              <w:t>2、售后服务具体事项：</w:t>
            </w:r>
          </w:p>
        </w:tc>
      </w:tr>
      <w:tr w14:paraId="74E4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Borders>
              <w:top w:val="single" w:color="auto" w:sz="4" w:space="0"/>
              <w:left w:val="single" w:color="auto" w:sz="4" w:space="0"/>
              <w:bottom w:val="single" w:color="auto" w:sz="4" w:space="0"/>
              <w:right w:val="single" w:color="auto" w:sz="4" w:space="0"/>
            </w:tcBorders>
          </w:tcPr>
          <w:p w14:paraId="6A7DF524">
            <w:pPr>
              <w:snapToGrid w:val="0"/>
              <w:rPr>
                <w:rFonts w:ascii="Arial" w:hAnsi="Arial" w:cs="Arial"/>
                <w:color w:val="auto"/>
                <w:kern w:val="0"/>
                <w:sz w:val="24"/>
                <w:highlight w:val="none"/>
              </w:rPr>
            </w:pPr>
          </w:p>
          <w:p w14:paraId="00D5E0AE">
            <w:pPr>
              <w:snapToGrid w:val="0"/>
              <w:rPr>
                <w:rFonts w:ascii="Arial" w:hAnsi="Arial" w:cs="Arial"/>
                <w:color w:val="auto"/>
                <w:kern w:val="0"/>
                <w:sz w:val="24"/>
                <w:highlight w:val="none"/>
              </w:rPr>
            </w:pPr>
            <w:r>
              <w:rPr>
                <w:rFonts w:ascii="Arial" w:hAnsi="Arial" w:cs="Arial"/>
                <w:color w:val="auto"/>
                <w:kern w:val="0"/>
                <w:sz w:val="24"/>
                <w:highlight w:val="none"/>
              </w:rPr>
              <w:t>3、保修期责任：</w:t>
            </w:r>
          </w:p>
        </w:tc>
      </w:tr>
      <w:tr w14:paraId="2206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9540" w:type="dxa"/>
            <w:gridSpan w:val="2"/>
            <w:tcBorders>
              <w:top w:val="single" w:color="auto" w:sz="4" w:space="0"/>
              <w:left w:val="single" w:color="auto" w:sz="4" w:space="0"/>
              <w:bottom w:val="single" w:color="auto" w:sz="4" w:space="0"/>
              <w:right w:val="single" w:color="auto" w:sz="4" w:space="0"/>
            </w:tcBorders>
          </w:tcPr>
          <w:p w14:paraId="5C3E1A32">
            <w:pPr>
              <w:snapToGrid w:val="0"/>
              <w:rPr>
                <w:rFonts w:ascii="Arial" w:hAnsi="Arial" w:cs="Arial"/>
                <w:color w:val="auto"/>
                <w:kern w:val="0"/>
                <w:sz w:val="24"/>
                <w:highlight w:val="none"/>
              </w:rPr>
            </w:pPr>
          </w:p>
          <w:p w14:paraId="5F3D31FA">
            <w:pPr>
              <w:snapToGrid w:val="0"/>
              <w:rPr>
                <w:rFonts w:ascii="Arial" w:hAnsi="Arial" w:cs="Arial"/>
                <w:color w:val="auto"/>
                <w:kern w:val="0"/>
                <w:sz w:val="24"/>
                <w:highlight w:val="none"/>
              </w:rPr>
            </w:pPr>
            <w:r>
              <w:rPr>
                <w:rFonts w:ascii="Arial" w:hAnsi="Arial" w:cs="Arial"/>
                <w:color w:val="auto"/>
                <w:kern w:val="0"/>
                <w:sz w:val="24"/>
                <w:highlight w:val="none"/>
              </w:rPr>
              <w:t>4、其他具体事项：</w:t>
            </w:r>
          </w:p>
        </w:tc>
      </w:tr>
      <w:tr w14:paraId="615B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15" w:type="dxa"/>
            <w:tcBorders>
              <w:top w:val="single" w:color="auto" w:sz="4" w:space="0"/>
              <w:left w:val="single" w:color="auto" w:sz="4" w:space="0"/>
              <w:bottom w:val="single" w:color="auto" w:sz="4" w:space="0"/>
              <w:right w:val="single" w:color="auto" w:sz="4" w:space="0"/>
            </w:tcBorders>
            <w:vAlign w:val="center"/>
          </w:tcPr>
          <w:p w14:paraId="750D45CE">
            <w:pPr>
              <w:ind w:firstLine="482"/>
              <w:rPr>
                <w:rFonts w:ascii="Arial" w:hAnsi="Arial" w:cs="Arial"/>
                <w:color w:val="auto"/>
                <w:kern w:val="0"/>
                <w:sz w:val="24"/>
                <w:highlight w:val="none"/>
              </w:rPr>
            </w:pPr>
            <w:r>
              <w:rPr>
                <w:rFonts w:ascii="Arial" w:hAnsi="Arial" w:cs="Arial"/>
                <w:color w:val="auto"/>
                <w:kern w:val="0"/>
                <w:sz w:val="24"/>
                <w:highlight w:val="none"/>
              </w:rPr>
              <w:t>甲方（章）</w:t>
            </w:r>
          </w:p>
          <w:p w14:paraId="0B2471D8">
            <w:pPr>
              <w:ind w:firstLine="482"/>
              <w:rPr>
                <w:rFonts w:ascii="Arial" w:hAnsi="Arial" w:cs="Arial"/>
                <w:color w:val="auto"/>
                <w:kern w:val="0"/>
                <w:sz w:val="24"/>
                <w:highlight w:val="none"/>
              </w:rPr>
            </w:pPr>
          </w:p>
          <w:p w14:paraId="6C812BAF">
            <w:pPr>
              <w:ind w:firstLine="482"/>
              <w:rPr>
                <w:rFonts w:ascii="Arial" w:hAnsi="Arial" w:cs="Arial"/>
                <w:color w:val="auto"/>
                <w:kern w:val="0"/>
                <w:sz w:val="24"/>
                <w:highlight w:val="none"/>
              </w:rPr>
            </w:pPr>
          </w:p>
          <w:p w14:paraId="7352A97D">
            <w:pPr>
              <w:ind w:firstLine="482"/>
              <w:rPr>
                <w:rFonts w:ascii="Arial" w:hAnsi="Arial" w:cs="Arial"/>
                <w:color w:val="auto"/>
                <w:kern w:val="0"/>
                <w:sz w:val="24"/>
                <w:highlight w:val="none"/>
              </w:rPr>
            </w:pPr>
          </w:p>
          <w:p w14:paraId="0FFC8A71">
            <w:pPr>
              <w:ind w:firstLine="482"/>
              <w:rPr>
                <w:rFonts w:ascii="Arial" w:hAnsi="Arial" w:cs="Arial"/>
                <w:color w:val="auto"/>
                <w:kern w:val="0"/>
                <w:sz w:val="24"/>
                <w:highlight w:val="none"/>
              </w:rPr>
            </w:pPr>
          </w:p>
          <w:p w14:paraId="7D53EEDF">
            <w:pPr>
              <w:ind w:firstLine="482"/>
              <w:rPr>
                <w:rFonts w:ascii="Arial" w:hAnsi="Arial" w:cs="Arial"/>
                <w:color w:val="auto"/>
                <w:kern w:val="0"/>
                <w:sz w:val="24"/>
                <w:highlight w:val="none"/>
              </w:rPr>
            </w:pPr>
          </w:p>
          <w:p w14:paraId="666691DC">
            <w:pPr>
              <w:ind w:firstLine="482"/>
              <w:rPr>
                <w:rFonts w:ascii="Arial" w:hAnsi="Arial" w:cs="Arial"/>
                <w:color w:val="auto"/>
                <w:kern w:val="0"/>
                <w:sz w:val="24"/>
                <w:highlight w:val="none"/>
              </w:rPr>
            </w:pPr>
          </w:p>
          <w:p w14:paraId="6D61C5C5">
            <w:pPr>
              <w:ind w:firstLine="482"/>
              <w:rPr>
                <w:rFonts w:ascii="Arial" w:hAnsi="Arial" w:cs="Arial"/>
                <w:color w:val="auto"/>
                <w:kern w:val="0"/>
                <w:sz w:val="24"/>
                <w:highlight w:val="none"/>
              </w:rPr>
            </w:pPr>
            <w:r>
              <w:rPr>
                <w:rFonts w:ascii="Arial" w:hAnsi="Arial" w:cs="Arial"/>
                <w:color w:val="auto"/>
                <w:kern w:val="0"/>
                <w:sz w:val="24"/>
                <w:highlight w:val="none"/>
              </w:rPr>
              <w:t xml:space="preserve">                 年   月   日 </w:t>
            </w:r>
          </w:p>
        </w:tc>
        <w:tc>
          <w:tcPr>
            <w:tcW w:w="4725" w:type="dxa"/>
            <w:tcBorders>
              <w:top w:val="single" w:color="auto" w:sz="4" w:space="0"/>
              <w:left w:val="single" w:color="auto" w:sz="4" w:space="0"/>
              <w:bottom w:val="single" w:color="auto" w:sz="4" w:space="0"/>
              <w:right w:val="single" w:color="auto" w:sz="4" w:space="0"/>
            </w:tcBorders>
            <w:vAlign w:val="center"/>
          </w:tcPr>
          <w:p w14:paraId="2C6E9396">
            <w:pPr>
              <w:ind w:firstLine="482"/>
              <w:rPr>
                <w:rFonts w:ascii="Arial" w:hAnsi="Arial" w:cs="Arial"/>
                <w:color w:val="auto"/>
                <w:kern w:val="0"/>
                <w:sz w:val="24"/>
                <w:highlight w:val="none"/>
              </w:rPr>
            </w:pPr>
            <w:r>
              <w:rPr>
                <w:rFonts w:ascii="Arial" w:hAnsi="Arial" w:cs="Arial"/>
                <w:color w:val="auto"/>
                <w:kern w:val="0"/>
                <w:sz w:val="24"/>
                <w:highlight w:val="none"/>
              </w:rPr>
              <w:t>乙方（章）</w:t>
            </w:r>
          </w:p>
          <w:p w14:paraId="75425646">
            <w:pPr>
              <w:ind w:firstLine="482"/>
              <w:rPr>
                <w:rFonts w:ascii="Arial" w:hAnsi="Arial" w:cs="Arial"/>
                <w:color w:val="auto"/>
                <w:kern w:val="0"/>
                <w:sz w:val="24"/>
                <w:highlight w:val="none"/>
              </w:rPr>
            </w:pPr>
          </w:p>
          <w:p w14:paraId="02FD155B">
            <w:pPr>
              <w:ind w:firstLine="482"/>
              <w:rPr>
                <w:rFonts w:ascii="Arial" w:hAnsi="Arial" w:cs="Arial"/>
                <w:color w:val="auto"/>
                <w:kern w:val="0"/>
                <w:sz w:val="24"/>
                <w:highlight w:val="none"/>
              </w:rPr>
            </w:pPr>
          </w:p>
          <w:p w14:paraId="6A81A757">
            <w:pPr>
              <w:ind w:firstLine="482"/>
              <w:rPr>
                <w:rFonts w:ascii="Arial" w:hAnsi="Arial" w:cs="Arial"/>
                <w:color w:val="auto"/>
                <w:kern w:val="0"/>
                <w:sz w:val="24"/>
                <w:highlight w:val="none"/>
              </w:rPr>
            </w:pPr>
          </w:p>
          <w:p w14:paraId="4FCBDA31">
            <w:pPr>
              <w:ind w:firstLine="482"/>
              <w:rPr>
                <w:rFonts w:ascii="Arial" w:hAnsi="Arial" w:cs="Arial"/>
                <w:color w:val="auto"/>
                <w:kern w:val="0"/>
                <w:sz w:val="24"/>
                <w:highlight w:val="none"/>
              </w:rPr>
            </w:pPr>
          </w:p>
          <w:p w14:paraId="26812C48">
            <w:pPr>
              <w:ind w:firstLine="482"/>
              <w:rPr>
                <w:rFonts w:ascii="Arial" w:hAnsi="Arial" w:cs="Arial"/>
                <w:color w:val="auto"/>
                <w:kern w:val="0"/>
                <w:sz w:val="24"/>
                <w:highlight w:val="none"/>
              </w:rPr>
            </w:pPr>
          </w:p>
          <w:p w14:paraId="172718CC">
            <w:pPr>
              <w:ind w:firstLine="482"/>
              <w:rPr>
                <w:rFonts w:ascii="Arial" w:hAnsi="Arial" w:cs="Arial"/>
                <w:color w:val="auto"/>
                <w:kern w:val="0"/>
                <w:sz w:val="24"/>
                <w:highlight w:val="none"/>
              </w:rPr>
            </w:pPr>
          </w:p>
          <w:p w14:paraId="29027F29">
            <w:pPr>
              <w:ind w:firstLine="482"/>
              <w:rPr>
                <w:rFonts w:ascii="Arial" w:hAnsi="Arial" w:cs="Arial"/>
                <w:color w:val="auto"/>
                <w:kern w:val="0"/>
                <w:sz w:val="24"/>
                <w:highlight w:val="none"/>
              </w:rPr>
            </w:pPr>
            <w:r>
              <w:rPr>
                <w:rFonts w:ascii="Arial" w:hAnsi="Arial" w:cs="Arial"/>
                <w:color w:val="auto"/>
                <w:kern w:val="0"/>
                <w:sz w:val="24"/>
                <w:highlight w:val="none"/>
              </w:rPr>
              <w:t xml:space="preserve">                年   月   日</w:t>
            </w:r>
          </w:p>
        </w:tc>
      </w:tr>
    </w:tbl>
    <w:p w14:paraId="6595F9BE">
      <w:pPr>
        <w:snapToGrid w:val="0"/>
        <w:rPr>
          <w:rFonts w:ascii="Arial" w:hAnsi="Arial" w:cs="Arial"/>
          <w:color w:val="auto"/>
          <w:kern w:val="0"/>
          <w:sz w:val="24"/>
          <w:highlight w:val="none"/>
        </w:rPr>
      </w:pPr>
    </w:p>
    <w:p w14:paraId="0591D853">
      <w:pPr>
        <w:widowControl/>
        <w:spacing w:line="360" w:lineRule="auto"/>
        <w:jc w:val="left"/>
        <w:rPr>
          <w:rFonts w:ascii="Arial" w:hAnsi="Arial" w:cs="Arial"/>
          <w:color w:val="auto"/>
          <w:sz w:val="28"/>
          <w:szCs w:val="28"/>
          <w:highlight w:val="none"/>
        </w:rPr>
      </w:pPr>
      <w:r>
        <w:rPr>
          <w:rFonts w:ascii="Arial" w:hAnsi="Arial" w:cs="Arial"/>
          <w:color w:val="auto"/>
          <w:kern w:val="0"/>
          <w:sz w:val="24"/>
          <w:highlight w:val="none"/>
        </w:rPr>
        <w:t>注：售后服务事项填不下时可另加附页</w:t>
      </w:r>
    </w:p>
    <w:p w14:paraId="4C0E06D8">
      <w:pPr>
        <w:rPr>
          <w:color w:val="auto"/>
          <w:highlight w:val="none"/>
        </w:rPr>
      </w:pPr>
      <w:r>
        <w:rPr>
          <w:rFonts w:ascii="Arial" w:hAnsi="Arial" w:cs="Arial"/>
          <w:color w:val="auto"/>
          <w:highlight w:val="none"/>
        </w:rPr>
        <w:t xml:space="preserve">           </w:t>
      </w:r>
    </w:p>
    <w:p w14:paraId="610954FB">
      <w:pPr>
        <w:rPr>
          <w:color w:val="auto"/>
          <w:highlight w:val="none"/>
        </w:rPr>
      </w:pPr>
    </w:p>
    <w:p w14:paraId="54F15D23">
      <w:pPr>
        <w:rPr>
          <w:color w:val="auto"/>
          <w:highlight w:val="none"/>
        </w:rPr>
      </w:pPr>
    </w:p>
    <w:p w14:paraId="43E74ED2">
      <w:pPr>
        <w:rPr>
          <w:color w:val="auto"/>
          <w:highlight w:val="none"/>
        </w:rPr>
      </w:pPr>
    </w:p>
    <w:p w14:paraId="077C9B90">
      <w:pPr>
        <w:rPr>
          <w:color w:val="auto"/>
          <w:highlight w:val="none"/>
        </w:rPr>
      </w:pPr>
    </w:p>
    <w:p w14:paraId="7B9D124A">
      <w:pPr>
        <w:rPr>
          <w:color w:val="auto"/>
          <w:highlight w:val="none"/>
        </w:rPr>
      </w:pPr>
    </w:p>
    <w:p w14:paraId="4564A323">
      <w:pPr>
        <w:rPr>
          <w:color w:val="auto"/>
          <w:highlight w:val="none"/>
        </w:rPr>
      </w:pPr>
    </w:p>
    <w:p w14:paraId="4B32D433">
      <w:pPr>
        <w:rPr>
          <w:color w:val="auto"/>
          <w:highlight w:val="none"/>
        </w:rPr>
      </w:pPr>
    </w:p>
    <w:p w14:paraId="29FB29B1">
      <w:pPr>
        <w:rPr>
          <w:color w:val="auto"/>
          <w:highlight w:val="none"/>
        </w:rPr>
      </w:pPr>
    </w:p>
    <w:p w14:paraId="5721AB01">
      <w:pPr>
        <w:rPr>
          <w:color w:val="auto"/>
          <w:highlight w:val="none"/>
        </w:rPr>
      </w:pPr>
    </w:p>
    <w:p w14:paraId="21CE9F0F">
      <w:pPr>
        <w:rPr>
          <w:color w:val="auto"/>
          <w:highlight w:val="none"/>
        </w:rPr>
      </w:pPr>
    </w:p>
    <w:p w14:paraId="09B218D1">
      <w:pPr>
        <w:rPr>
          <w:color w:val="auto"/>
          <w:highlight w:val="none"/>
        </w:rPr>
      </w:pPr>
    </w:p>
    <w:p w14:paraId="5E1BA6AD">
      <w:pPr>
        <w:rPr>
          <w:color w:val="auto"/>
          <w:highlight w:val="none"/>
        </w:rPr>
      </w:pPr>
    </w:p>
    <w:p w14:paraId="7291F56F">
      <w:pPr>
        <w:rPr>
          <w:color w:val="auto"/>
          <w:highlight w:val="none"/>
        </w:rPr>
      </w:pPr>
    </w:p>
    <w:p w14:paraId="1369B2D3">
      <w:pPr>
        <w:rPr>
          <w:color w:val="auto"/>
          <w:highlight w:val="none"/>
        </w:rPr>
      </w:pPr>
    </w:p>
    <w:p w14:paraId="7A75FD3B">
      <w:pPr>
        <w:rPr>
          <w:color w:val="auto"/>
          <w:highlight w:val="none"/>
        </w:rPr>
      </w:pPr>
    </w:p>
    <w:p w14:paraId="3B78394C">
      <w:pPr>
        <w:rPr>
          <w:color w:val="auto"/>
          <w:highlight w:val="none"/>
        </w:rPr>
      </w:pPr>
    </w:p>
    <w:p w14:paraId="174EBC38">
      <w:pPr>
        <w:rPr>
          <w:color w:val="auto"/>
          <w:highlight w:val="none"/>
        </w:rPr>
      </w:pPr>
    </w:p>
    <w:p w14:paraId="183700D6">
      <w:pPr>
        <w:rPr>
          <w:color w:val="auto"/>
          <w:highlight w:val="none"/>
        </w:rPr>
      </w:pPr>
    </w:p>
    <w:p w14:paraId="442C5B9F">
      <w:pPr>
        <w:rPr>
          <w:color w:val="auto"/>
          <w:highlight w:val="none"/>
        </w:rPr>
      </w:pPr>
    </w:p>
    <w:p w14:paraId="3CBF4CAE">
      <w:pPr>
        <w:rPr>
          <w:color w:val="auto"/>
          <w:highlight w:val="none"/>
        </w:rPr>
      </w:pPr>
    </w:p>
    <w:p w14:paraId="685DDA16">
      <w:pPr>
        <w:rPr>
          <w:color w:val="auto"/>
          <w:highlight w:val="none"/>
        </w:rPr>
      </w:pPr>
    </w:p>
    <w:p w14:paraId="5A923A24">
      <w:pPr>
        <w:rPr>
          <w:color w:val="auto"/>
          <w:highlight w:val="none"/>
        </w:rPr>
      </w:pPr>
    </w:p>
    <w:p w14:paraId="2FDC6757">
      <w:pPr>
        <w:rPr>
          <w:color w:val="auto"/>
          <w:highlight w:val="none"/>
        </w:rPr>
      </w:pPr>
    </w:p>
    <w:p w14:paraId="7B2ECE98">
      <w:pPr>
        <w:rPr>
          <w:color w:val="auto"/>
          <w:highlight w:val="none"/>
        </w:rPr>
      </w:pPr>
    </w:p>
    <w:p w14:paraId="5E750C76">
      <w:pPr>
        <w:rPr>
          <w:color w:val="auto"/>
          <w:highlight w:val="none"/>
        </w:rPr>
      </w:pPr>
    </w:p>
    <w:p w14:paraId="1E005B5E">
      <w:pPr>
        <w:rPr>
          <w:color w:val="auto"/>
          <w:highlight w:val="none"/>
        </w:rPr>
      </w:pPr>
    </w:p>
    <w:p w14:paraId="57A1F7FB">
      <w:pPr>
        <w:rPr>
          <w:color w:val="auto"/>
          <w:highlight w:val="none"/>
        </w:rPr>
      </w:pPr>
    </w:p>
    <w:p w14:paraId="58F95247">
      <w:pPr>
        <w:rPr>
          <w:color w:val="auto"/>
          <w:highlight w:val="none"/>
        </w:rPr>
      </w:pPr>
    </w:p>
    <w:p w14:paraId="31DE6777">
      <w:pPr>
        <w:rPr>
          <w:color w:val="auto"/>
          <w:highlight w:val="none"/>
        </w:rPr>
      </w:pPr>
    </w:p>
    <w:p w14:paraId="51E9FF2E">
      <w:pPr>
        <w:rPr>
          <w:color w:val="auto"/>
          <w:highlight w:val="none"/>
        </w:rPr>
      </w:pPr>
    </w:p>
    <w:p w14:paraId="64122A89">
      <w:pPr>
        <w:rPr>
          <w:color w:val="auto"/>
          <w:highlight w:val="none"/>
        </w:rPr>
      </w:pPr>
    </w:p>
    <w:p w14:paraId="731BF912">
      <w:pPr>
        <w:rPr>
          <w:color w:val="auto"/>
          <w:highlight w:val="none"/>
        </w:rPr>
      </w:pPr>
    </w:p>
    <w:p w14:paraId="7A938FD5">
      <w:pPr>
        <w:rPr>
          <w:color w:val="auto"/>
          <w:highlight w:val="none"/>
        </w:rPr>
      </w:pPr>
    </w:p>
    <w:p w14:paraId="1B830F51">
      <w:pPr>
        <w:rPr>
          <w:color w:val="auto"/>
          <w:highlight w:val="none"/>
        </w:rPr>
      </w:pPr>
    </w:p>
    <w:p w14:paraId="4CCDB40D">
      <w:pPr>
        <w:pStyle w:val="12"/>
        <w:snapToGrid w:val="0"/>
        <w:rPr>
          <w:rFonts w:ascii="Times New Roman" w:hAnsi="Times New Roman" w:eastAsia="宋体"/>
          <w:color w:val="auto"/>
          <w:sz w:val="16"/>
          <w:szCs w:val="18"/>
          <w:highlight w:val="none"/>
        </w:rPr>
      </w:pPr>
      <w:r>
        <w:rPr>
          <w:rFonts w:ascii="Times New Roman" w:hAnsi="Times New Roman" w:eastAsia="宋体"/>
          <w:bCs/>
          <w:color w:val="auto"/>
          <w:sz w:val="24"/>
          <w:szCs w:val="24"/>
          <w:highlight w:val="none"/>
        </w:rPr>
        <w:t>附件1：</w:t>
      </w:r>
    </w:p>
    <w:p w14:paraId="7B5325CB">
      <w:pPr>
        <w:widowControl/>
        <w:shd w:val="clear" w:color="auto" w:fill="FFFFFF"/>
        <w:spacing w:line="480" w:lineRule="atLeast"/>
        <w:jc w:val="center"/>
        <w:rPr>
          <w:rFonts w:ascii="Times New Roman" w:hAnsi="Times New Roman"/>
          <w:color w:val="auto"/>
          <w:kern w:val="0"/>
          <w:sz w:val="32"/>
          <w:szCs w:val="32"/>
          <w:highlight w:val="none"/>
        </w:rPr>
      </w:pPr>
      <w:r>
        <w:rPr>
          <w:rFonts w:ascii="Times New Roman" w:hAnsi="Times New Roman"/>
          <w:b/>
          <w:bCs/>
          <w:color w:val="auto"/>
          <w:kern w:val="0"/>
          <w:sz w:val="32"/>
          <w:szCs w:val="32"/>
          <w:highlight w:val="none"/>
        </w:rPr>
        <w:t>广西壮族自治区政府采购项目合同验收书（格式）</w:t>
      </w:r>
    </w:p>
    <w:p w14:paraId="61F4BC77">
      <w:pPr>
        <w:widowControl/>
        <w:shd w:val="clear" w:color="auto" w:fill="FFFFFF"/>
        <w:spacing w:line="480" w:lineRule="atLeast"/>
        <w:jc w:val="center"/>
        <w:rPr>
          <w:rFonts w:ascii="Times New Roman" w:hAnsi="Times New Roman"/>
          <w:color w:val="auto"/>
          <w:kern w:val="0"/>
          <w:sz w:val="32"/>
          <w:szCs w:val="32"/>
          <w:highlight w:val="none"/>
        </w:rPr>
      </w:pPr>
    </w:p>
    <w:p w14:paraId="41B5A676">
      <w:pPr>
        <w:widowControl/>
        <w:shd w:val="clear" w:color="auto" w:fill="FFFFFF"/>
        <w:snapToGrid w:val="0"/>
        <w:spacing w:line="320" w:lineRule="atLeast"/>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根据政府采购项目（</w:t>
      </w:r>
      <w:r>
        <w:rPr>
          <w:rFonts w:ascii="Times New Roman" w:hAnsi="Times New Roman"/>
          <w:color w:val="auto"/>
          <w:kern w:val="0"/>
          <w:sz w:val="24"/>
          <w:highlight w:val="none"/>
          <w:u w:val="single"/>
        </w:rPr>
        <w:t>采购合同编号：</w:t>
      </w:r>
      <w:r>
        <w:rPr>
          <w:rFonts w:ascii="Times New Roman" w:hAnsi="Times New Roman"/>
          <w:color w:val="auto"/>
          <w:kern w:val="0"/>
          <w:sz w:val="24"/>
          <w:highlight w:val="none"/>
          <w:u w:val="single"/>
        </w:rPr>
        <w:softHyphen/>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）的约定，我单位对（</w:t>
      </w:r>
      <w:r>
        <w:rPr>
          <w:rFonts w:ascii="Times New Roman" w:hAnsi="Times New Roman"/>
          <w:color w:val="auto"/>
          <w:kern w:val="0"/>
          <w:sz w:val="24"/>
          <w:highlight w:val="none"/>
          <w:u w:val="single"/>
        </w:rPr>
        <w:t xml:space="preserve"> 项目名称 </w:t>
      </w:r>
      <w:r>
        <w:rPr>
          <w:rFonts w:ascii="Times New Roman" w:hAnsi="Times New Roman"/>
          <w:color w:val="auto"/>
          <w:kern w:val="0"/>
          <w:sz w:val="24"/>
          <w:highlight w:val="none"/>
        </w:rPr>
        <w:t>） 政府采购项目成交</w:t>
      </w:r>
      <w:r>
        <w:rPr>
          <w:rFonts w:hint="eastAsia" w:ascii="Times New Roman" w:hAnsi="Times New Roman"/>
          <w:color w:val="auto"/>
          <w:kern w:val="0"/>
          <w:sz w:val="24"/>
          <w:highlight w:val="none"/>
        </w:rPr>
        <w:t>供应商</w:t>
      </w:r>
      <w:r>
        <w:rPr>
          <w:rFonts w:ascii="Times New Roman" w:hAnsi="Times New Roman"/>
          <w:color w:val="auto"/>
          <w:kern w:val="0"/>
          <w:sz w:val="24"/>
          <w:highlight w:val="none"/>
        </w:rPr>
        <w:t>（</w:t>
      </w:r>
      <w:r>
        <w:rPr>
          <w:rFonts w:ascii="Times New Roman" w:hAnsi="Times New Roman"/>
          <w:color w:val="auto"/>
          <w:kern w:val="0"/>
          <w:sz w:val="24"/>
          <w:highlight w:val="none"/>
          <w:u w:val="single"/>
        </w:rPr>
        <w:t xml:space="preserve"> 公司名称 </w:t>
      </w:r>
      <w:r>
        <w:rPr>
          <w:rFonts w:ascii="Times New Roman" w:hAnsi="Times New Roman"/>
          <w:color w:val="auto"/>
          <w:kern w:val="0"/>
          <w:sz w:val="24"/>
          <w:highlight w:val="none"/>
        </w:rPr>
        <w:t>） 提供的货物（或工程、服务）进行了验收，验收情况如下：</w:t>
      </w:r>
    </w:p>
    <w:tbl>
      <w:tblPr>
        <w:tblStyle w:val="19"/>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2284ADA7">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5FFC23CB">
            <w:pPr>
              <w:widowControl/>
              <w:snapToGrid w:val="0"/>
              <w:spacing w:before="100" w:beforeAutospacing="1" w:after="100" w:afterAutospacing="1" w:line="320" w:lineRule="atLeast"/>
              <w:ind w:firstLine="5"/>
              <w:jc w:val="center"/>
              <w:rPr>
                <w:rFonts w:ascii="Times New Roman" w:hAnsi="Times New Roman"/>
                <w:color w:val="auto"/>
                <w:kern w:val="0"/>
                <w:sz w:val="24"/>
                <w:highlight w:val="none"/>
              </w:rPr>
            </w:pPr>
            <w:r>
              <w:rPr>
                <w:rFonts w:ascii="Times New Roman" w:hAnsi="Times New Roman"/>
                <w:color w:val="auto"/>
                <w:kern w:val="0"/>
                <w:sz w:val="24"/>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321AC400">
            <w:pPr>
              <w:widowControl/>
              <w:snapToGrid w:val="0"/>
              <w:spacing w:before="100" w:beforeAutospacing="1" w:after="100" w:afterAutospacing="1" w:line="320" w:lineRule="atLeast"/>
              <w:jc w:val="center"/>
              <w:rPr>
                <w:rFonts w:ascii="Times New Roman" w:hAnsi="Times New Roman"/>
                <w:color w:val="auto"/>
                <w:kern w:val="0"/>
                <w:sz w:val="24"/>
                <w:highlight w:val="none"/>
              </w:rPr>
            </w:pPr>
            <w:r>
              <w:rPr>
                <w:rFonts w:ascii="Times New Roman" w:hAnsi="Times New Roman"/>
                <w:color w:val="auto"/>
                <w:kern w:val="0"/>
                <w:sz w:val="24"/>
                <w:highlight w:val="none"/>
              </w:rPr>
              <w:t>□自行验收 □委托验收</w:t>
            </w:r>
          </w:p>
        </w:tc>
      </w:tr>
      <w:tr w14:paraId="32A62844">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3E93023B">
            <w:pPr>
              <w:widowControl/>
              <w:snapToGrid w:val="0"/>
              <w:spacing w:before="100" w:beforeAutospacing="1" w:after="100" w:afterAutospacing="1" w:line="320" w:lineRule="atLeast"/>
              <w:ind w:firstLine="2"/>
              <w:jc w:val="center"/>
              <w:rPr>
                <w:rFonts w:ascii="Times New Roman" w:hAnsi="Times New Roman"/>
                <w:color w:val="auto"/>
                <w:kern w:val="0"/>
                <w:sz w:val="24"/>
                <w:highlight w:val="none"/>
              </w:rPr>
            </w:pPr>
            <w:r>
              <w:rPr>
                <w:rFonts w:ascii="Times New Roman" w:hAnsi="Times New Roman"/>
                <w:color w:val="auto"/>
                <w:kern w:val="0"/>
                <w:sz w:val="24"/>
                <w:highlight w:val="none"/>
              </w:rPr>
              <w:t>序号</w:t>
            </w:r>
          </w:p>
        </w:tc>
        <w:tc>
          <w:tcPr>
            <w:tcW w:w="2448" w:type="dxa"/>
            <w:gridSpan w:val="2"/>
            <w:tcBorders>
              <w:top w:val="nil"/>
              <w:left w:val="nil"/>
              <w:bottom w:val="single" w:color="auto" w:sz="8" w:space="0"/>
              <w:right w:val="single" w:color="auto" w:sz="8" w:space="0"/>
            </w:tcBorders>
            <w:vAlign w:val="center"/>
          </w:tcPr>
          <w:p w14:paraId="039554B7">
            <w:pPr>
              <w:widowControl/>
              <w:snapToGrid w:val="0"/>
              <w:spacing w:before="100" w:beforeAutospacing="1" w:after="100" w:afterAutospacing="1" w:line="320" w:lineRule="atLeast"/>
              <w:ind w:firstLine="2"/>
              <w:jc w:val="center"/>
              <w:rPr>
                <w:rFonts w:ascii="Times New Roman" w:hAnsi="Times New Roman"/>
                <w:color w:val="auto"/>
                <w:kern w:val="0"/>
                <w:sz w:val="24"/>
                <w:highlight w:val="none"/>
              </w:rPr>
            </w:pPr>
            <w:r>
              <w:rPr>
                <w:rFonts w:ascii="Times New Roman" w:hAnsi="Times New Roman"/>
                <w:color w:val="auto"/>
                <w:kern w:val="0"/>
                <w:sz w:val="24"/>
                <w:highlight w:val="none"/>
              </w:rPr>
              <w:t>名称</w:t>
            </w:r>
          </w:p>
        </w:tc>
        <w:tc>
          <w:tcPr>
            <w:tcW w:w="2902" w:type="dxa"/>
            <w:gridSpan w:val="3"/>
            <w:tcBorders>
              <w:top w:val="nil"/>
              <w:left w:val="nil"/>
              <w:bottom w:val="single" w:color="auto" w:sz="8" w:space="0"/>
              <w:right w:val="single" w:color="auto" w:sz="8" w:space="0"/>
            </w:tcBorders>
            <w:vAlign w:val="center"/>
          </w:tcPr>
          <w:p w14:paraId="49EB2B23">
            <w:pPr>
              <w:widowControl/>
              <w:snapToGrid w:val="0"/>
              <w:spacing w:before="100" w:beforeAutospacing="1" w:after="100" w:afterAutospacing="1" w:line="320" w:lineRule="atLeast"/>
              <w:ind w:firstLine="2"/>
              <w:jc w:val="center"/>
              <w:rPr>
                <w:rFonts w:ascii="Times New Roman" w:hAnsi="Times New Roman"/>
                <w:color w:val="auto"/>
                <w:kern w:val="0"/>
                <w:sz w:val="24"/>
                <w:highlight w:val="none"/>
              </w:rPr>
            </w:pPr>
            <w:r>
              <w:rPr>
                <w:rFonts w:ascii="Times New Roman" w:hAnsi="Times New Roman"/>
                <w:color w:val="auto"/>
                <w:kern w:val="0"/>
                <w:sz w:val="24"/>
                <w:highlight w:val="none"/>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14:paraId="54EEF604">
            <w:pPr>
              <w:widowControl/>
              <w:snapToGrid w:val="0"/>
              <w:spacing w:before="100" w:beforeAutospacing="1" w:after="100" w:afterAutospacing="1" w:line="320" w:lineRule="atLeast"/>
              <w:jc w:val="center"/>
              <w:rPr>
                <w:rFonts w:ascii="Times New Roman" w:hAnsi="Times New Roman"/>
                <w:color w:val="auto"/>
                <w:kern w:val="0"/>
                <w:sz w:val="24"/>
                <w:highlight w:val="none"/>
              </w:rPr>
            </w:pPr>
            <w:r>
              <w:rPr>
                <w:rFonts w:ascii="Times New Roman" w:hAnsi="Times New Roman"/>
                <w:color w:val="auto"/>
                <w:kern w:val="0"/>
                <w:sz w:val="24"/>
                <w:highlight w:val="none"/>
              </w:rPr>
              <w:t>数量</w:t>
            </w:r>
          </w:p>
        </w:tc>
        <w:tc>
          <w:tcPr>
            <w:tcW w:w="1428" w:type="dxa"/>
            <w:tcBorders>
              <w:top w:val="nil"/>
              <w:left w:val="nil"/>
              <w:bottom w:val="single" w:color="auto" w:sz="8" w:space="0"/>
              <w:right w:val="single" w:color="auto" w:sz="8" w:space="0"/>
            </w:tcBorders>
            <w:vAlign w:val="center"/>
          </w:tcPr>
          <w:p w14:paraId="633930CF">
            <w:pPr>
              <w:widowControl/>
              <w:snapToGrid w:val="0"/>
              <w:spacing w:before="100" w:beforeAutospacing="1" w:after="100" w:afterAutospacing="1" w:line="320" w:lineRule="atLeast"/>
              <w:ind w:firstLine="2"/>
              <w:jc w:val="center"/>
              <w:rPr>
                <w:rFonts w:ascii="Times New Roman" w:hAnsi="Times New Roman"/>
                <w:color w:val="auto"/>
                <w:kern w:val="0"/>
                <w:sz w:val="24"/>
                <w:highlight w:val="none"/>
              </w:rPr>
            </w:pPr>
            <w:r>
              <w:rPr>
                <w:rFonts w:ascii="Times New Roman" w:hAnsi="Times New Roman"/>
                <w:color w:val="auto"/>
                <w:kern w:val="0"/>
                <w:sz w:val="24"/>
                <w:highlight w:val="none"/>
              </w:rPr>
              <w:t>金额</w:t>
            </w:r>
          </w:p>
        </w:tc>
      </w:tr>
      <w:tr w14:paraId="063CC686">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22EA195">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2448" w:type="dxa"/>
            <w:gridSpan w:val="2"/>
            <w:tcBorders>
              <w:top w:val="nil"/>
              <w:left w:val="nil"/>
              <w:bottom w:val="single" w:color="auto" w:sz="8" w:space="0"/>
              <w:right w:val="single" w:color="auto" w:sz="8" w:space="0"/>
            </w:tcBorders>
            <w:vAlign w:val="center"/>
          </w:tcPr>
          <w:p w14:paraId="2507AA09">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2902" w:type="dxa"/>
            <w:gridSpan w:val="3"/>
            <w:tcBorders>
              <w:top w:val="nil"/>
              <w:left w:val="nil"/>
              <w:bottom w:val="single" w:color="auto" w:sz="8" w:space="0"/>
              <w:right w:val="single" w:color="auto" w:sz="8" w:space="0"/>
            </w:tcBorders>
            <w:vAlign w:val="center"/>
          </w:tcPr>
          <w:p w14:paraId="59318917">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863" w:type="dxa"/>
            <w:gridSpan w:val="2"/>
            <w:tcBorders>
              <w:top w:val="nil"/>
              <w:left w:val="nil"/>
              <w:bottom w:val="single" w:color="auto" w:sz="8" w:space="0"/>
              <w:right w:val="single" w:color="auto" w:sz="8" w:space="0"/>
            </w:tcBorders>
            <w:vAlign w:val="center"/>
          </w:tcPr>
          <w:p w14:paraId="7462ED6F">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1428" w:type="dxa"/>
            <w:tcBorders>
              <w:top w:val="nil"/>
              <w:left w:val="nil"/>
              <w:bottom w:val="single" w:color="auto" w:sz="8" w:space="0"/>
              <w:right w:val="single" w:color="auto" w:sz="8" w:space="0"/>
            </w:tcBorders>
            <w:vAlign w:val="center"/>
          </w:tcPr>
          <w:p w14:paraId="3D5544F7">
            <w:pPr>
              <w:widowControl/>
              <w:spacing w:before="100" w:beforeAutospacing="1" w:after="100" w:afterAutospacing="1" w:line="240" w:lineRule="atLeast"/>
              <w:jc w:val="center"/>
              <w:rPr>
                <w:rFonts w:ascii="Times New Roman" w:hAnsi="Times New Roman"/>
                <w:color w:val="auto"/>
                <w:kern w:val="0"/>
                <w:sz w:val="24"/>
                <w:highlight w:val="none"/>
              </w:rPr>
            </w:pPr>
          </w:p>
        </w:tc>
      </w:tr>
      <w:tr w14:paraId="559AE0F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12A7966">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2448" w:type="dxa"/>
            <w:gridSpan w:val="2"/>
            <w:tcBorders>
              <w:top w:val="nil"/>
              <w:left w:val="nil"/>
              <w:bottom w:val="single" w:color="auto" w:sz="8" w:space="0"/>
              <w:right w:val="single" w:color="auto" w:sz="8" w:space="0"/>
            </w:tcBorders>
            <w:vAlign w:val="center"/>
          </w:tcPr>
          <w:p w14:paraId="470A2E88">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2902" w:type="dxa"/>
            <w:gridSpan w:val="3"/>
            <w:tcBorders>
              <w:top w:val="nil"/>
              <w:left w:val="nil"/>
              <w:bottom w:val="single" w:color="auto" w:sz="8" w:space="0"/>
              <w:right w:val="single" w:color="auto" w:sz="8" w:space="0"/>
            </w:tcBorders>
            <w:vAlign w:val="center"/>
          </w:tcPr>
          <w:p w14:paraId="403C03B5">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863" w:type="dxa"/>
            <w:gridSpan w:val="2"/>
            <w:tcBorders>
              <w:top w:val="nil"/>
              <w:left w:val="nil"/>
              <w:bottom w:val="single" w:color="auto" w:sz="8" w:space="0"/>
              <w:right w:val="single" w:color="auto" w:sz="8" w:space="0"/>
            </w:tcBorders>
            <w:vAlign w:val="center"/>
          </w:tcPr>
          <w:p w14:paraId="2439ECC8">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1428" w:type="dxa"/>
            <w:tcBorders>
              <w:top w:val="nil"/>
              <w:left w:val="nil"/>
              <w:bottom w:val="single" w:color="auto" w:sz="8" w:space="0"/>
              <w:right w:val="single" w:color="auto" w:sz="8" w:space="0"/>
            </w:tcBorders>
            <w:vAlign w:val="center"/>
          </w:tcPr>
          <w:p w14:paraId="4D4E8E8F">
            <w:pPr>
              <w:widowControl/>
              <w:spacing w:before="100" w:beforeAutospacing="1" w:after="100" w:afterAutospacing="1" w:line="240" w:lineRule="atLeast"/>
              <w:jc w:val="center"/>
              <w:rPr>
                <w:rFonts w:ascii="Times New Roman" w:hAnsi="Times New Roman"/>
                <w:color w:val="auto"/>
                <w:kern w:val="0"/>
                <w:sz w:val="24"/>
                <w:highlight w:val="none"/>
              </w:rPr>
            </w:pPr>
          </w:p>
        </w:tc>
      </w:tr>
      <w:tr w14:paraId="63282E2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C7B8799">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2448" w:type="dxa"/>
            <w:gridSpan w:val="2"/>
            <w:tcBorders>
              <w:top w:val="nil"/>
              <w:left w:val="nil"/>
              <w:bottom w:val="single" w:color="auto" w:sz="8" w:space="0"/>
              <w:right w:val="single" w:color="auto" w:sz="8" w:space="0"/>
            </w:tcBorders>
            <w:vAlign w:val="center"/>
          </w:tcPr>
          <w:p w14:paraId="710705BD">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2902" w:type="dxa"/>
            <w:gridSpan w:val="3"/>
            <w:tcBorders>
              <w:top w:val="nil"/>
              <w:left w:val="nil"/>
              <w:bottom w:val="single" w:color="auto" w:sz="8" w:space="0"/>
              <w:right w:val="single" w:color="auto" w:sz="8" w:space="0"/>
            </w:tcBorders>
            <w:vAlign w:val="center"/>
          </w:tcPr>
          <w:p w14:paraId="3FB951A6">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863" w:type="dxa"/>
            <w:gridSpan w:val="2"/>
            <w:tcBorders>
              <w:top w:val="nil"/>
              <w:left w:val="nil"/>
              <w:bottom w:val="single" w:color="auto" w:sz="8" w:space="0"/>
              <w:right w:val="single" w:color="auto" w:sz="8" w:space="0"/>
            </w:tcBorders>
            <w:vAlign w:val="center"/>
          </w:tcPr>
          <w:p w14:paraId="4DBB3F38">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1428" w:type="dxa"/>
            <w:tcBorders>
              <w:top w:val="nil"/>
              <w:left w:val="nil"/>
              <w:bottom w:val="single" w:color="auto" w:sz="8" w:space="0"/>
              <w:right w:val="single" w:color="auto" w:sz="8" w:space="0"/>
            </w:tcBorders>
            <w:vAlign w:val="center"/>
          </w:tcPr>
          <w:p w14:paraId="6A853ACE">
            <w:pPr>
              <w:widowControl/>
              <w:spacing w:before="100" w:beforeAutospacing="1" w:after="100" w:afterAutospacing="1" w:line="240" w:lineRule="atLeast"/>
              <w:jc w:val="center"/>
              <w:rPr>
                <w:rFonts w:ascii="Times New Roman" w:hAnsi="Times New Roman"/>
                <w:color w:val="auto"/>
                <w:kern w:val="0"/>
                <w:sz w:val="24"/>
                <w:highlight w:val="none"/>
              </w:rPr>
            </w:pPr>
          </w:p>
        </w:tc>
      </w:tr>
      <w:tr w14:paraId="0603F867">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26747B26">
            <w:pPr>
              <w:widowControl/>
              <w:snapToGrid w:val="0"/>
              <w:spacing w:before="100" w:beforeAutospacing="1" w:after="100" w:afterAutospacing="1" w:line="320" w:lineRule="atLeast"/>
              <w:ind w:firstLine="5"/>
              <w:jc w:val="center"/>
              <w:rPr>
                <w:rFonts w:ascii="Times New Roman" w:hAnsi="Times New Roman"/>
                <w:color w:val="auto"/>
                <w:kern w:val="0"/>
                <w:sz w:val="24"/>
                <w:highlight w:val="none"/>
              </w:rPr>
            </w:pPr>
            <w:r>
              <w:rPr>
                <w:rFonts w:ascii="Times New Roman" w:hAnsi="Times New Roman"/>
                <w:color w:val="auto"/>
                <w:kern w:val="0"/>
                <w:sz w:val="24"/>
                <w:highlight w:val="none"/>
              </w:rPr>
              <w:t>合 计</w:t>
            </w:r>
          </w:p>
        </w:tc>
        <w:tc>
          <w:tcPr>
            <w:tcW w:w="863" w:type="dxa"/>
            <w:gridSpan w:val="2"/>
            <w:tcBorders>
              <w:top w:val="nil"/>
              <w:left w:val="nil"/>
              <w:bottom w:val="single" w:color="auto" w:sz="8" w:space="0"/>
              <w:right w:val="single" w:color="auto" w:sz="8" w:space="0"/>
            </w:tcBorders>
            <w:vAlign w:val="center"/>
          </w:tcPr>
          <w:p w14:paraId="5F45CB5A">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1428" w:type="dxa"/>
            <w:tcBorders>
              <w:top w:val="nil"/>
              <w:left w:val="nil"/>
              <w:bottom w:val="single" w:color="auto" w:sz="8" w:space="0"/>
              <w:right w:val="single" w:color="auto" w:sz="8" w:space="0"/>
            </w:tcBorders>
            <w:vAlign w:val="center"/>
          </w:tcPr>
          <w:p w14:paraId="6348CB89">
            <w:pPr>
              <w:widowControl/>
              <w:spacing w:before="100" w:beforeAutospacing="1" w:after="100" w:afterAutospacing="1" w:line="240" w:lineRule="atLeast"/>
              <w:jc w:val="center"/>
              <w:rPr>
                <w:rFonts w:ascii="Times New Roman" w:hAnsi="Times New Roman"/>
                <w:color w:val="auto"/>
                <w:kern w:val="0"/>
                <w:sz w:val="24"/>
                <w:highlight w:val="none"/>
              </w:rPr>
            </w:pPr>
          </w:p>
        </w:tc>
      </w:tr>
      <w:tr w14:paraId="0455B8E6">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6ABE743">
            <w:pPr>
              <w:widowControl/>
              <w:snapToGrid w:val="0"/>
              <w:spacing w:before="100" w:beforeAutospacing="1" w:after="100" w:afterAutospacing="1" w:line="320" w:lineRule="atLeast"/>
              <w:ind w:firstLine="240" w:firstLineChars="100"/>
              <w:jc w:val="left"/>
              <w:rPr>
                <w:rFonts w:ascii="Times New Roman" w:hAnsi="Times New Roman"/>
                <w:color w:val="auto"/>
                <w:kern w:val="0"/>
                <w:sz w:val="24"/>
                <w:highlight w:val="none"/>
              </w:rPr>
            </w:pPr>
            <w:r>
              <w:rPr>
                <w:rFonts w:ascii="Times New Roman" w:hAnsi="Times New Roman"/>
                <w:color w:val="auto"/>
                <w:kern w:val="0"/>
                <w:sz w:val="24"/>
                <w:highlight w:val="none"/>
              </w:rPr>
              <w:t>合计大写金额：  仟  佰  拾  万  仟  佰  拾  元</w:t>
            </w:r>
          </w:p>
        </w:tc>
      </w:tr>
      <w:tr w14:paraId="7A1E3B04">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0BA2E34">
            <w:pPr>
              <w:widowControl/>
              <w:snapToGrid w:val="0"/>
              <w:spacing w:before="100" w:beforeAutospacing="1" w:after="100" w:afterAutospacing="1" w:line="320" w:lineRule="atLeast"/>
              <w:ind w:firstLine="2"/>
              <w:jc w:val="center"/>
              <w:rPr>
                <w:rFonts w:ascii="Times New Roman" w:hAnsi="Times New Roman"/>
                <w:color w:val="auto"/>
                <w:kern w:val="0"/>
                <w:sz w:val="24"/>
                <w:highlight w:val="none"/>
              </w:rPr>
            </w:pPr>
            <w:r>
              <w:rPr>
                <w:rFonts w:ascii="Times New Roman" w:hAnsi="Times New Roman"/>
                <w:color w:val="auto"/>
                <w:kern w:val="0"/>
                <w:sz w:val="24"/>
                <w:highlight w:val="none"/>
              </w:rPr>
              <w:t>实际供货日期</w:t>
            </w:r>
          </w:p>
        </w:tc>
        <w:tc>
          <w:tcPr>
            <w:tcW w:w="2421" w:type="dxa"/>
            <w:gridSpan w:val="2"/>
            <w:tcBorders>
              <w:top w:val="nil"/>
              <w:left w:val="nil"/>
              <w:bottom w:val="single" w:color="auto" w:sz="8" w:space="0"/>
              <w:right w:val="single" w:color="auto" w:sz="8" w:space="0"/>
            </w:tcBorders>
            <w:vAlign w:val="center"/>
          </w:tcPr>
          <w:p w14:paraId="489F9EA1">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2282" w:type="dxa"/>
            <w:gridSpan w:val="3"/>
            <w:tcBorders>
              <w:top w:val="nil"/>
              <w:left w:val="nil"/>
              <w:bottom w:val="single" w:color="auto" w:sz="8" w:space="0"/>
              <w:right w:val="single" w:color="auto" w:sz="8" w:space="0"/>
            </w:tcBorders>
            <w:vAlign w:val="center"/>
          </w:tcPr>
          <w:p w14:paraId="046C132B">
            <w:pPr>
              <w:widowControl/>
              <w:snapToGrid w:val="0"/>
              <w:spacing w:before="100" w:beforeAutospacing="1" w:after="100" w:afterAutospacing="1" w:line="320" w:lineRule="atLeast"/>
              <w:ind w:firstLine="46"/>
              <w:jc w:val="center"/>
              <w:rPr>
                <w:rFonts w:ascii="Times New Roman" w:hAnsi="Times New Roman"/>
                <w:color w:val="auto"/>
                <w:kern w:val="0"/>
                <w:sz w:val="24"/>
                <w:highlight w:val="none"/>
              </w:rPr>
            </w:pPr>
            <w:r>
              <w:rPr>
                <w:rFonts w:ascii="Times New Roman" w:hAnsi="Times New Roman"/>
                <w:color w:val="auto"/>
                <w:kern w:val="0"/>
                <w:sz w:val="24"/>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6210068B">
            <w:pPr>
              <w:widowControl/>
              <w:spacing w:before="100" w:beforeAutospacing="1" w:after="100" w:afterAutospacing="1" w:line="240" w:lineRule="atLeast"/>
              <w:jc w:val="center"/>
              <w:rPr>
                <w:rFonts w:ascii="Times New Roman" w:hAnsi="Times New Roman"/>
                <w:color w:val="auto"/>
                <w:kern w:val="0"/>
                <w:sz w:val="24"/>
                <w:highlight w:val="none"/>
              </w:rPr>
            </w:pPr>
          </w:p>
        </w:tc>
      </w:tr>
      <w:tr w14:paraId="07FE3D20">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57DF4E3E">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2421" w:type="dxa"/>
            <w:gridSpan w:val="2"/>
            <w:tcBorders>
              <w:top w:val="nil"/>
              <w:left w:val="nil"/>
              <w:bottom w:val="single" w:color="auto" w:sz="8" w:space="0"/>
              <w:right w:val="single" w:color="auto" w:sz="8" w:space="0"/>
            </w:tcBorders>
            <w:vAlign w:val="center"/>
          </w:tcPr>
          <w:p w14:paraId="272BE735">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2282" w:type="dxa"/>
            <w:gridSpan w:val="3"/>
            <w:tcBorders>
              <w:top w:val="nil"/>
              <w:left w:val="nil"/>
              <w:bottom w:val="single" w:color="auto" w:sz="8" w:space="0"/>
              <w:right w:val="single" w:color="auto" w:sz="8" w:space="0"/>
            </w:tcBorders>
            <w:vAlign w:val="center"/>
          </w:tcPr>
          <w:p w14:paraId="2824A7B7">
            <w:pPr>
              <w:widowControl/>
              <w:spacing w:before="100" w:beforeAutospacing="1" w:after="100" w:afterAutospacing="1" w:line="240" w:lineRule="atLeast"/>
              <w:jc w:val="center"/>
              <w:rPr>
                <w:rFonts w:ascii="Times New Roman" w:hAnsi="Times New Roman"/>
                <w:color w:val="auto"/>
                <w:kern w:val="0"/>
                <w:sz w:val="24"/>
                <w:highlight w:val="none"/>
              </w:rPr>
            </w:pPr>
          </w:p>
        </w:tc>
        <w:tc>
          <w:tcPr>
            <w:tcW w:w="2113" w:type="dxa"/>
            <w:gridSpan w:val="2"/>
            <w:tcBorders>
              <w:top w:val="nil"/>
              <w:left w:val="nil"/>
              <w:bottom w:val="single" w:color="auto" w:sz="8" w:space="0"/>
              <w:right w:val="single" w:color="auto" w:sz="8" w:space="0"/>
            </w:tcBorders>
            <w:vAlign w:val="center"/>
          </w:tcPr>
          <w:p w14:paraId="0C7A7B69">
            <w:pPr>
              <w:widowControl/>
              <w:spacing w:before="100" w:beforeAutospacing="1" w:after="100" w:afterAutospacing="1" w:line="240" w:lineRule="atLeast"/>
              <w:jc w:val="center"/>
              <w:rPr>
                <w:rFonts w:ascii="Times New Roman" w:hAnsi="Times New Roman"/>
                <w:color w:val="auto"/>
                <w:kern w:val="0"/>
                <w:sz w:val="24"/>
                <w:highlight w:val="none"/>
              </w:rPr>
            </w:pPr>
          </w:p>
        </w:tc>
      </w:tr>
      <w:tr w14:paraId="2B8754BA">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9C37D3">
            <w:pPr>
              <w:widowControl/>
              <w:snapToGrid w:val="0"/>
              <w:spacing w:before="100" w:beforeAutospacing="1" w:after="100" w:afterAutospacing="1" w:line="320" w:lineRule="atLeast"/>
              <w:jc w:val="left"/>
              <w:rPr>
                <w:rFonts w:ascii="Times New Roman" w:hAnsi="Times New Roman"/>
                <w:color w:val="auto"/>
                <w:kern w:val="0"/>
                <w:sz w:val="24"/>
                <w:highlight w:val="none"/>
              </w:rPr>
            </w:pPr>
            <w:r>
              <w:rPr>
                <w:rFonts w:ascii="Times New Roman" w:hAnsi="Times New Roman"/>
                <w:color w:val="auto"/>
                <w:kern w:val="0"/>
                <w:sz w:val="24"/>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34CD783">
            <w:pPr>
              <w:widowControl/>
              <w:snapToGrid w:val="0"/>
              <w:spacing w:before="100" w:beforeAutospacing="1" w:after="100" w:afterAutospacing="1" w:line="320" w:lineRule="atLeast"/>
              <w:jc w:val="left"/>
              <w:rPr>
                <w:rFonts w:ascii="Times New Roman" w:hAnsi="Times New Roman"/>
                <w:color w:val="auto"/>
                <w:kern w:val="0"/>
                <w:sz w:val="24"/>
                <w:highlight w:val="none"/>
              </w:rPr>
            </w:pPr>
            <w:r>
              <w:rPr>
                <w:rFonts w:ascii="Times New Roman" w:hAnsi="Times New Roman"/>
                <w:color w:val="auto"/>
                <w:kern w:val="0"/>
                <w:sz w:val="24"/>
                <w:highlight w:val="none"/>
              </w:rPr>
              <w:t>（应按采购合同、公开招标文件等进行验收；并核对成交</w:t>
            </w:r>
            <w:r>
              <w:rPr>
                <w:rFonts w:hint="eastAsia" w:ascii="Times New Roman" w:hAnsi="Times New Roman"/>
                <w:color w:val="auto"/>
                <w:kern w:val="0"/>
                <w:sz w:val="24"/>
                <w:highlight w:val="none"/>
              </w:rPr>
              <w:t>供应商</w:t>
            </w:r>
            <w:r>
              <w:rPr>
                <w:rFonts w:ascii="Times New Roman" w:hAnsi="Times New Roman"/>
                <w:color w:val="auto"/>
                <w:kern w:val="0"/>
                <w:sz w:val="24"/>
                <w:highlight w:val="none"/>
              </w:rPr>
              <w:t>在安装调试等方面是否违反合同约定或服务规范要求。)</w:t>
            </w:r>
          </w:p>
        </w:tc>
      </w:tr>
      <w:tr w14:paraId="73F799CB">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E4C452">
            <w:pPr>
              <w:widowControl/>
              <w:spacing w:before="100" w:beforeAutospacing="1" w:after="100" w:afterAutospacing="1" w:line="320" w:lineRule="atLeast"/>
              <w:jc w:val="left"/>
              <w:rPr>
                <w:rFonts w:ascii="Times New Roman" w:hAnsi="Times New Roman"/>
                <w:color w:val="auto"/>
                <w:kern w:val="0"/>
                <w:sz w:val="24"/>
                <w:highlight w:val="none"/>
              </w:rPr>
            </w:pPr>
            <w:r>
              <w:rPr>
                <w:rFonts w:ascii="Times New Roman" w:hAnsi="Times New Roman"/>
                <w:color w:val="auto"/>
                <w:kern w:val="0"/>
                <w:sz w:val="24"/>
                <w:highlight w:val="none"/>
              </w:rPr>
              <w:t>验收小组意见</w:t>
            </w:r>
          </w:p>
        </w:tc>
        <w:tc>
          <w:tcPr>
            <w:tcW w:w="6816" w:type="dxa"/>
            <w:gridSpan w:val="7"/>
            <w:tcBorders>
              <w:top w:val="nil"/>
              <w:left w:val="nil"/>
              <w:bottom w:val="single" w:color="auto" w:sz="8" w:space="0"/>
              <w:right w:val="single" w:color="auto" w:sz="8" w:space="0"/>
            </w:tcBorders>
            <w:vAlign w:val="center"/>
          </w:tcPr>
          <w:p w14:paraId="5AF69B7D">
            <w:pPr>
              <w:widowControl/>
              <w:spacing w:before="100" w:beforeAutospacing="1" w:after="100" w:afterAutospacing="1" w:line="320" w:lineRule="atLeast"/>
              <w:ind w:firstLine="240" w:firstLineChars="100"/>
              <w:jc w:val="left"/>
              <w:rPr>
                <w:rFonts w:ascii="Times New Roman" w:hAnsi="Times New Roman"/>
                <w:color w:val="auto"/>
                <w:kern w:val="0"/>
                <w:sz w:val="24"/>
                <w:highlight w:val="none"/>
              </w:rPr>
            </w:pPr>
            <w:r>
              <w:rPr>
                <w:rFonts w:ascii="Times New Roman" w:hAnsi="Times New Roman"/>
                <w:color w:val="auto"/>
                <w:kern w:val="0"/>
                <w:sz w:val="24"/>
                <w:highlight w:val="none"/>
              </w:rPr>
              <w:t>验收结论性意见：</w:t>
            </w:r>
          </w:p>
        </w:tc>
      </w:tr>
      <w:tr w14:paraId="6F2A43F1">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011AC911">
            <w:pPr>
              <w:widowControl/>
              <w:jc w:val="left"/>
              <w:rPr>
                <w:rFonts w:ascii="Times New Roman" w:hAnsi="Times New Roman"/>
                <w:color w:val="auto"/>
                <w:kern w:val="0"/>
                <w:sz w:val="24"/>
                <w:highlight w:val="none"/>
              </w:rPr>
            </w:pPr>
          </w:p>
        </w:tc>
        <w:tc>
          <w:tcPr>
            <w:tcW w:w="6816" w:type="dxa"/>
            <w:gridSpan w:val="7"/>
            <w:tcBorders>
              <w:top w:val="nil"/>
              <w:left w:val="nil"/>
              <w:bottom w:val="single" w:color="auto" w:sz="8" w:space="0"/>
              <w:right w:val="single" w:color="auto" w:sz="8" w:space="0"/>
            </w:tcBorders>
            <w:vAlign w:val="center"/>
          </w:tcPr>
          <w:p w14:paraId="45467A49">
            <w:pPr>
              <w:widowControl/>
              <w:spacing w:before="100" w:beforeAutospacing="1" w:after="100" w:afterAutospacing="1" w:line="320" w:lineRule="atLeast"/>
              <w:ind w:firstLine="240" w:firstLineChars="100"/>
              <w:jc w:val="left"/>
              <w:rPr>
                <w:rFonts w:ascii="Times New Roman" w:hAnsi="Times New Roman"/>
                <w:color w:val="auto"/>
                <w:kern w:val="0"/>
                <w:sz w:val="24"/>
                <w:highlight w:val="none"/>
              </w:rPr>
            </w:pPr>
            <w:r>
              <w:rPr>
                <w:rFonts w:ascii="Times New Roman" w:hAnsi="Times New Roman"/>
                <w:color w:val="auto"/>
                <w:kern w:val="0"/>
                <w:sz w:val="24"/>
                <w:highlight w:val="none"/>
              </w:rPr>
              <w:t>有异议的意见和说明理由：</w:t>
            </w:r>
          </w:p>
          <w:p w14:paraId="79380A95">
            <w:pPr>
              <w:widowControl/>
              <w:spacing w:before="100" w:beforeAutospacing="1" w:after="100" w:afterAutospacing="1" w:line="320" w:lineRule="atLeast"/>
              <w:ind w:firstLine="240" w:firstLineChars="100"/>
              <w:jc w:val="left"/>
              <w:rPr>
                <w:rFonts w:ascii="Times New Roman" w:hAnsi="Times New Roman"/>
                <w:color w:val="auto"/>
                <w:kern w:val="0"/>
                <w:sz w:val="24"/>
                <w:highlight w:val="none"/>
              </w:rPr>
            </w:pPr>
            <w:r>
              <w:rPr>
                <w:rFonts w:ascii="Times New Roman" w:hAnsi="Times New Roman"/>
                <w:color w:val="auto"/>
                <w:kern w:val="0"/>
                <w:sz w:val="24"/>
                <w:highlight w:val="none"/>
              </w:rPr>
              <w:t>签字：</w:t>
            </w:r>
          </w:p>
        </w:tc>
      </w:tr>
      <w:tr w14:paraId="506CF74C">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401105">
            <w:pPr>
              <w:widowControl/>
              <w:spacing w:before="100" w:beforeAutospacing="1" w:after="100" w:afterAutospacing="1" w:line="320" w:lineRule="atLeast"/>
              <w:jc w:val="left"/>
              <w:rPr>
                <w:rFonts w:ascii="Times New Roman" w:hAnsi="Times New Roman"/>
                <w:color w:val="auto"/>
                <w:kern w:val="0"/>
                <w:sz w:val="24"/>
                <w:highlight w:val="none"/>
              </w:rPr>
            </w:pPr>
            <w:r>
              <w:rPr>
                <w:rFonts w:ascii="Times New Roman" w:hAnsi="Times New Roman"/>
                <w:color w:val="auto"/>
                <w:kern w:val="0"/>
                <w:sz w:val="24"/>
                <w:highlight w:val="none"/>
              </w:rPr>
              <w:t>验收小组成员签字：</w:t>
            </w:r>
          </w:p>
        </w:tc>
      </w:tr>
      <w:tr w14:paraId="634E0415">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2F432E04">
            <w:pPr>
              <w:widowControl/>
              <w:spacing w:before="100" w:beforeAutospacing="1" w:after="100" w:afterAutospacing="1" w:line="320" w:lineRule="atLeast"/>
              <w:jc w:val="left"/>
              <w:rPr>
                <w:rFonts w:ascii="Times New Roman" w:hAnsi="Times New Roman"/>
                <w:color w:val="auto"/>
                <w:kern w:val="0"/>
                <w:sz w:val="24"/>
                <w:highlight w:val="none"/>
              </w:rPr>
            </w:pPr>
            <w:r>
              <w:rPr>
                <w:rFonts w:ascii="Times New Roman" w:hAnsi="Times New Roman"/>
                <w:color w:val="auto"/>
                <w:kern w:val="0"/>
                <w:sz w:val="24"/>
                <w:highlight w:val="none"/>
              </w:rPr>
              <w:t>成交</w:t>
            </w:r>
            <w:r>
              <w:rPr>
                <w:rFonts w:hint="eastAsia" w:ascii="Times New Roman" w:hAnsi="Times New Roman"/>
                <w:color w:val="auto"/>
                <w:kern w:val="0"/>
                <w:sz w:val="24"/>
                <w:highlight w:val="none"/>
              </w:rPr>
              <w:t>供应商</w:t>
            </w:r>
            <w:r>
              <w:rPr>
                <w:rFonts w:ascii="Times New Roman" w:hAnsi="Times New Roman"/>
                <w:color w:val="auto"/>
                <w:kern w:val="0"/>
                <w:sz w:val="24"/>
                <w:highlight w:val="none"/>
              </w:rPr>
              <w:t>负责人签字或盖章：</w:t>
            </w:r>
          </w:p>
          <w:p w14:paraId="56125299">
            <w:pPr>
              <w:widowControl/>
              <w:spacing w:before="100" w:beforeAutospacing="1" w:after="100" w:afterAutospacing="1" w:line="320" w:lineRule="atLeast"/>
              <w:jc w:val="left"/>
              <w:rPr>
                <w:rFonts w:ascii="Times New Roman" w:hAnsi="Times New Roman"/>
                <w:color w:val="auto"/>
                <w:kern w:val="0"/>
                <w:sz w:val="24"/>
                <w:highlight w:val="none"/>
              </w:rPr>
            </w:pPr>
          </w:p>
          <w:p w14:paraId="027E3D1E">
            <w:pPr>
              <w:widowControl/>
              <w:spacing w:before="100" w:beforeAutospacing="1" w:after="100" w:afterAutospacing="1" w:line="320" w:lineRule="atLeast"/>
              <w:jc w:val="left"/>
              <w:rPr>
                <w:rFonts w:ascii="Times New Roman" w:hAnsi="Times New Roman"/>
                <w:color w:val="auto"/>
                <w:kern w:val="0"/>
                <w:sz w:val="24"/>
                <w:highlight w:val="none"/>
              </w:rPr>
            </w:pPr>
            <w:r>
              <w:rPr>
                <w:rFonts w:ascii="Times New Roman" w:hAnsi="Times New Roman"/>
                <w:color w:val="auto"/>
                <w:kern w:val="0"/>
                <w:sz w:val="24"/>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78D313BC">
            <w:pPr>
              <w:widowControl/>
              <w:spacing w:before="100" w:beforeAutospacing="1" w:after="100" w:afterAutospacing="1" w:line="320" w:lineRule="atLeast"/>
              <w:ind w:firstLine="240" w:firstLineChars="100"/>
              <w:jc w:val="left"/>
              <w:rPr>
                <w:rFonts w:ascii="Times New Roman" w:hAnsi="Times New Roman"/>
                <w:color w:val="auto"/>
                <w:kern w:val="0"/>
                <w:sz w:val="24"/>
                <w:highlight w:val="none"/>
              </w:rPr>
            </w:pPr>
            <w:r>
              <w:rPr>
                <w:rFonts w:hint="eastAsia" w:ascii="Times New Roman" w:hAnsi="Times New Roman"/>
                <w:color w:val="auto"/>
                <w:kern w:val="0"/>
                <w:sz w:val="24"/>
                <w:highlight w:val="none"/>
              </w:rPr>
              <w:t>供应商</w:t>
            </w:r>
            <w:r>
              <w:rPr>
                <w:rFonts w:ascii="Times New Roman" w:hAnsi="Times New Roman"/>
                <w:color w:val="auto"/>
                <w:kern w:val="0"/>
                <w:sz w:val="24"/>
                <w:highlight w:val="none"/>
              </w:rPr>
              <w:t>或受托机构的意见（盖章）：</w:t>
            </w:r>
          </w:p>
          <w:p w14:paraId="4AA7DD3B">
            <w:pPr>
              <w:widowControl/>
              <w:spacing w:before="100" w:beforeAutospacing="1" w:after="100" w:afterAutospacing="1" w:line="320" w:lineRule="atLeast"/>
              <w:ind w:firstLine="240" w:firstLineChars="100"/>
              <w:jc w:val="left"/>
              <w:rPr>
                <w:rFonts w:ascii="Times New Roman" w:hAnsi="Times New Roman"/>
                <w:color w:val="auto"/>
                <w:kern w:val="0"/>
                <w:sz w:val="24"/>
                <w:highlight w:val="none"/>
              </w:rPr>
            </w:pPr>
          </w:p>
          <w:p w14:paraId="2F99FFA5">
            <w:pPr>
              <w:widowControl/>
              <w:spacing w:before="100" w:beforeAutospacing="1" w:after="100" w:afterAutospacing="1" w:line="320" w:lineRule="atLeast"/>
              <w:ind w:firstLine="240" w:firstLineChars="100"/>
              <w:jc w:val="left"/>
              <w:rPr>
                <w:rFonts w:ascii="Times New Roman" w:hAnsi="Times New Roman"/>
                <w:color w:val="auto"/>
                <w:kern w:val="0"/>
                <w:sz w:val="24"/>
                <w:highlight w:val="none"/>
              </w:rPr>
            </w:pPr>
            <w:r>
              <w:rPr>
                <w:rFonts w:ascii="Times New Roman" w:hAnsi="Times New Roman"/>
                <w:color w:val="auto"/>
                <w:kern w:val="0"/>
                <w:sz w:val="24"/>
                <w:highlight w:val="none"/>
              </w:rPr>
              <w:t>联系电话：              年  月  日</w:t>
            </w:r>
          </w:p>
        </w:tc>
      </w:tr>
    </w:tbl>
    <w:p w14:paraId="56BC356B">
      <w:pPr>
        <w:pStyle w:val="18"/>
        <w:rPr>
          <w:rFonts w:ascii="Times New Roman" w:hAnsi="Times New Roman" w:cs="Times New Roman"/>
          <w:color w:val="auto"/>
          <w:highlight w:val="none"/>
        </w:rPr>
      </w:pPr>
    </w:p>
    <w:p w14:paraId="7BABE13D">
      <w:pPr>
        <w:pStyle w:val="18"/>
        <w:rPr>
          <w:rFonts w:ascii="Times New Roman" w:hAnsi="Times New Roman" w:cs="Times New Roman"/>
          <w:color w:val="auto"/>
          <w:highlight w:val="none"/>
        </w:rPr>
      </w:pPr>
    </w:p>
    <w:p w14:paraId="7249F8F4">
      <w:pPr>
        <w:pStyle w:val="18"/>
        <w:rPr>
          <w:rFonts w:ascii="Times New Roman" w:hAnsi="Times New Roman" w:cs="Times New Roman"/>
          <w:color w:val="auto"/>
          <w:highlight w:val="none"/>
        </w:rPr>
      </w:pPr>
    </w:p>
    <w:p w14:paraId="434C1BBE">
      <w:pPr>
        <w:pStyle w:val="18"/>
        <w:jc w:val="both"/>
        <w:rPr>
          <w:rFonts w:ascii="Times New Roman" w:hAnsi="Times New Roman" w:cs="Times New Roman"/>
          <w:color w:val="auto"/>
          <w:highlight w:val="none"/>
        </w:rPr>
      </w:pPr>
    </w:p>
    <w:p w14:paraId="7E5C663B">
      <w:pPr>
        <w:pStyle w:val="18"/>
        <w:rPr>
          <w:rFonts w:ascii="Times New Roman" w:hAnsi="Times New Roman" w:cs="Times New Roman"/>
          <w:color w:val="auto"/>
          <w:highlight w:val="none"/>
        </w:rPr>
      </w:pPr>
    </w:p>
    <w:p w14:paraId="2A53D183">
      <w:pPr>
        <w:pStyle w:val="18"/>
        <w:rPr>
          <w:rFonts w:ascii="Times New Roman" w:hAnsi="Times New Roman" w:cs="Times New Roman"/>
          <w:color w:val="auto"/>
          <w:highlight w:val="none"/>
        </w:rPr>
      </w:pPr>
    </w:p>
    <w:p w14:paraId="0229AA3D">
      <w:pPr>
        <w:rPr>
          <w:rFonts w:ascii="Times New Roman" w:hAnsi="Times New Roman" w:cs="Times New Roman"/>
          <w:color w:val="auto"/>
          <w:highlight w:val="none"/>
        </w:rPr>
      </w:pPr>
    </w:p>
    <w:p w14:paraId="08AAC310">
      <w:pPr>
        <w:rPr>
          <w:rFonts w:ascii="Times New Roman" w:hAnsi="Times New Roman" w:cs="Times New Roman"/>
          <w:color w:val="auto"/>
          <w:highlight w:val="none"/>
        </w:rPr>
      </w:pPr>
    </w:p>
    <w:p w14:paraId="475E89B7">
      <w:pPr>
        <w:pStyle w:val="2"/>
        <w:rPr>
          <w:color w:val="auto"/>
          <w:highlight w:val="none"/>
        </w:rPr>
      </w:pPr>
      <w:bookmarkStart w:id="74" w:name="_Toc24496"/>
      <w:bookmarkStart w:id="75" w:name="_Toc19396"/>
      <w:bookmarkStart w:id="76" w:name="_Toc17360"/>
      <w:bookmarkStart w:id="77" w:name="_Toc31110"/>
      <w:bookmarkStart w:id="78" w:name="_Toc11825"/>
      <w:bookmarkStart w:id="79" w:name="_Toc32336"/>
      <w:bookmarkStart w:id="80" w:name="_Toc1988"/>
      <w:bookmarkStart w:id="81" w:name="_Toc9797"/>
      <w:r>
        <w:rPr>
          <w:color w:val="auto"/>
          <w:highlight w:val="none"/>
        </w:rPr>
        <w:t>第六章 投标文件格式</w:t>
      </w:r>
      <w:bookmarkEnd w:id="71"/>
      <w:bookmarkEnd w:id="72"/>
      <w:bookmarkEnd w:id="73"/>
      <w:bookmarkEnd w:id="74"/>
      <w:bookmarkEnd w:id="75"/>
      <w:bookmarkEnd w:id="76"/>
      <w:bookmarkEnd w:id="77"/>
      <w:bookmarkEnd w:id="78"/>
      <w:bookmarkEnd w:id="79"/>
      <w:bookmarkEnd w:id="80"/>
      <w:bookmarkEnd w:id="81"/>
    </w:p>
    <w:p w14:paraId="62E6A667">
      <w:pPr>
        <w:pStyle w:val="12"/>
        <w:snapToGrid w:val="0"/>
        <w:spacing w:before="120" w:after="120"/>
        <w:rPr>
          <w:rFonts w:ascii="Times New Roman" w:hAnsi="Times New Roman" w:eastAsia="宋体"/>
          <w:b/>
          <w:color w:val="auto"/>
          <w:highlight w:val="none"/>
        </w:rPr>
      </w:pPr>
      <w:bookmarkStart w:id="82" w:name="_Toc293863061"/>
      <w:bookmarkStart w:id="83" w:name="_Toc293863331"/>
    </w:p>
    <w:p w14:paraId="31CE2930">
      <w:pPr>
        <w:pStyle w:val="12"/>
        <w:snapToGrid w:val="0"/>
        <w:spacing w:before="120" w:after="120"/>
        <w:rPr>
          <w:rFonts w:ascii="Times New Roman" w:hAnsi="Times New Roman" w:eastAsia="宋体"/>
          <w:b/>
          <w:color w:val="auto"/>
          <w:highlight w:val="none"/>
        </w:rPr>
      </w:pPr>
    </w:p>
    <w:bookmarkEnd w:id="82"/>
    <w:bookmarkEnd w:id="83"/>
    <w:p w14:paraId="373AE485">
      <w:pPr>
        <w:snapToGrid w:val="0"/>
        <w:spacing w:before="156" w:beforeLines="50" w:after="50"/>
        <w:outlineLvl w:val="1"/>
        <w:rPr>
          <w:rFonts w:ascii="Times New Roman" w:hAnsi="Times New Roman"/>
          <w:b/>
          <w:bCs/>
          <w:color w:val="auto"/>
          <w:szCs w:val="21"/>
          <w:highlight w:val="none"/>
        </w:rPr>
      </w:pPr>
      <w:bookmarkStart w:id="84" w:name="_Toc2075"/>
      <w:bookmarkStart w:id="85" w:name="_Toc483327823"/>
      <w:bookmarkStart w:id="86" w:name="_Toc448421154"/>
      <w:bookmarkStart w:id="87" w:name="_Toc308018691"/>
      <w:bookmarkStart w:id="88" w:name="_Toc445223694"/>
      <w:bookmarkStart w:id="89" w:name="_Toc400465727"/>
      <w:bookmarkStart w:id="90" w:name="_Toc482865164"/>
      <w:bookmarkStart w:id="91" w:name="_Toc482865334"/>
      <w:bookmarkStart w:id="92" w:name="_Toc482864563"/>
    </w:p>
    <w:p w14:paraId="55EE0F5B">
      <w:pPr>
        <w:snapToGrid w:val="0"/>
        <w:spacing w:before="156" w:beforeLines="50" w:after="50"/>
        <w:outlineLvl w:val="1"/>
        <w:rPr>
          <w:rFonts w:ascii="Times New Roman" w:hAnsi="Times New Roman"/>
          <w:b/>
          <w:bCs/>
          <w:color w:val="auto"/>
          <w:szCs w:val="21"/>
          <w:highlight w:val="none"/>
        </w:rPr>
      </w:pPr>
    </w:p>
    <w:p w14:paraId="6F3DE153">
      <w:pPr>
        <w:snapToGrid w:val="0"/>
        <w:spacing w:before="156" w:beforeLines="50" w:after="50"/>
        <w:outlineLvl w:val="1"/>
        <w:rPr>
          <w:rFonts w:ascii="Times New Roman" w:hAnsi="Times New Roman"/>
          <w:b/>
          <w:bCs/>
          <w:color w:val="auto"/>
          <w:szCs w:val="21"/>
          <w:highlight w:val="none"/>
        </w:rPr>
      </w:pPr>
    </w:p>
    <w:p w14:paraId="3F6BEC4E">
      <w:pPr>
        <w:snapToGrid w:val="0"/>
        <w:spacing w:before="156" w:beforeLines="50" w:after="50"/>
        <w:outlineLvl w:val="1"/>
        <w:rPr>
          <w:rFonts w:ascii="Times New Roman" w:hAnsi="Times New Roman"/>
          <w:b/>
          <w:bCs/>
          <w:color w:val="auto"/>
          <w:szCs w:val="21"/>
          <w:highlight w:val="none"/>
        </w:rPr>
      </w:pPr>
    </w:p>
    <w:p w14:paraId="04BA4FB7">
      <w:pPr>
        <w:rPr>
          <w:color w:val="auto"/>
          <w:highlight w:val="none"/>
        </w:rPr>
      </w:pPr>
    </w:p>
    <w:p w14:paraId="6852EC73">
      <w:pPr>
        <w:rPr>
          <w:color w:val="auto"/>
          <w:highlight w:val="none"/>
        </w:rPr>
      </w:pPr>
    </w:p>
    <w:p w14:paraId="3361C3A5">
      <w:pPr>
        <w:rPr>
          <w:color w:val="auto"/>
          <w:highlight w:val="none"/>
        </w:rPr>
      </w:pPr>
    </w:p>
    <w:p w14:paraId="01300358">
      <w:pPr>
        <w:rPr>
          <w:color w:val="auto"/>
          <w:highlight w:val="none"/>
        </w:rPr>
      </w:pPr>
    </w:p>
    <w:p w14:paraId="658D3D61">
      <w:pPr>
        <w:rPr>
          <w:color w:val="auto"/>
          <w:highlight w:val="none"/>
        </w:rPr>
      </w:pPr>
    </w:p>
    <w:p w14:paraId="06B22D5F">
      <w:pPr>
        <w:rPr>
          <w:color w:val="auto"/>
          <w:highlight w:val="none"/>
        </w:rPr>
      </w:pPr>
    </w:p>
    <w:p w14:paraId="6F4104E2">
      <w:pPr>
        <w:rPr>
          <w:color w:val="auto"/>
          <w:highlight w:val="none"/>
        </w:rPr>
      </w:pPr>
    </w:p>
    <w:p w14:paraId="224500E6">
      <w:pPr>
        <w:rPr>
          <w:color w:val="auto"/>
          <w:highlight w:val="none"/>
        </w:rPr>
      </w:pPr>
    </w:p>
    <w:p w14:paraId="3A0CBA3B">
      <w:pPr>
        <w:rPr>
          <w:color w:val="auto"/>
          <w:highlight w:val="none"/>
        </w:rPr>
      </w:pPr>
    </w:p>
    <w:p w14:paraId="0BA9C03A">
      <w:pPr>
        <w:rPr>
          <w:color w:val="auto"/>
          <w:highlight w:val="none"/>
        </w:rPr>
      </w:pPr>
    </w:p>
    <w:p w14:paraId="397AD2F4">
      <w:pPr>
        <w:pStyle w:val="12"/>
        <w:spacing w:line="288" w:lineRule="auto"/>
        <w:jc w:val="center"/>
        <w:rPr>
          <w:rFonts w:ascii="Times New Roman" w:hAnsi="Times New Roman" w:eastAsia="宋体"/>
          <w:color w:val="auto"/>
          <w:sz w:val="72"/>
          <w:szCs w:val="72"/>
          <w:highlight w:val="none"/>
        </w:rPr>
      </w:pPr>
    </w:p>
    <w:p w14:paraId="4FD91438">
      <w:pPr>
        <w:pStyle w:val="12"/>
        <w:spacing w:line="288" w:lineRule="auto"/>
        <w:jc w:val="center"/>
        <w:rPr>
          <w:rFonts w:ascii="Times New Roman" w:hAnsi="Times New Roman" w:eastAsia="宋体"/>
          <w:color w:val="auto"/>
          <w:sz w:val="72"/>
          <w:szCs w:val="72"/>
          <w:highlight w:val="none"/>
        </w:rPr>
      </w:pPr>
    </w:p>
    <w:p w14:paraId="0380DF73">
      <w:pPr>
        <w:pStyle w:val="12"/>
        <w:spacing w:line="288" w:lineRule="auto"/>
        <w:jc w:val="center"/>
        <w:rPr>
          <w:rFonts w:ascii="Times New Roman" w:hAnsi="Times New Roman" w:eastAsia="宋体"/>
          <w:color w:val="auto"/>
          <w:sz w:val="72"/>
          <w:szCs w:val="72"/>
          <w:highlight w:val="none"/>
        </w:rPr>
      </w:pPr>
    </w:p>
    <w:p w14:paraId="6420279D">
      <w:pPr>
        <w:pStyle w:val="12"/>
        <w:spacing w:line="288" w:lineRule="auto"/>
        <w:jc w:val="center"/>
        <w:rPr>
          <w:rFonts w:ascii="Times New Roman" w:hAnsi="Times New Roman" w:eastAsia="宋体"/>
          <w:color w:val="auto"/>
          <w:sz w:val="72"/>
          <w:szCs w:val="72"/>
          <w:highlight w:val="none"/>
        </w:rPr>
      </w:pPr>
    </w:p>
    <w:p w14:paraId="048CDD16">
      <w:pPr>
        <w:pStyle w:val="12"/>
        <w:spacing w:line="288" w:lineRule="auto"/>
        <w:jc w:val="center"/>
        <w:rPr>
          <w:rFonts w:ascii="Times New Roman" w:hAnsi="Times New Roman" w:eastAsia="宋体"/>
          <w:color w:val="auto"/>
          <w:sz w:val="72"/>
          <w:szCs w:val="72"/>
          <w:highlight w:val="none"/>
        </w:rPr>
      </w:pPr>
    </w:p>
    <w:p w14:paraId="35BD160E">
      <w:pPr>
        <w:pStyle w:val="12"/>
        <w:spacing w:line="288" w:lineRule="auto"/>
        <w:jc w:val="center"/>
        <w:rPr>
          <w:rFonts w:ascii="Times New Roman" w:hAnsi="Times New Roman" w:eastAsia="宋体"/>
          <w:color w:val="auto"/>
          <w:sz w:val="72"/>
          <w:szCs w:val="72"/>
          <w:highlight w:val="none"/>
        </w:rPr>
      </w:pPr>
      <w:r>
        <w:rPr>
          <w:rFonts w:ascii="Times New Roman" w:hAnsi="Times New Roman" w:eastAsia="宋体"/>
          <w:color w:val="auto"/>
          <w:sz w:val="72"/>
          <w:szCs w:val="72"/>
          <w:highlight w:val="none"/>
        </w:rPr>
        <w:t>投 标 文 件</w:t>
      </w:r>
    </w:p>
    <w:p w14:paraId="67BC4A9D">
      <w:pPr>
        <w:pStyle w:val="12"/>
        <w:spacing w:line="288" w:lineRule="auto"/>
        <w:jc w:val="center"/>
        <w:rPr>
          <w:rFonts w:ascii="Times New Roman" w:hAnsi="Times New Roman" w:eastAsia="宋体"/>
          <w:color w:val="auto"/>
          <w:sz w:val="36"/>
          <w:szCs w:val="36"/>
          <w:highlight w:val="none"/>
        </w:rPr>
      </w:pPr>
      <w:r>
        <w:rPr>
          <w:rFonts w:ascii="Times New Roman" w:hAnsi="Times New Roman" w:eastAsia="宋体"/>
          <w:color w:val="auto"/>
          <w:sz w:val="36"/>
          <w:szCs w:val="36"/>
          <w:highlight w:val="none"/>
        </w:rPr>
        <w:t xml:space="preserve">  </w:t>
      </w:r>
    </w:p>
    <w:p w14:paraId="3BCB63B8">
      <w:pPr>
        <w:pStyle w:val="12"/>
        <w:spacing w:line="288" w:lineRule="auto"/>
        <w:jc w:val="center"/>
        <w:rPr>
          <w:rFonts w:ascii="Times New Roman" w:hAnsi="Times New Roman" w:eastAsia="宋体"/>
          <w:color w:val="auto"/>
          <w:sz w:val="36"/>
          <w:szCs w:val="36"/>
          <w:highlight w:val="none"/>
        </w:rPr>
      </w:pPr>
      <w:r>
        <w:rPr>
          <w:rFonts w:ascii="Times New Roman" w:hAnsi="Times New Roman" w:eastAsia="宋体"/>
          <w:b/>
          <w:bCs/>
          <w:color w:val="auto"/>
          <w:sz w:val="48"/>
          <w:szCs w:val="48"/>
          <w:highlight w:val="none"/>
        </w:rPr>
        <w:t>（格式）</w:t>
      </w:r>
    </w:p>
    <w:p w14:paraId="6C44B2CC">
      <w:pPr>
        <w:pStyle w:val="12"/>
        <w:spacing w:line="288" w:lineRule="auto"/>
        <w:ind w:firstLine="2560" w:firstLineChars="800"/>
        <w:rPr>
          <w:rFonts w:ascii="Times New Roman" w:hAnsi="Times New Roman" w:eastAsia="宋体"/>
          <w:color w:val="auto"/>
          <w:sz w:val="32"/>
          <w:szCs w:val="32"/>
          <w:highlight w:val="none"/>
        </w:rPr>
      </w:pPr>
    </w:p>
    <w:p w14:paraId="20A19852">
      <w:pPr>
        <w:pStyle w:val="12"/>
        <w:spacing w:line="288" w:lineRule="auto"/>
        <w:ind w:firstLine="2560" w:firstLineChars="800"/>
        <w:rPr>
          <w:rFonts w:ascii="Times New Roman" w:hAnsi="Times New Roman" w:eastAsia="宋体"/>
          <w:color w:val="auto"/>
          <w:sz w:val="32"/>
          <w:szCs w:val="32"/>
          <w:highlight w:val="none"/>
        </w:rPr>
      </w:pPr>
    </w:p>
    <w:p w14:paraId="5A37B130">
      <w:pPr>
        <w:pStyle w:val="12"/>
        <w:spacing w:line="288" w:lineRule="auto"/>
        <w:ind w:firstLine="2560" w:firstLineChars="800"/>
        <w:rPr>
          <w:rFonts w:ascii="Times New Roman" w:hAnsi="Times New Roman" w:eastAsia="宋体"/>
          <w:color w:val="auto"/>
          <w:sz w:val="32"/>
          <w:szCs w:val="32"/>
          <w:highlight w:val="none"/>
        </w:rPr>
      </w:pPr>
    </w:p>
    <w:p w14:paraId="33D191D2">
      <w:pPr>
        <w:pStyle w:val="12"/>
        <w:spacing w:line="288" w:lineRule="auto"/>
        <w:ind w:firstLine="2560" w:firstLineChars="800"/>
        <w:rPr>
          <w:rFonts w:ascii="Times New Roman" w:hAnsi="Times New Roman" w:eastAsia="宋体"/>
          <w:color w:val="auto"/>
          <w:sz w:val="32"/>
          <w:szCs w:val="32"/>
          <w:highlight w:val="none"/>
          <w:u w:val="single"/>
        </w:rPr>
      </w:pPr>
      <w:r>
        <w:rPr>
          <w:rFonts w:ascii="Times New Roman" w:hAnsi="Times New Roman" w:eastAsia="宋体"/>
          <w:color w:val="auto"/>
          <w:sz w:val="32"/>
          <w:szCs w:val="32"/>
          <w:highlight w:val="none"/>
        </w:rPr>
        <w:t>项目名称：</w:t>
      </w:r>
      <w:r>
        <w:rPr>
          <w:rFonts w:ascii="Times New Roman" w:hAnsi="Times New Roman" w:eastAsia="宋体"/>
          <w:color w:val="auto"/>
          <w:sz w:val="32"/>
          <w:szCs w:val="32"/>
          <w:highlight w:val="none"/>
          <w:u w:val="single"/>
        </w:rPr>
        <w:t xml:space="preserve">               </w:t>
      </w:r>
    </w:p>
    <w:p w14:paraId="4E2568EC">
      <w:pPr>
        <w:pStyle w:val="12"/>
        <w:spacing w:line="288" w:lineRule="auto"/>
        <w:ind w:firstLine="2560" w:firstLineChars="800"/>
        <w:rPr>
          <w:rFonts w:ascii="Times New Roman" w:hAnsi="Times New Roman" w:eastAsia="宋体"/>
          <w:color w:val="auto"/>
          <w:sz w:val="32"/>
          <w:szCs w:val="32"/>
          <w:highlight w:val="none"/>
          <w:u w:val="single"/>
        </w:rPr>
      </w:pPr>
      <w:r>
        <w:rPr>
          <w:rFonts w:ascii="Times New Roman" w:hAnsi="Times New Roman" w:eastAsia="宋体"/>
          <w:color w:val="auto"/>
          <w:sz w:val="32"/>
          <w:szCs w:val="32"/>
          <w:highlight w:val="none"/>
        </w:rPr>
        <w:t>项目编号：</w:t>
      </w:r>
      <w:r>
        <w:rPr>
          <w:rFonts w:ascii="Times New Roman" w:hAnsi="Times New Roman" w:eastAsia="宋体"/>
          <w:color w:val="auto"/>
          <w:sz w:val="32"/>
          <w:szCs w:val="32"/>
          <w:highlight w:val="none"/>
          <w:u w:val="single"/>
        </w:rPr>
        <w:t xml:space="preserve">               </w:t>
      </w:r>
      <w:r>
        <w:rPr>
          <w:rFonts w:ascii="Times New Roman" w:hAnsi="Times New Roman" w:eastAsia="宋体"/>
          <w:color w:val="auto"/>
          <w:sz w:val="32"/>
          <w:szCs w:val="32"/>
          <w:highlight w:val="none"/>
        </w:rPr>
        <w:t xml:space="preserve"> </w:t>
      </w:r>
    </w:p>
    <w:p w14:paraId="43129AEF">
      <w:pPr>
        <w:pStyle w:val="12"/>
        <w:spacing w:line="288" w:lineRule="auto"/>
        <w:ind w:firstLine="2560" w:firstLineChars="800"/>
        <w:rPr>
          <w:rFonts w:ascii="Times New Roman" w:hAnsi="Times New Roman" w:eastAsia="宋体"/>
          <w:color w:val="auto"/>
          <w:sz w:val="32"/>
          <w:szCs w:val="32"/>
          <w:highlight w:val="none"/>
          <w:u w:val="single"/>
        </w:rPr>
      </w:pPr>
    </w:p>
    <w:p w14:paraId="339581FE">
      <w:pPr>
        <w:pStyle w:val="12"/>
        <w:spacing w:line="900" w:lineRule="exact"/>
        <w:ind w:firstLine="800" w:firstLineChars="250"/>
        <w:rPr>
          <w:rFonts w:ascii="Times New Roman" w:hAnsi="Times New Roman" w:eastAsia="宋体"/>
          <w:color w:val="auto"/>
          <w:sz w:val="32"/>
          <w:szCs w:val="32"/>
          <w:highlight w:val="none"/>
          <w:u w:val="single"/>
        </w:rPr>
      </w:pPr>
      <w:r>
        <w:rPr>
          <w:rFonts w:ascii="Times New Roman" w:hAnsi="Times New Roman" w:eastAsia="宋体"/>
          <w:color w:val="auto"/>
          <w:sz w:val="32"/>
          <w:szCs w:val="32"/>
          <w:highlight w:val="none"/>
        </w:rPr>
        <w:t>投标人：</w:t>
      </w:r>
      <w:r>
        <w:rPr>
          <w:rFonts w:ascii="Times New Roman" w:hAnsi="Times New Roman" w:eastAsia="宋体"/>
          <w:color w:val="auto"/>
          <w:sz w:val="32"/>
          <w:szCs w:val="32"/>
          <w:highlight w:val="none"/>
          <w:u w:val="single"/>
        </w:rPr>
        <w:t xml:space="preserve">                           （盖单位公章）</w:t>
      </w:r>
    </w:p>
    <w:p w14:paraId="47E00505">
      <w:pPr>
        <w:pStyle w:val="12"/>
        <w:spacing w:line="900" w:lineRule="exact"/>
        <w:ind w:firstLine="800" w:firstLineChars="250"/>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投标人地址：</w:t>
      </w:r>
      <w:r>
        <w:rPr>
          <w:rFonts w:ascii="Times New Roman" w:hAnsi="Times New Roman" w:eastAsia="宋体"/>
          <w:color w:val="auto"/>
          <w:sz w:val="32"/>
          <w:szCs w:val="32"/>
          <w:highlight w:val="none"/>
          <w:u w:val="single"/>
        </w:rPr>
        <w:t xml:space="preserve">                                                                </w:t>
      </w:r>
    </w:p>
    <w:p w14:paraId="03BD1484">
      <w:pPr>
        <w:pStyle w:val="12"/>
        <w:spacing w:line="900" w:lineRule="exact"/>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法定代表人</w:t>
      </w:r>
      <w:r>
        <w:rPr>
          <w:rFonts w:hint="eastAsia" w:ascii="Times New Roman" w:hAnsi="Times New Roman" w:eastAsia="宋体"/>
          <w:color w:val="auto"/>
          <w:sz w:val="32"/>
          <w:szCs w:val="32"/>
          <w:highlight w:val="none"/>
        </w:rPr>
        <w:t>（负责人）</w:t>
      </w:r>
      <w:r>
        <w:rPr>
          <w:rFonts w:ascii="Times New Roman" w:hAnsi="Times New Roman" w:eastAsia="宋体"/>
          <w:color w:val="auto"/>
          <w:sz w:val="32"/>
          <w:szCs w:val="32"/>
          <w:highlight w:val="none"/>
        </w:rPr>
        <w:t>或其委托代理人：</w:t>
      </w:r>
      <w:r>
        <w:rPr>
          <w:rFonts w:ascii="Times New Roman" w:hAnsi="Times New Roman" w:eastAsia="宋体"/>
          <w:color w:val="auto"/>
          <w:sz w:val="32"/>
          <w:szCs w:val="32"/>
          <w:highlight w:val="none"/>
          <w:u w:val="single"/>
        </w:rPr>
        <w:t xml:space="preserve">       （</w:t>
      </w:r>
      <w:r>
        <w:rPr>
          <w:rFonts w:hint="eastAsia" w:ascii="宋体" w:hAnsi="宋体"/>
          <w:color w:val="auto"/>
          <w:sz w:val="24"/>
          <w:highlight w:val="none"/>
        </w:rPr>
        <w:t>签字或电子签名</w:t>
      </w:r>
      <w:r>
        <w:rPr>
          <w:rFonts w:ascii="Times New Roman"/>
          <w:color w:val="auto"/>
          <w:spacing w:val="-108"/>
          <w:sz w:val="28"/>
          <w:szCs w:val="28"/>
          <w:highlight w:val="none"/>
        </w:rPr>
        <w:t>）</w:t>
      </w:r>
    </w:p>
    <w:p w14:paraId="69B8CEED">
      <w:pPr>
        <w:pStyle w:val="12"/>
        <w:spacing w:line="900" w:lineRule="exact"/>
        <w:jc w:val="center"/>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日期：</w:t>
      </w:r>
      <w:r>
        <w:rPr>
          <w:rFonts w:ascii="Times New Roman" w:hAnsi="Times New Roman" w:eastAsia="宋体"/>
          <w:color w:val="auto"/>
          <w:sz w:val="32"/>
          <w:szCs w:val="32"/>
          <w:highlight w:val="none"/>
          <w:u w:val="single"/>
        </w:rPr>
        <w:t xml:space="preserve">         </w:t>
      </w:r>
      <w:r>
        <w:rPr>
          <w:rFonts w:ascii="Times New Roman" w:hAnsi="Times New Roman" w:eastAsia="宋体"/>
          <w:color w:val="auto"/>
          <w:sz w:val="32"/>
          <w:szCs w:val="32"/>
          <w:highlight w:val="none"/>
        </w:rPr>
        <w:t>年</w:t>
      </w:r>
      <w:r>
        <w:rPr>
          <w:rFonts w:ascii="Times New Roman" w:hAnsi="Times New Roman" w:eastAsia="宋体"/>
          <w:color w:val="auto"/>
          <w:sz w:val="32"/>
          <w:szCs w:val="32"/>
          <w:highlight w:val="none"/>
          <w:u w:val="single"/>
        </w:rPr>
        <w:t xml:space="preserve">     </w:t>
      </w:r>
      <w:r>
        <w:rPr>
          <w:rFonts w:ascii="Times New Roman" w:hAnsi="Times New Roman" w:eastAsia="宋体"/>
          <w:color w:val="auto"/>
          <w:sz w:val="32"/>
          <w:szCs w:val="32"/>
          <w:highlight w:val="none"/>
        </w:rPr>
        <w:t>月</w:t>
      </w:r>
      <w:r>
        <w:rPr>
          <w:rFonts w:ascii="Times New Roman" w:hAnsi="Times New Roman" w:eastAsia="宋体"/>
          <w:color w:val="auto"/>
          <w:sz w:val="32"/>
          <w:szCs w:val="32"/>
          <w:highlight w:val="none"/>
          <w:u w:val="single"/>
        </w:rPr>
        <w:t xml:space="preserve">     </w:t>
      </w:r>
      <w:r>
        <w:rPr>
          <w:rFonts w:ascii="Times New Roman" w:hAnsi="Times New Roman" w:eastAsia="宋体"/>
          <w:color w:val="auto"/>
          <w:sz w:val="32"/>
          <w:szCs w:val="32"/>
          <w:highlight w:val="none"/>
        </w:rPr>
        <w:t>日</w:t>
      </w:r>
    </w:p>
    <w:bookmarkEnd w:id="84"/>
    <w:bookmarkEnd w:id="85"/>
    <w:bookmarkEnd w:id="86"/>
    <w:bookmarkEnd w:id="87"/>
    <w:bookmarkEnd w:id="88"/>
    <w:bookmarkEnd w:id="89"/>
    <w:bookmarkEnd w:id="90"/>
    <w:bookmarkEnd w:id="91"/>
    <w:bookmarkEnd w:id="92"/>
    <w:p w14:paraId="2BEA01AB">
      <w:pPr>
        <w:snapToGrid w:val="0"/>
        <w:spacing w:before="50" w:after="50"/>
        <w:rPr>
          <w:rFonts w:ascii="Times New Roman" w:hAnsi="Times New Roman"/>
          <w:b/>
          <w:color w:val="auto"/>
          <w:szCs w:val="21"/>
          <w:highlight w:val="none"/>
        </w:rPr>
      </w:pPr>
    </w:p>
    <w:p w14:paraId="0E88EC41">
      <w:pPr>
        <w:pStyle w:val="5"/>
        <w:rPr>
          <w:rFonts w:ascii="Times New Roman" w:hAnsi="Times New Roman" w:eastAsia="宋体"/>
          <w:b/>
          <w:color w:val="auto"/>
          <w:szCs w:val="21"/>
          <w:highlight w:val="none"/>
        </w:rPr>
      </w:pPr>
    </w:p>
    <w:p w14:paraId="4C1107FA">
      <w:pPr>
        <w:rPr>
          <w:rFonts w:ascii="Times New Roman" w:hAnsi="Times New Roman"/>
          <w:b/>
          <w:color w:val="auto"/>
          <w:szCs w:val="21"/>
          <w:highlight w:val="none"/>
        </w:rPr>
      </w:pPr>
    </w:p>
    <w:p w14:paraId="65F78655">
      <w:pPr>
        <w:pStyle w:val="5"/>
        <w:rPr>
          <w:rFonts w:ascii="Times New Roman" w:hAnsi="Times New Roman" w:eastAsia="宋体"/>
          <w:color w:val="auto"/>
          <w:highlight w:val="none"/>
        </w:rPr>
      </w:pPr>
    </w:p>
    <w:p w14:paraId="720AE6D7">
      <w:pPr>
        <w:snapToGrid w:val="0"/>
        <w:spacing w:before="50" w:after="50"/>
        <w:rPr>
          <w:rFonts w:ascii="Times New Roman" w:hAnsi="Times New Roman"/>
          <w:b/>
          <w:color w:val="auto"/>
          <w:szCs w:val="21"/>
          <w:highlight w:val="none"/>
        </w:rPr>
      </w:pPr>
    </w:p>
    <w:p w14:paraId="6BC1021C">
      <w:pPr>
        <w:snapToGrid w:val="0"/>
        <w:spacing w:before="156" w:beforeLines="50" w:after="50" w:line="360" w:lineRule="auto"/>
        <w:ind w:left="142"/>
        <w:jc w:val="center"/>
        <w:rPr>
          <w:rFonts w:ascii="Times New Roman" w:hAnsi="Times New Roman"/>
          <w:b/>
          <w:bCs/>
          <w:color w:val="auto"/>
          <w:sz w:val="32"/>
          <w:szCs w:val="32"/>
          <w:highlight w:val="none"/>
        </w:rPr>
      </w:pPr>
    </w:p>
    <w:p w14:paraId="3C0B1D4D">
      <w:pPr>
        <w:snapToGrid w:val="0"/>
        <w:spacing w:before="156" w:beforeLines="50" w:after="50" w:line="360" w:lineRule="auto"/>
        <w:ind w:left="142"/>
        <w:jc w:val="center"/>
        <w:rPr>
          <w:rFonts w:ascii="Times New Roman" w:hAnsi="Times New Roman"/>
          <w:b/>
          <w:bCs/>
          <w:color w:val="auto"/>
          <w:sz w:val="32"/>
          <w:szCs w:val="32"/>
          <w:highlight w:val="none"/>
        </w:rPr>
      </w:pPr>
    </w:p>
    <w:p w14:paraId="471BF7F6">
      <w:pPr>
        <w:snapToGrid w:val="0"/>
        <w:spacing w:before="156" w:beforeLines="50" w:after="50" w:line="360" w:lineRule="auto"/>
        <w:ind w:left="142"/>
        <w:jc w:val="center"/>
        <w:rPr>
          <w:rFonts w:ascii="Times New Roman" w:hAnsi="Times New Roman"/>
          <w:b/>
          <w:bCs/>
          <w:color w:val="auto"/>
          <w:sz w:val="40"/>
          <w:szCs w:val="40"/>
          <w:highlight w:val="none"/>
        </w:rPr>
      </w:pPr>
      <w:r>
        <w:rPr>
          <w:rFonts w:ascii="Times New Roman" w:hAnsi="Times New Roman"/>
          <w:b/>
          <w:bCs/>
          <w:color w:val="auto"/>
          <w:sz w:val="40"/>
          <w:szCs w:val="40"/>
          <w:highlight w:val="none"/>
        </w:rPr>
        <w:t>目录</w:t>
      </w:r>
    </w:p>
    <w:p w14:paraId="2E9A3165">
      <w:pPr>
        <w:snapToGrid w:val="0"/>
        <w:spacing w:before="156" w:beforeLines="50" w:after="50" w:line="360" w:lineRule="auto"/>
        <w:ind w:left="142"/>
        <w:jc w:val="center"/>
        <w:rPr>
          <w:rFonts w:ascii="Times New Roman" w:hAnsi="Times New Roman"/>
          <w:color w:val="auto"/>
          <w:sz w:val="32"/>
          <w:szCs w:val="32"/>
          <w:highlight w:val="none"/>
        </w:rPr>
      </w:pPr>
      <w:r>
        <w:rPr>
          <w:rFonts w:ascii="Times New Roman" w:hAnsi="Times New Roman"/>
          <w:color w:val="auto"/>
          <w:sz w:val="32"/>
          <w:szCs w:val="32"/>
          <w:highlight w:val="none"/>
        </w:rPr>
        <w:t>根据投标文件规定及</w:t>
      </w:r>
      <w:r>
        <w:rPr>
          <w:rFonts w:hint="eastAsia" w:ascii="Times New Roman" w:hAnsi="Times New Roman"/>
          <w:color w:val="auto"/>
          <w:sz w:val="32"/>
          <w:szCs w:val="32"/>
          <w:highlight w:val="none"/>
        </w:rPr>
        <w:t>投标人</w:t>
      </w:r>
      <w:r>
        <w:rPr>
          <w:rFonts w:ascii="Times New Roman" w:hAnsi="Times New Roman"/>
          <w:color w:val="auto"/>
          <w:sz w:val="32"/>
          <w:szCs w:val="32"/>
          <w:highlight w:val="none"/>
        </w:rPr>
        <w:t>提供的材料自行编写目录</w:t>
      </w:r>
    </w:p>
    <w:p w14:paraId="334EC49F">
      <w:pPr>
        <w:snapToGrid w:val="0"/>
        <w:spacing w:before="156" w:beforeLines="50" w:after="50" w:line="300" w:lineRule="exact"/>
        <w:ind w:firstLine="640" w:firstLineChars="200"/>
        <w:jc w:val="center"/>
        <w:rPr>
          <w:rFonts w:ascii="Times New Roman" w:hAnsi="Times New Roman"/>
          <w:color w:val="auto"/>
          <w:sz w:val="32"/>
          <w:szCs w:val="32"/>
          <w:highlight w:val="none"/>
        </w:rPr>
      </w:pPr>
      <w:r>
        <w:rPr>
          <w:rFonts w:ascii="Times New Roman" w:hAnsi="Times New Roman"/>
          <w:color w:val="auto"/>
          <w:sz w:val="32"/>
          <w:szCs w:val="32"/>
          <w:highlight w:val="none"/>
        </w:rPr>
        <w:t>（部分格式后附）</w:t>
      </w:r>
    </w:p>
    <w:p w14:paraId="37E03A62">
      <w:pPr>
        <w:pStyle w:val="5"/>
        <w:rPr>
          <w:rFonts w:ascii="Times New Roman" w:hAnsi="Times New Roman" w:eastAsia="宋体"/>
          <w:color w:val="auto"/>
          <w:sz w:val="32"/>
          <w:szCs w:val="32"/>
          <w:highlight w:val="none"/>
        </w:rPr>
      </w:pPr>
    </w:p>
    <w:p w14:paraId="613D6FA0">
      <w:pPr>
        <w:rPr>
          <w:rFonts w:ascii="Times New Roman" w:hAnsi="Times New Roman"/>
          <w:color w:val="auto"/>
          <w:highlight w:val="none"/>
        </w:rPr>
      </w:pPr>
    </w:p>
    <w:p w14:paraId="2945D773">
      <w:pPr>
        <w:snapToGrid w:val="0"/>
        <w:spacing w:before="156" w:beforeLines="50" w:after="50" w:line="300" w:lineRule="exact"/>
        <w:ind w:firstLine="562" w:firstLineChars="200"/>
        <w:jc w:val="center"/>
        <w:rPr>
          <w:rFonts w:ascii="Times New Roman" w:hAnsi="Times New Roman"/>
          <w:color w:val="auto"/>
          <w:sz w:val="32"/>
          <w:szCs w:val="32"/>
          <w:highlight w:val="none"/>
        </w:rPr>
      </w:pPr>
      <w:r>
        <w:rPr>
          <w:rFonts w:ascii="Times New Roman" w:hAnsi="Times New Roman"/>
          <w:b/>
          <w:bCs/>
          <w:color w:val="auto"/>
          <w:sz w:val="28"/>
          <w:szCs w:val="28"/>
          <w:highlight w:val="none"/>
        </w:rPr>
        <w:t>注：有格式要求的请按格式编写，无格式要求的请投标人自拟</w:t>
      </w:r>
    </w:p>
    <w:p w14:paraId="4501E08E">
      <w:pPr>
        <w:snapToGrid w:val="0"/>
        <w:spacing w:before="156" w:beforeLines="50" w:after="50" w:line="360" w:lineRule="auto"/>
        <w:jc w:val="center"/>
        <w:rPr>
          <w:rFonts w:ascii="Times New Roman" w:hAnsi="Times New Roman"/>
          <w:b/>
          <w:color w:val="auto"/>
          <w:sz w:val="32"/>
          <w:szCs w:val="32"/>
          <w:highlight w:val="none"/>
        </w:rPr>
      </w:pPr>
    </w:p>
    <w:p w14:paraId="4334A15D">
      <w:pPr>
        <w:pStyle w:val="5"/>
        <w:rPr>
          <w:rFonts w:ascii="Times New Roman" w:hAnsi="Times New Roman" w:eastAsia="宋体"/>
          <w:b/>
          <w:color w:val="auto"/>
          <w:sz w:val="32"/>
          <w:szCs w:val="32"/>
          <w:highlight w:val="none"/>
        </w:rPr>
      </w:pPr>
    </w:p>
    <w:p w14:paraId="41EDB53F">
      <w:pPr>
        <w:rPr>
          <w:rFonts w:ascii="Times New Roman" w:hAnsi="Times New Roman"/>
          <w:b/>
          <w:color w:val="auto"/>
          <w:sz w:val="32"/>
          <w:szCs w:val="32"/>
          <w:highlight w:val="none"/>
        </w:rPr>
      </w:pPr>
    </w:p>
    <w:p w14:paraId="4AADF381">
      <w:pPr>
        <w:pStyle w:val="5"/>
        <w:rPr>
          <w:rFonts w:ascii="Times New Roman" w:hAnsi="Times New Roman" w:eastAsia="宋体"/>
          <w:b/>
          <w:color w:val="auto"/>
          <w:sz w:val="32"/>
          <w:szCs w:val="32"/>
          <w:highlight w:val="none"/>
        </w:rPr>
      </w:pPr>
    </w:p>
    <w:p w14:paraId="62492126">
      <w:pPr>
        <w:rPr>
          <w:rFonts w:ascii="Times New Roman" w:hAnsi="Times New Roman" w:eastAsia="宋体"/>
          <w:b/>
          <w:color w:val="auto"/>
          <w:sz w:val="32"/>
          <w:szCs w:val="32"/>
          <w:highlight w:val="none"/>
        </w:rPr>
      </w:pPr>
    </w:p>
    <w:p w14:paraId="6922E425">
      <w:pPr>
        <w:rPr>
          <w:rFonts w:ascii="Times New Roman" w:hAnsi="Times New Roman" w:eastAsia="宋体"/>
          <w:b/>
          <w:color w:val="auto"/>
          <w:sz w:val="32"/>
          <w:szCs w:val="32"/>
          <w:highlight w:val="none"/>
        </w:rPr>
      </w:pPr>
    </w:p>
    <w:p w14:paraId="28EB853A">
      <w:pPr>
        <w:rPr>
          <w:rFonts w:ascii="Times New Roman" w:hAnsi="Times New Roman" w:eastAsia="宋体"/>
          <w:b/>
          <w:color w:val="auto"/>
          <w:sz w:val="32"/>
          <w:szCs w:val="32"/>
          <w:highlight w:val="none"/>
        </w:rPr>
      </w:pPr>
    </w:p>
    <w:p w14:paraId="5B8DEF20">
      <w:pPr>
        <w:rPr>
          <w:rFonts w:ascii="Times New Roman" w:hAnsi="Times New Roman" w:eastAsia="宋体"/>
          <w:b/>
          <w:color w:val="auto"/>
          <w:sz w:val="32"/>
          <w:szCs w:val="32"/>
          <w:highlight w:val="none"/>
        </w:rPr>
      </w:pPr>
    </w:p>
    <w:p w14:paraId="527D0A4C">
      <w:pPr>
        <w:rPr>
          <w:rFonts w:ascii="Times New Roman" w:hAnsi="Times New Roman" w:eastAsia="宋体"/>
          <w:b/>
          <w:color w:val="auto"/>
          <w:sz w:val="32"/>
          <w:szCs w:val="32"/>
          <w:highlight w:val="none"/>
        </w:rPr>
      </w:pPr>
    </w:p>
    <w:p w14:paraId="04811F61">
      <w:pPr>
        <w:rPr>
          <w:rFonts w:ascii="Times New Roman" w:hAnsi="Times New Roman" w:eastAsia="宋体"/>
          <w:b/>
          <w:color w:val="auto"/>
          <w:sz w:val="32"/>
          <w:szCs w:val="32"/>
          <w:highlight w:val="none"/>
        </w:rPr>
      </w:pPr>
    </w:p>
    <w:p w14:paraId="701E2676">
      <w:pPr>
        <w:rPr>
          <w:rFonts w:ascii="Times New Roman" w:hAnsi="Times New Roman" w:eastAsia="宋体"/>
          <w:b/>
          <w:color w:val="auto"/>
          <w:sz w:val="32"/>
          <w:szCs w:val="32"/>
          <w:highlight w:val="none"/>
        </w:rPr>
      </w:pPr>
    </w:p>
    <w:p w14:paraId="0FA33C3C">
      <w:pPr>
        <w:rPr>
          <w:rFonts w:ascii="Times New Roman" w:hAnsi="Times New Roman" w:eastAsia="宋体"/>
          <w:b/>
          <w:color w:val="auto"/>
          <w:sz w:val="32"/>
          <w:szCs w:val="32"/>
          <w:highlight w:val="none"/>
        </w:rPr>
      </w:pPr>
    </w:p>
    <w:p w14:paraId="1634B9B5">
      <w:pPr>
        <w:rPr>
          <w:rFonts w:ascii="Times New Roman" w:hAnsi="Times New Roman" w:eastAsia="宋体"/>
          <w:b/>
          <w:color w:val="auto"/>
          <w:sz w:val="32"/>
          <w:szCs w:val="32"/>
          <w:highlight w:val="none"/>
        </w:rPr>
      </w:pPr>
    </w:p>
    <w:p w14:paraId="0B55D7A3">
      <w:pPr>
        <w:rPr>
          <w:rFonts w:ascii="Times New Roman" w:hAnsi="Times New Roman" w:eastAsia="宋体"/>
          <w:b/>
          <w:color w:val="auto"/>
          <w:sz w:val="32"/>
          <w:szCs w:val="32"/>
          <w:highlight w:val="none"/>
        </w:rPr>
      </w:pPr>
    </w:p>
    <w:p w14:paraId="24E264C3">
      <w:pPr>
        <w:rPr>
          <w:rFonts w:ascii="Times New Roman" w:hAnsi="Times New Roman"/>
          <w:b/>
          <w:color w:val="auto"/>
          <w:sz w:val="32"/>
          <w:szCs w:val="32"/>
          <w:highlight w:val="none"/>
        </w:rPr>
      </w:pPr>
    </w:p>
    <w:p w14:paraId="48F4DC49">
      <w:pPr>
        <w:snapToGrid w:val="0"/>
        <w:spacing w:before="156" w:beforeLines="50" w:after="50" w:line="360" w:lineRule="auto"/>
        <w:jc w:val="both"/>
        <w:rPr>
          <w:rFonts w:ascii="Times New Roman" w:hAnsi="Times New Roman"/>
          <w:b/>
          <w:color w:val="auto"/>
          <w:sz w:val="32"/>
          <w:szCs w:val="32"/>
          <w:highlight w:val="none"/>
        </w:rPr>
      </w:pPr>
    </w:p>
    <w:p w14:paraId="6BACDC02">
      <w:pPr>
        <w:snapToGrid w:val="0"/>
        <w:spacing w:before="156" w:beforeLines="50" w:after="50" w:line="360" w:lineRule="auto"/>
        <w:jc w:val="center"/>
        <w:rPr>
          <w:rFonts w:ascii="Times New Roman" w:hAnsi="Times New Roman"/>
          <w:b/>
          <w:color w:val="auto"/>
          <w:sz w:val="32"/>
          <w:szCs w:val="32"/>
          <w:highlight w:val="none"/>
        </w:rPr>
      </w:pPr>
      <w:r>
        <w:rPr>
          <w:rFonts w:ascii="Times New Roman" w:hAnsi="Times New Roman"/>
          <w:b/>
          <w:color w:val="auto"/>
          <w:sz w:val="32"/>
          <w:szCs w:val="32"/>
          <w:highlight w:val="none"/>
        </w:rPr>
        <w:t>投 标 函（格式）</w:t>
      </w:r>
    </w:p>
    <w:p w14:paraId="00EDA17F">
      <w:pPr>
        <w:snapToGrid w:val="0"/>
        <w:spacing w:line="370" w:lineRule="exact"/>
        <w:rPr>
          <w:rFonts w:ascii="Times New Roman" w:hAnsi="Times New Roman"/>
          <w:color w:val="auto"/>
          <w:sz w:val="24"/>
          <w:highlight w:val="none"/>
        </w:rPr>
      </w:pPr>
      <w:r>
        <w:rPr>
          <w:rFonts w:ascii="Times New Roman" w:hAnsi="Times New Roman"/>
          <w:color w:val="auto"/>
          <w:sz w:val="24"/>
          <w:highlight w:val="none"/>
        </w:rPr>
        <w:t>致：</w:t>
      </w:r>
      <w:r>
        <w:rPr>
          <w:rFonts w:ascii="Times New Roman" w:hAnsi="Times New Roman"/>
          <w:color w:val="auto"/>
          <w:sz w:val="24"/>
          <w:highlight w:val="none"/>
          <w:u w:val="single"/>
        </w:rPr>
        <w:t xml:space="preserve">                  </w:t>
      </w:r>
      <w:r>
        <w:rPr>
          <w:rFonts w:ascii="Times New Roman" w:hAnsi="Times New Roman"/>
          <w:color w:val="auto"/>
          <w:sz w:val="24"/>
          <w:highlight w:val="none"/>
        </w:rPr>
        <w:t>（采购代理机构名称）：</w:t>
      </w:r>
    </w:p>
    <w:p w14:paraId="66F5953E">
      <w:pPr>
        <w:snapToGrid w:val="0"/>
        <w:spacing w:line="370" w:lineRule="exact"/>
        <w:ind w:firstLine="480"/>
        <w:rPr>
          <w:rFonts w:ascii="Times New Roman" w:hAnsi="Times New Roman"/>
          <w:color w:val="auto"/>
          <w:sz w:val="24"/>
          <w:highlight w:val="none"/>
        </w:rPr>
      </w:pPr>
      <w:r>
        <w:rPr>
          <w:rFonts w:ascii="Times New Roman" w:hAnsi="Times New Roman"/>
          <w:color w:val="auto"/>
          <w:sz w:val="24"/>
          <w:highlight w:val="none"/>
        </w:rPr>
        <w:t>根据贵方为</w:t>
      </w:r>
      <w:r>
        <w:rPr>
          <w:rFonts w:ascii="Times New Roman" w:hAnsi="Times New Roman"/>
          <w:color w:val="auto"/>
          <w:sz w:val="24"/>
          <w:highlight w:val="none"/>
          <w:u w:val="single"/>
        </w:rPr>
        <w:t xml:space="preserve">   </w:t>
      </w:r>
      <w:r>
        <w:rPr>
          <w:color w:val="auto"/>
          <w:sz w:val="22"/>
          <w:szCs w:val="22"/>
          <w:highlight w:val="none"/>
          <w:u w:val="single"/>
        </w:rPr>
        <w:t xml:space="preserve">项目名称      </w:t>
      </w:r>
      <w:r>
        <w:rPr>
          <w:rFonts w:ascii="Times New Roman" w:hAnsi="Times New Roman"/>
          <w:color w:val="auto"/>
          <w:sz w:val="24"/>
          <w:highlight w:val="none"/>
          <w:u w:val="single"/>
        </w:rPr>
        <w:t xml:space="preserve">  </w:t>
      </w:r>
      <w:r>
        <w:rPr>
          <w:rFonts w:ascii="Times New Roman" w:hAnsi="Times New Roman"/>
          <w:color w:val="auto"/>
          <w:sz w:val="24"/>
          <w:highlight w:val="none"/>
        </w:rPr>
        <w:t>项目的招标公告（项目编号：</w:t>
      </w:r>
      <w:r>
        <w:rPr>
          <w:rFonts w:ascii="Times New Roman" w:hAnsi="Times New Roman"/>
          <w:color w:val="auto"/>
          <w:sz w:val="24"/>
          <w:highlight w:val="none"/>
          <w:u w:val="single"/>
        </w:rPr>
        <w:t xml:space="preserve">               </w:t>
      </w:r>
      <w:r>
        <w:rPr>
          <w:rFonts w:ascii="Times New Roman" w:hAnsi="Times New Roman"/>
          <w:color w:val="auto"/>
          <w:sz w:val="24"/>
          <w:highlight w:val="none"/>
        </w:rPr>
        <w:t>），签字代表</w:t>
      </w:r>
      <w:r>
        <w:rPr>
          <w:rFonts w:ascii="Times New Roman" w:hAnsi="Times New Roman"/>
          <w:color w:val="auto"/>
          <w:sz w:val="24"/>
          <w:highlight w:val="none"/>
          <w:u w:val="single"/>
        </w:rPr>
        <w:t xml:space="preserve">    （全名）     </w:t>
      </w:r>
      <w:r>
        <w:rPr>
          <w:rFonts w:ascii="Times New Roman" w:hAnsi="Times New Roman"/>
          <w:color w:val="auto"/>
          <w:sz w:val="24"/>
          <w:highlight w:val="none"/>
        </w:rPr>
        <w:t>经正式授权并代表投标人</w:t>
      </w:r>
      <w:r>
        <w:rPr>
          <w:rFonts w:ascii="Times New Roman" w:hAnsi="Times New Roman"/>
          <w:color w:val="auto"/>
          <w:sz w:val="24"/>
          <w:highlight w:val="none"/>
          <w:u w:val="single"/>
        </w:rPr>
        <w:t xml:space="preserve">                    </w:t>
      </w:r>
      <w:r>
        <w:rPr>
          <w:rFonts w:ascii="Times New Roman" w:hAnsi="Times New Roman"/>
          <w:color w:val="auto"/>
          <w:sz w:val="24"/>
          <w:highlight w:val="none"/>
        </w:rPr>
        <w:t>（投标人名称）提交包含价格部分、资格审查部分、商务技术部分。</w:t>
      </w:r>
    </w:p>
    <w:p w14:paraId="4A0B92F8">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据此函，签字代表宣布同意如下：</w:t>
      </w:r>
    </w:p>
    <w:p w14:paraId="1E11DD0B">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 投标人已详细审查全部“招标文件”，包括修改文件（如有的话）以及全部参考资料和有关附件，已经了解我方对于招标文件、采购过程、采购结果有依法进行询问、质疑、投诉的权利及相关渠道和要求。</w:t>
      </w:r>
    </w:p>
    <w:p w14:paraId="7E503F73">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 投标人在投标之前已经与贵方进行了充分的沟通，完全理解并接受招标文件的各项规定和要求，对招标文件的合理性、合法性不再有异议。</w:t>
      </w:r>
    </w:p>
    <w:p w14:paraId="6F71FFDD">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 本投标有效期自开标之日起</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90</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39A919E4">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 如中标，本投标文件至本项目合同履行完毕止均保持有效，本投标人将按“招标文件”及政府采购法律、法规的规定履行合同责任和义务。</w:t>
      </w:r>
    </w:p>
    <w:p w14:paraId="457FBB0B">
      <w:pPr>
        <w:snapToGrid w:val="0"/>
        <w:spacing w:line="370" w:lineRule="exact"/>
        <w:ind w:firstLine="482" w:firstLineChars="200"/>
        <w:rPr>
          <w:rFonts w:ascii="Times New Roman" w:hAnsi="Times New Roman"/>
          <w:b/>
          <w:color w:val="auto"/>
          <w:sz w:val="24"/>
          <w:highlight w:val="none"/>
        </w:rPr>
      </w:pPr>
      <w:r>
        <w:rPr>
          <w:rFonts w:ascii="Times New Roman" w:hAnsi="Times New Roman"/>
          <w:b/>
          <w:color w:val="auto"/>
          <w:sz w:val="24"/>
          <w:highlight w:val="none"/>
        </w:rPr>
        <w:t>5. 投标人同意本投标文件中“投标报价表”和中标后签订的采购合同可用于公示，其中所有内容不涉及投标人商业秘密，并承诺可向采购代理机构提供相关电子文档。</w:t>
      </w:r>
    </w:p>
    <w:p w14:paraId="05BAA27E">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6. 投标人同意按照贵方要求提供与投标有关的一切数据或资料。</w:t>
      </w:r>
    </w:p>
    <w:p w14:paraId="269D024A">
      <w:pPr>
        <w:snapToGrid w:val="0"/>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7. 与本投标有关的一切正式往来信函请寄：</w:t>
      </w:r>
    </w:p>
    <w:p w14:paraId="16D18C66">
      <w:pPr>
        <w:snapToGrid w:val="0"/>
        <w:spacing w:line="400" w:lineRule="exact"/>
        <w:rPr>
          <w:rFonts w:ascii="Times New Roman" w:hAnsi="Times New Roman"/>
          <w:color w:val="auto"/>
          <w:sz w:val="24"/>
          <w:highlight w:val="none"/>
        </w:rPr>
      </w:pPr>
    </w:p>
    <w:p w14:paraId="2EB65F44">
      <w:pPr>
        <w:snapToGrid w:val="0"/>
        <w:spacing w:line="40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地址：</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邮编：</w:t>
      </w:r>
      <w:r>
        <w:rPr>
          <w:rFonts w:ascii="Times New Roman" w:hAnsi="Times New Roman"/>
          <w:color w:val="auto"/>
          <w:sz w:val="24"/>
          <w:highlight w:val="none"/>
          <w:u w:val="single"/>
        </w:rPr>
        <w:t xml:space="preserve">               </w:t>
      </w:r>
    </w:p>
    <w:p w14:paraId="3921D249">
      <w:pPr>
        <w:snapToGrid w:val="0"/>
        <w:spacing w:line="400" w:lineRule="exact"/>
        <w:ind w:firstLine="240" w:firstLineChars="100"/>
        <w:rPr>
          <w:rFonts w:ascii="Times New Roman" w:hAnsi="Times New Roman"/>
          <w:color w:val="auto"/>
          <w:sz w:val="24"/>
          <w:highlight w:val="none"/>
          <w:u w:val="single"/>
        </w:rPr>
      </w:pPr>
      <w:r>
        <w:rPr>
          <w:rFonts w:ascii="Times New Roman" w:hAnsi="Times New Roman"/>
          <w:color w:val="auto"/>
          <w:sz w:val="24"/>
          <w:highlight w:val="none"/>
        </w:rPr>
        <w:t>电话：</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传真：</w:t>
      </w:r>
      <w:r>
        <w:rPr>
          <w:rFonts w:ascii="Times New Roman" w:hAnsi="Times New Roman"/>
          <w:color w:val="auto"/>
          <w:sz w:val="24"/>
          <w:highlight w:val="none"/>
          <w:u w:val="single"/>
        </w:rPr>
        <w:t xml:space="preserve">               </w:t>
      </w:r>
    </w:p>
    <w:p w14:paraId="43A284E1">
      <w:pPr>
        <w:snapToGrid w:val="0"/>
        <w:spacing w:line="400" w:lineRule="exact"/>
        <w:ind w:firstLine="240" w:firstLineChars="100"/>
        <w:rPr>
          <w:rFonts w:ascii="Times New Roman" w:hAnsi="Times New Roman"/>
          <w:color w:val="auto"/>
          <w:sz w:val="24"/>
          <w:highlight w:val="none"/>
          <w:u w:val="single"/>
        </w:rPr>
      </w:pPr>
      <w:r>
        <w:rPr>
          <w:rFonts w:ascii="Times New Roman" w:hAnsi="Times New Roman"/>
          <w:color w:val="auto"/>
          <w:sz w:val="24"/>
          <w:highlight w:val="none"/>
        </w:rPr>
        <w:t>投标人</w:t>
      </w:r>
      <w:r>
        <w:rPr>
          <w:rFonts w:hint="eastAsia" w:ascii="Times New Roman" w:hAnsi="Times New Roman"/>
          <w:color w:val="auto"/>
          <w:sz w:val="24"/>
          <w:highlight w:val="none"/>
        </w:rPr>
        <w:t>（负责人）</w:t>
      </w:r>
      <w:r>
        <w:rPr>
          <w:rFonts w:ascii="Times New Roman" w:hAnsi="Times New Roman"/>
          <w:color w:val="auto"/>
          <w:sz w:val="24"/>
          <w:highlight w:val="none"/>
        </w:rPr>
        <w:t>代表姓名：</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职务：</w:t>
      </w:r>
      <w:r>
        <w:rPr>
          <w:rFonts w:ascii="Times New Roman" w:hAnsi="Times New Roman"/>
          <w:color w:val="auto"/>
          <w:sz w:val="24"/>
          <w:highlight w:val="none"/>
          <w:u w:val="single"/>
        </w:rPr>
        <w:t xml:space="preserve">               </w:t>
      </w:r>
    </w:p>
    <w:p w14:paraId="4CF8855D">
      <w:pPr>
        <w:snapToGrid w:val="0"/>
        <w:spacing w:line="400" w:lineRule="exact"/>
        <w:ind w:firstLine="240" w:firstLineChars="100"/>
        <w:rPr>
          <w:rFonts w:ascii="Times New Roman" w:hAnsi="Times New Roman"/>
          <w:color w:val="auto"/>
          <w:sz w:val="24"/>
          <w:highlight w:val="none"/>
          <w:u w:val="single"/>
        </w:rPr>
      </w:pPr>
      <w:r>
        <w:rPr>
          <w:rFonts w:ascii="Times New Roman" w:hAnsi="Times New Roman"/>
          <w:color w:val="auto"/>
          <w:sz w:val="24"/>
          <w:highlight w:val="none"/>
        </w:rPr>
        <w:t>投标人名称（</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sz w:val="24"/>
          <w:highlight w:val="none"/>
          <w:u w:val="single"/>
        </w:rPr>
        <w:t xml:space="preserve">                                                 </w:t>
      </w:r>
    </w:p>
    <w:p w14:paraId="14E0DA1D">
      <w:pPr>
        <w:snapToGrid w:val="0"/>
        <w:spacing w:line="40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开户银行：</w:t>
      </w:r>
      <w:r>
        <w:rPr>
          <w:rFonts w:ascii="Times New Roman" w:hAnsi="Times New Roman"/>
          <w:color w:val="auto"/>
          <w:sz w:val="24"/>
          <w:highlight w:val="none"/>
          <w:u w:val="single"/>
        </w:rPr>
        <w:t xml:space="preserve">                                                           </w:t>
      </w:r>
    </w:p>
    <w:p w14:paraId="3C94B522">
      <w:pPr>
        <w:snapToGrid w:val="0"/>
        <w:spacing w:line="400" w:lineRule="exact"/>
        <w:ind w:firstLine="240" w:firstLineChars="100"/>
        <w:rPr>
          <w:rFonts w:ascii="Times New Roman" w:hAnsi="Times New Roman"/>
          <w:color w:val="auto"/>
          <w:sz w:val="24"/>
          <w:highlight w:val="none"/>
        </w:rPr>
      </w:pPr>
      <w:r>
        <w:rPr>
          <w:rFonts w:ascii="Times New Roman" w:hAnsi="Times New Roman"/>
          <w:color w:val="auto"/>
          <w:sz w:val="24"/>
          <w:highlight w:val="none"/>
        </w:rPr>
        <w:t>银行帐号：</w:t>
      </w:r>
      <w:r>
        <w:rPr>
          <w:rFonts w:ascii="Times New Roman" w:hAnsi="Times New Roman"/>
          <w:color w:val="auto"/>
          <w:sz w:val="24"/>
          <w:highlight w:val="none"/>
          <w:u w:val="single"/>
        </w:rPr>
        <w:t xml:space="preserve">                                                           </w:t>
      </w:r>
    </w:p>
    <w:p w14:paraId="2E0F9F2E">
      <w:pPr>
        <w:snapToGrid w:val="0"/>
        <w:spacing w:line="400" w:lineRule="exact"/>
        <w:ind w:firstLine="240" w:firstLineChars="100"/>
        <w:rPr>
          <w:rFonts w:ascii="Times New Roman" w:hAnsi="Times New Roman"/>
          <w:color w:val="auto"/>
          <w:sz w:val="24"/>
          <w:highlight w:val="none"/>
        </w:rPr>
      </w:pPr>
      <w:r>
        <w:rPr>
          <w:rFonts w:hint="eastAsia" w:ascii="Times New Roman" w:hAnsi="Times New Roman"/>
          <w:color w:val="auto"/>
          <w:sz w:val="24"/>
          <w:highlight w:val="none"/>
        </w:rPr>
        <w:t>法定代表人或</w:t>
      </w:r>
      <w:r>
        <w:rPr>
          <w:rFonts w:ascii="Times New Roman" w:hAnsi="Times New Roman"/>
          <w:color w:val="auto"/>
          <w:sz w:val="24"/>
          <w:highlight w:val="none"/>
        </w:rPr>
        <w:t>委托代理人</w:t>
      </w:r>
      <w:r>
        <w:rPr>
          <w:rFonts w:hint="eastAsia" w:ascii="Times New Roman" w:hAnsi="Times New Roman"/>
          <w:color w:val="auto"/>
          <w:sz w:val="24"/>
          <w:highlight w:val="none"/>
        </w:rPr>
        <w:t>（</w:t>
      </w:r>
      <w:r>
        <w:rPr>
          <w:rFonts w:hint="eastAsia" w:ascii="宋体" w:hAnsi="宋体"/>
          <w:color w:val="auto"/>
          <w:sz w:val="24"/>
          <w:highlight w:val="none"/>
        </w:rPr>
        <w:t>签字或电子签名</w:t>
      </w:r>
      <w:r>
        <w:rPr>
          <w:rFonts w:ascii="Times New Roman"/>
          <w:color w:val="auto"/>
          <w:spacing w:val="-108"/>
          <w:sz w:val="28"/>
          <w:szCs w:val="28"/>
          <w:highlight w:val="none"/>
        </w:rPr>
        <w:t>）</w:t>
      </w:r>
      <w:r>
        <w:rPr>
          <w:rFonts w:ascii="Times New Roman" w:hAnsi="Times New Roman"/>
          <w:color w:val="auto"/>
          <w:sz w:val="24"/>
          <w:highlight w:val="none"/>
        </w:rPr>
        <w:t>：</w:t>
      </w:r>
      <w:r>
        <w:rPr>
          <w:rFonts w:ascii="Times New Roman" w:hAnsi="Times New Roman"/>
          <w:color w:val="auto"/>
          <w:sz w:val="24"/>
          <w:highlight w:val="none"/>
          <w:u w:val="single"/>
        </w:rPr>
        <w:t xml:space="preserve">                                               </w:t>
      </w:r>
    </w:p>
    <w:p w14:paraId="51736B78">
      <w:pPr>
        <w:snapToGrid w:val="0"/>
        <w:spacing w:line="400" w:lineRule="exact"/>
        <w:ind w:firstLine="6600" w:firstLineChars="2750"/>
        <w:rPr>
          <w:rFonts w:ascii="Times New Roman" w:hAnsi="Times New Roman"/>
          <w:color w:val="auto"/>
          <w:sz w:val="24"/>
          <w:highlight w:val="none"/>
        </w:rPr>
      </w:pPr>
    </w:p>
    <w:p w14:paraId="5E46CDF3">
      <w:pPr>
        <w:snapToGrid w:val="0"/>
        <w:spacing w:line="400" w:lineRule="exact"/>
        <w:ind w:firstLine="6600" w:firstLineChars="2750"/>
        <w:rPr>
          <w:rFonts w:ascii="Times New Roman" w:hAnsi="Times New Roman"/>
          <w:color w:val="auto"/>
          <w:sz w:val="24"/>
          <w:highlight w:val="none"/>
        </w:rPr>
      </w:pPr>
      <w:r>
        <w:rPr>
          <w:rFonts w:ascii="Times New Roman" w:hAnsi="Times New Roman"/>
          <w:color w:val="auto"/>
          <w:sz w:val="24"/>
          <w:highlight w:val="none"/>
        </w:rPr>
        <w:t>年    月    日</w:t>
      </w:r>
    </w:p>
    <w:p w14:paraId="38204C59">
      <w:pPr>
        <w:pStyle w:val="12"/>
        <w:spacing w:line="288" w:lineRule="auto"/>
        <w:ind w:firstLine="0" w:firstLineChars="0"/>
        <w:jc w:val="left"/>
        <w:rPr>
          <w:rFonts w:hint="eastAsia" w:ascii="Times New Roman" w:hAnsi="Times New Roman" w:eastAsia="宋体"/>
          <w:bCs/>
          <w:color w:val="auto"/>
          <w:sz w:val="24"/>
          <w:szCs w:val="24"/>
          <w:highlight w:val="none"/>
        </w:rPr>
      </w:pPr>
    </w:p>
    <w:p w14:paraId="188F5BBF">
      <w:pPr>
        <w:pStyle w:val="12"/>
        <w:spacing w:line="288" w:lineRule="auto"/>
        <w:ind w:firstLine="0" w:firstLineChars="0"/>
        <w:jc w:val="left"/>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val="en-US" w:eastAsia="zh-CN"/>
        </w:rPr>
        <w:t>注：1、</w:t>
      </w:r>
      <w:r>
        <w:rPr>
          <w:rFonts w:hint="eastAsia" w:ascii="Times New Roman" w:hAnsi="Times New Roman" w:eastAsia="宋体"/>
          <w:bCs/>
          <w:color w:val="auto"/>
          <w:sz w:val="24"/>
          <w:szCs w:val="24"/>
          <w:highlight w:val="none"/>
        </w:rPr>
        <w:t>如为联合体投标，“投标人名称”处必须列明联合体各方名称，并标注联合体牵头人名称，否则其投标作无效标处理。</w:t>
      </w:r>
    </w:p>
    <w:p w14:paraId="62000DF6">
      <w:pPr>
        <w:pStyle w:val="12"/>
        <w:spacing w:line="288" w:lineRule="auto"/>
        <w:ind w:firstLine="0" w:firstLineChars="0"/>
        <w:jc w:val="left"/>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val="en-US" w:eastAsia="zh-CN"/>
        </w:rPr>
        <w:t>2、</w:t>
      </w:r>
      <w:r>
        <w:rPr>
          <w:rFonts w:hint="eastAsia" w:ascii="Times New Roman" w:hAnsi="Times New Roman" w:eastAsia="宋体"/>
          <w:bCs/>
          <w:color w:val="auto"/>
          <w:sz w:val="24"/>
          <w:szCs w:val="24"/>
          <w:highlight w:val="none"/>
        </w:rPr>
        <w:t>如为联合体投标，盖章处须加盖联合体牵头人电子签章，否则其投标作无效标处理。</w:t>
      </w:r>
    </w:p>
    <w:p w14:paraId="4DEDAF73">
      <w:pPr>
        <w:rPr>
          <w:rFonts w:ascii="Times New Roman" w:hAnsi="Times New Roman"/>
          <w:b/>
          <w:color w:val="auto"/>
          <w:sz w:val="32"/>
          <w:szCs w:val="32"/>
          <w:highlight w:val="none"/>
        </w:rPr>
      </w:pPr>
    </w:p>
    <w:p w14:paraId="6F52B056">
      <w:pPr>
        <w:jc w:val="both"/>
        <w:rPr>
          <w:rFonts w:ascii="Times New Roman" w:hAnsi="Times New Roman"/>
          <w:b/>
          <w:color w:val="auto"/>
          <w:sz w:val="32"/>
          <w:szCs w:val="32"/>
          <w:highlight w:val="none"/>
        </w:rPr>
      </w:pPr>
    </w:p>
    <w:p w14:paraId="157DC349">
      <w:pPr>
        <w:jc w:val="both"/>
        <w:rPr>
          <w:rFonts w:ascii="Times New Roman" w:hAnsi="Times New Roman"/>
          <w:b/>
          <w:color w:val="auto"/>
          <w:sz w:val="32"/>
          <w:szCs w:val="32"/>
          <w:highlight w:val="none"/>
        </w:rPr>
      </w:pPr>
    </w:p>
    <w:p w14:paraId="78F85186">
      <w:pPr>
        <w:jc w:val="center"/>
        <w:rPr>
          <w:rFonts w:ascii="Times New Roman" w:hAnsi="Times New Roman"/>
          <w:b/>
          <w:color w:val="auto"/>
          <w:sz w:val="32"/>
          <w:szCs w:val="32"/>
          <w:highlight w:val="none"/>
        </w:rPr>
      </w:pPr>
      <w:r>
        <w:rPr>
          <w:rFonts w:ascii="Times New Roman" w:hAnsi="Times New Roman"/>
          <w:b/>
          <w:color w:val="auto"/>
          <w:sz w:val="32"/>
          <w:szCs w:val="32"/>
          <w:highlight w:val="none"/>
        </w:rPr>
        <w:t>投标报价表（格式）</w:t>
      </w:r>
    </w:p>
    <w:p w14:paraId="599FB9AE">
      <w:pPr>
        <w:pStyle w:val="12"/>
        <w:spacing w:before="120" w:line="360" w:lineRule="auto"/>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项目名称：</w:t>
      </w:r>
      <w:r>
        <w:rPr>
          <w:rFonts w:ascii="Times New Roman" w:hAnsi="Times New Roman" w:eastAsia="宋体"/>
          <w:b/>
          <w:color w:val="auto"/>
          <w:sz w:val="24"/>
          <w:szCs w:val="24"/>
          <w:highlight w:val="none"/>
          <w:u w:val="single"/>
        </w:rPr>
        <w:t xml:space="preserve">                    </w:t>
      </w:r>
    </w:p>
    <w:p w14:paraId="26B1E2D3">
      <w:pPr>
        <w:pStyle w:val="12"/>
        <w:spacing w:before="120" w:line="360" w:lineRule="auto"/>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项目编号：</w:t>
      </w:r>
      <w:r>
        <w:rPr>
          <w:rFonts w:ascii="Times New Roman" w:hAnsi="Times New Roman" w:eastAsia="宋体"/>
          <w:b/>
          <w:color w:val="auto"/>
          <w:sz w:val="24"/>
          <w:szCs w:val="24"/>
          <w:highlight w:val="none"/>
          <w:u w:val="single"/>
        </w:rPr>
        <w:t xml:space="preserve">                    </w:t>
      </w:r>
    </w:p>
    <w:p w14:paraId="6E66661B">
      <w:pPr>
        <w:pStyle w:val="12"/>
        <w:spacing w:before="120" w:line="360" w:lineRule="auto"/>
        <w:rPr>
          <w:rFonts w:ascii="Times New Roman" w:hAnsi="Times New Roman" w:eastAsia="宋体"/>
          <w:b/>
          <w:color w:val="auto"/>
          <w:sz w:val="24"/>
          <w:szCs w:val="24"/>
          <w:highlight w:val="none"/>
          <w:u w:val="single"/>
        </w:rPr>
      </w:pPr>
    </w:p>
    <w:tbl>
      <w:tblPr>
        <w:tblStyle w:val="19"/>
        <w:tblW w:w="10284" w:type="dxa"/>
        <w:jc w:val="center"/>
        <w:tblLayout w:type="fixed"/>
        <w:tblCellMar>
          <w:top w:w="0" w:type="dxa"/>
          <w:left w:w="108" w:type="dxa"/>
          <w:bottom w:w="0" w:type="dxa"/>
          <w:right w:w="108" w:type="dxa"/>
        </w:tblCellMar>
      </w:tblPr>
      <w:tblGrid>
        <w:gridCol w:w="897"/>
        <w:gridCol w:w="1399"/>
        <w:gridCol w:w="2574"/>
        <w:gridCol w:w="1326"/>
        <w:gridCol w:w="1097"/>
        <w:gridCol w:w="1350"/>
        <w:gridCol w:w="1641"/>
      </w:tblGrid>
      <w:tr w14:paraId="316A92E3">
        <w:tblPrEx>
          <w:tblCellMar>
            <w:top w:w="0" w:type="dxa"/>
            <w:left w:w="108" w:type="dxa"/>
            <w:bottom w:w="0" w:type="dxa"/>
            <w:right w:w="108" w:type="dxa"/>
          </w:tblCellMar>
        </w:tblPrEx>
        <w:trPr>
          <w:trHeight w:val="439" w:hRule="atLeast"/>
          <w:jc w:val="center"/>
        </w:trPr>
        <w:tc>
          <w:tcPr>
            <w:tcW w:w="897" w:type="dxa"/>
            <w:tcBorders>
              <w:top w:val="single" w:color="auto" w:sz="4" w:space="0"/>
              <w:left w:val="single" w:color="auto" w:sz="4" w:space="0"/>
              <w:bottom w:val="single" w:color="auto" w:sz="4" w:space="0"/>
              <w:right w:val="single" w:color="auto" w:sz="4" w:space="0"/>
            </w:tcBorders>
            <w:noWrap/>
            <w:vAlign w:val="center"/>
          </w:tcPr>
          <w:p w14:paraId="19358333">
            <w:pPr>
              <w:rPr>
                <w:rFonts w:ascii="Times New Roman" w:hAnsi="Times New Roman"/>
                <w:color w:val="auto"/>
                <w:kern w:val="0"/>
                <w:sz w:val="24"/>
                <w:highlight w:val="none"/>
              </w:rPr>
            </w:pPr>
            <w:r>
              <w:rPr>
                <w:rFonts w:ascii="Times New Roman" w:hAnsi="Times New Roman"/>
                <w:color w:val="auto"/>
                <w:kern w:val="0"/>
                <w:sz w:val="24"/>
                <w:highlight w:val="none"/>
              </w:rPr>
              <w:t>序号</w:t>
            </w:r>
          </w:p>
        </w:tc>
        <w:tc>
          <w:tcPr>
            <w:tcW w:w="1399" w:type="dxa"/>
            <w:tcBorders>
              <w:top w:val="single" w:color="auto" w:sz="4" w:space="0"/>
              <w:left w:val="single" w:color="auto" w:sz="4" w:space="0"/>
              <w:bottom w:val="single" w:color="auto" w:sz="4" w:space="0"/>
              <w:right w:val="single" w:color="auto" w:sz="4" w:space="0"/>
            </w:tcBorders>
            <w:noWrap/>
            <w:vAlign w:val="center"/>
          </w:tcPr>
          <w:p w14:paraId="3EB409B9">
            <w:pPr>
              <w:jc w:val="center"/>
              <w:rPr>
                <w:rFonts w:ascii="Times New Roman" w:hAnsi="Times New Roman"/>
                <w:color w:val="auto"/>
                <w:kern w:val="0"/>
                <w:sz w:val="24"/>
                <w:highlight w:val="none"/>
              </w:rPr>
            </w:pPr>
            <w:r>
              <w:rPr>
                <w:rFonts w:ascii="Times New Roman" w:hAnsi="Times New Roman"/>
                <w:color w:val="auto"/>
                <w:kern w:val="0"/>
                <w:sz w:val="24"/>
                <w:highlight w:val="none"/>
              </w:rPr>
              <w:t>项目名称</w:t>
            </w:r>
          </w:p>
        </w:tc>
        <w:tc>
          <w:tcPr>
            <w:tcW w:w="2574" w:type="dxa"/>
            <w:tcBorders>
              <w:top w:val="single" w:color="auto" w:sz="4" w:space="0"/>
              <w:left w:val="single" w:color="auto" w:sz="4" w:space="0"/>
              <w:bottom w:val="single" w:color="auto" w:sz="4" w:space="0"/>
              <w:right w:val="single" w:color="auto" w:sz="4" w:space="0"/>
            </w:tcBorders>
            <w:noWrap/>
            <w:vAlign w:val="center"/>
          </w:tcPr>
          <w:p w14:paraId="7FDDE626">
            <w:pPr>
              <w:jc w:val="center"/>
              <w:rPr>
                <w:rFonts w:ascii="Times New Roman" w:hAnsi="Times New Roman"/>
                <w:color w:val="auto"/>
                <w:kern w:val="0"/>
                <w:sz w:val="24"/>
                <w:highlight w:val="none"/>
              </w:rPr>
            </w:pPr>
            <w:r>
              <w:rPr>
                <w:rFonts w:ascii="Times New Roman" w:hAnsi="Times New Roman"/>
                <w:color w:val="auto"/>
                <w:kern w:val="0"/>
                <w:sz w:val="24"/>
                <w:highlight w:val="none"/>
              </w:rPr>
              <w:t>服务内容</w:t>
            </w:r>
          </w:p>
        </w:tc>
        <w:tc>
          <w:tcPr>
            <w:tcW w:w="1326" w:type="dxa"/>
            <w:tcBorders>
              <w:top w:val="single" w:color="auto" w:sz="4" w:space="0"/>
              <w:left w:val="single" w:color="auto" w:sz="4" w:space="0"/>
              <w:bottom w:val="single" w:color="auto" w:sz="4" w:space="0"/>
              <w:right w:val="single" w:color="auto" w:sz="4" w:space="0"/>
            </w:tcBorders>
            <w:noWrap/>
            <w:vAlign w:val="center"/>
          </w:tcPr>
          <w:p w14:paraId="2B55B0E3">
            <w:pPr>
              <w:jc w:val="center"/>
              <w:rPr>
                <w:rFonts w:ascii="Times New Roman" w:hAnsi="Times New Roman"/>
                <w:color w:val="auto"/>
                <w:kern w:val="0"/>
                <w:sz w:val="24"/>
                <w:highlight w:val="none"/>
              </w:rPr>
            </w:pPr>
            <w:r>
              <w:rPr>
                <w:rFonts w:ascii="Times New Roman" w:hAnsi="Times New Roman"/>
                <w:color w:val="auto"/>
                <w:kern w:val="0"/>
                <w:sz w:val="24"/>
                <w:highlight w:val="none"/>
              </w:rPr>
              <w:t>单位</w:t>
            </w:r>
          </w:p>
        </w:tc>
        <w:tc>
          <w:tcPr>
            <w:tcW w:w="1097" w:type="dxa"/>
            <w:tcBorders>
              <w:top w:val="single" w:color="auto" w:sz="4" w:space="0"/>
              <w:left w:val="single" w:color="auto" w:sz="4" w:space="0"/>
              <w:bottom w:val="single" w:color="auto" w:sz="4" w:space="0"/>
              <w:right w:val="single" w:color="auto" w:sz="4" w:space="0"/>
            </w:tcBorders>
            <w:noWrap/>
            <w:vAlign w:val="center"/>
          </w:tcPr>
          <w:p w14:paraId="4E1A0ABD">
            <w:pPr>
              <w:jc w:val="center"/>
              <w:rPr>
                <w:rFonts w:ascii="Times New Roman" w:hAnsi="Times New Roman"/>
                <w:color w:val="auto"/>
                <w:highlight w:val="none"/>
              </w:rPr>
            </w:pPr>
            <w:r>
              <w:rPr>
                <w:rFonts w:ascii="Times New Roman" w:hAnsi="Times New Roman"/>
                <w:color w:val="auto"/>
                <w:highlight w:val="none"/>
              </w:rPr>
              <w:t>数量</w:t>
            </w:r>
          </w:p>
          <w:p w14:paraId="2E4FCC56">
            <w:pPr>
              <w:pStyle w:val="13"/>
              <w:jc w:val="center"/>
              <w:rPr>
                <w:rFonts w:ascii="Times New Roman" w:hAnsi="Times New Roman" w:eastAsia="宋体"/>
                <w:color w:val="auto"/>
                <w:highlight w:val="none"/>
              </w:rPr>
            </w:pPr>
            <w:r>
              <w:rPr>
                <w:rFonts w:ascii="Times New Roman" w:hAnsi="Times New Roman" w:eastAsia="宋体"/>
                <w:color w:val="auto"/>
                <w:sz w:val="21"/>
                <w:szCs w:val="22"/>
                <w:highlight w:val="none"/>
              </w:rPr>
              <w:t>①</w:t>
            </w:r>
          </w:p>
        </w:tc>
        <w:tc>
          <w:tcPr>
            <w:tcW w:w="1350" w:type="dxa"/>
            <w:tcBorders>
              <w:top w:val="single" w:color="auto" w:sz="4" w:space="0"/>
              <w:left w:val="single" w:color="auto" w:sz="4" w:space="0"/>
              <w:bottom w:val="single" w:color="auto" w:sz="4" w:space="0"/>
              <w:right w:val="single" w:color="auto" w:sz="4" w:space="0"/>
            </w:tcBorders>
            <w:noWrap/>
            <w:vAlign w:val="center"/>
          </w:tcPr>
          <w:p w14:paraId="79E78BE5">
            <w:pPr>
              <w:jc w:val="center"/>
              <w:rPr>
                <w:rFonts w:ascii="Times New Roman" w:hAnsi="Times New Roman"/>
                <w:color w:val="auto"/>
                <w:highlight w:val="none"/>
              </w:rPr>
            </w:pPr>
            <w:r>
              <w:rPr>
                <w:rFonts w:ascii="Times New Roman" w:hAnsi="Times New Roman"/>
                <w:color w:val="auto"/>
                <w:highlight w:val="none"/>
              </w:rPr>
              <w:t>单价（元）</w:t>
            </w:r>
          </w:p>
          <w:p w14:paraId="05554799">
            <w:pPr>
              <w:pStyle w:val="13"/>
              <w:jc w:val="center"/>
              <w:rPr>
                <w:rFonts w:ascii="Times New Roman" w:hAnsi="Times New Roman" w:eastAsia="宋体"/>
                <w:color w:val="auto"/>
                <w:highlight w:val="none"/>
              </w:rPr>
            </w:pPr>
            <w:r>
              <w:rPr>
                <w:rFonts w:ascii="Times New Roman" w:hAnsi="Times New Roman" w:eastAsia="宋体"/>
                <w:color w:val="auto"/>
                <w:sz w:val="21"/>
                <w:szCs w:val="22"/>
                <w:highlight w:val="none"/>
              </w:rPr>
              <w:t>②</w:t>
            </w:r>
          </w:p>
        </w:tc>
        <w:tc>
          <w:tcPr>
            <w:tcW w:w="1641" w:type="dxa"/>
            <w:tcBorders>
              <w:top w:val="single" w:color="auto" w:sz="4" w:space="0"/>
              <w:left w:val="single" w:color="auto" w:sz="4" w:space="0"/>
              <w:bottom w:val="single" w:color="auto" w:sz="4" w:space="0"/>
              <w:right w:val="single" w:color="auto" w:sz="4" w:space="0"/>
            </w:tcBorders>
            <w:noWrap/>
            <w:vAlign w:val="center"/>
          </w:tcPr>
          <w:p w14:paraId="3A151DB2">
            <w:pPr>
              <w:jc w:val="center"/>
              <w:rPr>
                <w:rFonts w:ascii="Times New Roman" w:hAnsi="Times New Roman"/>
                <w:color w:val="auto"/>
                <w:kern w:val="0"/>
                <w:sz w:val="24"/>
                <w:highlight w:val="none"/>
              </w:rPr>
            </w:pPr>
            <w:r>
              <w:rPr>
                <w:rFonts w:ascii="Times New Roman" w:hAnsi="Times New Roman"/>
                <w:color w:val="auto"/>
                <w:kern w:val="0"/>
                <w:sz w:val="24"/>
                <w:highlight w:val="none"/>
              </w:rPr>
              <w:t>合计金额</w:t>
            </w:r>
          </w:p>
          <w:p w14:paraId="59EC4AF4">
            <w:pPr>
              <w:jc w:val="center"/>
              <w:rPr>
                <w:rFonts w:ascii="Times New Roman" w:hAnsi="Times New Roman"/>
                <w:color w:val="auto"/>
                <w:kern w:val="0"/>
                <w:sz w:val="24"/>
                <w:highlight w:val="none"/>
              </w:rPr>
            </w:pPr>
            <w:r>
              <w:rPr>
                <w:rFonts w:ascii="Times New Roman" w:hAnsi="Times New Roman"/>
                <w:color w:val="auto"/>
                <w:highlight w:val="none"/>
              </w:rPr>
              <w:t>①×②=③</w:t>
            </w:r>
            <w:r>
              <w:rPr>
                <w:rFonts w:ascii="Times New Roman" w:hAnsi="Times New Roman"/>
                <w:color w:val="auto"/>
                <w:kern w:val="0"/>
                <w:sz w:val="24"/>
                <w:highlight w:val="none"/>
              </w:rPr>
              <w:t>（元）</w:t>
            </w:r>
          </w:p>
        </w:tc>
      </w:tr>
      <w:tr w14:paraId="13DC4E5D">
        <w:tblPrEx>
          <w:tblCellMar>
            <w:top w:w="0" w:type="dxa"/>
            <w:left w:w="108" w:type="dxa"/>
            <w:bottom w:w="0" w:type="dxa"/>
            <w:right w:w="108" w:type="dxa"/>
          </w:tblCellMar>
        </w:tblPrEx>
        <w:trPr>
          <w:trHeight w:val="455" w:hRule="atLeast"/>
          <w:jc w:val="center"/>
        </w:trPr>
        <w:tc>
          <w:tcPr>
            <w:tcW w:w="897" w:type="dxa"/>
            <w:tcBorders>
              <w:top w:val="single" w:color="auto" w:sz="4" w:space="0"/>
              <w:left w:val="single" w:color="auto" w:sz="4" w:space="0"/>
              <w:bottom w:val="single" w:color="auto" w:sz="4" w:space="0"/>
              <w:right w:val="single" w:color="auto" w:sz="4" w:space="0"/>
            </w:tcBorders>
            <w:noWrap/>
            <w:vAlign w:val="center"/>
          </w:tcPr>
          <w:p w14:paraId="5C3311C2">
            <w:pPr>
              <w:jc w:val="center"/>
              <w:rPr>
                <w:rFonts w:ascii="Times New Roman" w:hAnsi="Times New Roman"/>
                <w:color w:val="auto"/>
                <w:kern w:val="0"/>
                <w:sz w:val="24"/>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14:paraId="62505C23">
            <w:pPr>
              <w:jc w:val="center"/>
              <w:rPr>
                <w:rFonts w:ascii="Times New Roman" w:hAnsi="Times New Roman"/>
                <w:color w:val="auto"/>
                <w:kern w:val="0"/>
                <w:sz w:val="24"/>
                <w:highlight w:val="none"/>
              </w:rPr>
            </w:pPr>
          </w:p>
        </w:tc>
        <w:tc>
          <w:tcPr>
            <w:tcW w:w="2574" w:type="dxa"/>
            <w:tcBorders>
              <w:top w:val="single" w:color="auto" w:sz="4" w:space="0"/>
              <w:left w:val="single" w:color="auto" w:sz="4" w:space="0"/>
              <w:bottom w:val="single" w:color="auto" w:sz="4" w:space="0"/>
              <w:right w:val="single" w:color="auto" w:sz="4" w:space="0"/>
            </w:tcBorders>
            <w:vAlign w:val="center"/>
          </w:tcPr>
          <w:p w14:paraId="62AA4969">
            <w:pPr>
              <w:rPr>
                <w:rFonts w:ascii="Times New Roman" w:hAnsi="Times New Roman"/>
                <w:color w:val="auto"/>
                <w:kern w:val="0"/>
                <w:sz w:val="24"/>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14:paraId="279868B2">
            <w:pPr>
              <w:jc w:val="center"/>
              <w:rPr>
                <w:rFonts w:ascii="Times New Roman" w:hAnsi="Times New Roman"/>
                <w:color w:val="auto"/>
                <w:kern w:val="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46271379">
            <w:pPr>
              <w:jc w:val="center"/>
              <w:rPr>
                <w:rFonts w:ascii="Times New Roman" w:hAnsi="Times New Roman"/>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79D82780">
            <w:pPr>
              <w:jc w:val="center"/>
              <w:rPr>
                <w:rFonts w:ascii="Times New Roman" w:hAnsi="Times New Roman"/>
                <w:color w:val="auto"/>
                <w:kern w:val="0"/>
                <w:sz w:val="24"/>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14:paraId="1B26A2E3">
            <w:pPr>
              <w:jc w:val="center"/>
              <w:rPr>
                <w:rFonts w:ascii="Times New Roman" w:hAnsi="Times New Roman"/>
                <w:color w:val="auto"/>
                <w:kern w:val="0"/>
                <w:sz w:val="24"/>
                <w:highlight w:val="none"/>
              </w:rPr>
            </w:pPr>
          </w:p>
        </w:tc>
      </w:tr>
      <w:tr w14:paraId="2DA14B6C">
        <w:tblPrEx>
          <w:tblCellMar>
            <w:top w:w="0" w:type="dxa"/>
            <w:left w:w="108" w:type="dxa"/>
            <w:bottom w:w="0" w:type="dxa"/>
            <w:right w:w="108" w:type="dxa"/>
          </w:tblCellMar>
        </w:tblPrEx>
        <w:trPr>
          <w:trHeight w:val="384"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14:paraId="5A5AAADF">
            <w:pPr>
              <w:jc w:val="center"/>
              <w:rPr>
                <w:rFonts w:ascii="Times New Roman" w:hAnsi="Times New Roman"/>
                <w:color w:val="auto"/>
                <w:kern w:val="0"/>
                <w:sz w:val="24"/>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14:paraId="2E7A4880">
            <w:pPr>
              <w:pStyle w:val="13"/>
              <w:jc w:val="center"/>
              <w:rPr>
                <w:rFonts w:ascii="Times New Roman" w:hAnsi="Times New Roman" w:eastAsia="宋体"/>
                <w:color w:val="auto"/>
                <w:sz w:val="24"/>
                <w:szCs w:val="24"/>
                <w:highlight w:val="none"/>
              </w:rPr>
            </w:pPr>
          </w:p>
        </w:tc>
        <w:tc>
          <w:tcPr>
            <w:tcW w:w="2574" w:type="dxa"/>
            <w:tcBorders>
              <w:top w:val="single" w:color="auto" w:sz="4" w:space="0"/>
              <w:left w:val="single" w:color="auto" w:sz="4" w:space="0"/>
              <w:bottom w:val="single" w:color="auto" w:sz="4" w:space="0"/>
              <w:right w:val="single" w:color="auto" w:sz="4" w:space="0"/>
            </w:tcBorders>
            <w:vAlign w:val="center"/>
          </w:tcPr>
          <w:p w14:paraId="3ED74356">
            <w:pPr>
              <w:jc w:val="center"/>
              <w:rPr>
                <w:rFonts w:ascii="Times New Roman" w:hAnsi="Times New Roman"/>
                <w:color w:val="auto"/>
                <w:kern w:val="0"/>
                <w:sz w:val="24"/>
                <w:highlight w:val="none"/>
              </w:rPr>
            </w:pPr>
          </w:p>
        </w:tc>
        <w:tc>
          <w:tcPr>
            <w:tcW w:w="1326" w:type="dxa"/>
            <w:tcBorders>
              <w:top w:val="single" w:color="auto" w:sz="4" w:space="0"/>
              <w:left w:val="single" w:color="auto" w:sz="4" w:space="0"/>
              <w:bottom w:val="single" w:color="auto" w:sz="4" w:space="0"/>
              <w:right w:val="single" w:color="auto" w:sz="4" w:space="0"/>
            </w:tcBorders>
            <w:vAlign w:val="center"/>
          </w:tcPr>
          <w:p w14:paraId="11AFE079">
            <w:pPr>
              <w:jc w:val="center"/>
              <w:rPr>
                <w:rFonts w:ascii="Times New Roman" w:hAnsi="Times New Roman"/>
                <w:color w:val="auto"/>
                <w:kern w:val="0"/>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4C7D59BA">
            <w:pPr>
              <w:jc w:val="center"/>
              <w:rPr>
                <w:rFonts w:ascii="Times New Roman" w:hAnsi="Times New Roman"/>
                <w:color w:val="auto"/>
                <w:kern w:val="0"/>
                <w:sz w:val="24"/>
                <w:highlight w:val="none"/>
              </w:rPr>
            </w:pPr>
          </w:p>
        </w:tc>
        <w:tc>
          <w:tcPr>
            <w:tcW w:w="1350" w:type="dxa"/>
            <w:tcBorders>
              <w:top w:val="single" w:color="auto" w:sz="4" w:space="0"/>
              <w:left w:val="single" w:color="auto" w:sz="4" w:space="0"/>
              <w:bottom w:val="single" w:color="auto" w:sz="4" w:space="0"/>
              <w:right w:val="single" w:color="auto" w:sz="4" w:space="0"/>
            </w:tcBorders>
            <w:vAlign w:val="center"/>
          </w:tcPr>
          <w:p w14:paraId="27099A54">
            <w:pPr>
              <w:jc w:val="center"/>
              <w:rPr>
                <w:rFonts w:ascii="Times New Roman" w:hAnsi="Times New Roman"/>
                <w:color w:val="auto"/>
                <w:kern w:val="0"/>
                <w:sz w:val="24"/>
                <w:highlight w:val="none"/>
              </w:rPr>
            </w:pPr>
          </w:p>
        </w:tc>
        <w:tc>
          <w:tcPr>
            <w:tcW w:w="1641" w:type="dxa"/>
            <w:tcBorders>
              <w:top w:val="single" w:color="auto" w:sz="4" w:space="0"/>
              <w:left w:val="single" w:color="auto" w:sz="4" w:space="0"/>
              <w:bottom w:val="single" w:color="auto" w:sz="4" w:space="0"/>
              <w:right w:val="single" w:color="auto" w:sz="4" w:space="0"/>
            </w:tcBorders>
            <w:vAlign w:val="center"/>
          </w:tcPr>
          <w:p w14:paraId="30155B83">
            <w:pPr>
              <w:jc w:val="center"/>
              <w:rPr>
                <w:rFonts w:ascii="Times New Roman" w:hAnsi="Times New Roman"/>
                <w:color w:val="auto"/>
                <w:kern w:val="0"/>
                <w:sz w:val="24"/>
                <w:highlight w:val="none"/>
              </w:rPr>
            </w:pPr>
          </w:p>
        </w:tc>
      </w:tr>
      <w:tr w14:paraId="34266DCD">
        <w:tblPrEx>
          <w:tblCellMar>
            <w:top w:w="0" w:type="dxa"/>
            <w:left w:w="108" w:type="dxa"/>
            <w:bottom w:w="0" w:type="dxa"/>
            <w:right w:w="108" w:type="dxa"/>
          </w:tblCellMar>
        </w:tblPrEx>
        <w:trPr>
          <w:trHeight w:val="1125" w:hRule="atLeast"/>
          <w:jc w:val="center"/>
        </w:trPr>
        <w:tc>
          <w:tcPr>
            <w:tcW w:w="10284" w:type="dxa"/>
            <w:gridSpan w:val="7"/>
            <w:tcBorders>
              <w:top w:val="single" w:color="auto" w:sz="4" w:space="0"/>
              <w:left w:val="single" w:color="auto" w:sz="4" w:space="0"/>
              <w:bottom w:val="single" w:color="auto" w:sz="4" w:space="0"/>
              <w:right w:val="single" w:color="auto" w:sz="4" w:space="0"/>
            </w:tcBorders>
            <w:noWrap/>
            <w:vAlign w:val="center"/>
          </w:tcPr>
          <w:p w14:paraId="2C96801B">
            <w:pPr>
              <w:jc w:val="left"/>
              <w:rPr>
                <w:rFonts w:ascii="Times New Roman" w:hAnsi="Times New Roman"/>
                <w:bCs/>
                <w:color w:val="auto"/>
                <w:kern w:val="0"/>
                <w:sz w:val="24"/>
                <w:highlight w:val="none"/>
                <w:u w:val="single"/>
              </w:rPr>
            </w:pPr>
            <w:bookmarkStart w:id="93" w:name="_Toc271534438"/>
            <w:bookmarkStart w:id="94" w:name="_Toc224307577"/>
            <w:bookmarkStart w:id="95" w:name="_Toc224308538"/>
            <w:bookmarkStart w:id="96" w:name="_Toc271277266"/>
            <w:bookmarkStart w:id="97" w:name="_Toc248340240"/>
            <w:bookmarkStart w:id="98" w:name="_Toc224308400"/>
            <w:bookmarkStart w:id="99" w:name="_Toc248561122"/>
            <w:r>
              <w:rPr>
                <w:rFonts w:ascii="Times New Roman" w:hAnsi="Times New Roman"/>
                <w:bCs/>
                <w:color w:val="auto"/>
                <w:kern w:val="0"/>
                <w:sz w:val="24"/>
                <w:highlight w:val="none"/>
              </w:rPr>
              <w:t>总报价（人民币大写）：</w:t>
            </w:r>
            <w:r>
              <w:rPr>
                <w:rFonts w:ascii="Times New Roman" w:hAnsi="Times New Roman"/>
                <w:bCs/>
                <w:color w:val="auto"/>
                <w:kern w:val="0"/>
                <w:sz w:val="24"/>
                <w:highlight w:val="none"/>
                <w:u w:val="single"/>
              </w:rPr>
              <w:t xml:space="preserve">                                     </w:t>
            </w:r>
          </w:p>
          <w:p w14:paraId="4ED25456">
            <w:pPr>
              <w:jc w:val="left"/>
              <w:rPr>
                <w:rFonts w:ascii="Times New Roman" w:hAnsi="Times New Roman"/>
                <w:color w:val="auto"/>
                <w:kern w:val="0"/>
                <w:sz w:val="24"/>
                <w:highlight w:val="none"/>
              </w:rPr>
            </w:pPr>
            <w:r>
              <w:rPr>
                <w:rFonts w:ascii="Times New Roman" w:hAnsi="Times New Roman"/>
                <w:bCs/>
                <w:color w:val="auto"/>
                <w:kern w:val="0"/>
                <w:sz w:val="24"/>
                <w:highlight w:val="none"/>
              </w:rPr>
              <w:t>小写（ ￥</w:t>
            </w:r>
            <w:r>
              <w:rPr>
                <w:rFonts w:ascii="Times New Roman" w:hAnsi="Times New Roman"/>
                <w:bCs/>
                <w:color w:val="auto"/>
                <w:kern w:val="0"/>
                <w:sz w:val="24"/>
                <w:highlight w:val="none"/>
                <w:u w:val="single"/>
              </w:rPr>
              <w:t xml:space="preserve">                 </w:t>
            </w:r>
            <w:r>
              <w:rPr>
                <w:rFonts w:ascii="Times New Roman" w:hAnsi="Times New Roman"/>
                <w:bCs/>
                <w:color w:val="auto"/>
                <w:kern w:val="0"/>
                <w:sz w:val="24"/>
                <w:highlight w:val="none"/>
              </w:rPr>
              <w:t>）</w:t>
            </w:r>
            <w:bookmarkEnd w:id="93"/>
            <w:bookmarkEnd w:id="94"/>
            <w:bookmarkEnd w:id="95"/>
            <w:bookmarkEnd w:id="96"/>
            <w:bookmarkEnd w:id="97"/>
            <w:bookmarkEnd w:id="98"/>
            <w:bookmarkEnd w:id="99"/>
          </w:p>
        </w:tc>
      </w:tr>
    </w:tbl>
    <w:p w14:paraId="250AF170">
      <w:pPr>
        <w:pStyle w:val="12"/>
        <w:spacing w:before="120" w:line="360" w:lineRule="auto"/>
        <w:rPr>
          <w:rFonts w:ascii="Times New Roman" w:hAnsi="Times New Roman" w:eastAsia="宋体"/>
          <w:color w:val="auto"/>
          <w:sz w:val="24"/>
          <w:szCs w:val="24"/>
          <w:highlight w:val="none"/>
        </w:rPr>
      </w:pPr>
    </w:p>
    <w:p w14:paraId="2A80881C">
      <w:pPr>
        <w:pStyle w:val="12"/>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法定代表人</w:t>
      </w:r>
      <w:r>
        <w:rPr>
          <w:rFonts w:hint="eastAsia" w:ascii="Times New Roman" w:hAnsi="Times New Roman" w:eastAsia="宋体"/>
          <w:color w:val="auto"/>
          <w:sz w:val="24"/>
          <w:szCs w:val="24"/>
          <w:highlight w:val="none"/>
        </w:rPr>
        <w:t>（负责人）</w:t>
      </w:r>
      <w:r>
        <w:rPr>
          <w:rFonts w:ascii="Times New Roman" w:hAnsi="Times New Roman" w:eastAsia="宋体"/>
          <w:color w:val="auto"/>
          <w:sz w:val="24"/>
          <w:szCs w:val="24"/>
          <w:highlight w:val="none"/>
        </w:rPr>
        <w:t>或委托代理人（</w:t>
      </w:r>
      <w:r>
        <w:rPr>
          <w:rFonts w:hint="eastAsia" w:ascii="宋体" w:hAnsi="宋体"/>
          <w:color w:val="auto"/>
          <w:sz w:val="24"/>
          <w:highlight w:val="none"/>
        </w:rPr>
        <w:t>签字或电子签名</w:t>
      </w:r>
      <w:r>
        <w:rPr>
          <w:rFonts w:ascii="Times New Roman"/>
          <w:color w:val="auto"/>
          <w:spacing w:val="-108"/>
          <w:sz w:val="28"/>
          <w:szCs w:val="28"/>
          <w:highlight w:val="none"/>
        </w:rPr>
        <w:t>）</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6E6CED73">
      <w:pPr>
        <w:pStyle w:val="12"/>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w:t>
      </w:r>
    </w:p>
    <w:p w14:paraId="1062069C">
      <w:pPr>
        <w:pStyle w:val="12"/>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日期：</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年</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月</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日</w:t>
      </w:r>
    </w:p>
    <w:p w14:paraId="5CB5DDCB">
      <w:pPr>
        <w:snapToGrid w:val="0"/>
        <w:spacing w:before="50" w:after="50" w:line="300" w:lineRule="exact"/>
        <w:ind w:right="-817" w:rightChars="-389"/>
        <w:rPr>
          <w:rFonts w:ascii="Times New Roman" w:hAnsi="Times New Roman"/>
          <w:bCs/>
          <w:color w:val="auto"/>
          <w:sz w:val="24"/>
          <w:highlight w:val="none"/>
        </w:rPr>
      </w:pPr>
      <w:r>
        <w:rPr>
          <w:rFonts w:ascii="Times New Roman" w:hAnsi="Times New Roman"/>
          <w:bCs/>
          <w:color w:val="auto"/>
          <w:sz w:val="24"/>
          <w:highlight w:val="none"/>
        </w:rPr>
        <w:t>注</w:t>
      </w:r>
    </w:p>
    <w:p w14:paraId="73B63CE1">
      <w:pPr>
        <w:snapToGrid w:val="0"/>
        <w:spacing w:before="50" w:after="50" w:line="300" w:lineRule="exact"/>
        <w:ind w:right="-817" w:rightChars="-389"/>
        <w:rPr>
          <w:rFonts w:ascii="Times New Roman" w:hAnsi="Times New Roman"/>
          <w:b/>
          <w:bCs/>
          <w:color w:val="auto"/>
          <w:sz w:val="24"/>
          <w:highlight w:val="none"/>
        </w:rPr>
      </w:pPr>
      <w:r>
        <w:rPr>
          <w:rFonts w:hint="eastAsia" w:ascii="Times New Roman" w:hAnsi="Times New Roman"/>
          <w:bCs/>
          <w:color w:val="auto"/>
          <w:sz w:val="24"/>
          <w:highlight w:val="none"/>
          <w:lang w:val="en-US" w:eastAsia="zh-CN"/>
        </w:rPr>
        <w:t>1、</w:t>
      </w:r>
      <w:r>
        <w:rPr>
          <w:rFonts w:hint="eastAsia" w:ascii="Times New Roman" w:hAnsi="Times New Roman"/>
          <w:b w:val="0"/>
          <w:bCs w:val="0"/>
          <w:color w:val="auto"/>
          <w:sz w:val="24"/>
          <w:highlight w:val="none"/>
          <w:lang w:val="en-US" w:eastAsia="zh-CN"/>
        </w:rPr>
        <w:t>本表依据</w:t>
      </w:r>
      <w:r>
        <w:rPr>
          <w:rFonts w:hint="eastAsia" w:ascii="Times New Roman" w:hAnsi="Times New Roman" w:cs="Times New Roman"/>
          <w:b w:val="0"/>
          <w:bCs w:val="0"/>
          <w:color w:val="auto"/>
          <w:sz w:val="24"/>
          <w:highlight w:val="none"/>
          <w:lang w:val="en-US" w:eastAsia="zh-CN"/>
        </w:rPr>
        <w:t>《</w:t>
      </w:r>
      <w:r>
        <w:rPr>
          <w:rFonts w:hint="eastAsia" w:ascii="Times New Roman" w:hAnsi="Times New Roman" w:cs="Times New Roman"/>
          <w:color w:val="auto"/>
          <w:sz w:val="24"/>
          <w:highlight w:val="none"/>
        </w:rPr>
        <w:t>项目采购需求</w:t>
      </w:r>
      <w:r>
        <w:rPr>
          <w:rFonts w:hint="eastAsia" w:ascii="Times New Roman" w:hAnsi="Times New Roman" w:cs="Times New Roman"/>
          <w:b w:val="0"/>
          <w:bCs w:val="0"/>
          <w:color w:val="auto"/>
          <w:sz w:val="24"/>
          <w:highlight w:val="none"/>
          <w:lang w:val="en-US" w:eastAsia="zh-CN"/>
        </w:rPr>
        <w:t>》</w:t>
      </w:r>
      <w:r>
        <w:rPr>
          <w:rFonts w:hint="eastAsia" w:ascii="Times New Roman" w:hAnsi="Times New Roman"/>
          <w:b w:val="0"/>
          <w:bCs w:val="0"/>
          <w:color w:val="auto"/>
          <w:sz w:val="24"/>
          <w:highlight w:val="none"/>
          <w:lang w:val="en-US" w:eastAsia="zh-CN"/>
        </w:rPr>
        <w:t>逐一填写，缺项或漏项均视为投标无效</w:t>
      </w:r>
    </w:p>
    <w:p w14:paraId="5CAFBE8D">
      <w:pPr>
        <w:numPr>
          <w:ilvl w:val="0"/>
          <w:numId w:val="7"/>
        </w:numPr>
        <w:snapToGrid w:val="0"/>
        <w:spacing w:before="50" w:after="50" w:line="300" w:lineRule="exact"/>
        <w:ind w:right="-817" w:rightChars="-389"/>
        <w:rPr>
          <w:rFonts w:ascii="Times New Roman" w:hAnsi="Times New Roman"/>
          <w:b/>
          <w:bCs/>
          <w:color w:val="auto"/>
          <w:sz w:val="24"/>
          <w:highlight w:val="none"/>
        </w:rPr>
      </w:pPr>
      <w:r>
        <w:rPr>
          <w:rFonts w:ascii="Times New Roman" w:hAnsi="Times New Roman"/>
          <w:b/>
          <w:bCs/>
          <w:color w:val="auto"/>
          <w:sz w:val="24"/>
          <w:highlight w:val="none"/>
        </w:rPr>
        <w:t>投标人所投的标都必须按以上格式加盖单位公章并</w:t>
      </w:r>
      <w:r>
        <w:rPr>
          <w:rFonts w:hint="eastAsia" w:ascii="Times New Roman" w:hAnsi="Times New Roman"/>
          <w:b/>
          <w:bCs/>
          <w:color w:val="auto"/>
          <w:sz w:val="24"/>
          <w:highlight w:val="none"/>
        </w:rPr>
        <w:t>签字或电子签名</w:t>
      </w:r>
      <w:r>
        <w:rPr>
          <w:rFonts w:ascii="Times New Roman" w:hAnsi="Times New Roman"/>
          <w:b/>
          <w:bCs/>
          <w:color w:val="auto"/>
          <w:sz w:val="24"/>
          <w:highlight w:val="none"/>
        </w:rPr>
        <w:t>，无盖章和</w:t>
      </w:r>
      <w:r>
        <w:rPr>
          <w:rFonts w:hint="eastAsia" w:ascii="Times New Roman" w:hAnsi="Times New Roman"/>
          <w:b/>
          <w:bCs/>
          <w:color w:val="auto"/>
          <w:sz w:val="24"/>
          <w:highlight w:val="none"/>
        </w:rPr>
        <w:t>签字或电子签名</w:t>
      </w:r>
      <w:r>
        <w:rPr>
          <w:rFonts w:ascii="Times New Roman" w:hAnsi="Times New Roman"/>
          <w:b/>
          <w:bCs/>
          <w:color w:val="auto"/>
          <w:sz w:val="24"/>
          <w:highlight w:val="none"/>
        </w:rPr>
        <w:t>的报价无效。</w:t>
      </w:r>
    </w:p>
    <w:p w14:paraId="73E54E36">
      <w:pPr>
        <w:numPr>
          <w:ilvl w:val="0"/>
          <w:numId w:val="7"/>
        </w:numPr>
        <w:snapToGrid w:val="0"/>
        <w:spacing w:before="50" w:after="50" w:line="300" w:lineRule="exact"/>
        <w:ind w:right="-817" w:rightChars="-389"/>
        <w:rPr>
          <w:rFonts w:ascii="Times New Roman" w:hAnsi="Times New Roman"/>
          <w:b/>
          <w:bCs/>
          <w:color w:val="auto"/>
          <w:sz w:val="24"/>
          <w:highlight w:val="none"/>
        </w:rPr>
      </w:pPr>
      <w:r>
        <w:rPr>
          <w:rFonts w:hint="eastAsia" w:ascii="Times New Roman" w:hAnsi="Times New Roman"/>
          <w:b/>
          <w:bCs/>
          <w:color w:val="auto"/>
          <w:sz w:val="24"/>
          <w:highlight w:val="none"/>
        </w:rPr>
        <w:t>如为联合体投标，“投标人名称”处必须列明联合体各方名称，并标注联合体牵头人名称，否则其投标作无效标处理。</w:t>
      </w:r>
    </w:p>
    <w:p w14:paraId="44CBF30D">
      <w:pPr>
        <w:numPr>
          <w:ilvl w:val="0"/>
          <w:numId w:val="7"/>
        </w:numPr>
        <w:snapToGrid w:val="0"/>
        <w:spacing w:before="50" w:after="50" w:line="300" w:lineRule="exact"/>
        <w:ind w:right="-817" w:rightChars="-389"/>
        <w:rPr>
          <w:rFonts w:ascii="Times New Roman" w:hAnsi="Times New Roman"/>
          <w:b/>
          <w:bCs/>
          <w:color w:val="auto"/>
          <w:sz w:val="24"/>
          <w:highlight w:val="none"/>
        </w:rPr>
      </w:pPr>
      <w:r>
        <w:rPr>
          <w:rFonts w:hint="eastAsia" w:ascii="Times New Roman" w:hAnsi="Times New Roman"/>
          <w:b/>
          <w:bCs/>
          <w:color w:val="auto"/>
          <w:sz w:val="24"/>
          <w:highlight w:val="none"/>
        </w:rPr>
        <w:t>如为联合体投标，盖章处须加盖联合体牵头人</w:t>
      </w:r>
      <w:r>
        <w:rPr>
          <w:rFonts w:hint="eastAsia" w:ascii="Times New Roman" w:hAnsi="Times New Roman"/>
          <w:b/>
          <w:bCs/>
          <w:color w:val="auto"/>
          <w:sz w:val="24"/>
          <w:highlight w:val="none"/>
          <w:lang w:eastAsia="zh-CN"/>
        </w:rPr>
        <w:t>公章或</w:t>
      </w:r>
      <w:r>
        <w:rPr>
          <w:rFonts w:hint="eastAsia" w:ascii="Times New Roman" w:hAnsi="Times New Roman"/>
          <w:b/>
          <w:bCs/>
          <w:color w:val="auto"/>
          <w:sz w:val="24"/>
          <w:highlight w:val="none"/>
        </w:rPr>
        <w:t>电子签章，否则其投标作无效标处理。</w:t>
      </w:r>
    </w:p>
    <w:p w14:paraId="62A7D805">
      <w:pPr>
        <w:numPr>
          <w:ilvl w:val="-1"/>
          <w:numId w:val="0"/>
        </w:numPr>
        <w:snapToGrid w:val="0"/>
        <w:spacing w:before="50" w:after="50" w:line="300" w:lineRule="exact"/>
        <w:ind w:right="-817" w:rightChars="-389"/>
        <w:rPr>
          <w:rFonts w:ascii="Times New Roman" w:hAnsi="Times New Roman"/>
          <w:b/>
          <w:bCs/>
          <w:color w:val="auto"/>
          <w:sz w:val="24"/>
          <w:highlight w:val="none"/>
        </w:rPr>
      </w:pPr>
    </w:p>
    <w:p w14:paraId="7579C491">
      <w:pPr>
        <w:snapToGrid w:val="0"/>
        <w:spacing w:before="50" w:after="50" w:line="300" w:lineRule="exact"/>
        <w:ind w:firstLine="1200" w:firstLineChars="500"/>
        <w:rPr>
          <w:rFonts w:ascii="Times New Roman" w:hAnsi="Times New Roman"/>
          <w:color w:val="auto"/>
          <w:szCs w:val="21"/>
          <w:highlight w:val="none"/>
        </w:rPr>
      </w:pPr>
      <w:r>
        <w:rPr>
          <w:rFonts w:ascii="Times New Roman" w:hAnsi="Times New Roman"/>
          <w:color w:val="auto"/>
          <w:sz w:val="24"/>
          <w:highlight w:val="none"/>
        </w:rPr>
        <w:t xml:space="preserve">                </w:t>
      </w:r>
      <w:r>
        <w:rPr>
          <w:rFonts w:ascii="Times New Roman" w:hAnsi="Times New Roman"/>
          <w:color w:val="auto"/>
          <w:szCs w:val="21"/>
          <w:highlight w:val="none"/>
        </w:rPr>
        <w:t xml:space="preserve">      </w:t>
      </w:r>
    </w:p>
    <w:p w14:paraId="7B81B7D3">
      <w:pPr>
        <w:snapToGrid w:val="0"/>
        <w:spacing w:before="50" w:after="50" w:line="300" w:lineRule="exact"/>
        <w:rPr>
          <w:rFonts w:ascii="Times New Roman" w:hAnsi="Times New Roman"/>
          <w:color w:val="auto"/>
          <w:szCs w:val="21"/>
          <w:highlight w:val="none"/>
        </w:rPr>
      </w:pPr>
    </w:p>
    <w:p w14:paraId="3EEF130F">
      <w:pPr>
        <w:pStyle w:val="9"/>
        <w:rPr>
          <w:rFonts w:ascii="Times New Roman" w:hAnsi="Times New Roman" w:eastAsia="宋体"/>
          <w:color w:val="auto"/>
          <w:szCs w:val="21"/>
          <w:highlight w:val="none"/>
        </w:rPr>
      </w:pPr>
    </w:p>
    <w:p w14:paraId="55270532">
      <w:pPr>
        <w:rPr>
          <w:rFonts w:ascii="Times New Roman" w:hAnsi="Times New Roman"/>
          <w:color w:val="auto"/>
          <w:szCs w:val="21"/>
          <w:highlight w:val="none"/>
        </w:rPr>
      </w:pPr>
    </w:p>
    <w:p w14:paraId="23A26A5E">
      <w:pPr>
        <w:pStyle w:val="9"/>
        <w:rPr>
          <w:rFonts w:ascii="Times New Roman" w:hAnsi="Times New Roman" w:eastAsia="宋体"/>
          <w:color w:val="auto"/>
          <w:szCs w:val="21"/>
          <w:highlight w:val="none"/>
        </w:rPr>
      </w:pPr>
    </w:p>
    <w:p w14:paraId="6839D6A8">
      <w:pPr>
        <w:rPr>
          <w:rFonts w:ascii="Times New Roman" w:hAnsi="Times New Roman"/>
          <w:color w:val="auto"/>
          <w:szCs w:val="21"/>
          <w:highlight w:val="none"/>
        </w:rPr>
      </w:pPr>
    </w:p>
    <w:p w14:paraId="02CB96A3">
      <w:pPr>
        <w:pStyle w:val="9"/>
        <w:rPr>
          <w:rFonts w:ascii="Times New Roman" w:hAnsi="Times New Roman" w:eastAsia="宋体"/>
          <w:color w:val="auto"/>
          <w:szCs w:val="21"/>
          <w:highlight w:val="none"/>
        </w:rPr>
      </w:pPr>
    </w:p>
    <w:p w14:paraId="315EAF58">
      <w:pPr>
        <w:rPr>
          <w:rFonts w:ascii="Times New Roman" w:hAnsi="Times New Roman"/>
          <w:color w:val="auto"/>
          <w:szCs w:val="21"/>
          <w:highlight w:val="none"/>
        </w:rPr>
      </w:pPr>
    </w:p>
    <w:p w14:paraId="0CE8BEEC">
      <w:pPr>
        <w:rPr>
          <w:rFonts w:ascii="Times New Roman" w:hAnsi="Times New Roman"/>
          <w:color w:val="auto"/>
          <w:szCs w:val="21"/>
          <w:highlight w:val="none"/>
        </w:rPr>
      </w:pPr>
    </w:p>
    <w:p w14:paraId="059F435E">
      <w:pPr>
        <w:pStyle w:val="12"/>
        <w:spacing w:line="288" w:lineRule="auto"/>
        <w:rPr>
          <w:rFonts w:ascii="Times New Roman" w:hAnsi="Times New Roman" w:eastAsia="宋体"/>
          <w:b/>
          <w:color w:val="auto"/>
          <w:sz w:val="32"/>
          <w:highlight w:val="none"/>
        </w:rPr>
      </w:pPr>
    </w:p>
    <w:p w14:paraId="4D41626B">
      <w:pPr>
        <w:pStyle w:val="12"/>
        <w:spacing w:line="288" w:lineRule="auto"/>
        <w:jc w:val="center"/>
        <w:rPr>
          <w:rFonts w:ascii="Times New Roman" w:hAnsi="Times New Roman" w:eastAsia="宋体"/>
          <w:b/>
          <w:color w:val="auto"/>
          <w:sz w:val="32"/>
          <w:highlight w:val="none"/>
        </w:rPr>
      </w:pPr>
      <w:r>
        <w:rPr>
          <w:rFonts w:ascii="Times New Roman" w:hAnsi="Times New Roman" w:eastAsia="宋体"/>
          <w:b/>
          <w:color w:val="auto"/>
          <w:sz w:val="32"/>
          <w:highlight w:val="none"/>
        </w:rPr>
        <w:t>开标一览表（格式）</w:t>
      </w:r>
    </w:p>
    <w:p w14:paraId="1CFBF84A">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项目名称：</w:t>
      </w:r>
      <w:r>
        <w:rPr>
          <w:rFonts w:ascii="Times New Roman" w:hAnsi="Times New Roman"/>
          <w:color w:val="auto"/>
          <w:sz w:val="24"/>
          <w:highlight w:val="none"/>
          <w:u w:val="single"/>
        </w:rPr>
        <w:t xml:space="preserve">                      </w:t>
      </w:r>
    </w:p>
    <w:p w14:paraId="6A16A879">
      <w:pPr>
        <w:spacing w:line="360" w:lineRule="auto"/>
        <w:ind w:firstLine="480" w:firstLineChars="200"/>
        <w:jc w:val="left"/>
        <w:rPr>
          <w:rFonts w:ascii="Times New Roman" w:hAnsi="Times New Roman"/>
          <w:color w:val="auto"/>
          <w:sz w:val="24"/>
          <w:highlight w:val="none"/>
          <w:u w:val="single"/>
        </w:rPr>
      </w:pPr>
      <w:r>
        <w:rPr>
          <w:rFonts w:ascii="Times New Roman" w:hAnsi="Times New Roman"/>
          <w:color w:val="auto"/>
          <w:sz w:val="24"/>
          <w:highlight w:val="none"/>
        </w:rPr>
        <w:t>项目编号：</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rPr>
        <w:t xml:space="preserve"> </w:t>
      </w:r>
    </w:p>
    <w:tbl>
      <w:tblPr>
        <w:tblStyle w:val="19"/>
        <w:tblpPr w:leftFromText="180" w:rightFromText="180" w:vertAnchor="text" w:horzAnchor="page" w:tblpX="1036" w:tblpY="320"/>
        <w:tblOverlap w:val="never"/>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934"/>
        <w:gridCol w:w="4812"/>
        <w:gridCol w:w="1441"/>
      </w:tblGrid>
      <w:tr w14:paraId="7B02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795" w:type="dxa"/>
            <w:tcBorders>
              <w:top w:val="single" w:color="auto" w:sz="4" w:space="0"/>
              <w:left w:val="single" w:color="auto" w:sz="4" w:space="0"/>
              <w:bottom w:val="single" w:color="auto" w:sz="4" w:space="0"/>
              <w:right w:val="single" w:color="auto" w:sz="4" w:space="0"/>
            </w:tcBorders>
            <w:vAlign w:val="center"/>
          </w:tcPr>
          <w:p w14:paraId="5F7CF1E3">
            <w:pPr>
              <w:pStyle w:val="12"/>
              <w:jc w:val="center"/>
              <w:rPr>
                <w:rFonts w:ascii="Times New Roman" w:hAnsi="Times New Roman" w:eastAsia="宋体"/>
                <w:color w:val="auto"/>
                <w:spacing w:val="-20"/>
                <w:sz w:val="24"/>
                <w:szCs w:val="24"/>
                <w:highlight w:val="none"/>
              </w:rPr>
            </w:pPr>
            <w:r>
              <w:rPr>
                <w:rFonts w:ascii="Times New Roman" w:hAnsi="Times New Roman" w:eastAsia="宋体"/>
                <w:color w:val="auto"/>
                <w:sz w:val="24"/>
                <w:szCs w:val="24"/>
                <w:highlight w:val="none"/>
              </w:rPr>
              <w:t>序号</w:t>
            </w:r>
          </w:p>
        </w:tc>
        <w:tc>
          <w:tcPr>
            <w:tcW w:w="2934" w:type="dxa"/>
            <w:tcBorders>
              <w:top w:val="single" w:color="auto" w:sz="4" w:space="0"/>
              <w:left w:val="single" w:color="auto" w:sz="4" w:space="0"/>
              <w:bottom w:val="single" w:color="auto" w:sz="4" w:space="0"/>
              <w:right w:val="single" w:color="auto" w:sz="4" w:space="0"/>
            </w:tcBorders>
            <w:vAlign w:val="center"/>
          </w:tcPr>
          <w:p w14:paraId="6E703AC8">
            <w:pPr>
              <w:pStyle w:val="12"/>
              <w:jc w:val="center"/>
              <w:rPr>
                <w:rFonts w:ascii="Times New Roman" w:hAnsi="Times New Roman" w:eastAsia="宋体"/>
                <w:color w:val="auto"/>
                <w:spacing w:val="-20"/>
                <w:sz w:val="24"/>
                <w:szCs w:val="24"/>
                <w:highlight w:val="none"/>
              </w:rPr>
            </w:pPr>
            <w:r>
              <w:rPr>
                <w:rFonts w:ascii="Times New Roman" w:hAnsi="Times New Roman" w:eastAsia="宋体"/>
                <w:color w:val="auto"/>
                <w:sz w:val="24"/>
                <w:szCs w:val="24"/>
                <w:highlight w:val="none"/>
              </w:rPr>
              <w:t>项目</w:t>
            </w:r>
          </w:p>
        </w:tc>
        <w:tc>
          <w:tcPr>
            <w:tcW w:w="4812" w:type="dxa"/>
            <w:tcBorders>
              <w:top w:val="single" w:color="auto" w:sz="4" w:space="0"/>
              <w:left w:val="single" w:color="auto" w:sz="4" w:space="0"/>
              <w:bottom w:val="single" w:color="auto" w:sz="4" w:space="0"/>
              <w:right w:val="single" w:color="auto" w:sz="4" w:space="0"/>
            </w:tcBorders>
            <w:vAlign w:val="center"/>
          </w:tcPr>
          <w:p w14:paraId="648DC495">
            <w:pPr>
              <w:jc w:val="center"/>
              <w:rPr>
                <w:rFonts w:ascii="Times New Roman" w:hAnsi="Times New Roman"/>
                <w:color w:val="auto"/>
                <w:sz w:val="24"/>
                <w:highlight w:val="none"/>
              </w:rPr>
            </w:pPr>
            <w:r>
              <w:rPr>
                <w:rFonts w:ascii="Times New Roman" w:hAnsi="Times New Roman"/>
                <w:color w:val="auto"/>
                <w:sz w:val="24"/>
                <w:highlight w:val="none"/>
              </w:rPr>
              <w:t>内容</w:t>
            </w:r>
          </w:p>
        </w:tc>
        <w:tc>
          <w:tcPr>
            <w:tcW w:w="1441" w:type="dxa"/>
            <w:tcBorders>
              <w:top w:val="single" w:color="auto" w:sz="4" w:space="0"/>
              <w:left w:val="single" w:color="auto" w:sz="4" w:space="0"/>
              <w:bottom w:val="single" w:color="auto" w:sz="4" w:space="0"/>
              <w:right w:val="single" w:color="auto" w:sz="4" w:space="0"/>
            </w:tcBorders>
            <w:vAlign w:val="center"/>
          </w:tcPr>
          <w:p w14:paraId="095DFC81">
            <w:pPr>
              <w:jc w:val="center"/>
              <w:rPr>
                <w:rFonts w:ascii="Times New Roman" w:hAnsi="Times New Roman"/>
                <w:color w:val="auto"/>
                <w:sz w:val="24"/>
                <w:highlight w:val="none"/>
              </w:rPr>
            </w:pPr>
            <w:r>
              <w:rPr>
                <w:rFonts w:ascii="Times New Roman" w:hAnsi="Times New Roman"/>
                <w:color w:val="auto"/>
                <w:sz w:val="24"/>
                <w:highlight w:val="none"/>
              </w:rPr>
              <w:t>备注</w:t>
            </w:r>
          </w:p>
        </w:tc>
      </w:tr>
      <w:tr w14:paraId="036D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95" w:type="dxa"/>
            <w:vMerge w:val="restart"/>
            <w:tcBorders>
              <w:top w:val="single" w:color="auto" w:sz="4" w:space="0"/>
              <w:left w:val="single" w:color="auto" w:sz="4" w:space="0"/>
              <w:right w:val="single" w:color="auto" w:sz="4" w:space="0"/>
            </w:tcBorders>
            <w:vAlign w:val="center"/>
          </w:tcPr>
          <w:p w14:paraId="257E7F31">
            <w:pPr>
              <w:jc w:val="center"/>
              <w:rPr>
                <w:rFonts w:ascii="Times New Roman" w:hAnsi="Times New Roman"/>
                <w:color w:val="auto"/>
                <w:sz w:val="24"/>
                <w:highlight w:val="none"/>
              </w:rPr>
            </w:pPr>
            <w:r>
              <w:rPr>
                <w:rFonts w:ascii="Times New Roman" w:hAnsi="Times New Roman"/>
                <w:color w:val="auto"/>
                <w:sz w:val="24"/>
                <w:highlight w:val="none"/>
              </w:rPr>
              <w:t>1</w:t>
            </w:r>
          </w:p>
        </w:tc>
        <w:tc>
          <w:tcPr>
            <w:tcW w:w="2934" w:type="dxa"/>
            <w:vMerge w:val="restart"/>
            <w:tcBorders>
              <w:top w:val="single" w:color="auto" w:sz="4" w:space="0"/>
              <w:left w:val="single" w:color="auto" w:sz="4" w:space="0"/>
              <w:right w:val="single" w:color="auto" w:sz="4" w:space="0"/>
            </w:tcBorders>
            <w:vAlign w:val="center"/>
          </w:tcPr>
          <w:p w14:paraId="27A09CD4">
            <w:pPr>
              <w:snapToGrid w:val="0"/>
              <w:spacing w:line="400" w:lineRule="exact"/>
              <w:jc w:val="left"/>
              <w:rPr>
                <w:rFonts w:ascii="Times New Roman" w:hAnsi="Times New Roman"/>
                <w:color w:val="auto"/>
                <w:sz w:val="24"/>
                <w:highlight w:val="none"/>
              </w:rPr>
            </w:pPr>
            <w:r>
              <w:rPr>
                <w:rFonts w:ascii="Times New Roman" w:hAnsi="Times New Roman"/>
                <w:color w:val="auto"/>
                <w:sz w:val="24"/>
                <w:highlight w:val="none"/>
              </w:rPr>
              <w:t>投标总报价（元）</w:t>
            </w:r>
          </w:p>
        </w:tc>
        <w:tc>
          <w:tcPr>
            <w:tcW w:w="4812" w:type="dxa"/>
            <w:tcBorders>
              <w:top w:val="single" w:color="auto" w:sz="4" w:space="0"/>
              <w:left w:val="single" w:color="auto" w:sz="4" w:space="0"/>
              <w:right w:val="single" w:color="auto" w:sz="4" w:space="0"/>
            </w:tcBorders>
            <w:vAlign w:val="center"/>
          </w:tcPr>
          <w:p w14:paraId="7C0927B4">
            <w:pPr>
              <w:pStyle w:val="12"/>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（大写）人民币：</w:t>
            </w:r>
          </w:p>
        </w:tc>
        <w:tc>
          <w:tcPr>
            <w:tcW w:w="1441" w:type="dxa"/>
            <w:vMerge w:val="restart"/>
            <w:tcBorders>
              <w:top w:val="single" w:color="auto" w:sz="4" w:space="0"/>
              <w:left w:val="single" w:color="auto" w:sz="4" w:space="0"/>
              <w:right w:val="single" w:color="auto" w:sz="4" w:space="0"/>
            </w:tcBorders>
            <w:vAlign w:val="center"/>
          </w:tcPr>
          <w:p w14:paraId="01465BEC">
            <w:pPr>
              <w:pStyle w:val="12"/>
              <w:rPr>
                <w:rFonts w:ascii="Times New Roman" w:hAnsi="Times New Roman" w:eastAsia="宋体"/>
                <w:color w:val="auto"/>
                <w:spacing w:val="-6"/>
                <w:sz w:val="24"/>
                <w:szCs w:val="24"/>
                <w:highlight w:val="none"/>
              </w:rPr>
            </w:pPr>
          </w:p>
        </w:tc>
      </w:tr>
      <w:tr w14:paraId="1DFD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95" w:type="dxa"/>
            <w:vMerge w:val="continue"/>
            <w:tcBorders>
              <w:left w:val="single" w:color="auto" w:sz="4" w:space="0"/>
              <w:right w:val="single" w:color="auto" w:sz="4" w:space="0"/>
            </w:tcBorders>
            <w:vAlign w:val="center"/>
          </w:tcPr>
          <w:p w14:paraId="09BEAF2B">
            <w:pPr>
              <w:pStyle w:val="12"/>
              <w:rPr>
                <w:rFonts w:ascii="Times New Roman" w:hAnsi="Times New Roman" w:eastAsia="宋体"/>
                <w:color w:val="auto"/>
                <w:highlight w:val="none"/>
              </w:rPr>
            </w:pPr>
          </w:p>
        </w:tc>
        <w:tc>
          <w:tcPr>
            <w:tcW w:w="2934" w:type="dxa"/>
            <w:vMerge w:val="continue"/>
            <w:tcBorders>
              <w:left w:val="single" w:color="auto" w:sz="4" w:space="0"/>
              <w:right w:val="single" w:color="auto" w:sz="4" w:space="0"/>
            </w:tcBorders>
            <w:vAlign w:val="center"/>
          </w:tcPr>
          <w:p w14:paraId="1D9FD410">
            <w:pPr>
              <w:pStyle w:val="12"/>
              <w:rPr>
                <w:rFonts w:ascii="Times New Roman" w:hAnsi="Times New Roman" w:eastAsia="宋体"/>
                <w:color w:val="auto"/>
                <w:highlight w:val="none"/>
              </w:rPr>
            </w:pPr>
          </w:p>
        </w:tc>
        <w:tc>
          <w:tcPr>
            <w:tcW w:w="4812" w:type="dxa"/>
            <w:tcBorders>
              <w:top w:val="single" w:color="auto" w:sz="4" w:space="0"/>
              <w:left w:val="single" w:color="auto" w:sz="4" w:space="0"/>
              <w:right w:val="single" w:color="auto" w:sz="4" w:space="0"/>
            </w:tcBorders>
            <w:vAlign w:val="center"/>
          </w:tcPr>
          <w:p w14:paraId="3F48369A">
            <w:pPr>
              <w:pStyle w:val="12"/>
              <w:rPr>
                <w:rFonts w:ascii="Times New Roman" w:hAnsi="Times New Roman" w:eastAsia="宋体"/>
                <w:color w:val="auto"/>
                <w:spacing w:val="-6"/>
                <w:sz w:val="24"/>
                <w:szCs w:val="24"/>
                <w:highlight w:val="none"/>
              </w:rPr>
            </w:pPr>
            <w:r>
              <w:rPr>
                <w:rFonts w:ascii="Times New Roman" w:hAnsi="Times New Roman" w:eastAsia="宋体"/>
                <w:color w:val="auto"/>
                <w:spacing w:val="-6"/>
                <w:sz w:val="24"/>
                <w:szCs w:val="24"/>
                <w:highlight w:val="none"/>
              </w:rPr>
              <w:t>（小写）¥：</w:t>
            </w:r>
          </w:p>
        </w:tc>
        <w:tc>
          <w:tcPr>
            <w:tcW w:w="1441" w:type="dxa"/>
            <w:vMerge w:val="continue"/>
            <w:tcBorders>
              <w:left w:val="single" w:color="auto" w:sz="4" w:space="0"/>
              <w:bottom w:val="single" w:color="auto" w:sz="4" w:space="0"/>
              <w:right w:val="single" w:color="auto" w:sz="4" w:space="0"/>
            </w:tcBorders>
            <w:vAlign w:val="center"/>
          </w:tcPr>
          <w:p w14:paraId="38C094D6">
            <w:pPr>
              <w:pStyle w:val="12"/>
              <w:rPr>
                <w:rFonts w:ascii="Times New Roman" w:hAnsi="Times New Roman" w:eastAsia="宋体"/>
                <w:color w:val="auto"/>
                <w:spacing w:val="-6"/>
                <w:sz w:val="24"/>
                <w:szCs w:val="24"/>
                <w:highlight w:val="none"/>
              </w:rPr>
            </w:pPr>
          </w:p>
        </w:tc>
      </w:tr>
      <w:tr w14:paraId="17A39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795" w:type="dxa"/>
            <w:tcBorders>
              <w:top w:val="single" w:color="auto" w:sz="4" w:space="0"/>
              <w:left w:val="single" w:color="auto" w:sz="4" w:space="0"/>
              <w:right w:val="single" w:color="auto" w:sz="4" w:space="0"/>
            </w:tcBorders>
            <w:vAlign w:val="center"/>
          </w:tcPr>
          <w:p w14:paraId="65F8D3F3">
            <w:pPr>
              <w:jc w:val="center"/>
              <w:rPr>
                <w:rFonts w:ascii="Times New Roman" w:hAnsi="Times New Roman"/>
                <w:color w:val="auto"/>
                <w:sz w:val="24"/>
                <w:highlight w:val="none"/>
              </w:rPr>
            </w:pPr>
            <w:r>
              <w:rPr>
                <w:rFonts w:ascii="Times New Roman" w:hAnsi="Times New Roman"/>
                <w:color w:val="auto"/>
                <w:sz w:val="24"/>
                <w:highlight w:val="none"/>
              </w:rPr>
              <w:t>2</w:t>
            </w:r>
          </w:p>
        </w:tc>
        <w:tc>
          <w:tcPr>
            <w:tcW w:w="2934" w:type="dxa"/>
            <w:tcBorders>
              <w:top w:val="single" w:color="auto" w:sz="4" w:space="0"/>
              <w:left w:val="single" w:color="auto" w:sz="4" w:space="0"/>
              <w:right w:val="single" w:color="auto" w:sz="4" w:space="0"/>
            </w:tcBorders>
            <w:vAlign w:val="center"/>
          </w:tcPr>
          <w:p w14:paraId="0E7AE15D">
            <w:pPr>
              <w:snapToGrid w:val="0"/>
              <w:spacing w:line="400" w:lineRule="exact"/>
              <w:jc w:val="left"/>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合同履约期限</w:t>
            </w:r>
          </w:p>
        </w:tc>
        <w:tc>
          <w:tcPr>
            <w:tcW w:w="4812" w:type="dxa"/>
            <w:tcBorders>
              <w:top w:val="single" w:color="auto" w:sz="4" w:space="0"/>
              <w:left w:val="single" w:color="auto" w:sz="4" w:space="0"/>
              <w:right w:val="single" w:color="auto" w:sz="4" w:space="0"/>
            </w:tcBorders>
            <w:vAlign w:val="center"/>
          </w:tcPr>
          <w:p w14:paraId="3E2B1A45">
            <w:pPr>
              <w:pStyle w:val="12"/>
              <w:rPr>
                <w:rFonts w:ascii="Times New Roman" w:hAnsi="Times New Roman" w:eastAsia="宋体"/>
                <w:color w:val="auto"/>
                <w:spacing w:val="-6"/>
                <w:sz w:val="24"/>
                <w:szCs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05E39CB">
            <w:pPr>
              <w:pStyle w:val="12"/>
              <w:rPr>
                <w:rFonts w:ascii="Times New Roman" w:hAnsi="Times New Roman" w:eastAsia="宋体"/>
                <w:color w:val="auto"/>
                <w:spacing w:val="-6"/>
                <w:sz w:val="24"/>
                <w:szCs w:val="24"/>
                <w:highlight w:val="none"/>
              </w:rPr>
            </w:pPr>
          </w:p>
        </w:tc>
      </w:tr>
      <w:tr w14:paraId="2BD4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982" w:type="dxa"/>
            <w:gridSpan w:val="4"/>
            <w:tcBorders>
              <w:top w:val="single" w:color="auto" w:sz="4" w:space="0"/>
              <w:left w:val="single" w:color="auto" w:sz="4" w:space="0"/>
              <w:bottom w:val="single" w:color="auto" w:sz="4" w:space="0"/>
              <w:right w:val="single" w:color="auto" w:sz="4" w:space="0"/>
            </w:tcBorders>
            <w:vAlign w:val="center"/>
          </w:tcPr>
          <w:p w14:paraId="5B80B7B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投标报价</w:t>
            </w:r>
            <w:r>
              <w:rPr>
                <w:rFonts w:ascii="Times New Roman" w:hAnsi="Times New Roman"/>
                <w:color w:val="auto"/>
                <w:kern w:val="0"/>
                <w:sz w:val="24"/>
                <w:highlight w:val="none"/>
                <w:lang w:bidi="ar"/>
              </w:rPr>
              <w:t>包含全部员工工资、福利、加班费、奖金、服装费、固定资产折旧、生产工具、及道路保洁相关的其它支出，养老、医疗、失业、生育、工伤等社会保险和人身意外险等政府规定缴纳的费用</w:t>
            </w:r>
            <w:r>
              <w:rPr>
                <w:rFonts w:ascii="Times New Roman" w:hAnsi="Times New Roman"/>
                <w:color w:val="auto"/>
                <w:sz w:val="24"/>
                <w:highlight w:val="none"/>
              </w:rPr>
              <w:t>。</w:t>
            </w:r>
          </w:p>
        </w:tc>
      </w:tr>
    </w:tbl>
    <w:p w14:paraId="066F827C">
      <w:pPr>
        <w:pStyle w:val="13"/>
        <w:rPr>
          <w:rFonts w:ascii="Times New Roman" w:hAnsi="Times New Roman" w:eastAsia="宋体"/>
          <w:color w:val="auto"/>
          <w:highlight w:val="none"/>
        </w:rPr>
      </w:pPr>
    </w:p>
    <w:p w14:paraId="36616378">
      <w:pPr>
        <w:pStyle w:val="12"/>
        <w:spacing w:line="500" w:lineRule="exact"/>
        <w:rPr>
          <w:rFonts w:ascii="Times New Roman" w:hAnsi="Times New Roman" w:eastAsia="宋体"/>
          <w:b/>
          <w:bCs/>
          <w:color w:val="auto"/>
          <w:sz w:val="30"/>
          <w:szCs w:val="30"/>
          <w:highlight w:val="none"/>
        </w:rPr>
      </w:pPr>
    </w:p>
    <w:p w14:paraId="346F893D">
      <w:pPr>
        <w:pStyle w:val="12"/>
        <w:spacing w:before="120" w:line="360" w:lineRule="auto"/>
        <w:ind w:firstLine="420"/>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法定代表人</w:t>
      </w:r>
      <w:r>
        <w:rPr>
          <w:rFonts w:hint="eastAsia" w:ascii="Times New Roman" w:hAnsi="Times New Roman" w:eastAsia="宋体"/>
          <w:color w:val="auto"/>
          <w:sz w:val="24"/>
          <w:szCs w:val="24"/>
          <w:highlight w:val="none"/>
        </w:rPr>
        <w:t>（负责人）</w:t>
      </w:r>
      <w:r>
        <w:rPr>
          <w:rFonts w:ascii="Times New Roman" w:hAnsi="Times New Roman" w:eastAsia="宋体"/>
          <w:color w:val="auto"/>
          <w:sz w:val="24"/>
          <w:szCs w:val="24"/>
          <w:highlight w:val="none"/>
        </w:rPr>
        <w:t>或委托代理人（</w:t>
      </w:r>
      <w:r>
        <w:rPr>
          <w:rFonts w:hint="eastAsia" w:ascii="宋体" w:hAnsi="宋体"/>
          <w:color w:val="auto"/>
          <w:sz w:val="24"/>
          <w:highlight w:val="none"/>
        </w:rPr>
        <w:t>签字或电子签名</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53940F10">
      <w:pPr>
        <w:pStyle w:val="12"/>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7F8123A0">
      <w:pPr>
        <w:pStyle w:val="12"/>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日期：</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年</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月</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日</w:t>
      </w:r>
    </w:p>
    <w:p w14:paraId="72193D04">
      <w:pPr>
        <w:pStyle w:val="24"/>
        <w:rPr>
          <w:rFonts w:ascii="Times New Roman" w:hAnsi="Times New Roman"/>
          <w:b/>
          <w:bCs/>
          <w:color w:val="auto"/>
          <w:sz w:val="30"/>
          <w:szCs w:val="30"/>
          <w:highlight w:val="none"/>
        </w:rPr>
      </w:pPr>
    </w:p>
    <w:p w14:paraId="53C5E651">
      <w:pPr>
        <w:rPr>
          <w:rFonts w:ascii="Times New Roman" w:hAnsi="Times New Roman"/>
          <w:color w:val="auto"/>
          <w:highlight w:val="none"/>
        </w:rPr>
      </w:pPr>
    </w:p>
    <w:p w14:paraId="6EADF78F">
      <w:pPr>
        <w:pStyle w:val="12"/>
        <w:spacing w:line="288" w:lineRule="auto"/>
        <w:ind w:left="1050" w:hanging="1050" w:hangingChars="500"/>
        <w:rPr>
          <w:rFonts w:ascii="Times New Roman" w:hAnsi="Times New Roman" w:eastAsia="宋体"/>
          <w:bCs/>
          <w:color w:val="auto"/>
          <w:sz w:val="21"/>
          <w:highlight w:val="none"/>
        </w:rPr>
      </w:pPr>
      <w:r>
        <w:rPr>
          <w:rFonts w:ascii="Times New Roman" w:hAnsi="Times New Roman" w:eastAsia="宋体"/>
          <w:bCs/>
          <w:color w:val="auto"/>
          <w:sz w:val="21"/>
          <w:highlight w:val="none"/>
        </w:rPr>
        <w:t>投标说明：</w:t>
      </w:r>
    </w:p>
    <w:p w14:paraId="2DD26045">
      <w:pPr>
        <w:pStyle w:val="12"/>
        <w:spacing w:line="288" w:lineRule="auto"/>
        <w:rPr>
          <w:rFonts w:ascii="Times New Roman" w:hAnsi="Times New Roman" w:eastAsia="宋体"/>
          <w:bCs/>
          <w:color w:val="auto"/>
          <w:sz w:val="21"/>
          <w:highlight w:val="none"/>
        </w:rPr>
      </w:pPr>
      <w:r>
        <w:rPr>
          <w:rFonts w:hint="eastAsia" w:ascii="Times New Roman" w:hAnsi="Times New Roman" w:eastAsia="宋体"/>
          <w:bCs/>
          <w:color w:val="auto"/>
          <w:sz w:val="21"/>
          <w:highlight w:val="none"/>
        </w:rPr>
        <w:t xml:space="preserve">注: </w:t>
      </w:r>
    </w:p>
    <w:p w14:paraId="22A40162">
      <w:pPr>
        <w:pStyle w:val="12"/>
        <w:spacing w:line="288" w:lineRule="auto"/>
        <w:rPr>
          <w:rFonts w:ascii="Times New Roman" w:hAnsi="Times New Roman" w:eastAsia="宋体"/>
          <w:bCs/>
          <w:color w:val="auto"/>
          <w:sz w:val="21"/>
          <w:highlight w:val="none"/>
        </w:rPr>
      </w:pPr>
      <w:r>
        <w:rPr>
          <w:rFonts w:hint="eastAsia" w:ascii="Times New Roman" w:hAnsi="Times New Roman" w:eastAsia="宋体"/>
          <w:bCs/>
          <w:color w:val="auto"/>
          <w:sz w:val="21"/>
          <w:highlight w:val="none"/>
        </w:rPr>
        <w:t>1.投标人的开标一览表必须加盖投标人电子签章并由法定代表人或者委托代理人签字或者电子签名，否则其投标作无效标处理。</w:t>
      </w:r>
    </w:p>
    <w:p w14:paraId="3C5DFACA">
      <w:pPr>
        <w:pStyle w:val="12"/>
        <w:spacing w:line="288" w:lineRule="auto"/>
        <w:rPr>
          <w:rFonts w:ascii="Times New Roman" w:hAnsi="Times New Roman" w:eastAsia="宋体"/>
          <w:bCs/>
          <w:color w:val="auto"/>
          <w:sz w:val="21"/>
          <w:highlight w:val="none"/>
        </w:rPr>
      </w:pPr>
      <w:r>
        <w:rPr>
          <w:rFonts w:hint="eastAsia" w:ascii="Times New Roman" w:hAnsi="Times New Roman" w:eastAsia="宋体"/>
          <w:bCs/>
          <w:color w:val="auto"/>
          <w:sz w:val="21"/>
          <w:highlight w:val="none"/>
        </w:rPr>
        <w:t>2.报价一经涂改，应在涂改处加盖投标人公章或者加盖电子签章或者由法定代表人或者委托代理人签字（或者电子签名），否则其投标作无效标处理。</w:t>
      </w:r>
    </w:p>
    <w:p w14:paraId="0C1D48B8">
      <w:pPr>
        <w:pStyle w:val="12"/>
        <w:spacing w:line="288" w:lineRule="auto"/>
        <w:rPr>
          <w:rFonts w:ascii="Times New Roman" w:hAnsi="Times New Roman" w:eastAsia="宋体"/>
          <w:bCs/>
          <w:color w:val="auto"/>
          <w:sz w:val="21"/>
          <w:highlight w:val="none"/>
        </w:rPr>
      </w:pPr>
      <w:r>
        <w:rPr>
          <w:rFonts w:hint="eastAsia" w:ascii="Times New Roman" w:hAnsi="Times New Roman" w:eastAsia="宋体"/>
          <w:bCs/>
          <w:color w:val="auto"/>
          <w:sz w:val="21"/>
          <w:highlight w:val="none"/>
        </w:rPr>
        <w:t>3.招标文件中列明采购专用耗材的，应按招标文件规定的耗材量或者按耗材的常规试用量提供报价。</w:t>
      </w:r>
    </w:p>
    <w:p w14:paraId="54651E43">
      <w:pPr>
        <w:pStyle w:val="12"/>
        <w:spacing w:line="288" w:lineRule="auto"/>
        <w:rPr>
          <w:rFonts w:ascii="Times New Roman" w:hAnsi="Times New Roman" w:eastAsia="宋体"/>
          <w:bCs/>
          <w:color w:val="auto"/>
          <w:sz w:val="21"/>
          <w:highlight w:val="none"/>
        </w:rPr>
      </w:pPr>
      <w:r>
        <w:rPr>
          <w:rFonts w:hint="eastAsia" w:ascii="Times New Roman" w:hAnsi="Times New Roman" w:eastAsia="宋体"/>
          <w:bCs/>
          <w:color w:val="auto"/>
          <w:sz w:val="21"/>
          <w:highlight w:val="none"/>
        </w:rPr>
        <w:t>4.如为联合体投标，“投标人名称”处必须列明联合体各方名称，并标注联合体牵头人名称，否则其投标作无效标处理。</w:t>
      </w:r>
    </w:p>
    <w:p w14:paraId="43493BC9">
      <w:pPr>
        <w:pStyle w:val="12"/>
        <w:spacing w:line="288" w:lineRule="auto"/>
        <w:rPr>
          <w:rFonts w:ascii="Times New Roman" w:hAnsi="Times New Roman" w:eastAsia="宋体"/>
          <w:bCs/>
          <w:color w:val="auto"/>
          <w:sz w:val="21"/>
          <w:highlight w:val="none"/>
        </w:rPr>
      </w:pPr>
      <w:r>
        <w:rPr>
          <w:rFonts w:hint="eastAsia" w:ascii="Times New Roman" w:hAnsi="Times New Roman" w:eastAsia="宋体"/>
          <w:bCs/>
          <w:color w:val="auto"/>
          <w:sz w:val="21"/>
          <w:highlight w:val="none"/>
        </w:rPr>
        <w:t>5.如为联合体投标，盖章处须加盖联合体牵头人电子签章，否则其投标作无效标处理。</w:t>
      </w:r>
    </w:p>
    <w:p w14:paraId="251819F0">
      <w:pPr>
        <w:pStyle w:val="12"/>
        <w:spacing w:line="288" w:lineRule="auto"/>
        <w:rPr>
          <w:rFonts w:ascii="Times New Roman" w:hAnsi="Times New Roman" w:eastAsia="宋体"/>
          <w:bCs/>
          <w:color w:val="auto"/>
          <w:sz w:val="21"/>
          <w:highlight w:val="none"/>
        </w:rPr>
      </w:pPr>
      <w:r>
        <w:rPr>
          <w:rFonts w:hint="eastAsia" w:ascii="Times New Roman" w:hAnsi="Times New Roman" w:eastAsia="宋体"/>
          <w:bCs/>
          <w:color w:val="auto"/>
          <w:sz w:val="21"/>
          <w:highlight w:val="none"/>
        </w:rPr>
        <w:t>6.如有多分标，按分标分别提供开标一览表，否则投标无效。</w:t>
      </w:r>
    </w:p>
    <w:p w14:paraId="30CD1410">
      <w:pPr>
        <w:spacing w:line="500" w:lineRule="exact"/>
        <w:jc w:val="center"/>
        <w:rPr>
          <w:rFonts w:ascii="Times New Roman" w:hAnsi="Times New Roman"/>
          <w:b/>
          <w:bCs/>
          <w:color w:val="auto"/>
          <w:spacing w:val="6"/>
          <w:sz w:val="36"/>
          <w:szCs w:val="36"/>
          <w:highlight w:val="none"/>
        </w:rPr>
      </w:pPr>
    </w:p>
    <w:p w14:paraId="25994A10">
      <w:pPr>
        <w:spacing w:line="500" w:lineRule="exact"/>
        <w:rPr>
          <w:rFonts w:ascii="Times New Roman" w:hAnsi="Times New Roman"/>
          <w:b/>
          <w:bCs/>
          <w:color w:val="auto"/>
          <w:spacing w:val="6"/>
          <w:sz w:val="36"/>
          <w:szCs w:val="36"/>
          <w:highlight w:val="none"/>
        </w:rPr>
      </w:pPr>
    </w:p>
    <w:p w14:paraId="6FC0B1B5">
      <w:pPr>
        <w:spacing w:line="500" w:lineRule="exact"/>
        <w:jc w:val="center"/>
        <w:rPr>
          <w:rFonts w:ascii="Times New Roman" w:hAnsi="Times New Roman"/>
          <w:b/>
          <w:bCs/>
          <w:color w:val="auto"/>
          <w:spacing w:val="6"/>
          <w:sz w:val="36"/>
          <w:szCs w:val="36"/>
          <w:highlight w:val="none"/>
        </w:rPr>
      </w:pPr>
      <w:r>
        <w:rPr>
          <w:rFonts w:ascii="Times New Roman" w:hAnsi="Times New Roman"/>
          <w:b/>
          <w:bCs/>
          <w:color w:val="auto"/>
          <w:spacing w:val="6"/>
          <w:sz w:val="36"/>
          <w:szCs w:val="36"/>
          <w:highlight w:val="none"/>
        </w:rPr>
        <w:t>中小企业声明函（工程、服务）</w:t>
      </w:r>
    </w:p>
    <w:p w14:paraId="7CB099C6">
      <w:pPr>
        <w:spacing w:line="500" w:lineRule="exact"/>
        <w:jc w:val="center"/>
        <w:rPr>
          <w:rFonts w:ascii="Times New Roman" w:hAnsi="Times New Roman"/>
          <w:color w:val="auto"/>
          <w:sz w:val="28"/>
          <w:szCs w:val="28"/>
          <w:highlight w:val="none"/>
        </w:rPr>
      </w:pPr>
      <w:r>
        <w:rPr>
          <w:rFonts w:ascii="Times New Roman" w:hAnsi="Times New Roman"/>
          <w:color w:val="auto"/>
          <w:sz w:val="28"/>
          <w:szCs w:val="28"/>
          <w:highlight w:val="none"/>
        </w:rPr>
        <w:t xml:space="preserve"> </w:t>
      </w:r>
    </w:p>
    <w:p w14:paraId="62155127">
      <w:pPr>
        <w:widowControl/>
        <w:shd w:val="clear" w:color="auto" w:fill="FFFFFF"/>
        <w:spacing w:after="240"/>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本公司（联合体）郑重声明，根据《政府采购促进中小企业发展管理办法》（财库﹝2020﹞46号）的规定，本公司（联合体）参加</w:t>
      </w:r>
      <w:r>
        <w:rPr>
          <w:rFonts w:ascii="Times New Roman" w:hAnsi="Times New Roman"/>
          <w:color w:val="auto"/>
          <w:kern w:val="0"/>
          <w:sz w:val="24"/>
          <w:highlight w:val="none"/>
          <w:u w:val="single"/>
        </w:rPr>
        <w:t xml:space="preserve"> （单位名称） </w:t>
      </w:r>
      <w:r>
        <w:rPr>
          <w:rFonts w:ascii="Times New Roman" w:hAnsi="Times New Roman"/>
          <w:color w:val="auto"/>
          <w:kern w:val="0"/>
          <w:sz w:val="24"/>
          <w:highlight w:val="none"/>
        </w:rPr>
        <w:t xml:space="preserve">的 </w:t>
      </w:r>
      <w:r>
        <w:rPr>
          <w:rFonts w:ascii="Times New Roman" w:hAnsi="Times New Roman"/>
          <w:color w:val="auto"/>
          <w:kern w:val="0"/>
          <w:sz w:val="24"/>
          <w:highlight w:val="none"/>
          <w:u w:val="single"/>
        </w:rPr>
        <w:t xml:space="preserve">（项目名称） </w:t>
      </w:r>
      <w:r>
        <w:rPr>
          <w:rFonts w:ascii="Times New Roman" w:hAnsi="Times New Roman"/>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6A9ED2E">
      <w:pPr>
        <w:widowControl/>
        <w:shd w:val="clear" w:color="auto" w:fill="FFFFFF"/>
        <w:spacing w:after="240" w:line="360" w:lineRule="atLeast"/>
        <w:ind w:firstLine="480"/>
        <w:jc w:val="left"/>
        <w:rPr>
          <w:rFonts w:ascii="Times New Roman" w:hAnsi="Times New Roman"/>
          <w:color w:val="auto"/>
          <w:kern w:val="0"/>
          <w:sz w:val="24"/>
          <w:highlight w:val="none"/>
          <w:u w:val="single"/>
        </w:rPr>
      </w:pPr>
      <w:r>
        <w:rPr>
          <w:rFonts w:ascii="Times New Roman" w:hAnsi="Times New Roman"/>
          <w:color w:val="auto"/>
          <w:kern w:val="0"/>
          <w:sz w:val="24"/>
          <w:highlight w:val="none"/>
        </w:rPr>
        <w:t xml:space="preserve">1. </w:t>
      </w:r>
      <w:r>
        <w:rPr>
          <w:rFonts w:ascii="Times New Roman" w:hAnsi="Times New Roman"/>
          <w:color w:val="auto"/>
          <w:kern w:val="0"/>
          <w:sz w:val="24"/>
          <w:highlight w:val="none"/>
          <w:u w:val="single"/>
        </w:rPr>
        <w:t xml:space="preserve">（标的名称） </w:t>
      </w:r>
      <w:r>
        <w:rPr>
          <w:rFonts w:ascii="Times New Roman" w:hAnsi="Times New Roman"/>
          <w:color w:val="auto"/>
          <w:kern w:val="0"/>
          <w:sz w:val="24"/>
          <w:highlight w:val="none"/>
        </w:rPr>
        <w:t>，属于</w:t>
      </w:r>
      <w:r>
        <w:rPr>
          <w:rFonts w:ascii="Times New Roman" w:hAnsi="Times New Roman"/>
          <w:color w:val="auto"/>
          <w:kern w:val="0"/>
          <w:sz w:val="24"/>
          <w:highlight w:val="none"/>
          <w:u w:val="single"/>
        </w:rPr>
        <w:t xml:space="preserve"> （采购文件中明确的所属行业） </w:t>
      </w:r>
      <w:r>
        <w:rPr>
          <w:rFonts w:ascii="Times New Roman" w:hAnsi="Times New Roman"/>
          <w:color w:val="auto"/>
          <w:kern w:val="0"/>
          <w:sz w:val="24"/>
          <w:highlight w:val="none"/>
        </w:rPr>
        <w:t>；承建（承接）企业为</w:t>
      </w:r>
      <w:r>
        <w:rPr>
          <w:rFonts w:ascii="Times New Roman" w:hAnsi="Times New Roman"/>
          <w:color w:val="auto"/>
          <w:kern w:val="0"/>
          <w:sz w:val="24"/>
          <w:highlight w:val="none"/>
          <w:u w:val="single"/>
        </w:rPr>
        <w:t xml:space="preserve"> （企业名称） </w:t>
      </w:r>
      <w:r>
        <w:rPr>
          <w:rFonts w:ascii="Times New Roman" w:hAnsi="Times New Roman"/>
          <w:color w:val="auto"/>
          <w:kern w:val="0"/>
          <w:sz w:val="24"/>
          <w:highlight w:val="none"/>
        </w:rPr>
        <w:t>，从业人员</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人，营业收入为</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万元¹，资产总额为</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万元，属于</w:t>
      </w:r>
      <w:r>
        <w:rPr>
          <w:rFonts w:ascii="Times New Roman" w:hAnsi="Times New Roman"/>
          <w:color w:val="auto"/>
          <w:kern w:val="0"/>
          <w:sz w:val="24"/>
          <w:highlight w:val="none"/>
          <w:u w:val="single"/>
        </w:rPr>
        <w:t xml:space="preserve"> （中型企业、小型企业、微型企业）；</w:t>
      </w:r>
    </w:p>
    <w:p w14:paraId="1EE3DB5C">
      <w:pPr>
        <w:widowControl/>
        <w:shd w:val="clear" w:color="auto" w:fill="FFFFFF"/>
        <w:spacing w:after="240" w:line="360" w:lineRule="atLeast"/>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2.</w:t>
      </w:r>
      <w:r>
        <w:rPr>
          <w:rFonts w:ascii="Times New Roman" w:hAnsi="Times New Roman"/>
          <w:color w:val="auto"/>
          <w:kern w:val="0"/>
          <w:sz w:val="24"/>
          <w:highlight w:val="none"/>
          <w:u w:val="single"/>
        </w:rPr>
        <w:t xml:space="preserve"> （标的名称） </w:t>
      </w:r>
      <w:r>
        <w:rPr>
          <w:rFonts w:ascii="Times New Roman" w:hAnsi="Times New Roman"/>
          <w:color w:val="auto"/>
          <w:kern w:val="0"/>
          <w:sz w:val="24"/>
          <w:highlight w:val="none"/>
        </w:rPr>
        <w:t>，属于</w:t>
      </w:r>
      <w:r>
        <w:rPr>
          <w:rFonts w:ascii="Times New Roman" w:hAnsi="Times New Roman"/>
          <w:color w:val="auto"/>
          <w:kern w:val="0"/>
          <w:sz w:val="24"/>
          <w:highlight w:val="none"/>
          <w:u w:val="single"/>
        </w:rPr>
        <w:t xml:space="preserve"> （采购文件中明确的所属行业）</w:t>
      </w:r>
      <w:r>
        <w:rPr>
          <w:rFonts w:ascii="Times New Roman" w:hAnsi="Times New Roman"/>
          <w:color w:val="auto"/>
          <w:kern w:val="0"/>
          <w:sz w:val="24"/>
          <w:highlight w:val="none"/>
        </w:rPr>
        <w:t xml:space="preserve"> ；承建（承接）企业为</w:t>
      </w:r>
      <w:r>
        <w:rPr>
          <w:rFonts w:ascii="Times New Roman" w:hAnsi="Times New Roman"/>
          <w:color w:val="auto"/>
          <w:kern w:val="0"/>
          <w:sz w:val="24"/>
          <w:highlight w:val="none"/>
          <w:u w:val="single"/>
        </w:rPr>
        <w:t xml:space="preserve"> （企业名称） </w:t>
      </w:r>
      <w:r>
        <w:rPr>
          <w:rFonts w:ascii="Times New Roman" w:hAnsi="Times New Roman"/>
          <w:color w:val="auto"/>
          <w:kern w:val="0"/>
          <w:sz w:val="24"/>
          <w:highlight w:val="none"/>
        </w:rPr>
        <w:t>，从业人员</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人，营业收入为</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万元，资产总额为</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万元，属于</w:t>
      </w:r>
      <w:r>
        <w:rPr>
          <w:rFonts w:ascii="Times New Roman" w:hAnsi="Times New Roman"/>
          <w:color w:val="auto"/>
          <w:kern w:val="0"/>
          <w:sz w:val="24"/>
          <w:highlight w:val="none"/>
          <w:u w:val="single"/>
        </w:rPr>
        <w:t xml:space="preserve"> （中型企业、小型企业、微型企业） </w:t>
      </w:r>
      <w:r>
        <w:rPr>
          <w:rFonts w:ascii="Times New Roman" w:hAnsi="Times New Roman"/>
          <w:color w:val="auto"/>
          <w:kern w:val="0"/>
          <w:sz w:val="24"/>
          <w:highlight w:val="none"/>
        </w:rPr>
        <w:t>；</w:t>
      </w:r>
    </w:p>
    <w:p w14:paraId="7F4981B1">
      <w:pPr>
        <w:widowControl/>
        <w:shd w:val="clear" w:color="auto" w:fill="FFFFFF"/>
        <w:spacing w:after="240" w:line="360" w:lineRule="atLeast"/>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 .........</w:t>
      </w:r>
    </w:p>
    <w:p w14:paraId="4BDE055E">
      <w:pPr>
        <w:widowControl/>
        <w:shd w:val="clear" w:color="auto" w:fill="FFFFFF"/>
        <w:spacing w:after="240" w:line="360" w:lineRule="atLeast"/>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以上企业，不属于大企业的分支机构，不存在控股股东为大企业的情形，也不存在与大企业的负责人为同一人的情形。　　　　　　　　　　　　</w:t>
      </w:r>
    </w:p>
    <w:p w14:paraId="1B43C64F">
      <w:pPr>
        <w:widowControl/>
        <w:shd w:val="clear" w:color="auto" w:fill="FFFFFF"/>
        <w:spacing w:after="240" w:line="360" w:lineRule="atLeast"/>
        <w:ind w:firstLine="480" w:firstLineChars="200"/>
        <w:jc w:val="left"/>
        <w:rPr>
          <w:rFonts w:ascii="Times New Roman" w:hAnsi="Times New Roman"/>
          <w:color w:val="auto"/>
          <w:kern w:val="0"/>
          <w:sz w:val="24"/>
          <w:highlight w:val="none"/>
        </w:rPr>
      </w:pPr>
      <w:r>
        <w:rPr>
          <w:rFonts w:ascii="Times New Roman" w:hAnsi="Times New Roman"/>
          <w:color w:val="auto"/>
          <w:kern w:val="0"/>
          <w:sz w:val="24"/>
          <w:highlight w:val="none"/>
        </w:rPr>
        <w:t>本企业对上述声明内容的真实性负责。如有虚假，将依法承担相应责任。　　　　　　　　　　　</w:t>
      </w:r>
    </w:p>
    <w:p w14:paraId="52FB1B0C">
      <w:pPr>
        <w:widowControl/>
        <w:shd w:val="clear" w:color="auto" w:fill="FFFFFF"/>
        <w:spacing w:after="240" w:line="360" w:lineRule="atLeast"/>
        <w:ind w:firstLine="6000" w:firstLineChars="2500"/>
        <w:jc w:val="left"/>
        <w:rPr>
          <w:rFonts w:ascii="Times New Roman" w:hAnsi="Times New Roman"/>
          <w:color w:val="auto"/>
          <w:kern w:val="0"/>
          <w:sz w:val="24"/>
          <w:highlight w:val="none"/>
        </w:rPr>
      </w:pPr>
      <w:r>
        <w:rPr>
          <w:rFonts w:ascii="Times New Roman" w:hAnsi="Times New Roman"/>
          <w:color w:val="auto"/>
          <w:kern w:val="0"/>
          <w:sz w:val="24"/>
          <w:highlight w:val="none"/>
        </w:rPr>
        <w:t>企业名称（</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kern w:val="0"/>
          <w:sz w:val="24"/>
          <w:highlight w:val="none"/>
        </w:rPr>
        <w:t>）：</w:t>
      </w:r>
    </w:p>
    <w:p w14:paraId="2CCD8380">
      <w:pPr>
        <w:widowControl/>
        <w:shd w:val="clear" w:color="auto" w:fill="FFFFFF"/>
        <w:spacing w:after="240" w:line="360" w:lineRule="atLeast"/>
        <w:ind w:firstLine="480"/>
        <w:jc w:val="left"/>
        <w:rPr>
          <w:rFonts w:ascii="Times New Roman" w:hAnsi="Times New Roman"/>
          <w:color w:val="auto"/>
          <w:kern w:val="0"/>
          <w:sz w:val="24"/>
          <w:highlight w:val="none"/>
        </w:rPr>
      </w:pPr>
      <w:r>
        <w:rPr>
          <w:rFonts w:ascii="Times New Roman" w:hAnsi="Times New Roman"/>
          <w:color w:val="auto"/>
          <w:kern w:val="0"/>
          <w:sz w:val="24"/>
          <w:highlight w:val="none"/>
        </w:rPr>
        <w:t> 　　　　　　　　　　　　　　　　　　　　　　 日期：     年   月   日</w:t>
      </w:r>
    </w:p>
    <w:p w14:paraId="1C0FADF0">
      <w:pPr>
        <w:snapToGrid w:val="0"/>
        <w:spacing w:line="400" w:lineRule="exact"/>
        <w:jc w:val="left"/>
        <w:rPr>
          <w:rFonts w:ascii="Times New Roman" w:hAnsi="Times New Roman"/>
          <w:color w:val="auto"/>
          <w:sz w:val="22"/>
          <w:szCs w:val="22"/>
          <w:highlight w:val="none"/>
        </w:rPr>
      </w:pPr>
    </w:p>
    <w:p w14:paraId="5E1CBAB5">
      <w:pPr>
        <w:snapToGrid w:val="0"/>
        <w:spacing w:line="400" w:lineRule="exact"/>
        <w:jc w:val="left"/>
        <w:rPr>
          <w:rFonts w:ascii="Times New Roman" w:hAnsi="Times New Roman"/>
          <w:color w:val="auto"/>
          <w:sz w:val="22"/>
          <w:szCs w:val="22"/>
          <w:highlight w:val="none"/>
        </w:rPr>
      </w:pPr>
      <w:r>
        <w:rPr>
          <w:rFonts w:ascii="Times New Roman" w:hAnsi="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167640</wp:posOffset>
                </wp:positionV>
                <wp:extent cx="1854200" cy="19050"/>
                <wp:effectExtent l="0" t="4445" r="12700" b="5080"/>
                <wp:wrapNone/>
                <wp:docPr id="1" name="直线 123"/>
                <wp:cNvGraphicFramePr/>
                <a:graphic xmlns:a="http://schemas.openxmlformats.org/drawingml/2006/main">
                  <a:graphicData uri="http://schemas.microsoft.com/office/word/2010/wordprocessingShape">
                    <wps:wsp>
                      <wps:cNvCnPr/>
                      <wps:spPr>
                        <a:xfrm>
                          <a:off x="0" y="0"/>
                          <a:ext cx="1854200" cy="190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23" o:spid="_x0000_s1026" o:spt="20" style="position:absolute;left:0pt;margin-left:2.25pt;margin-top:13.2pt;height:1.5pt;width:146pt;z-index:251661312;mso-width-relative:page;mso-height-relative:page;" filled="f" stroked="t" coordsize="21600,21600" o:gfxdata="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nVLI&#10;1QAAAAcBAAAPAAAAAAAAAAEAIAAAACIAAABkcnMvZG93bnJldi54bWxQSwECFAAUAAAACACHTuJA&#10;bGFOoOsBAADjAwAADgAAAAAAAAABACAAAAAkAQAAZHJzL2Uyb0RvYy54bWxQSwUGAAAAAAYABgBZ&#10;AQAAgQUAAAAA&#10;">
                <v:fill on="f" focussize="0,0"/>
                <v:stroke color="#000000" joinstyle="round"/>
                <v:imagedata o:title=""/>
                <o:lock v:ext="edit" aspectratio="f"/>
              </v:line>
            </w:pict>
          </mc:Fallback>
        </mc:AlternateContent>
      </w:r>
    </w:p>
    <w:p w14:paraId="1167BC7F">
      <w:pPr>
        <w:snapToGrid w:val="0"/>
        <w:spacing w:line="400" w:lineRule="exact"/>
        <w:jc w:val="left"/>
        <w:rPr>
          <w:rFonts w:ascii="Times New Roman" w:hAnsi="Times New Roman"/>
          <w:color w:val="auto"/>
          <w:sz w:val="22"/>
          <w:szCs w:val="22"/>
          <w:highlight w:val="none"/>
        </w:rPr>
      </w:pPr>
      <w:r>
        <w:rPr>
          <w:rFonts w:ascii="Times New Roman" w:hAnsi="Times New Roman"/>
          <w:color w:val="auto"/>
          <w:sz w:val="22"/>
          <w:szCs w:val="22"/>
          <w:highlight w:val="none"/>
        </w:rPr>
        <w:t>¹从业人员、营业收入、资产总额填报上一年度数据，无上一年度数据的新成立企业可不填报。</w:t>
      </w:r>
    </w:p>
    <w:p w14:paraId="7088F860">
      <w:pPr>
        <w:rPr>
          <w:color w:val="auto"/>
          <w:highlight w:val="none"/>
        </w:rPr>
      </w:pPr>
      <w:r>
        <w:rPr>
          <w:rFonts w:hint="eastAsia"/>
          <w:color w:val="auto"/>
          <w:highlight w:val="none"/>
          <w:vertAlign w:val="superscript"/>
        </w:rPr>
        <w:t>2</w:t>
      </w:r>
      <w:r>
        <w:rPr>
          <w:color w:val="auto"/>
          <w:highlight w:val="none"/>
        </w:rPr>
        <w:t>投标人须按上述格式要求如实填写中小企业声明函，并对该声明函的真实性负责，否则不得享受相关中小企业扶持政策；</w:t>
      </w:r>
      <w:r>
        <w:rPr>
          <w:rFonts w:hint="eastAsia"/>
          <w:color w:val="auto"/>
          <w:highlight w:val="none"/>
        </w:rPr>
        <w:t>本项目所属行业为软件和信息技术服务业。</w:t>
      </w:r>
    </w:p>
    <w:p w14:paraId="5EA02B3C">
      <w:pPr>
        <w:rPr>
          <w:color w:val="auto"/>
          <w:highlight w:val="none"/>
        </w:rPr>
      </w:pPr>
      <w:r>
        <w:rPr>
          <w:rFonts w:hint="eastAsia"/>
          <w:color w:val="auto"/>
          <w:highlight w:val="none"/>
          <w:vertAlign w:val="superscript"/>
        </w:rPr>
        <w:t>3</w:t>
      </w:r>
      <w:r>
        <w:rPr>
          <w:color w:val="auto"/>
          <w:highlight w:val="none"/>
        </w:rPr>
        <w:t>中标人依法享受中小企业扶持政策的，采购代理机构将在成交结果公告中公告其《中小企业声明函》。</w:t>
      </w:r>
    </w:p>
    <w:p w14:paraId="52F1CB79">
      <w:pPr>
        <w:rPr>
          <w:color w:val="auto"/>
          <w:highlight w:val="none"/>
        </w:rPr>
      </w:pPr>
    </w:p>
    <w:p w14:paraId="5D04AFA7">
      <w:pPr>
        <w:spacing w:line="428" w:lineRule="exact"/>
        <w:ind w:left="119"/>
        <w:rPr>
          <w:bCs/>
          <w:color w:val="auto"/>
          <w:highlight w:val="none"/>
        </w:rPr>
      </w:pPr>
    </w:p>
    <w:p w14:paraId="41114EFD">
      <w:pPr>
        <w:spacing w:line="428" w:lineRule="exact"/>
        <w:ind w:left="119"/>
        <w:rPr>
          <w:bCs/>
          <w:color w:val="auto"/>
          <w:highlight w:val="none"/>
        </w:rPr>
      </w:pPr>
    </w:p>
    <w:p w14:paraId="3A01A079">
      <w:pPr>
        <w:spacing w:line="428" w:lineRule="exact"/>
        <w:ind w:left="119"/>
        <w:rPr>
          <w:bCs/>
          <w:color w:val="auto"/>
          <w:highlight w:val="none"/>
        </w:rPr>
      </w:pPr>
    </w:p>
    <w:p w14:paraId="566011D8">
      <w:pPr>
        <w:spacing w:line="428" w:lineRule="exact"/>
        <w:ind w:left="119"/>
        <w:rPr>
          <w:bCs/>
          <w:color w:val="auto"/>
          <w:highlight w:val="none"/>
        </w:rPr>
      </w:pPr>
    </w:p>
    <w:p w14:paraId="6A6E959C">
      <w:pPr>
        <w:spacing w:line="428" w:lineRule="exact"/>
        <w:ind w:left="119"/>
        <w:rPr>
          <w:bCs/>
          <w:color w:val="auto"/>
          <w:highlight w:val="none"/>
        </w:rPr>
      </w:pPr>
    </w:p>
    <w:p w14:paraId="7822A642">
      <w:pPr>
        <w:spacing w:line="428" w:lineRule="exact"/>
        <w:ind w:left="119"/>
        <w:rPr>
          <w:bCs/>
          <w:color w:val="auto"/>
          <w:highlight w:val="none"/>
        </w:rPr>
      </w:pPr>
    </w:p>
    <w:p w14:paraId="6308741F">
      <w:pPr>
        <w:spacing w:line="428" w:lineRule="exact"/>
        <w:ind w:left="119"/>
        <w:rPr>
          <w:bCs/>
          <w:color w:val="auto"/>
          <w:highlight w:val="none"/>
        </w:rPr>
      </w:pPr>
      <w:r>
        <w:rPr>
          <w:bCs/>
          <w:color w:val="auto"/>
          <w:highlight w:val="none"/>
        </w:rPr>
        <w:t>附件1：</w:t>
      </w:r>
    </w:p>
    <w:p w14:paraId="4D8112E9">
      <w:pPr>
        <w:spacing w:line="528" w:lineRule="exact"/>
        <w:ind w:left="1871"/>
        <w:jc w:val="center"/>
        <w:rPr>
          <w:bCs/>
          <w:color w:val="auto"/>
          <w:sz w:val="20"/>
          <w:szCs w:val="20"/>
          <w:highlight w:val="none"/>
        </w:rPr>
      </w:pPr>
      <w:r>
        <w:rPr>
          <w:bCs/>
          <w:color w:val="auto"/>
          <w:sz w:val="20"/>
          <w:szCs w:val="20"/>
          <w:highlight w:val="none"/>
        </w:rPr>
        <w:t>中小微企业划型标准</w:t>
      </w:r>
    </w:p>
    <w:tbl>
      <w:tblPr>
        <w:tblStyle w:val="19"/>
        <w:tblW w:w="9818" w:type="dxa"/>
        <w:tblInd w:w="250" w:type="dxa"/>
        <w:tblLayout w:type="fixed"/>
        <w:tblCellMar>
          <w:top w:w="0" w:type="dxa"/>
          <w:left w:w="108" w:type="dxa"/>
          <w:bottom w:w="0" w:type="dxa"/>
          <w:right w:w="108" w:type="dxa"/>
        </w:tblCellMar>
      </w:tblPr>
      <w:tblGrid>
        <w:gridCol w:w="1985"/>
        <w:gridCol w:w="1616"/>
        <w:gridCol w:w="1309"/>
        <w:gridCol w:w="1876"/>
        <w:gridCol w:w="1732"/>
        <w:gridCol w:w="1300"/>
      </w:tblGrid>
      <w:tr w14:paraId="77092A11">
        <w:tblPrEx>
          <w:tblCellMar>
            <w:top w:w="0" w:type="dxa"/>
            <w:left w:w="108" w:type="dxa"/>
            <w:bottom w:w="0" w:type="dxa"/>
            <w:right w:w="108" w:type="dxa"/>
          </w:tblCellMar>
        </w:tblPrEx>
        <w:trPr>
          <w:trHeight w:val="547" w:hRule="atLeast"/>
        </w:trPr>
        <w:tc>
          <w:tcPr>
            <w:tcW w:w="1985" w:type="dxa"/>
            <w:tcBorders>
              <w:top w:val="single" w:color="auto" w:sz="4" w:space="0"/>
              <w:left w:val="single" w:color="auto" w:sz="4" w:space="0"/>
              <w:bottom w:val="single" w:color="auto" w:sz="4" w:space="0"/>
              <w:right w:val="single" w:color="auto" w:sz="4" w:space="0"/>
            </w:tcBorders>
            <w:vAlign w:val="center"/>
          </w:tcPr>
          <w:p w14:paraId="6F6DD7C3">
            <w:pPr>
              <w:widowControl/>
              <w:jc w:val="center"/>
              <w:rPr>
                <w:bCs/>
                <w:color w:val="auto"/>
                <w:kern w:val="0"/>
                <w:sz w:val="18"/>
                <w:szCs w:val="18"/>
                <w:highlight w:val="none"/>
              </w:rPr>
            </w:pPr>
            <w:r>
              <w:rPr>
                <w:bCs/>
                <w:color w:val="auto"/>
                <w:kern w:val="0"/>
                <w:sz w:val="18"/>
                <w:szCs w:val="18"/>
                <w:highlight w:val="none"/>
              </w:rPr>
              <w:t>行业名称</w:t>
            </w:r>
          </w:p>
        </w:tc>
        <w:tc>
          <w:tcPr>
            <w:tcW w:w="1616" w:type="dxa"/>
            <w:tcBorders>
              <w:top w:val="single" w:color="auto" w:sz="4" w:space="0"/>
              <w:left w:val="nil"/>
              <w:bottom w:val="single" w:color="auto" w:sz="4" w:space="0"/>
              <w:right w:val="single" w:color="auto" w:sz="4" w:space="0"/>
            </w:tcBorders>
            <w:vAlign w:val="center"/>
          </w:tcPr>
          <w:p w14:paraId="33BBADB8">
            <w:pPr>
              <w:widowControl/>
              <w:jc w:val="center"/>
              <w:rPr>
                <w:bCs/>
                <w:color w:val="auto"/>
                <w:kern w:val="0"/>
                <w:sz w:val="18"/>
                <w:szCs w:val="18"/>
                <w:highlight w:val="none"/>
              </w:rPr>
            </w:pPr>
            <w:r>
              <w:rPr>
                <w:bCs/>
                <w:color w:val="auto"/>
                <w:kern w:val="0"/>
                <w:sz w:val="18"/>
                <w:szCs w:val="18"/>
                <w:highlight w:val="none"/>
              </w:rPr>
              <w:t>指标名称</w:t>
            </w:r>
          </w:p>
        </w:tc>
        <w:tc>
          <w:tcPr>
            <w:tcW w:w="1309" w:type="dxa"/>
            <w:tcBorders>
              <w:top w:val="single" w:color="auto" w:sz="4" w:space="0"/>
              <w:left w:val="nil"/>
              <w:bottom w:val="single" w:color="auto" w:sz="4" w:space="0"/>
              <w:right w:val="single" w:color="auto" w:sz="4" w:space="0"/>
            </w:tcBorders>
            <w:vAlign w:val="center"/>
          </w:tcPr>
          <w:p w14:paraId="03A41589">
            <w:pPr>
              <w:widowControl/>
              <w:jc w:val="center"/>
              <w:rPr>
                <w:bCs/>
                <w:color w:val="auto"/>
                <w:kern w:val="0"/>
                <w:sz w:val="18"/>
                <w:szCs w:val="18"/>
                <w:highlight w:val="none"/>
              </w:rPr>
            </w:pPr>
            <w:r>
              <w:rPr>
                <w:bCs/>
                <w:color w:val="auto"/>
                <w:kern w:val="0"/>
                <w:sz w:val="18"/>
                <w:szCs w:val="18"/>
                <w:highlight w:val="none"/>
              </w:rPr>
              <w:t>计量单位</w:t>
            </w:r>
          </w:p>
        </w:tc>
        <w:tc>
          <w:tcPr>
            <w:tcW w:w="1876" w:type="dxa"/>
            <w:tcBorders>
              <w:top w:val="single" w:color="auto" w:sz="4" w:space="0"/>
              <w:left w:val="nil"/>
              <w:bottom w:val="single" w:color="auto" w:sz="4" w:space="0"/>
              <w:right w:val="single" w:color="auto" w:sz="4" w:space="0"/>
            </w:tcBorders>
            <w:vAlign w:val="center"/>
          </w:tcPr>
          <w:p w14:paraId="1A4B9C53">
            <w:pPr>
              <w:widowControl/>
              <w:jc w:val="center"/>
              <w:rPr>
                <w:bCs/>
                <w:color w:val="auto"/>
                <w:kern w:val="0"/>
                <w:sz w:val="18"/>
                <w:szCs w:val="18"/>
                <w:highlight w:val="none"/>
              </w:rPr>
            </w:pPr>
            <w:r>
              <w:rPr>
                <w:bCs/>
                <w:color w:val="auto"/>
                <w:kern w:val="0"/>
                <w:sz w:val="18"/>
                <w:szCs w:val="18"/>
                <w:highlight w:val="none"/>
              </w:rPr>
              <w:t>中型</w:t>
            </w:r>
          </w:p>
        </w:tc>
        <w:tc>
          <w:tcPr>
            <w:tcW w:w="1732" w:type="dxa"/>
            <w:tcBorders>
              <w:top w:val="single" w:color="auto" w:sz="4" w:space="0"/>
              <w:left w:val="nil"/>
              <w:bottom w:val="single" w:color="auto" w:sz="4" w:space="0"/>
              <w:right w:val="single" w:color="auto" w:sz="4" w:space="0"/>
            </w:tcBorders>
            <w:vAlign w:val="center"/>
          </w:tcPr>
          <w:p w14:paraId="64FF1366">
            <w:pPr>
              <w:widowControl/>
              <w:jc w:val="center"/>
              <w:rPr>
                <w:bCs/>
                <w:color w:val="auto"/>
                <w:kern w:val="0"/>
                <w:sz w:val="18"/>
                <w:szCs w:val="18"/>
                <w:highlight w:val="none"/>
              </w:rPr>
            </w:pPr>
            <w:r>
              <w:rPr>
                <w:bCs/>
                <w:color w:val="auto"/>
                <w:kern w:val="0"/>
                <w:sz w:val="18"/>
                <w:szCs w:val="18"/>
                <w:highlight w:val="none"/>
              </w:rPr>
              <w:t>小型</w:t>
            </w:r>
          </w:p>
        </w:tc>
        <w:tc>
          <w:tcPr>
            <w:tcW w:w="1300" w:type="dxa"/>
            <w:tcBorders>
              <w:top w:val="single" w:color="auto" w:sz="4" w:space="0"/>
              <w:left w:val="nil"/>
              <w:bottom w:val="single" w:color="auto" w:sz="4" w:space="0"/>
              <w:right w:val="single" w:color="auto" w:sz="4" w:space="0"/>
            </w:tcBorders>
            <w:vAlign w:val="center"/>
          </w:tcPr>
          <w:p w14:paraId="3C9CEFC4">
            <w:pPr>
              <w:widowControl/>
              <w:jc w:val="center"/>
              <w:rPr>
                <w:bCs/>
                <w:color w:val="auto"/>
                <w:kern w:val="0"/>
                <w:sz w:val="18"/>
                <w:szCs w:val="18"/>
                <w:highlight w:val="none"/>
              </w:rPr>
            </w:pPr>
            <w:r>
              <w:rPr>
                <w:bCs/>
                <w:color w:val="auto"/>
                <w:kern w:val="0"/>
                <w:sz w:val="18"/>
                <w:szCs w:val="18"/>
                <w:highlight w:val="none"/>
              </w:rPr>
              <w:t>微型</w:t>
            </w:r>
          </w:p>
        </w:tc>
      </w:tr>
      <w:tr w14:paraId="6CA2F1DC">
        <w:tblPrEx>
          <w:tblCellMar>
            <w:top w:w="0" w:type="dxa"/>
            <w:left w:w="108" w:type="dxa"/>
            <w:bottom w:w="0" w:type="dxa"/>
            <w:right w:w="108" w:type="dxa"/>
          </w:tblCellMar>
        </w:tblPrEx>
        <w:trPr>
          <w:trHeight w:val="358" w:hRule="atLeast"/>
        </w:trPr>
        <w:tc>
          <w:tcPr>
            <w:tcW w:w="1985" w:type="dxa"/>
            <w:tcBorders>
              <w:top w:val="nil"/>
              <w:left w:val="single" w:color="auto" w:sz="4" w:space="0"/>
              <w:bottom w:val="single" w:color="auto" w:sz="4" w:space="0"/>
              <w:right w:val="single" w:color="auto" w:sz="4" w:space="0"/>
            </w:tcBorders>
            <w:vAlign w:val="center"/>
          </w:tcPr>
          <w:p w14:paraId="7B882AF0">
            <w:pPr>
              <w:widowControl/>
              <w:jc w:val="center"/>
              <w:rPr>
                <w:bCs/>
                <w:color w:val="auto"/>
                <w:kern w:val="0"/>
                <w:sz w:val="18"/>
                <w:szCs w:val="18"/>
                <w:highlight w:val="none"/>
              </w:rPr>
            </w:pPr>
            <w:r>
              <w:rPr>
                <w:bCs/>
                <w:color w:val="auto"/>
                <w:kern w:val="0"/>
                <w:sz w:val="18"/>
                <w:szCs w:val="18"/>
                <w:highlight w:val="none"/>
              </w:rPr>
              <w:t>农、林、牧、渔</w:t>
            </w:r>
          </w:p>
        </w:tc>
        <w:tc>
          <w:tcPr>
            <w:tcW w:w="1616" w:type="dxa"/>
            <w:tcBorders>
              <w:top w:val="nil"/>
              <w:left w:val="nil"/>
              <w:bottom w:val="single" w:color="auto" w:sz="4" w:space="0"/>
              <w:right w:val="single" w:color="auto" w:sz="4" w:space="0"/>
            </w:tcBorders>
            <w:vAlign w:val="center"/>
          </w:tcPr>
          <w:p w14:paraId="53504755">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70825DCF">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07D44CA7">
            <w:pPr>
              <w:widowControl/>
              <w:jc w:val="center"/>
              <w:rPr>
                <w:bCs/>
                <w:color w:val="auto"/>
                <w:kern w:val="0"/>
                <w:sz w:val="18"/>
                <w:szCs w:val="18"/>
                <w:highlight w:val="none"/>
              </w:rPr>
            </w:pPr>
            <w:r>
              <w:rPr>
                <w:bCs/>
                <w:color w:val="auto"/>
                <w:kern w:val="0"/>
                <w:sz w:val="18"/>
                <w:szCs w:val="18"/>
                <w:highlight w:val="none"/>
              </w:rPr>
              <w:t>500≤Y＜20000</w:t>
            </w:r>
          </w:p>
        </w:tc>
        <w:tc>
          <w:tcPr>
            <w:tcW w:w="1732" w:type="dxa"/>
            <w:tcBorders>
              <w:top w:val="nil"/>
              <w:left w:val="nil"/>
              <w:bottom w:val="single" w:color="auto" w:sz="4" w:space="0"/>
              <w:right w:val="single" w:color="auto" w:sz="4" w:space="0"/>
            </w:tcBorders>
            <w:vAlign w:val="center"/>
          </w:tcPr>
          <w:p w14:paraId="00952951">
            <w:pPr>
              <w:widowControl/>
              <w:jc w:val="center"/>
              <w:rPr>
                <w:bCs/>
                <w:color w:val="auto"/>
                <w:kern w:val="0"/>
                <w:sz w:val="18"/>
                <w:szCs w:val="18"/>
                <w:highlight w:val="none"/>
              </w:rPr>
            </w:pPr>
            <w:r>
              <w:rPr>
                <w:bCs/>
                <w:color w:val="auto"/>
                <w:kern w:val="0"/>
                <w:sz w:val="18"/>
                <w:szCs w:val="18"/>
                <w:highlight w:val="none"/>
              </w:rPr>
              <w:t>50≤Y＜500</w:t>
            </w:r>
          </w:p>
        </w:tc>
        <w:tc>
          <w:tcPr>
            <w:tcW w:w="1300" w:type="dxa"/>
            <w:tcBorders>
              <w:top w:val="nil"/>
              <w:left w:val="nil"/>
              <w:bottom w:val="single" w:color="auto" w:sz="4" w:space="0"/>
              <w:right w:val="single" w:color="auto" w:sz="4" w:space="0"/>
            </w:tcBorders>
            <w:vAlign w:val="center"/>
          </w:tcPr>
          <w:p w14:paraId="0307F1BB">
            <w:pPr>
              <w:widowControl/>
              <w:jc w:val="center"/>
              <w:rPr>
                <w:bCs/>
                <w:color w:val="auto"/>
                <w:kern w:val="0"/>
                <w:sz w:val="18"/>
                <w:szCs w:val="18"/>
                <w:highlight w:val="none"/>
              </w:rPr>
            </w:pPr>
            <w:r>
              <w:rPr>
                <w:bCs/>
                <w:color w:val="auto"/>
                <w:kern w:val="0"/>
                <w:sz w:val="18"/>
                <w:szCs w:val="18"/>
                <w:highlight w:val="none"/>
              </w:rPr>
              <w:t>Y＜50</w:t>
            </w:r>
          </w:p>
        </w:tc>
      </w:tr>
      <w:tr w14:paraId="19803939">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62F3BD06">
            <w:pPr>
              <w:widowControl/>
              <w:jc w:val="center"/>
              <w:rPr>
                <w:bCs/>
                <w:color w:val="auto"/>
                <w:kern w:val="0"/>
                <w:sz w:val="18"/>
                <w:szCs w:val="18"/>
                <w:highlight w:val="none"/>
              </w:rPr>
            </w:pPr>
            <w:r>
              <w:rPr>
                <w:bCs/>
                <w:color w:val="auto"/>
                <w:kern w:val="0"/>
                <w:sz w:val="18"/>
                <w:szCs w:val="18"/>
                <w:highlight w:val="none"/>
              </w:rPr>
              <w:t>工业</w:t>
            </w:r>
          </w:p>
        </w:tc>
        <w:tc>
          <w:tcPr>
            <w:tcW w:w="1616" w:type="dxa"/>
            <w:tcBorders>
              <w:top w:val="nil"/>
              <w:left w:val="nil"/>
              <w:bottom w:val="single" w:color="auto" w:sz="4" w:space="0"/>
              <w:right w:val="single" w:color="auto" w:sz="4" w:space="0"/>
            </w:tcBorders>
            <w:vAlign w:val="center"/>
          </w:tcPr>
          <w:p w14:paraId="4C1FA934">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3AB61294">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5B8A8245">
            <w:pPr>
              <w:widowControl/>
              <w:jc w:val="center"/>
              <w:rPr>
                <w:bCs/>
                <w:color w:val="auto"/>
                <w:kern w:val="0"/>
                <w:sz w:val="18"/>
                <w:szCs w:val="18"/>
                <w:highlight w:val="none"/>
              </w:rPr>
            </w:pPr>
            <w:r>
              <w:rPr>
                <w:bCs/>
                <w:color w:val="auto"/>
                <w:kern w:val="0"/>
                <w:sz w:val="18"/>
                <w:szCs w:val="18"/>
                <w:highlight w:val="none"/>
              </w:rPr>
              <w:t>300≤X＜1000</w:t>
            </w:r>
          </w:p>
        </w:tc>
        <w:tc>
          <w:tcPr>
            <w:tcW w:w="1732" w:type="dxa"/>
            <w:tcBorders>
              <w:top w:val="nil"/>
              <w:left w:val="nil"/>
              <w:bottom w:val="single" w:color="auto" w:sz="4" w:space="0"/>
              <w:right w:val="single" w:color="auto" w:sz="4" w:space="0"/>
            </w:tcBorders>
            <w:vAlign w:val="center"/>
          </w:tcPr>
          <w:p w14:paraId="3DCF76F8">
            <w:pPr>
              <w:widowControl/>
              <w:jc w:val="center"/>
              <w:rPr>
                <w:bCs/>
                <w:color w:val="auto"/>
                <w:kern w:val="0"/>
                <w:sz w:val="18"/>
                <w:szCs w:val="18"/>
                <w:highlight w:val="none"/>
              </w:rPr>
            </w:pPr>
            <w:r>
              <w:rPr>
                <w:bCs/>
                <w:color w:val="auto"/>
                <w:kern w:val="0"/>
                <w:sz w:val="18"/>
                <w:szCs w:val="18"/>
                <w:highlight w:val="none"/>
              </w:rPr>
              <w:t>20≤X＜300</w:t>
            </w:r>
          </w:p>
        </w:tc>
        <w:tc>
          <w:tcPr>
            <w:tcW w:w="1300" w:type="dxa"/>
            <w:tcBorders>
              <w:top w:val="nil"/>
              <w:left w:val="nil"/>
              <w:bottom w:val="single" w:color="auto" w:sz="4" w:space="0"/>
              <w:right w:val="single" w:color="auto" w:sz="4" w:space="0"/>
            </w:tcBorders>
            <w:vAlign w:val="center"/>
          </w:tcPr>
          <w:p w14:paraId="23AD9646">
            <w:pPr>
              <w:widowControl/>
              <w:jc w:val="center"/>
              <w:rPr>
                <w:bCs/>
                <w:color w:val="auto"/>
                <w:kern w:val="0"/>
                <w:sz w:val="18"/>
                <w:szCs w:val="18"/>
                <w:highlight w:val="none"/>
              </w:rPr>
            </w:pPr>
            <w:r>
              <w:rPr>
                <w:bCs/>
                <w:color w:val="auto"/>
                <w:kern w:val="0"/>
                <w:sz w:val="18"/>
                <w:szCs w:val="18"/>
                <w:highlight w:val="none"/>
              </w:rPr>
              <w:t>X＜20</w:t>
            </w:r>
          </w:p>
        </w:tc>
      </w:tr>
      <w:tr w14:paraId="6FCDBF54">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1E089E7A">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21F1A607">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1BDEB59E">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790349AE">
            <w:pPr>
              <w:widowControl/>
              <w:jc w:val="center"/>
              <w:rPr>
                <w:bCs/>
                <w:color w:val="auto"/>
                <w:kern w:val="0"/>
                <w:sz w:val="18"/>
                <w:szCs w:val="18"/>
                <w:highlight w:val="none"/>
              </w:rPr>
            </w:pPr>
            <w:r>
              <w:rPr>
                <w:bCs/>
                <w:color w:val="auto"/>
                <w:kern w:val="0"/>
                <w:sz w:val="18"/>
                <w:szCs w:val="18"/>
                <w:highlight w:val="none"/>
              </w:rPr>
              <w:t>2000≤Y＜40000</w:t>
            </w:r>
          </w:p>
        </w:tc>
        <w:tc>
          <w:tcPr>
            <w:tcW w:w="1732" w:type="dxa"/>
            <w:tcBorders>
              <w:top w:val="nil"/>
              <w:left w:val="nil"/>
              <w:bottom w:val="single" w:color="auto" w:sz="4" w:space="0"/>
              <w:right w:val="single" w:color="auto" w:sz="4" w:space="0"/>
            </w:tcBorders>
            <w:vAlign w:val="center"/>
          </w:tcPr>
          <w:p w14:paraId="6C18007A">
            <w:pPr>
              <w:widowControl/>
              <w:jc w:val="center"/>
              <w:rPr>
                <w:bCs/>
                <w:color w:val="auto"/>
                <w:kern w:val="0"/>
                <w:sz w:val="18"/>
                <w:szCs w:val="18"/>
                <w:highlight w:val="none"/>
              </w:rPr>
            </w:pPr>
            <w:r>
              <w:rPr>
                <w:bCs/>
                <w:color w:val="auto"/>
                <w:kern w:val="0"/>
                <w:sz w:val="18"/>
                <w:szCs w:val="18"/>
                <w:highlight w:val="none"/>
              </w:rPr>
              <w:t>300≤Y＜2000</w:t>
            </w:r>
          </w:p>
        </w:tc>
        <w:tc>
          <w:tcPr>
            <w:tcW w:w="1300" w:type="dxa"/>
            <w:tcBorders>
              <w:top w:val="nil"/>
              <w:left w:val="nil"/>
              <w:bottom w:val="single" w:color="auto" w:sz="4" w:space="0"/>
              <w:right w:val="single" w:color="auto" w:sz="4" w:space="0"/>
            </w:tcBorders>
            <w:vAlign w:val="center"/>
          </w:tcPr>
          <w:p w14:paraId="623F1C96">
            <w:pPr>
              <w:widowControl/>
              <w:jc w:val="center"/>
              <w:rPr>
                <w:bCs/>
                <w:color w:val="auto"/>
                <w:kern w:val="0"/>
                <w:sz w:val="18"/>
                <w:szCs w:val="18"/>
                <w:highlight w:val="none"/>
              </w:rPr>
            </w:pPr>
            <w:r>
              <w:rPr>
                <w:bCs/>
                <w:color w:val="auto"/>
                <w:kern w:val="0"/>
                <w:sz w:val="18"/>
                <w:szCs w:val="18"/>
                <w:highlight w:val="none"/>
              </w:rPr>
              <w:t>Y＜300</w:t>
            </w:r>
          </w:p>
        </w:tc>
      </w:tr>
      <w:tr w14:paraId="4A8C081D">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6E7F554E">
            <w:pPr>
              <w:widowControl/>
              <w:jc w:val="center"/>
              <w:rPr>
                <w:bCs/>
                <w:color w:val="auto"/>
                <w:kern w:val="0"/>
                <w:sz w:val="18"/>
                <w:szCs w:val="18"/>
                <w:highlight w:val="none"/>
              </w:rPr>
            </w:pPr>
            <w:r>
              <w:rPr>
                <w:bCs/>
                <w:color w:val="auto"/>
                <w:kern w:val="0"/>
                <w:sz w:val="18"/>
                <w:szCs w:val="18"/>
                <w:highlight w:val="none"/>
              </w:rPr>
              <w:t>建筑业</w:t>
            </w:r>
          </w:p>
        </w:tc>
        <w:tc>
          <w:tcPr>
            <w:tcW w:w="1616" w:type="dxa"/>
            <w:tcBorders>
              <w:top w:val="nil"/>
              <w:left w:val="nil"/>
              <w:bottom w:val="single" w:color="auto" w:sz="4" w:space="0"/>
              <w:right w:val="single" w:color="auto" w:sz="4" w:space="0"/>
            </w:tcBorders>
            <w:vAlign w:val="center"/>
          </w:tcPr>
          <w:p w14:paraId="59829777">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479B7477">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1B394BAD">
            <w:pPr>
              <w:widowControl/>
              <w:jc w:val="center"/>
              <w:rPr>
                <w:bCs/>
                <w:color w:val="auto"/>
                <w:kern w:val="0"/>
                <w:sz w:val="18"/>
                <w:szCs w:val="18"/>
                <w:highlight w:val="none"/>
              </w:rPr>
            </w:pPr>
            <w:r>
              <w:rPr>
                <w:bCs/>
                <w:color w:val="auto"/>
                <w:kern w:val="0"/>
                <w:sz w:val="18"/>
                <w:szCs w:val="18"/>
                <w:highlight w:val="none"/>
              </w:rPr>
              <w:t>6000≤Y＜80000</w:t>
            </w:r>
          </w:p>
        </w:tc>
        <w:tc>
          <w:tcPr>
            <w:tcW w:w="1732" w:type="dxa"/>
            <w:tcBorders>
              <w:top w:val="nil"/>
              <w:left w:val="nil"/>
              <w:bottom w:val="single" w:color="auto" w:sz="4" w:space="0"/>
              <w:right w:val="single" w:color="auto" w:sz="4" w:space="0"/>
            </w:tcBorders>
            <w:vAlign w:val="center"/>
          </w:tcPr>
          <w:p w14:paraId="2507C6B3">
            <w:pPr>
              <w:widowControl/>
              <w:jc w:val="center"/>
              <w:rPr>
                <w:bCs/>
                <w:color w:val="auto"/>
                <w:kern w:val="0"/>
                <w:sz w:val="18"/>
                <w:szCs w:val="18"/>
                <w:highlight w:val="none"/>
              </w:rPr>
            </w:pPr>
            <w:r>
              <w:rPr>
                <w:bCs/>
                <w:color w:val="auto"/>
                <w:kern w:val="0"/>
                <w:sz w:val="18"/>
                <w:szCs w:val="18"/>
                <w:highlight w:val="none"/>
              </w:rPr>
              <w:t>300≤Y＜6000</w:t>
            </w:r>
          </w:p>
        </w:tc>
        <w:tc>
          <w:tcPr>
            <w:tcW w:w="1300" w:type="dxa"/>
            <w:tcBorders>
              <w:top w:val="nil"/>
              <w:left w:val="nil"/>
              <w:bottom w:val="single" w:color="auto" w:sz="4" w:space="0"/>
              <w:right w:val="single" w:color="auto" w:sz="4" w:space="0"/>
            </w:tcBorders>
            <w:vAlign w:val="center"/>
          </w:tcPr>
          <w:p w14:paraId="7D3BEC06">
            <w:pPr>
              <w:widowControl/>
              <w:jc w:val="center"/>
              <w:rPr>
                <w:bCs/>
                <w:color w:val="auto"/>
                <w:kern w:val="0"/>
                <w:sz w:val="18"/>
                <w:szCs w:val="18"/>
                <w:highlight w:val="none"/>
              </w:rPr>
            </w:pPr>
            <w:r>
              <w:rPr>
                <w:bCs/>
                <w:color w:val="auto"/>
                <w:kern w:val="0"/>
                <w:sz w:val="18"/>
                <w:szCs w:val="18"/>
                <w:highlight w:val="none"/>
              </w:rPr>
              <w:t>Y＜300</w:t>
            </w:r>
          </w:p>
        </w:tc>
      </w:tr>
      <w:tr w14:paraId="48B0A669">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76E9F543">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67094E2E">
            <w:pPr>
              <w:widowControl/>
              <w:jc w:val="center"/>
              <w:rPr>
                <w:bCs/>
                <w:color w:val="auto"/>
                <w:kern w:val="0"/>
                <w:sz w:val="18"/>
                <w:szCs w:val="18"/>
                <w:highlight w:val="none"/>
              </w:rPr>
            </w:pPr>
            <w:r>
              <w:rPr>
                <w:bCs/>
                <w:color w:val="auto"/>
                <w:kern w:val="0"/>
                <w:sz w:val="18"/>
                <w:szCs w:val="18"/>
                <w:highlight w:val="none"/>
              </w:rPr>
              <w:t>资产总额（Z）</w:t>
            </w:r>
          </w:p>
        </w:tc>
        <w:tc>
          <w:tcPr>
            <w:tcW w:w="1309" w:type="dxa"/>
            <w:tcBorders>
              <w:top w:val="nil"/>
              <w:left w:val="nil"/>
              <w:bottom w:val="single" w:color="auto" w:sz="4" w:space="0"/>
              <w:right w:val="single" w:color="auto" w:sz="4" w:space="0"/>
            </w:tcBorders>
            <w:vAlign w:val="center"/>
          </w:tcPr>
          <w:p w14:paraId="7360A17D">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740F4FB7">
            <w:pPr>
              <w:widowControl/>
              <w:jc w:val="center"/>
              <w:rPr>
                <w:bCs/>
                <w:color w:val="auto"/>
                <w:kern w:val="0"/>
                <w:sz w:val="18"/>
                <w:szCs w:val="18"/>
                <w:highlight w:val="none"/>
              </w:rPr>
            </w:pPr>
            <w:r>
              <w:rPr>
                <w:bCs/>
                <w:color w:val="auto"/>
                <w:kern w:val="0"/>
                <w:sz w:val="18"/>
                <w:szCs w:val="18"/>
                <w:highlight w:val="none"/>
              </w:rPr>
              <w:t>5000≤Z＜80000</w:t>
            </w:r>
          </w:p>
        </w:tc>
        <w:tc>
          <w:tcPr>
            <w:tcW w:w="1732" w:type="dxa"/>
            <w:tcBorders>
              <w:top w:val="nil"/>
              <w:left w:val="nil"/>
              <w:bottom w:val="single" w:color="auto" w:sz="4" w:space="0"/>
              <w:right w:val="single" w:color="auto" w:sz="4" w:space="0"/>
            </w:tcBorders>
            <w:vAlign w:val="center"/>
          </w:tcPr>
          <w:p w14:paraId="3EE0ECE8">
            <w:pPr>
              <w:widowControl/>
              <w:jc w:val="center"/>
              <w:rPr>
                <w:bCs/>
                <w:color w:val="auto"/>
                <w:kern w:val="0"/>
                <w:sz w:val="18"/>
                <w:szCs w:val="18"/>
                <w:highlight w:val="none"/>
              </w:rPr>
            </w:pPr>
            <w:r>
              <w:rPr>
                <w:bCs/>
                <w:color w:val="auto"/>
                <w:kern w:val="0"/>
                <w:sz w:val="18"/>
                <w:szCs w:val="18"/>
                <w:highlight w:val="none"/>
              </w:rPr>
              <w:t>300≤Z＜5000</w:t>
            </w:r>
          </w:p>
        </w:tc>
        <w:tc>
          <w:tcPr>
            <w:tcW w:w="1300" w:type="dxa"/>
            <w:tcBorders>
              <w:top w:val="nil"/>
              <w:left w:val="nil"/>
              <w:bottom w:val="single" w:color="auto" w:sz="4" w:space="0"/>
              <w:right w:val="single" w:color="auto" w:sz="4" w:space="0"/>
            </w:tcBorders>
            <w:vAlign w:val="center"/>
          </w:tcPr>
          <w:p w14:paraId="2BA0B7C7">
            <w:pPr>
              <w:widowControl/>
              <w:jc w:val="center"/>
              <w:rPr>
                <w:bCs/>
                <w:color w:val="auto"/>
                <w:kern w:val="0"/>
                <w:sz w:val="18"/>
                <w:szCs w:val="18"/>
                <w:highlight w:val="none"/>
              </w:rPr>
            </w:pPr>
            <w:r>
              <w:rPr>
                <w:bCs/>
                <w:color w:val="auto"/>
                <w:kern w:val="0"/>
                <w:sz w:val="18"/>
                <w:szCs w:val="18"/>
                <w:highlight w:val="none"/>
              </w:rPr>
              <w:t>Z＜300</w:t>
            </w:r>
          </w:p>
        </w:tc>
      </w:tr>
      <w:tr w14:paraId="2D0C578F">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66D8BDB3">
            <w:pPr>
              <w:widowControl/>
              <w:jc w:val="center"/>
              <w:rPr>
                <w:bCs/>
                <w:color w:val="auto"/>
                <w:kern w:val="0"/>
                <w:sz w:val="18"/>
                <w:szCs w:val="18"/>
                <w:highlight w:val="none"/>
              </w:rPr>
            </w:pPr>
            <w:r>
              <w:rPr>
                <w:bCs/>
                <w:color w:val="auto"/>
                <w:kern w:val="0"/>
                <w:sz w:val="18"/>
                <w:szCs w:val="18"/>
                <w:highlight w:val="none"/>
              </w:rPr>
              <w:t>批发业</w:t>
            </w:r>
          </w:p>
        </w:tc>
        <w:tc>
          <w:tcPr>
            <w:tcW w:w="1616" w:type="dxa"/>
            <w:tcBorders>
              <w:top w:val="nil"/>
              <w:left w:val="nil"/>
              <w:bottom w:val="single" w:color="auto" w:sz="4" w:space="0"/>
              <w:right w:val="single" w:color="auto" w:sz="4" w:space="0"/>
            </w:tcBorders>
            <w:vAlign w:val="center"/>
          </w:tcPr>
          <w:p w14:paraId="40A45738">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2769D585">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60927C0B">
            <w:pPr>
              <w:widowControl/>
              <w:jc w:val="center"/>
              <w:rPr>
                <w:bCs/>
                <w:color w:val="auto"/>
                <w:kern w:val="0"/>
                <w:sz w:val="18"/>
                <w:szCs w:val="18"/>
                <w:highlight w:val="none"/>
              </w:rPr>
            </w:pPr>
            <w:r>
              <w:rPr>
                <w:bCs/>
                <w:color w:val="auto"/>
                <w:kern w:val="0"/>
                <w:sz w:val="18"/>
                <w:szCs w:val="18"/>
                <w:highlight w:val="none"/>
              </w:rPr>
              <w:t>20≤X＜200</w:t>
            </w:r>
          </w:p>
        </w:tc>
        <w:tc>
          <w:tcPr>
            <w:tcW w:w="1732" w:type="dxa"/>
            <w:tcBorders>
              <w:top w:val="nil"/>
              <w:left w:val="nil"/>
              <w:bottom w:val="single" w:color="auto" w:sz="4" w:space="0"/>
              <w:right w:val="single" w:color="auto" w:sz="4" w:space="0"/>
            </w:tcBorders>
            <w:vAlign w:val="center"/>
          </w:tcPr>
          <w:p w14:paraId="2E030536">
            <w:pPr>
              <w:widowControl/>
              <w:jc w:val="center"/>
              <w:rPr>
                <w:bCs/>
                <w:color w:val="auto"/>
                <w:kern w:val="0"/>
                <w:sz w:val="18"/>
                <w:szCs w:val="18"/>
                <w:highlight w:val="none"/>
              </w:rPr>
            </w:pPr>
            <w:r>
              <w:rPr>
                <w:bCs/>
                <w:color w:val="auto"/>
                <w:kern w:val="0"/>
                <w:sz w:val="18"/>
                <w:szCs w:val="18"/>
                <w:highlight w:val="none"/>
              </w:rPr>
              <w:t>5≤X＜20</w:t>
            </w:r>
          </w:p>
        </w:tc>
        <w:tc>
          <w:tcPr>
            <w:tcW w:w="1300" w:type="dxa"/>
            <w:tcBorders>
              <w:top w:val="nil"/>
              <w:left w:val="nil"/>
              <w:bottom w:val="single" w:color="auto" w:sz="4" w:space="0"/>
              <w:right w:val="single" w:color="auto" w:sz="4" w:space="0"/>
            </w:tcBorders>
            <w:vAlign w:val="center"/>
          </w:tcPr>
          <w:p w14:paraId="6C22AF10">
            <w:pPr>
              <w:widowControl/>
              <w:jc w:val="center"/>
              <w:rPr>
                <w:bCs/>
                <w:color w:val="auto"/>
                <w:kern w:val="0"/>
                <w:sz w:val="18"/>
                <w:szCs w:val="18"/>
                <w:highlight w:val="none"/>
              </w:rPr>
            </w:pPr>
            <w:r>
              <w:rPr>
                <w:bCs/>
                <w:color w:val="auto"/>
                <w:kern w:val="0"/>
                <w:sz w:val="18"/>
                <w:szCs w:val="18"/>
                <w:highlight w:val="none"/>
              </w:rPr>
              <w:t>X＜5</w:t>
            </w:r>
          </w:p>
        </w:tc>
      </w:tr>
      <w:tr w14:paraId="3E1B07FB">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50F6C174">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481A7558">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4A25B3B4">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779B969A">
            <w:pPr>
              <w:widowControl/>
              <w:jc w:val="center"/>
              <w:rPr>
                <w:bCs/>
                <w:color w:val="auto"/>
                <w:kern w:val="0"/>
                <w:sz w:val="18"/>
                <w:szCs w:val="18"/>
                <w:highlight w:val="none"/>
              </w:rPr>
            </w:pPr>
            <w:r>
              <w:rPr>
                <w:bCs/>
                <w:color w:val="auto"/>
                <w:kern w:val="0"/>
                <w:sz w:val="18"/>
                <w:szCs w:val="18"/>
                <w:highlight w:val="none"/>
              </w:rPr>
              <w:t>5000≤Y＜40000</w:t>
            </w:r>
          </w:p>
        </w:tc>
        <w:tc>
          <w:tcPr>
            <w:tcW w:w="1732" w:type="dxa"/>
            <w:tcBorders>
              <w:top w:val="nil"/>
              <w:left w:val="nil"/>
              <w:bottom w:val="single" w:color="auto" w:sz="4" w:space="0"/>
              <w:right w:val="single" w:color="auto" w:sz="4" w:space="0"/>
            </w:tcBorders>
            <w:vAlign w:val="center"/>
          </w:tcPr>
          <w:p w14:paraId="5DC1D0B5">
            <w:pPr>
              <w:widowControl/>
              <w:jc w:val="center"/>
              <w:rPr>
                <w:bCs/>
                <w:color w:val="auto"/>
                <w:kern w:val="0"/>
                <w:sz w:val="18"/>
                <w:szCs w:val="18"/>
                <w:highlight w:val="none"/>
              </w:rPr>
            </w:pPr>
            <w:r>
              <w:rPr>
                <w:bCs/>
                <w:color w:val="auto"/>
                <w:kern w:val="0"/>
                <w:sz w:val="18"/>
                <w:szCs w:val="18"/>
                <w:highlight w:val="none"/>
              </w:rPr>
              <w:t>1000≤Y＜5000</w:t>
            </w:r>
          </w:p>
        </w:tc>
        <w:tc>
          <w:tcPr>
            <w:tcW w:w="1300" w:type="dxa"/>
            <w:tcBorders>
              <w:top w:val="nil"/>
              <w:left w:val="nil"/>
              <w:bottom w:val="single" w:color="auto" w:sz="4" w:space="0"/>
              <w:right w:val="single" w:color="auto" w:sz="4" w:space="0"/>
            </w:tcBorders>
            <w:vAlign w:val="center"/>
          </w:tcPr>
          <w:p w14:paraId="05BB88E3">
            <w:pPr>
              <w:widowControl/>
              <w:jc w:val="center"/>
              <w:rPr>
                <w:bCs/>
                <w:color w:val="auto"/>
                <w:kern w:val="0"/>
                <w:sz w:val="18"/>
                <w:szCs w:val="18"/>
                <w:highlight w:val="none"/>
              </w:rPr>
            </w:pPr>
            <w:r>
              <w:rPr>
                <w:bCs/>
                <w:color w:val="auto"/>
                <w:kern w:val="0"/>
                <w:sz w:val="18"/>
                <w:szCs w:val="18"/>
                <w:highlight w:val="none"/>
              </w:rPr>
              <w:t>Y＜1000</w:t>
            </w:r>
          </w:p>
        </w:tc>
      </w:tr>
      <w:tr w14:paraId="70829C17">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2ED8C7F8">
            <w:pPr>
              <w:widowControl/>
              <w:jc w:val="center"/>
              <w:rPr>
                <w:bCs/>
                <w:color w:val="auto"/>
                <w:kern w:val="0"/>
                <w:sz w:val="18"/>
                <w:szCs w:val="18"/>
                <w:highlight w:val="none"/>
              </w:rPr>
            </w:pPr>
            <w:r>
              <w:rPr>
                <w:bCs/>
                <w:color w:val="auto"/>
                <w:kern w:val="0"/>
                <w:sz w:val="18"/>
                <w:szCs w:val="18"/>
                <w:highlight w:val="none"/>
              </w:rPr>
              <w:t>零售业</w:t>
            </w:r>
          </w:p>
        </w:tc>
        <w:tc>
          <w:tcPr>
            <w:tcW w:w="1616" w:type="dxa"/>
            <w:tcBorders>
              <w:top w:val="nil"/>
              <w:left w:val="nil"/>
              <w:bottom w:val="single" w:color="auto" w:sz="4" w:space="0"/>
              <w:right w:val="single" w:color="auto" w:sz="4" w:space="0"/>
            </w:tcBorders>
            <w:vAlign w:val="center"/>
          </w:tcPr>
          <w:p w14:paraId="65E0204C">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385AB54F">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7F535988">
            <w:pPr>
              <w:widowControl/>
              <w:jc w:val="center"/>
              <w:rPr>
                <w:bCs/>
                <w:color w:val="auto"/>
                <w:kern w:val="0"/>
                <w:sz w:val="18"/>
                <w:szCs w:val="18"/>
                <w:highlight w:val="none"/>
              </w:rPr>
            </w:pPr>
            <w:r>
              <w:rPr>
                <w:bCs/>
                <w:color w:val="auto"/>
                <w:kern w:val="0"/>
                <w:sz w:val="18"/>
                <w:szCs w:val="18"/>
                <w:highlight w:val="none"/>
              </w:rPr>
              <w:t>50≤X＜300</w:t>
            </w:r>
          </w:p>
        </w:tc>
        <w:tc>
          <w:tcPr>
            <w:tcW w:w="1732" w:type="dxa"/>
            <w:tcBorders>
              <w:top w:val="nil"/>
              <w:left w:val="nil"/>
              <w:bottom w:val="single" w:color="auto" w:sz="4" w:space="0"/>
              <w:right w:val="single" w:color="auto" w:sz="4" w:space="0"/>
            </w:tcBorders>
            <w:vAlign w:val="center"/>
          </w:tcPr>
          <w:p w14:paraId="0C40EE67">
            <w:pPr>
              <w:widowControl/>
              <w:jc w:val="center"/>
              <w:rPr>
                <w:bCs/>
                <w:color w:val="auto"/>
                <w:kern w:val="0"/>
                <w:sz w:val="18"/>
                <w:szCs w:val="18"/>
                <w:highlight w:val="none"/>
              </w:rPr>
            </w:pPr>
            <w:r>
              <w:rPr>
                <w:bCs/>
                <w:color w:val="auto"/>
                <w:kern w:val="0"/>
                <w:sz w:val="18"/>
                <w:szCs w:val="18"/>
                <w:highlight w:val="none"/>
              </w:rPr>
              <w:t>10≤X＜50</w:t>
            </w:r>
          </w:p>
        </w:tc>
        <w:tc>
          <w:tcPr>
            <w:tcW w:w="1300" w:type="dxa"/>
            <w:tcBorders>
              <w:top w:val="nil"/>
              <w:left w:val="nil"/>
              <w:bottom w:val="single" w:color="auto" w:sz="4" w:space="0"/>
              <w:right w:val="single" w:color="auto" w:sz="4" w:space="0"/>
            </w:tcBorders>
            <w:vAlign w:val="center"/>
          </w:tcPr>
          <w:p w14:paraId="04596452">
            <w:pPr>
              <w:widowControl/>
              <w:jc w:val="center"/>
              <w:rPr>
                <w:bCs/>
                <w:color w:val="auto"/>
                <w:kern w:val="0"/>
                <w:sz w:val="18"/>
                <w:szCs w:val="18"/>
                <w:highlight w:val="none"/>
              </w:rPr>
            </w:pPr>
            <w:r>
              <w:rPr>
                <w:bCs/>
                <w:color w:val="auto"/>
                <w:kern w:val="0"/>
                <w:sz w:val="18"/>
                <w:szCs w:val="18"/>
                <w:highlight w:val="none"/>
              </w:rPr>
              <w:t>X＜10</w:t>
            </w:r>
          </w:p>
        </w:tc>
      </w:tr>
      <w:tr w14:paraId="274F9547">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19D2A79C">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79CED08E">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599D76C0">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6912455C">
            <w:pPr>
              <w:widowControl/>
              <w:jc w:val="center"/>
              <w:rPr>
                <w:bCs/>
                <w:color w:val="auto"/>
                <w:kern w:val="0"/>
                <w:sz w:val="18"/>
                <w:szCs w:val="18"/>
                <w:highlight w:val="none"/>
              </w:rPr>
            </w:pPr>
            <w:r>
              <w:rPr>
                <w:bCs/>
                <w:color w:val="auto"/>
                <w:kern w:val="0"/>
                <w:sz w:val="18"/>
                <w:szCs w:val="18"/>
                <w:highlight w:val="none"/>
              </w:rPr>
              <w:t>500≤Y＜20000</w:t>
            </w:r>
          </w:p>
        </w:tc>
        <w:tc>
          <w:tcPr>
            <w:tcW w:w="1732" w:type="dxa"/>
            <w:tcBorders>
              <w:top w:val="nil"/>
              <w:left w:val="nil"/>
              <w:bottom w:val="single" w:color="auto" w:sz="4" w:space="0"/>
              <w:right w:val="single" w:color="auto" w:sz="4" w:space="0"/>
            </w:tcBorders>
            <w:vAlign w:val="center"/>
          </w:tcPr>
          <w:p w14:paraId="383A7957">
            <w:pPr>
              <w:widowControl/>
              <w:jc w:val="center"/>
              <w:rPr>
                <w:bCs/>
                <w:color w:val="auto"/>
                <w:kern w:val="0"/>
                <w:sz w:val="18"/>
                <w:szCs w:val="18"/>
                <w:highlight w:val="none"/>
              </w:rPr>
            </w:pPr>
            <w:r>
              <w:rPr>
                <w:bCs/>
                <w:color w:val="auto"/>
                <w:kern w:val="0"/>
                <w:sz w:val="18"/>
                <w:szCs w:val="18"/>
                <w:highlight w:val="none"/>
              </w:rPr>
              <w:t>100≤Y＜500</w:t>
            </w:r>
          </w:p>
        </w:tc>
        <w:tc>
          <w:tcPr>
            <w:tcW w:w="1300" w:type="dxa"/>
            <w:tcBorders>
              <w:top w:val="nil"/>
              <w:left w:val="nil"/>
              <w:bottom w:val="single" w:color="auto" w:sz="4" w:space="0"/>
              <w:right w:val="single" w:color="auto" w:sz="4" w:space="0"/>
            </w:tcBorders>
            <w:vAlign w:val="center"/>
          </w:tcPr>
          <w:p w14:paraId="1F44A9EC">
            <w:pPr>
              <w:widowControl/>
              <w:jc w:val="center"/>
              <w:rPr>
                <w:bCs/>
                <w:color w:val="auto"/>
                <w:kern w:val="0"/>
                <w:sz w:val="18"/>
                <w:szCs w:val="18"/>
                <w:highlight w:val="none"/>
              </w:rPr>
            </w:pPr>
            <w:r>
              <w:rPr>
                <w:bCs/>
                <w:color w:val="auto"/>
                <w:kern w:val="0"/>
                <w:sz w:val="18"/>
                <w:szCs w:val="18"/>
                <w:highlight w:val="none"/>
              </w:rPr>
              <w:t>Y＜100</w:t>
            </w:r>
          </w:p>
        </w:tc>
      </w:tr>
      <w:tr w14:paraId="366D0F22">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2390A274">
            <w:pPr>
              <w:widowControl/>
              <w:jc w:val="center"/>
              <w:rPr>
                <w:bCs/>
                <w:color w:val="auto"/>
                <w:kern w:val="0"/>
                <w:sz w:val="18"/>
                <w:szCs w:val="18"/>
                <w:highlight w:val="none"/>
              </w:rPr>
            </w:pPr>
            <w:r>
              <w:rPr>
                <w:bCs/>
                <w:color w:val="auto"/>
                <w:kern w:val="0"/>
                <w:sz w:val="18"/>
                <w:szCs w:val="18"/>
                <w:highlight w:val="none"/>
              </w:rPr>
              <w:t>交通运输业</w:t>
            </w:r>
          </w:p>
        </w:tc>
        <w:tc>
          <w:tcPr>
            <w:tcW w:w="1616" w:type="dxa"/>
            <w:tcBorders>
              <w:top w:val="nil"/>
              <w:left w:val="nil"/>
              <w:bottom w:val="single" w:color="auto" w:sz="4" w:space="0"/>
              <w:right w:val="single" w:color="auto" w:sz="4" w:space="0"/>
            </w:tcBorders>
            <w:vAlign w:val="center"/>
          </w:tcPr>
          <w:p w14:paraId="5AF0F2E4">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2AEDFB00">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6C078668">
            <w:pPr>
              <w:widowControl/>
              <w:jc w:val="center"/>
              <w:rPr>
                <w:bCs/>
                <w:color w:val="auto"/>
                <w:kern w:val="0"/>
                <w:sz w:val="18"/>
                <w:szCs w:val="18"/>
                <w:highlight w:val="none"/>
              </w:rPr>
            </w:pPr>
            <w:r>
              <w:rPr>
                <w:bCs/>
                <w:color w:val="auto"/>
                <w:kern w:val="0"/>
                <w:sz w:val="18"/>
                <w:szCs w:val="18"/>
                <w:highlight w:val="none"/>
              </w:rPr>
              <w:t>300≤X＜1000</w:t>
            </w:r>
          </w:p>
        </w:tc>
        <w:tc>
          <w:tcPr>
            <w:tcW w:w="1732" w:type="dxa"/>
            <w:tcBorders>
              <w:top w:val="nil"/>
              <w:left w:val="nil"/>
              <w:bottom w:val="single" w:color="auto" w:sz="4" w:space="0"/>
              <w:right w:val="single" w:color="auto" w:sz="4" w:space="0"/>
            </w:tcBorders>
            <w:vAlign w:val="center"/>
          </w:tcPr>
          <w:p w14:paraId="25755A67">
            <w:pPr>
              <w:widowControl/>
              <w:jc w:val="center"/>
              <w:rPr>
                <w:bCs/>
                <w:color w:val="auto"/>
                <w:kern w:val="0"/>
                <w:sz w:val="18"/>
                <w:szCs w:val="18"/>
                <w:highlight w:val="none"/>
              </w:rPr>
            </w:pPr>
            <w:r>
              <w:rPr>
                <w:bCs/>
                <w:color w:val="auto"/>
                <w:kern w:val="0"/>
                <w:sz w:val="18"/>
                <w:szCs w:val="18"/>
                <w:highlight w:val="none"/>
              </w:rPr>
              <w:t>20≤X＜300</w:t>
            </w:r>
          </w:p>
        </w:tc>
        <w:tc>
          <w:tcPr>
            <w:tcW w:w="1300" w:type="dxa"/>
            <w:tcBorders>
              <w:top w:val="nil"/>
              <w:left w:val="nil"/>
              <w:bottom w:val="single" w:color="auto" w:sz="4" w:space="0"/>
              <w:right w:val="single" w:color="auto" w:sz="4" w:space="0"/>
            </w:tcBorders>
            <w:vAlign w:val="center"/>
          </w:tcPr>
          <w:p w14:paraId="1F7AB210">
            <w:pPr>
              <w:widowControl/>
              <w:jc w:val="center"/>
              <w:rPr>
                <w:bCs/>
                <w:color w:val="auto"/>
                <w:kern w:val="0"/>
                <w:sz w:val="18"/>
                <w:szCs w:val="18"/>
                <w:highlight w:val="none"/>
              </w:rPr>
            </w:pPr>
            <w:r>
              <w:rPr>
                <w:bCs/>
                <w:color w:val="auto"/>
                <w:kern w:val="0"/>
                <w:sz w:val="18"/>
                <w:szCs w:val="18"/>
                <w:highlight w:val="none"/>
              </w:rPr>
              <w:t>X＜20</w:t>
            </w:r>
          </w:p>
        </w:tc>
      </w:tr>
      <w:tr w14:paraId="1E0E1ACF">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68B4BC7B">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5D87611E">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54625092">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1448B3CA">
            <w:pPr>
              <w:widowControl/>
              <w:jc w:val="center"/>
              <w:rPr>
                <w:bCs/>
                <w:color w:val="auto"/>
                <w:kern w:val="0"/>
                <w:sz w:val="18"/>
                <w:szCs w:val="18"/>
                <w:highlight w:val="none"/>
              </w:rPr>
            </w:pPr>
            <w:r>
              <w:rPr>
                <w:bCs/>
                <w:color w:val="auto"/>
                <w:kern w:val="0"/>
                <w:sz w:val="18"/>
                <w:szCs w:val="18"/>
                <w:highlight w:val="none"/>
              </w:rPr>
              <w:t>3000≤Y＜30000</w:t>
            </w:r>
          </w:p>
        </w:tc>
        <w:tc>
          <w:tcPr>
            <w:tcW w:w="1732" w:type="dxa"/>
            <w:tcBorders>
              <w:top w:val="nil"/>
              <w:left w:val="nil"/>
              <w:bottom w:val="single" w:color="auto" w:sz="4" w:space="0"/>
              <w:right w:val="single" w:color="auto" w:sz="4" w:space="0"/>
            </w:tcBorders>
            <w:vAlign w:val="center"/>
          </w:tcPr>
          <w:p w14:paraId="72F15550">
            <w:pPr>
              <w:widowControl/>
              <w:jc w:val="center"/>
              <w:rPr>
                <w:bCs/>
                <w:color w:val="auto"/>
                <w:kern w:val="0"/>
                <w:sz w:val="18"/>
                <w:szCs w:val="18"/>
                <w:highlight w:val="none"/>
              </w:rPr>
            </w:pPr>
            <w:r>
              <w:rPr>
                <w:bCs/>
                <w:color w:val="auto"/>
                <w:kern w:val="0"/>
                <w:sz w:val="18"/>
                <w:szCs w:val="18"/>
                <w:highlight w:val="none"/>
              </w:rPr>
              <w:t>200≤Y＜3000</w:t>
            </w:r>
          </w:p>
        </w:tc>
        <w:tc>
          <w:tcPr>
            <w:tcW w:w="1300" w:type="dxa"/>
            <w:tcBorders>
              <w:top w:val="nil"/>
              <w:left w:val="nil"/>
              <w:bottom w:val="single" w:color="auto" w:sz="4" w:space="0"/>
              <w:right w:val="single" w:color="auto" w:sz="4" w:space="0"/>
            </w:tcBorders>
            <w:vAlign w:val="center"/>
          </w:tcPr>
          <w:p w14:paraId="31B63F22">
            <w:pPr>
              <w:widowControl/>
              <w:jc w:val="center"/>
              <w:rPr>
                <w:bCs/>
                <w:color w:val="auto"/>
                <w:kern w:val="0"/>
                <w:sz w:val="18"/>
                <w:szCs w:val="18"/>
                <w:highlight w:val="none"/>
              </w:rPr>
            </w:pPr>
            <w:r>
              <w:rPr>
                <w:bCs/>
                <w:color w:val="auto"/>
                <w:kern w:val="0"/>
                <w:sz w:val="18"/>
                <w:szCs w:val="18"/>
                <w:highlight w:val="none"/>
              </w:rPr>
              <w:t>Y＜200</w:t>
            </w:r>
          </w:p>
        </w:tc>
      </w:tr>
      <w:tr w14:paraId="4F78EA99">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02825252">
            <w:pPr>
              <w:widowControl/>
              <w:jc w:val="center"/>
              <w:rPr>
                <w:bCs/>
                <w:color w:val="auto"/>
                <w:kern w:val="0"/>
                <w:sz w:val="18"/>
                <w:szCs w:val="18"/>
                <w:highlight w:val="none"/>
              </w:rPr>
            </w:pPr>
            <w:r>
              <w:rPr>
                <w:bCs/>
                <w:color w:val="auto"/>
                <w:kern w:val="0"/>
                <w:sz w:val="18"/>
                <w:szCs w:val="18"/>
                <w:highlight w:val="none"/>
              </w:rPr>
              <w:t>仓储业</w:t>
            </w:r>
          </w:p>
        </w:tc>
        <w:tc>
          <w:tcPr>
            <w:tcW w:w="1616" w:type="dxa"/>
            <w:tcBorders>
              <w:top w:val="nil"/>
              <w:left w:val="nil"/>
              <w:bottom w:val="single" w:color="auto" w:sz="4" w:space="0"/>
              <w:right w:val="single" w:color="auto" w:sz="4" w:space="0"/>
            </w:tcBorders>
            <w:vAlign w:val="center"/>
          </w:tcPr>
          <w:p w14:paraId="4D4A67A6">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6297F752">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10977A11">
            <w:pPr>
              <w:widowControl/>
              <w:jc w:val="center"/>
              <w:rPr>
                <w:bCs/>
                <w:color w:val="auto"/>
                <w:kern w:val="0"/>
                <w:sz w:val="18"/>
                <w:szCs w:val="18"/>
                <w:highlight w:val="none"/>
              </w:rPr>
            </w:pPr>
            <w:r>
              <w:rPr>
                <w:bCs/>
                <w:color w:val="auto"/>
                <w:kern w:val="0"/>
                <w:sz w:val="18"/>
                <w:szCs w:val="18"/>
                <w:highlight w:val="none"/>
              </w:rPr>
              <w:t>100≤X＜200</w:t>
            </w:r>
          </w:p>
        </w:tc>
        <w:tc>
          <w:tcPr>
            <w:tcW w:w="1732" w:type="dxa"/>
            <w:tcBorders>
              <w:top w:val="nil"/>
              <w:left w:val="nil"/>
              <w:bottom w:val="single" w:color="auto" w:sz="4" w:space="0"/>
              <w:right w:val="single" w:color="auto" w:sz="4" w:space="0"/>
            </w:tcBorders>
            <w:vAlign w:val="center"/>
          </w:tcPr>
          <w:p w14:paraId="3BB3526F">
            <w:pPr>
              <w:widowControl/>
              <w:jc w:val="center"/>
              <w:rPr>
                <w:bCs/>
                <w:color w:val="auto"/>
                <w:kern w:val="0"/>
                <w:sz w:val="18"/>
                <w:szCs w:val="18"/>
                <w:highlight w:val="none"/>
              </w:rPr>
            </w:pPr>
            <w:r>
              <w:rPr>
                <w:bCs/>
                <w:color w:val="auto"/>
                <w:kern w:val="0"/>
                <w:sz w:val="18"/>
                <w:szCs w:val="18"/>
                <w:highlight w:val="none"/>
              </w:rPr>
              <w:t>20≤X＜100</w:t>
            </w:r>
          </w:p>
        </w:tc>
        <w:tc>
          <w:tcPr>
            <w:tcW w:w="1300" w:type="dxa"/>
            <w:tcBorders>
              <w:top w:val="nil"/>
              <w:left w:val="nil"/>
              <w:bottom w:val="single" w:color="auto" w:sz="4" w:space="0"/>
              <w:right w:val="single" w:color="auto" w:sz="4" w:space="0"/>
            </w:tcBorders>
            <w:vAlign w:val="center"/>
          </w:tcPr>
          <w:p w14:paraId="7EE19C85">
            <w:pPr>
              <w:widowControl/>
              <w:jc w:val="center"/>
              <w:rPr>
                <w:bCs/>
                <w:color w:val="auto"/>
                <w:kern w:val="0"/>
                <w:sz w:val="18"/>
                <w:szCs w:val="18"/>
                <w:highlight w:val="none"/>
              </w:rPr>
            </w:pPr>
            <w:r>
              <w:rPr>
                <w:bCs/>
                <w:color w:val="auto"/>
                <w:kern w:val="0"/>
                <w:sz w:val="18"/>
                <w:szCs w:val="18"/>
                <w:highlight w:val="none"/>
              </w:rPr>
              <w:t>X＜20</w:t>
            </w:r>
          </w:p>
        </w:tc>
      </w:tr>
      <w:tr w14:paraId="1E44BBA6">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50872B1D">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3E1CA93C">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33D29B3D">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2C93C076">
            <w:pPr>
              <w:widowControl/>
              <w:jc w:val="center"/>
              <w:rPr>
                <w:bCs/>
                <w:color w:val="auto"/>
                <w:kern w:val="0"/>
                <w:sz w:val="18"/>
                <w:szCs w:val="18"/>
                <w:highlight w:val="none"/>
              </w:rPr>
            </w:pPr>
            <w:r>
              <w:rPr>
                <w:bCs/>
                <w:color w:val="auto"/>
                <w:kern w:val="0"/>
                <w:sz w:val="18"/>
                <w:szCs w:val="18"/>
                <w:highlight w:val="none"/>
              </w:rPr>
              <w:t>1000≤Y＜30000</w:t>
            </w:r>
          </w:p>
        </w:tc>
        <w:tc>
          <w:tcPr>
            <w:tcW w:w="1732" w:type="dxa"/>
            <w:tcBorders>
              <w:top w:val="nil"/>
              <w:left w:val="nil"/>
              <w:bottom w:val="single" w:color="auto" w:sz="4" w:space="0"/>
              <w:right w:val="single" w:color="auto" w:sz="4" w:space="0"/>
            </w:tcBorders>
            <w:vAlign w:val="center"/>
          </w:tcPr>
          <w:p w14:paraId="1AA4D194">
            <w:pPr>
              <w:widowControl/>
              <w:jc w:val="center"/>
              <w:rPr>
                <w:bCs/>
                <w:color w:val="auto"/>
                <w:kern w:val="0"/>
                <w:sz w:val="18"/>
                <w:szCs w:val="18"/>
                <w:highlight w:val="none"/>
              </w:rPr>
            </w:pPr>
            <w:r>
              <w:rPr>
                <w:bCs/>
                <w:color w:val="auto"/>
                <w:kern w:val="0"/>
                <w:sz w:val="18"/>
                <w:szCs w:val="18"/>
                <w:highlight w:val="none"/>
              </w:rPr>
              <w:t>100≤Y＜1000</w:t>
            </w:r>
          </w:p>
        </w:tc>
        <w:tc>
          <w:tcPr>
            <w:tcW w:w="1300" w:type="dxa"/>
            <w:tcBorders>
              <w:top w:val="nil"/>
              <w:left w:val="nil"/>
              <w:bottom w:val="single" w:color="auto" w:sz="4" w:space="0"/>
              <w:right w:val="single" w:color="auto" w:sz="4" w:space="0"/>
            </w:tcBorders>
            <w:vAlign w:val="center"/>
          </w:tcPr>
          <w:p w14:paraId="257BF12B">
            <w:pPr>
              <w:widowControl/>
              <w:jc w:val="center"/>
              <w:rPr>
                <w:bCs/>
                <w:color w:val="auto"/>
                <w:kern w:val="0"/>
                <w:sz w:val="18"/>
                <w:szCs w:val="18"/>
                <w:highlight w:val="none"/>
              </w:rPr>
            </w:pPr>
            <w:r>
              <w:rPr>
                <w:bCs/>
                <w:color w:val="auto"/>
                <w:kern w:val="0"/>
                <w:sz w:val="18"/>
                <w:szCs w:val="18"/>
                <w:highlight w:val="none"/>
              </w:rPr>
              <w:t>Y＜100</w:t>
            </w:r>
          </w:p>
        </w:tc>
      </w:tr>
      <w:tr w14:paraId="1B10D369">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3F686486">
            <w:pPr>
              <w:widowControl/>
              <w:jc w:val="center"/>
              <w:rPr>
                <w:bCs/>
                <w:color w:val="auto"/>
                <w:kern w:val="0"/>
                <w:sz w:val="18"/>
                <w:szCs w:val="18"/>
                <w:highlight w:val="none"/>
              </w:rPr>
            </w:pPr>
            <w:r>
              <w:rPr>
                <w:bCs/>
                <w:color w:val="auto"/>
                <w:kern w:val="0"/>
                <w:sz w:val="18"/>
                <w:szCs w:val="18"/>
                <w:highlight w:val="none"/>
              </w:rPr>
              <w:t>邮政业</w:t>
            </w:r>
          </w:p>
        </w:tc>
        <w:tc>
          <w:tcPr>
            <w:tcW w:w="1616" w:type="dxa"/>
            <w:tcBorders>
              <w:top w:val="nil"/>
              <w:left w:val="nil"/>
              <w:bottom w:val="single" w:color="auto" w:sz="4" w:space="0"/>
              <w:right w:val="single" w:color="auto" w:sz="4" w:space="0"/>
            </w:tcBorders>
            <w:vAlign w:val="center"/>
          </w:tcPr>
          <w:p w14:paraId="6326B043">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6BBBD448">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3DFC09D2">
            <w:pPr>
              <w:widowControl/>
              <w:jc w:val="center"/>
              <w:rPr>
                <w:bCs/>
                <w:color w:val="auto"/>
                <w:kern w:val="0"/>
                <w:sz w:val="18"/>
                <w:szCs w:val="18"/>
                <w:highlight w:val="none"/>
              </w:rPr>
            </w:pPr>
            <w:r>
              <w:rPr>
                <w:bCs/>
                <w:color w:val="auto"/>
                <w:kern w:val="0"/>
                <w:sz w:val="18"/>
                <w:szCs w:val="18"/>
                <w:highlight w:val="none"/>
              </w:rPr>
              <w:t>300≤X＜1000</w:t>
            </w:r>
          </w:p>
        </w:tc>
        <w:tc>
          <w:tcPr>
            <w:tcW w:w="1732" w:type="dxa"/>
            <w:tcBorders>
              <w:top w:val="nil"/>
              <w:left w:val="nil"/>
              <w:bottom w:val="single" w:color="auto" w:sz="4" w:space="0"/>
              <w:right w:val="single" w:color="auto" w:sz="4" w:space="0"/>
            </w:tcBorders>
            <w:vAlign w:val="center"/>
          </w:tcPr>
          <w:p w14:paraId="7131E6C6">
            <w:pPr>
              <w:widowControl/>
              <w:jc w:val="center"/>
              <w:rPr>
                <w:bCs/>
                <w:color w:val="auto"/>
                <w:kern w:val="0"/>
                <w:sz w:val="18"/>
                <w:szCs w:val="18"/>
                <w:highlight w:val="none"/>
              </w:rPr>
            </w:pPr>
            <w:r>
              <w:rPr>
                <w:bCs/>
                <w:color w:val="auto"/>
                <w:kern w:val="0"/>
                <w:sz w:val="18"/>
                <w:szCs w:val="18"/>
                <w:highlight w:val="none"/>
              </w:rPr>
              <w:t>20≤X＜300</w:t>
            </w:r>
          </w:p>
        </w:tc>
        <w:tc>
          <w:tcPr>
            <w:tcW w:w="1300" w:type="dxa"/>
            <w:tcBorders>
              <w:top w:val="nil"/>
              <w:left w:val="nil"/>
              <w:bottom w:val="single" w:color="auto" w:sz="4" w:space="0"/>
              <w:right w:val="single" w:color="auto" w:sz="4" w:space="0"/>
            </w:tcBorders>
            <w:vAlign w:val="center"/>
          </w:tcPr>
          <w:p w14:paraId="367BF0B5">
            <w:pPr>
              <w:widowControl/>
              <w:jc w:val="center"/>
              <w:rPr>
                <w:bCs/>
                <w:color w:val="auto"/>
                <w:kern w:val="0"/>
                <w:sz w:val="18"/>
                <w:szCs w:val="18"/>
                <w:highlight w:val="none"/>
              </w:rPr>
            </w:pPr>
            <w:r>
              <w:rPr>
                <w:bCs/>
                <w:color w:val="auto"/>
                <w:kern w:val="0"/>
                <w:sz w:val="18"/>
                <w:szCs w:val="18"/>
                <w:highlight w:val="none"/>
              </w:rPr>
              <w:t>X＜20</w:t>
            </w:r>
          </w:p>
        </w:tc>
      </w:tr>
      <w:tr w14:paraId="6BBC0941">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50A9E22F">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780BFDA0">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51D074F8">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11A4AF75">
            <w:pPr>
              <w:widowControl/>
              <w:jc w:val="center"/>
              <w:rPr>
                <w:bCs/>
                <w:color w:val="auto"/>
                <w:kern w:val="0"/>
                <w:sz w:val="18"/>
                <w:szCs w:val="18"/>
                <w:highlight w:val="none"/>
              </w:rPr>
            </w:pPr>
            <w:r>
              <w:rPr>
                <w:bCs/>
                <w:color w:val="auto"/>
                <w:kern w:val="0"/>
                <w:sz w:val="18"/>
                <w:szCs w:val="18"/>
                <w:highlight w:val="none"/>
              </w:rPr>
              <w:t>2000≤Y＜30000</w:t>
            </w:r>
          </w:p>
        </w:tc>
        <w:tc>
          <w:tcPr>
            <w:tcW w:w="1732" w:type="dxa"/>
            <w:tcBorders>
              <w:top w:val="nil"/>
              <w:left w:val="nil"/>
              <w:bottom w:val="single" w:color="auto" w:sz="4" w:space="0"/>
              <w:right w:val="single" w:color="auto" w:sz="4" w:space="0"/>
            </w:tcBorders>
            <w:vAlign w:val="center"/>
          </w:tcPr>
          <w:p w14:paraId="14E95D6A">
            <w:pPr>
              <w:widowControl/>
              <w:jc w:val="center"/>
              <w:rPr>
                <w:bCs/>
                <w:color w:val="auto"/>
                <w:kern w:val="0"/>
                <w:sz w:val="18"/>
                <w:szCs w:val="18"/>
                <w:highlight w:val="none"/>
              </w:rPr>
            </w:pPr>
            <w:r>
              <w:rPr>
                <w:bCs/>
                <w:color w:val="auto"/>
                <w:kern w:val="0"/>
                <w:sz w:val="18"/>
                <w:szCs w:val="18"/>
                <w:highlight w:val="none"/>
              </w:rPr>
              <w:t>100≤Y＜2000</w:t>
            </w:r>
          </w:p>
        </w:tc>
        <w:tc>
          <w:tcPr>
            <w:tcW w:w="1300" w:type="dxa"/>
            <w:tcBorders>
              <w:top w:val="nil"/>
              <w:left w:val="nil"/>
              <w:bottom w:val="single" w:color="auto" w:sz="4" w:space="0"/>
              <w:right w:val="single" w:color="auto" w:sz="4" w:space="0"/>
            </w:tcBorders>
            <w:vAlign w:val="center"/>
          </w:tcPr>
          <w:p w14:paraId="035E6D09">
            <w:pPr>
              <w:widowControl/>
              <w:jc w:val="center"/>
              <w:rPr>
                <w:bCs/>
                <w:color w:val="auto"/>
                <w:kern w:val="0"/>
                <w:sz w:val="18"/>
                <w:szCs w:val="18"/>
                <w:highlight w:val="none"/>
              </w:rPr>
            </w:pPr>
            <w:r>
              <w:rPr>
                <w:bCs/>
                <w:color w:val="auto"/>
                <w:kern w:val="0"/>
                <w:sz w:val="18"/>
                <w:szCs w:val="18"/>
                <w:highlight w:val="none"/>
              </w:rPr>
              <w:t>Y＜100</w:t>
            </w:r>
          </w:p>
        </w:tc>
      </w:tr>
      <w:tr w14:paraId="3D2B21BC">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5ADC98D5">
            <w:pPr>
              <w:widowControl/>
              <w:jc w:val="center"/>
              <w:rPr>
                <w:bCs/>
                <w:color w:val="auto"/>
                <w:kern w:val="0"/>
                <w:sz w:val="18"/>
                <w:szCs w:val="18"/>
                <w:highlight w:val="none"/>
              </w:rPr>
            </w:pPr>
            <w:r>
              <w:rPr>
                <w:bCs/>
                <w:color w:val="auto"/>
                <w:kern w:val="0"/>
                <w:sz w:val="18"/>
                <w:szCs w:val="18"/>
                <w:highlight w:val="none"/>
              </w:rPr>
              <w:t>住宿业</w:t>
            </w:r>
          </w:p>
        </w:tc>
        <w:tc>
          <w:tcPr>
            <w:tcW w:w="1616" w:type="dxa"/>
            <w:tcBorders>
              <w:top w:val="nil"/>
              <w:left w:val="nil"/>
              <w:bottom w:val="single" w:color="auto" w:sz="4" w:space="0"/>
              <w:right w:val="single" w:color="auto" w:sz="4" w:space="0"/>
            </w:tcBorders>
            <w:vAlign w:val="center"/>
          </w:tcPr>
          <w:p w14:paraId="1C5E6562">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6BB73D5B">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5B8F1A69">
            <w:pPr>
              <w:widowControl/>
              <w:jc w:val="center"/>
              <w:rPr>
                <w:bCs/>
                <w:color w:val="auto"/>
                <w:kern w:val="0"/>
                <w:sz w:val="18"/>
                <w:szCs w:val="18"/>
                <w:highlight w:val="none"/>
              </w:rPr>
            </w:pPr>
            <w:r>
              <w:rPr>
                <w:bCs/>
                <w:color w:val="auto"/>
                <w:kern w:val="0"/>
                <w:sz w:val="18"/>
                <w:szCs w:val="18"/>
                <w:highlight w:val="none"/>
              </w:rPr>
              <w:t>100≤X＜300</w:t>
            </w:r>
          </w:p>
        </w:tc>
        <w:tc>
          <w:tcPr>
            <w:tcW w:w="1732" w:type="dxa"/>
            <w:tcBorders>
              <w:top w:val="nil"/>
              <w:left w:val="nil"/>
              <w:bottom w:val="single" w:color="auto" w:sz="4" w:space="0"/>
              <w:right w:val="single" w:color="auto" w:sz="4" w:space="0"/>
            </w:tcBorders>
            <w:vAlign w:val="center"/>
          </w:tcPr>
          <w:p w14:paraId="7D5FE25F">
            <w:pPr>
              <w:widowControl/>
              <w:jc w:val="center"/>
              <w:rPr>
                <w:bCs/>
                <w:color w:val="auto"/>
                <w:kern w:val="0"/>
                <w:sz w:val="18"/>
                <w:szCs w:val="18"/>
                <w:highlight w:val="none"/>
              </w:rPr>
            </w:pPr>
            <w:r>
              <w:rPr>
                <w:bCs/>
                <w:color w:val="auto"/>
                <w:kern w:val="0"/>
                <w:sz w:val="18"/>
                <w:szCs w:val="18"/>
                <w:highlight w:val="none"/>
              </w:rPr>
              <w:t>10≤X＜100</w:t>
            </w:r>
          </w:p>
        </w:tc>
        <w:tc>
          <w:tcPr>
            <w:tcW w:w="1300" w:type="dxa"/>
            <w:tcBorders>
              <w:top w:val="nil"/>
              <w:left w:val="nil"/>
              <w:bottom w:val="single" w:color="auto" w:sz="4" w:space="0"/>
              <w:right w:val="single" w:color="auto" w:sz="4" w:space="0"/>
            </w:tcBorders>
            <w:vAlign w:val="center"/>
          </w:tcPr>
          <w:p w14:paraId="0E0D92ED">
            <w:pPr>
              <w:widowControl/>
              <w:jc w:val="center"/>
              <w:rPr>
                <w:bCs/>
                <w:color w:val="auto"/>
                <w:kern w:val="0"/>
                <w:sz w:val="18"/>
                <w:szCs w:val="18"/>
                <w:highlight w:val="none"/>
              </w:rPr>
            </w:pPr>
            <w:r>
              <w:rPr>
                <w:bCs/>
                <w:color w:val="auto"/>
                <w:kern w:val="0"/>
                <w:sz w:val="18"/>
                <w:szCs w:val="18"/>
                <w:highlight w:val="none"/>
              </w:rPr>
              <w:t>X＜10</w:t>
            </w:r>
          </w:p>
        </w:tc>
      </w:tr>
      <w:tr w14:paraId="6C00448B">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13018142">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021A3AA6">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1E0901A6">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2C78631B">
            <w:pPr>
              <w:widowControl/>
              <w:jc w:val="center"/>
              <w:rPr>
                <w:bCs/>
                <w:color w:val="auto"/>
                <w:kern w:val="0"/>
                <w:sz w:val="18"/>
                <w:szCs w:val="18"/>
                <w:highlight w:val="none"/>
              </w:rPr>
            </w:pPr>
            <w:r>
              <w:rPr>
                <w:bCs/>
                <w:color w:val="auto"/>
                <w:kern w:val="0"/>
                <w:sz w:val="18"/>
                <w:szCs w:val="18"/>
                <w:highlight w:val="none"/>
              </w:rPr>
              <w:t>2000≤Y＜10000</w:t>
            </w:r>
          </w:p>
        </w:tc>
        <w:tc>
          <w:tcPr>
            <w:tcW w:w="1732" w:type="dxa"/>
            <w:tcBorders>
              <w:top w:val="nil"/>
              <w:left w:val="nil"/>
              <w:bottom w:val="single" w:color="auto" w:sz="4" w:space="0"/>
              <w:right w:val="single" w:color="auto" w:sz="4" w:space="0"/>
            </w:tcBorders>
            <w:vAlign w:val="center"/>
          </w:tcPr>
          <w:p w14:paraId="54C9E86B">
            <w:pPr>
              <w:widowControl/>
              <w:jc w:val="center"/>
              <w:rPr>
                <w:bCs/>
                <w:color w:val="auto"/>
                <w:kern w:val="0"/>
                <w:sz w:val="18"/>
                <w:szCs w:val="18"/>
                <w:highlight w:val="none"/>
              </w:rPr>
            </w:pPr>
            <w:r>
              <w:rPr>
                <w:bCs/>
                <w:color w:val="auto"/>
                <w:kern w:val="0"/>
                <w:sz w:val="18"/>
                <w:szCs w:val="18"/>
                <w:highlight w:val="none"/>
              </w:rPr>
              <w:t>100≤Y＜2000</w:t>
            </w:r>
          </w:p>
        </w:tc>
        <w:tc>
          <w:tcPr>
            <w:tcW w:w="1300" w:type="dxa"/>
            <w:tcBorders>
              <w:top w:val="nil"/>
              <w:left w:val="nil"/>
              <w:bottom w:val="single" w:color="auto" w:sz="4" w:space="0"/>
              <w:right w:val="single" w:color="auto" w:sz="4" w:space="0"/>
            </w:tcBorders>
            <w:vAlign w:val="center"/>
          </w:tcPr>
          <w:p w14:paraId="7F17472D">
            <w:pPr>
              <w:widowControl/>
              <w:jc w:val="center"/>
              <w:rPr>
                <w:bCs/>
                <w:color w:val="auto"/>
                <w:kern w:val="0"/>
                <w:sz w:val="18"/>
                <w:szCs w:val="18"/>
                <w:highlight w:val="none"/>
              </w:rPr>
            </w:pPr>
            <w:r>
              <w:rPr>
                <w:bCs/>
                <w:color w:val="auto"/>
                <w:kern w:val="0"/>
                <w:sz w:val="18"/>
                <w:szCs w:val="18"/>
                <w:highlight w:val="none"/>
              </w:rPr>
              <w:t>Y＜100</w:t>
            </w:r>
          </w:p>
        </w:tc>
      </w:tr>
      <w:tr w14:paraId="3F9398A0">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2B059FEA">
            <w:pPr>
              <w:widowControl/>
              <w:jc w:val="center"/>
              <w:rPr>
                <w:bCs/>
                <w:color w:val="auto"/>
                <w:kern w:val="0"/>
                <w:sz w:val="18"/>
                <w:szCs w:val="18"/>
                <w:highlight w:val="none"/>
              </w:rPr>
            </w:pPr>
            <w:r>
              <w:rPr>
                <w:bCs/>
                <w:color w:val="auto"/>
                <w:kern w:val="0"/>
                <w:sz w:val="18"/>
                <w:szCs w:val="18"/>
                <w:highlight w:val="none"/>
              </w:rPr>
              <w:t>餐饮业</w:t>
            </w:r>
          </w:p>
        </w:tc>
        <w:tc>
          <w:tcPr>
            <w:tcW w:w="1616" w:type="dxa"/>
            <w:tcBorders>
              <w:top w:val="nil"/>
              <w:left w:val="nil"/>
              <w:bottom w:val="single" w:color="auto" w:sz="4" w:space="0"/>
              <w:right w:val="single" w:color="auto" w:sz="4" w:space="0"/>
            </w:tcBorders>
            <w:vAlign w:val="center"/>
          </w:tcPr>
          <w:p w14:paraId="5B46F5C0">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33B8C638">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5D0E2101">
            <w:pPr>
              <w:widowControl/>
              <w:jc w:val="center"/>
              <w:rPr>
                <w:bCs/>
                <w:color w:val="auto"/>
                <w:kern w:val="0"/>
                <w:sz w:val="18"/>
                <w:szCs w:val="18"/>
                <w:highlight w:val="none"/>
              </w:rPr>
            </w:pPr>
            <w:r>
              <w:rPr>
                <w:bCs/>
                <w:color w:val="auto"/>
                <w:kern w:val="0"/>
                <w:sz w:val="18"/>
                <w:szCs w:val="18"/>
                <w:highlight w:val="none"/>
              </w:rPr>
              <w:t>100≤X＜300</w:t>
            </w:r>
          </w:p>
        </w:tc>
        <w:tc>
          <w:tcPr>
            <w:tcW w:w="1732" w:type="dxa"/>
            <w:tcBorders>
              <w:top w:val="nil"/>
              <w:left w:val="nil"/>
              <w:bottom w:val="single" w:color="auto" w:sz="4" w:space="0"/>
              <w:right w:val="single" w:color="auto" w:sz="4" w:space="0"/>
            </w:tcBorders>
            <w:vAlign w:val="center"/>
          </w:tcPr>
          <w:p w14:paraId="674AD172">
            <w:pPr>
              <w:widowControl/>
              <w:jc w:val="center"/>
              <w:rPr>
                <w:bCs/>
                <w:color w:val="auto"/>
                <w:kern w:val="0"/>
                <w:sz w:val="18"/>
                <w:szCs w:val="18"/>
                <w:highlight w:val="none"/>
              </w:rPr>
            </w:pPr>
            <w:r>
              <w:rPr>
                <w:bCs/>
                <w:color w:val="auto"/>
                <w:kern w:val="0"/>
                <w:sz w:val="18"/>
                <w:szCs w:val="18"/>
                <w:highlight w:val="none"/>
              </w:rPr>
              <w:t>10≤X＜100</w:t>
            </w:r>
          </w:p>
        </w:tc>
        <w:tc>
          <w:tcPr>
            <w:tcW w:w="1300" w:type="dxa"/>
            <w:tcBorders>
              <w:top w:val="nil"/>
              <w:left w:val="nil"/>
              <w:bottom w:val="single" w:color="auto" w:sz="4" w:space="0"/>
              <w:right w:val="single" w:color="auto" w:sz="4" w:space="0"/>
            </w:tcBorders>
            <w:vAlign w:val="center"/>
          </w:tcPr>
          <w:p w14:paraId="2666778E">
            <w:pPr>
              <w:widowControl/>
              <w:jc w:val="center"/>
              <w:rPr>
                <w:bCs/>
                <w:color w:val="auto"/>
                <w:kern w:val="0"/>
                <w:sz w:val="18"/>
                <w:szCs w:val="18"/>
                <w:highlight w:val="none"/>
              </w:rPr>
            </w:pPr>
            <w:r>
              <w:rPr>
                <w:bCs/>
                <w:color w:val="auto"/>
                <w:kern w:val="0"/>
                <w:sz w:val="18"/>
                <w:szCs w:val="18"/>
                <w:highlight w:val="none"/>
              </w:rPr>
              <w:t>X＜10</w:t>
            </w:r>
          </w:p>
        </w:tc>
      </w:tr>
      <w:tr w14:paraId="0228A39E">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52C2EB25">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5E775A70">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61A61120">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2690B464">
            <w:pPr>
              <w:widowControl/>
              <w:jc w:val="center"/>
              <w:rPr>
                <w:bCs/>
                <w:color w:val="auto"/>
                <w:kern w:val="0"/>
                <w:sz w:val="18"/>
                <w:szCs w:val="18"/>
                <w:highlight w:val="none"/>
              </w:rPr>
            </w:pPr>
            <w:r>
              <w:rPr>
                <w:bCs/>
                <w:color w:val="auto"/>
                <w:kern w:val="0"/>
                <w:sz w:val="18"/>
                <w:szCs w:val="18"/>
                <w:highlight w:val="none"/>
              </w:rPr>
              <w:t>2000≤Y＜10000</w:t>
            </w:r>
          </w:p>
        </w:tc>
        <w:tc>
          <w:tcPr>
            <w:tcW w:w="1732" w:type="dxa"/>
            <w:tcBorders>
              <w:top w:val="nil"/>
              <w:left w:val="nil"/>
              <w:bottom w:val="single" w:color="auto" w:sz="4" w:space="0"/>
              <w:right w:val="single" w:color="auto" w:sz="4" w:space="0"/>
            </w:tcBorders>
            <w:vAlign w:val="center"/>
          </w:tcPr>
          <w:p w14:paraId="07A6AD57">
            <w:pPr>
              <w:widowControl/>
              <w:jc w:val="center"/>
              <w:rPr>
                <w:bCs/>
                <w:color w:val="auto"/>
                <w:kern w:val="0"/>
                <w:sz w:val="18"/>
                <w:szCs w:val="18"/>
                <w:highlight w:val="none"/>
              </w:rPr>
            </w:pPr>
            <w:r>
              <w:rPr>
                <w:bCs/>
                <w:color w:val="auto"/>
                <w:kern w:val="0"/>
                <w:sz w:val="18"/>
                <w:szCs w:val="18"/>
                <w:highlight w:val="none"/>
              </w:rPr>
              <w:t>100≤Y＜2000</w:t>
            </w:r>
          </w:p>
        </w:tc>
        <w:tc>
          <w:tcPr>
            <w:tcW w:w="1300" w:type="dxa"/>
            <w:tcBorders>
              <w:top w:val="nil"/>
              <w:left w:val="nil"/>
              <w:bottom w:val="single" w:color="auto" w:sz="4" w:space="0"/>
              <w:right w:val="single" w:color="auto" w:sz="4" w:space="0"/>
            </w:tcBorders>
            <w:vAlign w:val="center"/>
          </w:tcPr>
          <w:p w14:paraId="5224BA66">
            <w:pPr>
              <w:widowControl/>
              <w:jc w:val="center"/>
              <w:rPr>
                <w:bCs/>
                <w:color w:val="auto"/>
                <w:kern w:val="0"/>
                <w:sz w:val="18"/>
                <w:szCs w:val="18"/>
                <w:highlight w:val="none"/>
              </w:rPr>
            </w:pPr>
            <w:r>
              <w:rPr>
                <w:bCs/>
                <w:color w:val="auto"/>
                <w:kern w:val="0"/>
                <w:sz w:val="18"/>
                <w:szCs w:val="18"/>
                <w:highlight w:val="none"/>
              </w:rPr>
              <w:t>Y＜100</w:t>
            </w:r>
          </w:p>
        </w:tc>
      </w:tr>
      <w:tr w14:paraId="13F4BD5C">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215A6F32">
            <w:pPr>
              <w:widowControl/>
              <w:jc w:val="center"/>
              <w:rPr>
                <w:bCs/>
                <w:color w:val="auto"/>
                <w:kern w:val="0"/>
                <w:sz w:val="18"/>
                <w:szCs w:val="18"/>
                <w:highlight w:val="none"/>
              </w:rPr>
            </w:pPr>
            <w:r>
              <w:rPr>
                <w:bCs/>
                <w:color w:val="auto"/>
                <w:kern w:val="0"/>
                <w:sz w:val="18"/>
                <w:szCs w:val="18"/>
                <w:highlight w:val="none"/>
              </w:rPr>
              <w:t>信息传输业</w:t>
            </w:r>
          </w:p>
        </w:tc>
        <w:tc>
          <w:tcPr>
            <w:tcW w:w="1616" w:type="dxa"/>
            <w:tcBorders>
              <w:top w:val="nil"/>
              <w:left w:val="nil"/>
              <w:bottom w:val="single" w:color="auto" w:sz="4" w:space="0"/>
              <w:right w:val="single" w:color="auto" w:sz="4" w:space="0"/>
            </w:tcBorders>
            <w:vAlign w:val="center"/>
          </w:tcPr>
          <w:p w14:paraId="5FDDF195">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3A989AE3">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4E8E8A8C">
            <w:pPr>
              <w:widowControl/>
              <w:jc w:val="center"/>
              <w:rPr>
                <w:bCs/>
                <w:color w:val="auto"/>
                <w:kern w:val="0"/>
                <w:sz w:val="18"/>
                <w:szCs w:val="18"/>
                <w:highlight w:val="none"/>
              </w:rPr>
            </w:pPr>
            <w:r>
              <w:rPr>
                <w:bCs/>
                <w:color w:val="auto"/>
                <w:kern w:val="0"/>
                <w:sz w:val="18"/>
                <w:szCs w:val="18"/>
                <w:highlight w:val="none"/>
              </w:rPr>
              <w:t>100≤X＜2000</w:t>
            </w:r>
          </w:p>
        </w:tc>
        <w:tc>
          <w:tcPr>
            <w:tcW w:w="1732" w:type="dxa"/>
            <w:tcBorders>
              <w:top w:val="nil"/>
              <w:left w:val="nil"/>
              <w:bottom w:val="single" w:color="auto" w:sz="4" w:space="0"/>
              <w:right w:val="single" w:color="auto" w:sz="4" w:space="0"/>
            </w:tcBorders>
            <w:vAlign w:val="center"/>
          </w:tcPr>
          <w:p w14:paraId="09173AEE">
            <w:pPr>
              <w:widowControl/>
              <w:jc w:val="center"/>
              <w:rPr>
                <w:bCs/>
                <w:color w:val="auto"/>
                <w:kern w:val="0"/>
                <w:sz w:val="18"/>
                <w:szCs w:val="18"/>
                <w:highlight w:val="none"/>
              </w:rPr>
            </w:pPr>
            <w:r>
              <w:rPr>
                <w:bCs/>
                <w:color w:val="auto"/>
                <w:kern w:val="0"/>
                <w:sz w:val="18"/>
                <w:szCs w:val="18"/>
                <w:highlight w:val="none"/>
              </w:rPr>
              <w:t>10≤X＜100</w:t>
            </w:r>
          </w:p>
        </w:tc>
        <w:tc>
          <w:tcPr>
            <w:tcW w:w="1300" w:type="dxa"/>
            <w:tcBorders>
              <w:top w:val="nil"/>
              <w:left w:val="nil"/>
              <w:bottom w:val="single" w:color="auto" w:sz="4" w:space="0"/>
              <w:right w:val="single" w:color="auto" w:sz="4" w:space="0"/>
            </w:tcBorders>
            <w:vAlign w:val="center"/>
          </w:tcPr>
          <w:p w14:paraId="6DC1B8FB">
            <w:pPr>
              <w:widowControl/>
              <w:jc w:val="center"/>
              <w:rPr>
                <w:bCs/>
                <w:color w:val="auto"/>
                <w:kern w:val="0"/>
                <w:sz w:val="18"/>
                <w:szCs w:val="18"/>
                <w:highlight w:val="none"/>
              </w:rPr>
            </w:pPr>
            <w:r>
              <w:rPr>
                <w:bCs/>
                <w:color w:val="auto"/>
                <w:kern w:val="0"/>
                <w:sz w:val="18"/>
                <w:szCs w:val="18"/>
                <w:highlight w:val="none"/>
              </w:rPr>
              <w:t>X＜10</w:t>
            </w:r>
          </w:p>
        </w:tc>
      </w:tr>
      <w:tr w14:paraId="752F2B8F">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1E63A2BB">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559C0980">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25D06A4E">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3AA9E10D">
            <w:pPr>
              <w:widowControl/>
              <w:jc w:val="center"/>
              <w:rPr>
                <w:bCs/>
                <w:color w:val="auto"/>
                <w:kern w:val="0"/>
                <w:sz w:val="18"/>
                <w:szCs w:val="18"/>
                <w:highlight w:val="none"/>
              </w:rPr>
            </w:pPr>
            <w:r>
              <w:rPr>
                <w:bCs/>
                <w:color w:val="auto"/>
                <w:kern w:val="0"/>
                <w:sz w:val="18"/>
                <w:szCs w:val="18"/>
                <w:highlight w:val="none"/>
              </w:rPr>
              <w:t>1000≤Y＜100000</w:t>
            </w:r>
          </w:p>
        </w:tc>
        <w:tc>
          <w:tcPr>
            <w:tcW w:w="1732" w:type="dxa"/>
            <w:tcBorders>
              <w:top w:val="nil"/>
              <w:left w:val="nil"/>
              <w:bottom w:val="single" w:color="auto" w:sz="4" w:space="0"/>
              <w:right w:val="single" w:color="auto" w:sz="4" w:space="0"/>
            </w:tcBorders>
            <w:vAlign w:val="center"/>
          </w:tcPr>
          <w:p w14:paraId="52F5CB1D">
            <w:pPr>
              <w:widowControl/>
              <w:jc w:val="center"/>
              <w:rPr>
                <w:bCs/>
                <w:color w:val="auto"/>
                <w:kern w:val="0"/>
                <w:sz w:val="18"/>
                <w:szCs w:val="18"/>
                <w:highlight w:val="none"/>
              </w:rPr>
            </w:pPr>
            <w:r>
              <w:rPr>
                <w:bCs/>
                <w:color w:val="auto"/>
                <w:kern w:val="0"/>
                <w:sz w:val="18"/>
                <w:szCs w:val="18"/>
                <w:highlight w:val="none"/>
              </w:rPr>
              <w:t>100≤Y＜1000</w:t>
            </w:r>
          </w:p>
        </w:tc>
        <w:tc>
          <w:tcPr>
            <w:tcW w:w="1300" w:type="dxa"/>
            <w:tcBorders>
              <w:top w:val="nil"/>
              <w:left w:val="nil"/>
              <w:bottom w:val="single" w:color="auto" w:sz="4" w:space="0"/>
              <w:right w:val="single" w:color="auto" w:sz="4" w:space="0"/>
            </w:tcBorders>
            <w:vAlign w:val="center"/>
          </w:tcPr>
          <w:p w14:paraId="7AC5B675">
            <w:pPr>
              <w:widowControl/>
              <w:jc w:val="center"/>
              <w:rPr>
                <w:bCs/>
                <w:color w:val="auto"/>
                <w:kern w:val="0"/>
                <w:sz w:val="18"/>
                <w:szCs w:val="18"/>
                <w:highlight w:val="none"/>
              </w:rPr>
            </w:pPr>
            <w:r>
              <w:rPr>
                <w:bCs/>
                <w:color w:val="auto"/>
                <w:kern w:val="0"/>
                <w:sz w:val="18"/>
                <w:szCs w:val="18"/>
                <w:highlight w:val="none"/>
              </w:rPr>
              <w:t>Y＜100</w:t>
            </w:r>
          </w:p>
        </w:tc>
      </w:tr>
      <w:tr w14:paraId="01A9ACDC">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14D473DF">
            <w:pPr>
              <w:widowControl/>
              <w:jc w:val="center"/>
              <w:rPr>
                <w:bCs/>
                <w:color w:val="auto"/>
                <w:kern w:val="0"/>
                <w:sz w:val="18"/>
                <w:szCs w:val="18"/>
                <w:highlight w:val="none"/>
              </w:rPr>
            </w:pPr>
            <w:r>
              <w:rPr>
                <w:bCs/>
                <w:color w:val="auto"/>
                <w:kern w:val="0"/>
                <w:sz w:val="18"/>
                <w:szCs w:val="18"/>
                <w:highlight w:val="none"/>
              </w:rPr>
              <w:t>软件和信息技术服务业</w:t>
            </w:r>
          </w:p>
        </w:tc>
        <w:tc>
          <w:tcPr>
            <w:tcW w:w="1616" w:type="dxa"/>
            <w:tcBorders>
              <w:top w:val="nil"/>
              <w:left w:val="nil"/>
              <w:bottom w:val="single" w:color="auto" w:sz="4" w:space="0"/>
              <w:right w:val="single" w:color="auto" w:sz="4" w:space="0"/>
            </w:tcBorders>
            <w:vAlign w:val="center"/>
          </w:tcPr>
          <w:p w14:paraId="6C436161">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022D1BA0">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1D59BFDC">
            <w:pPr>
              <w:widowControl/>
              <w:jc w:val="center"/>
              <w:rPr>
                <w:bCs/>
                <w:color w:val="auto"/>
                <w:kern w:val="0"/>
                <w:sz w:val="18"/>
                <w:szCs w:val="18"/>
                <w:highlight w:val="none"/>
              </w:rPr>
            </w:pPr>
            <w:r>
              <w:rPr>
                <w:bCs/>
                <w:color w:val="auto"/>
                <w:kern w:val="0"/>
                <w:sz w:val="18"/>
                <w:szCs w:val="18"/>
                <w:highlight w:val="none"/>
              </w:rPr>
              <w:t>100≤X＜300</w:t>
            </w:r>
          </w:p>
        </w:tc>
        <w:tc>
          <w:tcPr>
            <w:tcW w:w="1732" w:type="dxa"/>
            <w:tcBorders>
              <w:top w:val="nil"/>
              <w:left w:val="nil"/>
              <w:bottom w:val="single" w:color="auto" w:sz="4" w:space="0"/>
              <w:right w:val="single" w:color="auto" w:sz="4" w:space="0"/>
            </w:tcBorders>
            <w:vAlign w:val="center"/>
          </w:tcPr>
          <w:p w14:paraId="111FE256">
            <w:pPr>
              <w:widowControl/>
              <w:jc w:val="center"/>
              <w:rPr>
                <w:bCs/>
                <w:color w:val="auto"/>
                <w:kern w:val="0"/>
                <w:sz w:val="18"/>
                <w:szCs w:val="18"/>
                <w:highlight w:val="none"/>
              </w:rPr>
            </w:pPr>
            <w:r>
              <w:rPr>
                <w:bCs/>
                <w:color w:val="auto"/>
                <w:kern w:val="0"/>
                <w:sz w:val="18"/>
                <w:szCs w:val="18"/>
                <w:highlight w:val="none"/>
              </w:rPr>
              <w:t>10≤X＜100</w:t>
            </w:r>
          </w:p>
        </w:tc>
        <w:tc>
          <w:tcPr>
            <w:tcW w:w="1300" w:type="dxa"/>
            <w:tcBorders>
              <w:top w:val="nil"/>
              <w:left w:val="nil"/>
              <w:bottom w:val="single" w:color="auto" w:sz="4" w:space="0"/>
              <w:right w:val="single" w:color="auto" w:sz="4" w:space="0"/>
            </w:tcBorders>
            <w:vAlign w:val="center"/>
          </w:tcPr>
          <w:p w14:paraId="150BF70B">
            <w:pPr>
              <w:widowControl/>
              <w:jc w:val="center"/>
              <w:rPr>
                <w:bCs/>
                <w:color w:val="auto"/>
                <w:kern w:val="0"/>
                <w:sz w:val="18"/>
                <w:szCs w:val="18"/>
                <w:highlight w:val="none"/>
              </w:rPr>
            </w:pPr>
            <w:r>
              <w:rPr>
                <w:bCs/>
                <w:color w:val="auto"/>
                <w:kern w:val="0"/>
                <w:sz w:val="18"/>
                <w:szCs w:val="18"/>
                <w:highlight w:val="none"/>
              </w:rPr>
              <w:t>X＜10</w:t>
            </w:r>
          </w:p>
        </w:tc>
      </w:tr>
      <w:tr w14:paraId="18CE9620">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2C3ABFFF">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3047E02D">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12BB7534">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65C38770">
            <w:pPr>
              <w:widowControl/>
              <w:jc w:val="center"/>
              <w:rPr>
                <w:bCs/>
                <w:color w:val="auto"/>
                <w:kern w:val="0"/>
                <w:sz w:val="18"/>
                <w:szCs w:val="18"/>
                <w:highlight w:val="none"/>
              </w:rPr>
            </w:pPr>
            <w:r>
              <w:rPr>
                <w:bCs/>
                <w:color w:val="auto"/>
                <w:kern w:val="0"/>
                <w:sz w:val="18"/>
                <w:szCs w:val="18"/>
                <w:highlight w:val="none"/>
              </w:rPr>
              <w:t>1000≤Y＜10000</w:t>
            </w:r>
          </w:p>
        </w:tc>
        <w:tc>
          <w:tcPr>
            <w:tcW w:w="1732" w:type="dxa"/>
            <w:tcBorders>
              <w:top w:val="nil"/>
              <w:left w:val="nil"/>
              <w:bottom w:val="single" w:color="auto" w:sz="4" w:space="0"/>
              <w:right w:val="single" w:color="auto" w:sz="4" w:space="0"/>
            </w:tcBorders>
            <w:vAlign w:val="center"/>
          </w:tcPr>
          <w:p w14:paraId="7DFF3F3C">
            <w:pPr>
              <w:widowControl/>
              <w:jc w:val="center"/>
              <w:rPr>
                <w:bCs/>
                <w:color w:val="auto"/>
                <w:kern w:val="0"/>
                <w:sz w:val="18"/>
                <w:szCs w:val="18"/>
                <w:highlight w:val="none"/>
              </w:rPr>
            </w:pPr>
            <w:r>
              <w:rPr>
                <w:bCs/>
                <w:color w:val="auto"/>
                <w:kern w:val="0"/>
                <w:sz w:val="18"/>
                <w:szCs w:val="18"/>
                <w:highlight w:val="none"/>
              </w:rPr>
              <w:t>50≤Y＜1000</w:t>
            </w:r>
          </w:p>
        </w:tc>
        <w:tc>
          <w:tcPr>
            <w:tcW w:w="1300" w:type="dxa"/>
            <w:tcBorders>
              <w:top w:val="nil"/>
              <w:left w:val="nil"/>
              <w:bottom w:val="single" w:color="auto" w:sz="4" w:space="0"/>
              <w:right w:val="single" w:color="auto" w:sz="4" w:space="0"/>
            </w:tcBorders>
            <w:vAlign w:val="center"/>
          </w:tcPr>
          <w:p w14:paraId="7A79E8F7">
            <w:pPr>
              <w:widowControl/>
              <w:jc w:val="center"/>
              <w:rPr>
                <w:bCs/>
                <w:color w:val="auto"/>
                <w:kern w:val="0"/>
                <w:sz w:val="18"/>
                <w:szCs w:val="18"/>
                <w:highlight w:val="none"/>
              </w:rPr>
            </w:pPr>
            <w:r>
              <w:rPr>
                <w:bCs/>
                <w:color w:val="auto"/>
                <w:kern w:val="0"/>
                <w:sz w:val="18"/>
                <w:szCs w:val="18"/>
                <w:highlight w:val="none"/>
              </w:rPr>
              <w:t>Y＜50</w:t>
            </w:r>
          </w:p>
        </w:tc>
      </w:tr>
      <w:tr w14:paraId="7D5C2ACD">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32B98969">
            <w:pPr>
              <w:widowControl/>
              <w:jc w:val="center"/>
              <w:rPr>
                <w:bCs/>
                <w:color w:val="auto"/>
                <w:kern w:val="0"/>
                <w:sz w:val="18"/>
                <w:szCs w:val="18"/>
                <w:highlight w:val="none"/>
              </w:rPr>
            </w:pPr>
            <w:r>
              <w:rPr>
                <w:bCs/>
                <w:color w:val="auto"/>
                <w:kern w:val="0"/>
                <w:sz w:val="18"/>
                <w:szCs w:val="18"/>
                <w:highlight w:val="none"/>
              </w:rPr>
              <w:t>房地产开发经营</w:t>
            </w:r>
          </w:p>
        </w:tc>
        <w:tc>
          <w:tcPr>
            <w:tcW w:w="1616" w:type="dxa"/>
            <w:tcBorders>
              <w:top w:val="nil"/>
              <w:left w:val="nil"/>
              <w:bottom w:val="single" w:color="auto" w:sz="4" w:space="0"/>
              <w:right w:val="single" w:color="auto" w:sz="4" w:space="0"/>
            </w:tcBorders>
            <w:vAlign w:val="center"/>
          </w:tcPr>
          <w:p w14:paraId="50E88789">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2C3B649B">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5C7D1812">
            <w:pPr>
              <w:widowControl/>
              <w:jc w:val="center"/>
              <w:rPr>
                <w:bCs/>
                <w:color w:val="auto"/>
                <w:kern w:val="0"/>
                <w:sz w:val="18"/>
                <w:szCs w:val="18"/>
                <w:highlight w:val="none"/>
              </w:rPr>
            </w:pPr>
            <w:r>
              <w:rPr>
                <w:bCs/>
                <w:color w:val="auto"/>
                <w:kern w:val="0"/>
                <w:sz w:val="18"/>
                <w:szCs w:val="18"/>
                <w:highlight w:val="none"/>
              </w:rPr>
              <w:t>1000≤Y＜200000</w:t>
            </w:r>
          </w:p>
        </w:tc>
        <w:tc>
          <w:tcPr>
            <w:tcW w:w="1732" w:type="dxa"/>
            <w:tcBorders>
              <w:top w:val="nil"/>
              <w:left w:val="nil"/>
              <w:bottom w:val="single" w:color="auto" w:sz="4" w:space="0"/>
              <w:right w:val="single" w:color="auto" w:sz="4" w:space="0"/>
            </w:tcBorders>
            <w:vAlign w:val="center"/>
          </w:tcPr>
          <w:p w14:paraId="2124F456">
            <w:pPr>
              <w:widowControl/>
              <w:jc w:val="center"/>
              <w:rPr>
                <w:bCs/>
                <w:color w:val="auto"/>
                <w:kern w:val="0"/>
                <w:sz w:val="18"/>
                <w:szCs w:val="18"/>
                <w:highlight w:val="none"/>
              </w:rPr>
            </w:pPr>
            <w:r>
              <w:rPr>
                <w:bCs/>
                <w:color w:val="auto"/>
                <w:kern w:val="0"/>
                <w:sz w:val="18"/>
                <w:szCs w:val="18"/>
                <w:highlight w:val="none"/>
              </w:rPr>
              <w:t>100≤X＜1000</w:t>
            </w:r>
          </w:p>
        </w:tc>
        <w:tc>
          <w:tcPr>
            <w:tcW w:w="1300" w:type="dxa"/>
            <w:tcBorders>
              <w:top w:val="nil"/>
              <w:left w:val="nil"/>
              <w:bottom w:val="single" w:color="auto" w:sz="4" w:space="0"/>
              <w:right w:val="single" w:color="auto" w:sz="4" w:space="0"/>
            </w:tcBorders>
            <w:vAlign w:val="center"/>
          </w:tcPr>
          <w:p w14:paraId="53E55718">
            <w:pPr>
              <w:widowControl/>
              <w:jc w:val="center"/>
              <w:rPr>
                <w:bCs/>
                <w:color w:val="auto"/>
                <w:kern w:val="0"/>
                <w:sz w:val="18"/>
                <w:szCs w:val="18"/>
                <w:highlight w:val="none"/>
              </w:rPr>
            </w:pPr>
            <w:r>
              <w:rPr>
                <w:bCs/>
                <w:color w:val="auto"/>
                <w:kern w:val="0"/>
                <w:sz w:val="18"/>
                <w:szCs w:val="18"/>
                <w:highlight w:val="none"/>
              </w:rPr>
              <w:t>X＜100</w:t>
            </w:r>
          </w:p>
        </w:tc>
      </w:tr>
      <w:tr w14:paraId="33BE51C6">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2D3DD069">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2B7624A7">
            <w:pPr>
              <w:widowControl/>
              <w:jc w:val="center"/>
              <w:rPr>
                <w:bCs/>
                <w:color w:val="auto"/>
                <w:kern w:val="0"/>
                <w:sz w:val="18"/>
                <w:szCs w:val="18"/>
                <w:highlight w:val="none"/>
              </w:rPr>
            </w:pPr>
            <w:r>
              <w:rPr>
                <w:bCs/>
                <w:color w:val="auto"/>
                <w:kern w:val="0"/>
                <w:sz w:val="18"/>
                <w:szCs w:val="18"/>
                <w:highlight w:val="none"/>
              </w:rPr>
              <w:t>资产总额（Z）</w:t>
            </w:r>
          </w:p>
        </w:tc>
        <w:tc>
          <w:tcPr>
            <w:tcW w:w="1309" w:type="dxa"/>
            <w:tcBorders>
              <w:top w:val="nil"/>
              <w:left w:val="nil"/>
              <w:bottom w:val="single" w:color="auto" w:sz="4" w:space="0"/>
              <w:right w:val="single" w:color="auto" w:sz="4" w:space="0"/>
            </w:tcBorders>
            <w:vAlign w:val="center"/>
          </w:tcPr>
          <w:p w14:paraId="449542F3">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122E190D">
            <w:pPr>
              <w:widowControl/>
              <w:jc w:val="center"/>
              <w:rPr>
                <w:bCs/>
                <w:color w:val="auto"/>
                <w:kern w:val="0"/>
                <w:sz w:val="18"/>
                <w:szCs w:val="18"/>
                <w:highlight w:val="none"/>
              </w:rPr>
            </w:pPr>
            <w:r>
              <w:rPr>
                <w:bCs/>
                <w:color w:val="auto"/>
                <w:kern w:val="0"/>
                <w:sz w:val="18"/>
                <w:szCs w:val="18"/>
                <w:highlight w:val="none"/>
              </w:rPr>
              <w:t>5000≤Z＜10000</w:t>
            </w:r>
          </w:p>
        </w:tc>
        <w:tc>
          <w:tcPr>
            <w:tcW w:w="1732" w:type="dxa"/>
            <w:tcBorders>
              <w:top w:val="nil"/>
              <w:left w:val="nil"/>
              <w:bottom w:val="single" w:color="auto" w:sz="4" w:space="0"/>
              <w:right w:val="single" w:color="auto" w:sz="4" w:space="0"/>
            </w:tcBorders>
            <w:vAlign w:val="center"/>
          </w:tcPr>
          <w:p w14:paraId="42FE2A33">
            <w:pPr>
              <w:widowControl/>
              <w:jc w:val="center"/>
              <w:rPr>
                <w:bCs/>
                <w:color w:val="auto"/>
                <w:kern w:val="0"/>
                <w:sz w:val="18"/>
                <w:szCs w:val="18"/>
                <w:highlight w:val="none"/>
              </w:rPr>
            </w:pPr>
            <w:r>
              <w:rPr>
                <w:bCs/>
                <w:color w:val="auto"/>
                <w:kern w:val="0"/>
                <w:sz w:val="18"/>
                <w:szCs w:val="18"/>
                <w:highlight w:val="none"/>
              </w:rPr>
              <w:t>2000≤Y＜5000</w:t>
            </w:r>
          </w:p>
        </w:tc>
        <w:tc>
          <w:tcPr>
            <w:tcW w:w="1300" w:type="dxa"/>
            <w:tcBorders>
              <w:top w:val="nil"/>
              <w:left w:val="nil"/>
              <w:bottom w:val="single" w:color="auto" w:sz="4" w:space="0"/>
              <w:right w:val="single" w:color="auto" w:sz="4" w:space="0"/>
            </w:tcBorders>
            <w:vAlign w:val="center"/>
          </w:tcPr>
          <w:p w14:paraId="34F064F7">
            <w:pPr>
              <w:widowControl/>
              <w:jc w:val="center"/>
              <w:rPr>
                <w:bCs/>
                <w:color w:val="auto"/>
                <w:kern w:val="0"/>
                <w:sz w:val="18"/>
                <w:szCs w:val="18"/>
                <w:highlight w:val="none"/>
              </w:rPr>
            </w:pPr>
            <w:r>
              <w:rPr>
                <w:bCs/>
                <w:color w:val="auto"/>
                <w:kern w:val="0"/>
                <w:sz w:val="18"/>
                <w:szCs w:val="18"/>
                <w:highlight w:val="none"/>
              </w:rPr>
              <w:t>Y＜2000</w:t>
            </w:r>
          </w:p>
        </w:tc>
      </w:tr>
      <w:tr w14:paraId="7AF48D9A">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4F96A51C">
            <w:pPr>
              <w:widowControl/>
              <w:jc w:val="center"/>
              <w:rPr>
                <w:bCs/>
                <w:color w:val="auto"/>
                <w:kern w:val="0"/>
                <w:sz w:val="18"/>
                <w:szCs w:val="18"/>
                <w:highlight w:val="none"/>
              </w:rPr>
            </w:pPr>
            <w:r>
              <w:rPr>
                <w:bCs/>
                <w:color w:val="auto"/>
                <w:kern w:val="0"/>
                <w:sz w:val="18"/>
                <w:szCs w:val="18"/>
                <w:highlight w:val="none"/>
              </w:rPr>
              <w:t>物业管理</w:t>
            </w:r>
          </w:p>
        </w:tc>
        <w:tc>
          <w:tcPr>
            <w:tcW w:w="1616" w:type="dxa"/>
            <w:tcBorders>
              <w:top w:val="nil"/>
              <w:left w:val="nil"/>
              <w:bottom w:val="single" w:color="auto" w:sz="4" w:space="0"/>
              <w:right w:val="single" w:color="auto" w:sz="4" w:space="0"/>
            </w:tcBorders>
            <w:vAlign w:val="center"/>
          </w:tcPr>
          <w:p w14:paraId="36190C26">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2D5860BA">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2E703DEF">
            <w:pPr>
              <w:widowControl/>
              <w:jc w:val="center"/>
              <w:rPr>
                <w:bCs/>
                <w:color w:val="auto"/>
                <w:kern w:val="0"/>
                <w:sz w:val="18"/>
                <w:szCs w:val="18"/>
                <w:highlight w:val="none"/>
              </w:rPr>
            </w:pPr>
            <w:r>
              <w:rPr>
                <w:bCs/>
                <w:color w:val="auto"/>
                <w:kern w:val="0"/>
                <w:sz w:val="18"/>
                <w:szCs w:val="18"/>
                <w:highlight w:val="none"/>
              </w:rPr>
              <w:t>300≤X＜1000</w:t>
            </w:r>
          </w:p>
        </w:tc>
        <w:tc>
          <w:tcPr>
            <w:tcW w:w="1732" w:type="dxa"/>
            <w:tcBorders>
              <w:top w:val="nil"/>
              <w:left w:val="nil"/>
              <w:bottom w:val="single" w:color="auto" w:sz="4" w:space="0"/>
              <w:right w:val="single" w:color="auto" w:sz="4" w:space="0"/>
            </w:tcBorders>
            <w:vAlign w:val="center"/>
          </w:tcPr>
          <w:p w14:paraId="4751E5CA">
            <w:pPr>
              <w:widowControl/>
              <w:jc w:val="center"/>
              <w:rPr>
                <w:bCs/>
                <w:color w:val="auto"/>
                <w:kern w:val="0"/>
                <w:sz w:val="18"/>
                <w:szCs w:val="18"/>
                <w:highlight w:val="none"/>
              </w:rPr>
            </w:pPr>
            <w:r>
              <w:rPr>
                <w:bCs/>
                <w:color w:val="auto"/>
                <w:kern w:val="0"/>
                <w:sz w:val="18"/>
                <w:szCs w:val="18"/>
                <w:highlight w:val="none"/>
              </w:rPr>
              <w:t>100≤X＜300</w:t>
            </w:r>
          </w:p>
        </w:tc>
        <w:tc>
          <w:tcPr>
            <w:tcW w:w="1300" w:type="dxa"/>
            <w:tcBorders>
              <w:top w:val="nil"/>
              <w:left w:val="nil"/>
              <w:bottom w:val="single" w:color="auto" w:sz="4" w:space="0"/>
              <w:right w:val="single" w:color="auto" w:sz="4" w:space="0"/>
            </w:tcBorders>
            <w:vAlign w:val="center"/>
          </w:tcPr>
          <w:p w14:paraId="6A477BFB">
            <w:pPr>
              <w:widowControl/>
              <w:jc w:val="center"/>
              <w:rPr>
                <w:bCs/>
                <w:color w:val="auto"/>
                <w:kern w:val="0"/>
                <w:sz w:val="18"/>
                <w:szCs w:val="18"/>
                <w:highlight w:val="none"/>
              </w:rPr>
            </w:pPr>
            <w:r>
              <w:rPr>
                <w:bCs/>
                <w:color w:val="auto"/>
                <w:kern w:val="0"/>
                <w:sz w:val="18"/>
                <w:szCs w:val="18"/>
                <w:highlight w:val="none"/>
              </w:rPr>
              <w:t>X＜100</w:t>
            </w:r>
          </w:p>
        </w:tc>
      </w:tr>
      <w:tr w14:paraId="0CBD1ED6">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2F155D37">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2D23D77E">
            <w:pPr>
              <w:widowControl/>
              <w:jc w:val="center"/>
              <w:rPr>
                <w:bCs/>
                <w:color w:val="auto"/>
                <w:kern w:val="0"/>
                <w:sz w:val="18"/>
                <w:szCs w:val="18"/>
                <w:highlight w:val="none"/>
              </w:rPr>
            </w:pPr>
            <w:r>
              <w:rPr>
                <w:bCs/>
                <w:color w:val="auto"/>
                <w:kern w:val="0"/>
                <w:sz w:val="18"/>
                <w:szCs w:val="18"/>
                <w:highlight w:val="none"/>
              </w:rPr>
              <w:t>营业收入（Y）</w:t>
            </w:r>
          </w:p>
        </w:tc>
        <w:tc>
          <w:tcPr>
            <w:tcW w:w="1309" w:type="dxa"/>
            <w:tcBorders>
              <w:top w:val="nil"/>
              <w:left w:val="nil"/>
              <w:bottom w:val="single" w:color="auto" w:sz="4" w:space="0"/>
              <w:right w:val="single" w:color="auto" w:sz="4" w:space="0"/>
            </w:tcBorders>
            <w:vAlign w:val="center"/>
          </w:tcPr>
          <w:p w14:paraId="35017FAA">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6A5FDBDB">
            <w:pPr>
              <w:widowControl/>
              <w:jc w:val="center"/>
              <w:rPr>
                <w:bCs/>
                <w:color w:val="auto"/>
                <w:kern w:val="0"/>
                <w:sz w:val="18"/>
                <w:szCs w:val="18"/>
                <w:highlight w:val="none"/>
              </w:rPr>
            </w:pPr>
            <w:r>
              <w:rPr>
                <w:bCs/>
                <w:color w:val="auto"/>
                <w:kern w:val="0"/>
                <w:sz w:val="18"/>
                <w:szCs w:val="18"/>
                <w:highlight w:val="none"/>
              </w:rPr>
              <w:t>1000≤Y＜5000</w:t>
            </w:r>
          </w:p>
        </w:tc>
        <w:tc>
          <w:tcPr>
            <w:tcW w:w="1732" w:type="dxa"/>
            <w:tcBorders>
              <w:top w:val="nil"/>
              <w:left w:val="nil"/>
              <w:bottom w:val="single" w:color="auto" w:sz="4" w:space="0"/>
              <w:right w:val="single" w:color="auto" w:sz="4" w:space="0"/>
            </w:tcBorders>
            <w:vAlign w:val="center"/>
          </w:tcPr>
          <w:p w14:paraId="015A2323">
            <w:pPr>
              <w:widowControl/>
              <w:jc w:val="center"/>
              <w:rPr>
                <w:bCs/>
                <w:color w:val="auto"/>
                <w:kern w:val="0"/>
                <w:sz w:val="18"/>
                <w:szCs w:val="18"/>
                <w:highlight w:val="none"/>
              </w:rPr>
            </w:pPr>
            <w:r>
              <w:rPr>
                <w:bCs/>
                <w:color w:val="auto"/>
                <w:kern w:val="0"/>
                <w:sz w:val="18"/>
                <w:szCs w:val="18"/>
                <w:highlight w:val="none"/>
              </w:rPr>
              <w:t>500≤Y＜1000</w:t>
            </w:r>
          </w:p>
        </w:tc>
        <w:tc>
          <w:tcPr>
            <w:tcW w:w="1300" w:type="dxa"/>
            <w:tcBorders>
              <w:top w:val="nil"/>
              <w:left w:val="nil"/>
              <w:bottom w:val="single" w:color="auto" w:sz="4" w:space="0"/>
              <w:right w:val="single" w:color="auto" w:sz="4" w:space="0"/>
            </w:tcBorders>
            <w:vAlign w:val="center"/>
          </w:tcPr>
          <w:p w14:paraId="038D7C13">
            <w:pPr>
              <w:widowControl/>
              <w:jc w:val="center"/>
              <w:rPr>
                <w:bCs/>
                <w:color w:val="auto"/>
                <w:kern w:val="0"/>
                <w:sz w:val="18"/>
                <w:szCs w:val="18"/>
                <w:highlight w:val="none"/>
              </w:rPr>
            </w:pPr>
            <w:r>
              <w:rPr>
                <w:bCs/>
                <w:color w:val="auto"/>
                <w:kern w:val="0"/>
                <w:sz w:val="18"/>
                <w:szCs w:val="18"/>
                <w:highlight w:val="none"/>
              </w:rPr>
              <w:t>Y＜500</w:t>
            </w:r>
          </w:p>
        </w:tc>
      </w:tr>
      <w:tr w14:paraId="07F7C21A">
        <w:tblPrEx>
          <w:tblCellMar>
            <w:top w:w="0" w:type="dxa"/>
            <w:left w:w="108" w:type="dxa"/>
            <w:bottom w:w="0" w:type="dxa"/>
            <w:right w:w="108" w:type="dxa"/>
          </w:tblCellMar>
        </w:tblPrEx>
        <w:trPr>
          <w:trHeight w:val="358" w:hRule="atLeast"/>
        </w:trPr>
        <w:tc>
          <w:tcPr>
            <w:tcW w:w="1985" w:type="dxa"/>
            <w:vMerge w:val="restart"/>
            <w:tcBorders>
              <w:top w:val="nil"/>
              <w:left w:val="single" w:color="auto" w:sz="4" w:space="0"/>
              <w:bottom w:val="single" w:color="auto" w:sz="4" w:space="0"/>
              <w:right w:val="single" w:color="auto" w:sz="4" w:space="0"/>
            </w:tcBorders>
            <w:vAlign w:val="center"/>
          </w:tcPr>
          <w:p w14:paraId="2BC5FD46">
            <w:pPr>
              <w:widowControl/>
              <w:jc w:val="center"/>
              <w:rPr>
                <w:bCs/>
                <w:color w:val="auto"/>
                <w:kern w:val="0"/>
                <w:sz w:val="18"/>
                <w:szCs w:val="18"/>
                <w:highlight w:val="none"/>
              </w:rPr>
            </w:pPr>
            <w:r>
              <w:rPr>
                <w:rFonts w:hint="eastAsia"/>
                <w:bCs/>
                <w:color w:val="auto"/>
                <w:kern w:val="0"/>
                <w:sz w:val="18"/>
                <w:szCs w:val="18"/>
                <w:highlight w:val="none"/>
              </w:rPr>
              <w:t>租赁和商务服务业</w:t>
            </w:r>
          </w:p>
        </w:tc>
        <w:tc>
          <w:tcPr>
            <w:tcW w:w="1616" w:type="dxa"/>
            <w:tcBorders>
              <w:top w:val="nil"/>
              <w:left w:val="nil"/>
              <w:bottom w:val="single" w:color="auto" w:sz="4" w:space="0"/>
              <w:right w:val="single" w:color="auto" w:sz="4" w:space="0"/>
            </w:tcBorders>
            <w:vAlign w:val="center"/>
          </w:tcPr>
          <w:p w14:paraId="5376B1AA">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49C62A4F">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076EBF17">
            <w:pPr>
              <w:widowControl/>
              <w:jc w:val="center"/>
              <w:rPr>
                <w:bCs/>
                <w:color w:val="auto"/>
                <w:kern w:val="0"/>
                <w:sz w:val="18"/>
                <w:szCs w:val="18"/>
                <w:highlight w:val="none"/>
              </w:rPr>
            </w:pPr>
            <w:r>
              <w:rPr>
                <w:bCs/>
                <w:color w:val="auto"/>
                <w:kern w:val="0"/>
                <w:sz w:val="18"/>
                <w:szCs w:val="18"/>
                <w:highlight w:val="none"/>
              </w:rPr>
              <w:t>100≤X＜300</w:t>
            </w:r>
          </w:p>
        </w:tc>
        <w:tc>
          <w:tcPr>
            <w:tcW w:w="1732" w:type="dxa"/>
            <w:tcBorders>
              <w:top w:val="nil"/>
              <w:left w:val="nil"/>
              <w:bottom w:val="single" w:color="auto" w:sz="4" w:space="0"/>
              <w:right w:val="single" w:color="auto" w:sz="4" w:space="0"/>
            </w:tcBorders>
            <w:vAlign w:val="center"/>
          </w:tcPr>
          <w:p w14:paraId="325DCFA4">
            <w:pPr>
              <w:widowControl/>
              <w:jc w:val="center"/>
              <w:rPr>
                <w:bCs/>
                <w:color w:val="auto"/>
                <w:kern w:val="0"/>
                <w:sz w:val="18"/>
                <w:szCs w:val="18"/>
                <w:highlight w:val="none"/>
              </w:rPr>
            </w:pPr>
            <w:r>
              <w:rPr>
                <w:bCs/>
                <w:color w:val="auto"/>
                <w:kern w:val="0"/>
                <w:sz w:val="18"/>
                <w:szCs w:val="18"/>
                <w:highlight w:val="none"/>
              </w:rPr>
              <w:t>10≤X＜100</w:t>
            </w:r>
          </w:p>
        </w:tc>
        <w:tc>
          <w:tcPr>
            <w:tcW w:w="1300" w:type="dxa"/>
            <w:tcBorders>
              <w:top w:val="nil"/>
              <w:left w:val="nil"/>
              <w:bottom w:val="single" w:color="auto" w:sz="4" w:space="0"/>
              <w:right w:val="single" w:color="auto" w:sz="4" w:space="0"/>
            </w:tcBorders>
            <w:vAlign w:val="center"/>
          </w:tcPr>
          <w:p w14:paraId="0A0603C5">
            <w:pPr>
              <w:widowControl/>
              <w:jc w:val="center"/>
              <w:rPr>
                <w:bCs/>
                <w:color w:val="auto"/>
                <w:kern w:val="0"/>
                <w:sz w:val="18"/>
                <w:szCs w:val="18"/>
                <w:highlight w:val="none"/>
              </w:rPr>
            </w:pPr>
            <w:r>
              <w:rPr>
                <w:bCs/>
                <w:color w:val="auto"/>
                <w:kern w:val="0"/>
                <w:sz w:val="18"/>
                <w:szCs w:val="18"/>
                <w:highlight w:val="none"/>
              </w:rPr>
              <w:t>X＜10</w:t>
            </w:r>
          </w:p>
        </w:tc>
      </w:tr>
      <w:tr w14:paraId="140351B9">
        <w:tblPrEx>
          <w:tblCellMar>
            <w:top w:w="0" w:type="dxa"/>
            <w:left w:w="108" w:type="dxa"/>
            <w:bottom w:w="0" w:type="dxa"/>
            <w:right w:w="108" w:type="dxa"/>
          </w:tblCellMar>
        </w:tblPrEx>
        <w:trPr>
          <w:trHeight w:val="358" w:hRule="atLeast"/>
        </w:trPr>
        <w:tc>
          <w:tcPr>
            <w:tcW w:w="1985" w:type="dxa"/>
            <w:vMerge w:val="continue"/>
            <w:tcBorders>
              <w:top w:val="nil"/>
              <w:left w:val="single" w:color="auto" w:sz="4" w:space="0"/>
              <w:bottom w:val="single" w:color="auto" w:sz="4" w:space="0"/>
              <w:right w:val="single" w:color="auto" w:sz="4" w:space="0"/>
            </w:tcBorders>
            <w:vAlign w:val="center"/>
          </w:tcPr>
          <w:p w14:paraId="0EA64E43">
            <w:pPr>
              <w:widowControl/>
              <w:jc w:val="center"/>
              <w:rPr>
                <w:bCs/>
                <w:color w:val="auto"/>
                <w:kern w:val="0"/>
                <w:sz w:val="18"/>
                <w:szCs w:val="18"/>
                <w:highlight w:val="none"/>
              </w:rPr>
            </w:pPr>
          </w:p>
        </w:tc>
        <w:tc>
          <w:tcPr>
            <w:tcW w:w="1616" w:type="dxa"/>
            <w:tcBorders>
              <w:top w:val="nil"/>
              <w:left w:val="nil"/>
              <w:bottom w:val="single" w:color="auto" w:sz="4" w:space="0"/>
              <w:right w:val="single" w:color="auto" w:sz="4" w:space="0"/>
            </w:tcBorders>
            <w:vAlign w:val="center"/>
          </w:tcPr>
          <w:p w14:paraId="0B44C24B">
            <w:pPr>
              <w:widowControl/>
              <w:jc w:val="center"/>
              <w:rPr>
                <w:bCs/>
                <w:color w:val="auto"/>
                <w:kern w:val="0"/>
                <w:sz w:val="18"/>
                <w:szCs w:val="18"/>
                <w:highlight w:val="none"/>
              </w:rPr>
            </w:pPr>
            <w:r>
              <w:rPr>
                <w:bCs/>
                <w:color w:val="auto"/>
                <w:kern w:val="0"/>
                <w:sz w:val="18"/>
                <w:szCs w:val="18"/>
                <w:highlight w:val="none"/>
              </w:rPr>
              <w:t>资产总额（Z）</w:t>
            </w:r>
          </w:p>
        </w:tc>
        <w:tc>
          <w:tcPr>
            <w:tcW w:w="1309" w:type="dxa"/>
            <w:tcBorders>
              <w:top w:val="nil"/>
              <w:left w:val="nil"/>
              <w:bottom w:val="single" w:color="auto" w:sz="4" w:space="0"/>
              <w:right w:val="single" w:color="auto" w:sz="4" w:space="0"/>
            </w:tcBorders>
            <w:vAlign w:val="center"/>
          </w:tcPr>
          <w:p w14:paraId="100C62E3">
            <w:pPr>
              <w:widowControl/>
              <w:jc w:val="center"/>
              <w:rPr>
                <w:bCs/>
                <w:color w:val="auto"/>
                <w:kern w:val="0"/>
                <w:sz w:val="18"/>
                <w:szCs w:val="18"/>
                <w:highlight w:val="none"/>
              </w:rPr>
            </w:pPr>
            <w:r>
              <w:rPr>
                <w:bCs/>
                <w:color w:val="auto"/>
                <w:kern w:val="0"/>
                <w:sz w:val="18"/>
                <w:szCs w:val="18"/>
                <w:highlight w:val="none"/>
              </w:rPr>
              <w:t>万元</w:t>
            </w:r>
          </w:p>
        </w:tc>
        <w:tc>
          <w:tcPr>
            <w:tcW w:w="1876" w:type="dxa"/>
            <w:tcBorders>
              <w:top w:val="nil"/>
              <w:left w:val="nil"/>
              <w:bottom w:val="single" w:color="auto" w:sz="4" w:space="0"/>
              <w:right w:val="single" w:color="auto" w:sz="4" w:space="0"/>
            </w:tcBorders>
            <w:vAlign w:val="center"/>
          </w:tcPr>
          <w:p w14:paraId="7526C326">
            <w:pPr>
              <w:widowControl/>
              <w:jc w:val="center"/>
              <w:rPr>
                <w:bCs/>
                <w:color w:val="auto"/>
                <w:kern w:val="0"/>
                <w:sz w:val="18"/>
                <w:szCs w:val="18"/>
                <w:highlight w:val="none"/>
              </w:rPr>
            </w:pPr>
            <w:r>
              <w:rPr>
                <w:bCs/>
                <w:color w:val="auto"/>
                <w:kern w:val="0"/>
                <w:sz w:val="18"/>
                <w:szCs w:val="18"/>
                <w:highlight w:val="none"/>
              </w:rPr>
              <w:t>8000≤Z＜120000</w:t>
            </w:r>
          </w:p>
        </w:tc>
        <w:tc>
          <w:tcPr>
            <w:tcW w:w="1732" w:type="dxa"/>
            <w:tcBorders>
              <w:top w:val="nil"/>
              <w:left w:val="nil"/>
              <w:bottom w:val="single" w:color="auto" w:sz="4" w:space="0"/>
              <w:right w:val="single" w:color="auto" w:sz="4" w:space="0"/>
            </w:tcBorders>
            <w:vAlign w:val="center"/>
          </w:tcPr>
          <w:p w14:paraId="370B647C">
            <w:pPr>
              <w:widowControl/>
              <w:jc w:val="center"/>
              <w:rPr>
                <w:bCs/>
                <w:color w:val="auto"/>
                <w:kern w:val="0"/>
                <w:sz w:val="18"/>
                <w:szCs w:val="18"/>
                <w:highlight w:val="none"/>
              </w:rPr>
            </w:pPr>
            <w:r>
              <w:rPr>
                <w:bCs/>
                <w:color w:val="auto"/>
                <w:kern w:val="0"/>
                <w:sz w:val="18"/>
                <w:szCs w:val="18"/>
                <w:highlight w:val="none"/>
              </w:rPr>
              <w:t>100≤Z＜8000</w:t>
            </w:r>
          </w:p>
        </w:tc>
        <w:tc>
          <w:tcPr>
            <w:tcW w:w="1300" w:type="dxa"/>
            <w:tcBorders>
              <w:top w:val="nil"/>
              <w:left w:val="nil"/>
              <w:bottom w:val="single" w:color="auto" w:sz="4" w:space="0"/>
              <w:right w:val="single" w:color="auto" w:sz="4" w:space="0"/>
            </w:tcBorders>
            <w:vAlign w:val="center"/>
          </w:tcPr>
          <w:p w14:paraId="474590BB">
            <w:pPr>
              <w:widowControl/>
              <w:jc w:val="center"/>
              <w:rPr>
                <w:bCs/>
                <w:color w:val="auto"/>
                <w:kern w:val="0"/>
                <w:sz w:val="18"/>
                <w:szCs w:val="18"/>
                <w:highlight w:val="none"/>
              </w:rPr>
            </w:pPr>
            <w:r>
              <w:rPr>
                <w:bCs/>
                <w:color w:val="auto"/>
                <w:kern w:val="0"/>
                <w:sz w:val="18"/>
                <w:szCs w:val="18"/>
                <w:highlight w:val="none"/>
              </w:rPr>
              <w:t>Y＜100</w:t>
            </w:r>
          </w:p>
        </w:tc>
      </w:tr>
      <w:tr w14:paraId="772147A7">
        <w:tblPrEx>
          <w:tblCellMar>
            <w:top w:w="0" w:type="dxa"/>
            <w:left w:w="108" w:type="dxa"/>
            <w:bottom w:w="0" w:type="dxa"/>
            <w:right w:w="108" w:type="dxa"/>
          </w:tblCellMar>
        </w:tblPrEx>
        <w:trPr>
          <w:trHeight w:val="379" w:hRule="atLeast"/>
        </w:trPr>
        <w:tc>
          <w:tcPr>
            <w:tcW w:w="1985" w:type="dxa"/>
            <w:tcBorders>
              <w:top w:val="nil"/>
              <w:left w:val="single" w:color="auto" w:sz="4" w:space="0"/>
              <w:bottom w:val="single" w:color="auto" w:sz="4" w:space="0"/>
              <w:right w:val="single" w:color="auto" w:sz="4" w:space="0"/>
            </w:tcBorders>
            <w:vAlign w:val="center"/>
          </w:tcPr>
          <w:p w14:paraId="4B522132">
            <w:pPr>
              <w:widowControl/>
              <w:jc w:val="center"/>
              <w:rPr>
                <w:bCs/>
                <w:color w:val="auto"/>
                <w:kern w:val="0"/>
                <w:sz w:val="18"/>
                <w:szCs w:val="18"/>
                <w:highlight w:val="none"/>
              </w:rPr>
            </w:pPr>
            <w:r>
              <w:rPr>
                <w:rFonts w:hint="eastAsia"/>
                <w:bCs/>
                <w:color w:val="auto"/>
                <w:kern w:val="0"/>
                <w:sz w:val="18"/>
                <w:szCs w:val="18"/>
                <w:highlight w:val="none"/>
              </w:rPr>
              <w:t>其他未列明行业</w:t>
            </w:r>
          </w:p>
        </w:tc>
        <w:tc>
          <w:tcPr>
            <w:tcW w:w="1616" w:type="dxa"/>
            <w:tcBorders>
              <w:top w:val="nil"/>
              <w:left w:val="nil"/>
              <w:bottom w:val="single" w:color="auto" w:sz="4" w:space="0"/>
              <w:right w:val="single" w:color="auto" w:sz="4" w:space="0"/>
            </w:tcBorders>
            <w:vAlign w:val="center"/>
          </w:tcPr>
          <w:p w14:paraId="490A88BE">
            <w:pPr>
              <w:widowControl/>
              <w:jc w:val="center"/>
              <w:rPr>
                <w:bCs/>
                <w:color w:val="auto"/>
                <w:kern w:val="0"/>
                <w:sz w:val="18"/>
                <w:szCs w:val="18"/>
                <w:highlight w:val="none"/>
              </w:rPr>
            </w:pPr>
            <w:r>
              <w:rPr>
                <w:bCs/>
                <w:color w:val="auto"/>
                <w:kern w:val="0"/>
                <w:sz w:val="18"/>
                <w:szCs w:val="18"/>
                <w:highlight w:val="none"/>
              </w:rPr>
              <w:t>从业人员（X）</w:t>
            </w:r>
          </w:p>
        </w:tc>
        <w:tc>
          <w:tcPr>
            <w:tcW w:w="1309" w:type="dxa"/>
            <w:tcBorders>
              <w:top w:val="nil"/>
              <w:left w:val="nil"/>
              <w:bottom w:val="single" w:color="auto" w:sz="4" w:space="0"/>
              <w:right w:val="single" w:color="auto" w:sz="4" w:space="0"/>
            </w:tcBorders>
            <w:vAlign w:val="center"/>
          </w:tcPr>
          <w:p w14:paraId="19F51AE3">
            <w:pPr>
              <w:widowControl/>
              <w:jc w:val="center"/>
              <w:rPr>
                <w:bCs/>
                <w:color w:val="auto"/>
                <w:kern w:val="0"/>
                <w:sz w:val="18"/>
                <w:szCs w:val="18"/>
                <w:highlight w:val="none"/>
              </w:rPr>
            </w:pPr>
            <w:r>
              <w:rPr>
                <w:bCs/>
                <w:color w:val="auto"/>
                <w:kern w:val="0"/>
                <w:sz w:val="18"/>
                <w:szCs w:val="18"/>
                <w:highlight w:val="none"/>
              </w:rPr>
              <w:t>人</w:t>
            </w:r>
          </w:p>
        </w:tc>
        <w:tc>
          <w:tcPr>
            <w:tcW w:w="1876" w:type="dxa"/>
            <w:tcBorders>
              <w:top w:val="nil"/>
              <w:left w:val="nil"/>
              <w:bottom w:val="single" w:color="auto" w:sz="4" w:space="0"/>
              <w:right w:val="single" w:color="auto" w:sz="4" w:space="0"/>
            </w:tcBorders>
            <w:vAlign w:val="center"/>
          </w:tcPr>
          <w:p w14:paraId="5F163CEB">
            <w:pPr>
              <w:widowControl/>
              <w:jc w:val="center"/>
              <w:rPr>
                <w:bCs/>
                <w:color w:val="auto"/>
                <w:kern w:val="0"/>
                <w:sz w:val="18"/>
                <w:szCs w:val="18"/>
                <w:highlight w:val="none"/>
              </w:rPr>
            </w:pPr>
            <w:r>
              <w:rPr>
                <w:bCs/>
                <w:color w:val="auto"/>
                <w:kern w:val="0"/>
                <w:sz w:val="18"/>
                <w:szCs w:val="18"/>
                <w:highlight w:val="none"/>
              </w:rPr>
              <w:t>100≤X＜300</w:t>
            </w:r>
          </w:p>
        </w:tc>
        <w:tc>
          <w:tcPr>
            <w:tcW w:w="1732" w:type="dxa"/>
            <w:tcBorders>
              <w:top w:val="nil"/>
              <w:left w:val="nil"/>
              <w:bottom w:val="single" w:color="auto" w:sz="4" w:space="0"/>
              <w:right w:val="single" w:color="auto" w:sz="4" w:space="0"/>
            </w:tcBorders>
            <w:vAlign w:val="center"/>
          </w:tcPr>
          <w:p w14:paraId="470CBB52">
            <w:pPr>
              <w:widowControl/>
              <w:jc w:val="center"/>
              <w:rPr>
                <w:bCs/>
                <w:color w:val="auto"/>
                <w:kern w:val="0"/>
                <w:sz w:val="18"/>
                <w:szCs w:val="18"/>
                <w:highlight w:val="none"/>
              </w:rPr>
            </w:pPr>
            <w:r>
              <w:rPr>
                <w:bCs/>
                <w:color w:val="auto"/>
                <w:kern w:val="0"/>
                <w:sz w:val="18"/>
                <w:szCs w:val="18"/>
                <w:highlight w:val="none"/>
              </w:rPr>
              <w:t>10≤X＜100</w:t>
            </w:r>
          </w:p>
        </w:tc>
        <w:tc>
          <w:tcPr>
            <w:tcW w:w="1300" w:type="dxa"/>
            <w:tcBorders>
              <w:top w:val="nil"/>
              <w:left w:val="nil"/>
              <w:bottom w:val="single" w:color="auto" w:sz="4" w:space="0"/>
              <w:right w:val="single" w:color="auto" w:sz="4" w:space="0"/>
            </w:tcBorders>
            <w:vAlign w:val="center"/>
          </w:tcPr>
          <w:p w14:paraId="0F185B8A">
            <w:pPr>
              <w:widowControl/>
              <w:jc w:val="center"/>
              <w:rPr>
                <w:bCs/>
                <w:color w:val="auto"/>
                <w:kern w:val="0"/>
                <w:sz w:val="18"/>
                <w:szCs w:val="18"/>
                <w:highlight w:val="none"/>
              </w:rPr>
            </w:pPr>
            <w:r>
              <w:rPr>
                <w:bCs/>
                <w:color w:val="auto"/>
                <w:kern w:val="0"/>
                <w:sz w:val="18"/>
                <w:szCs w:val="18"/>
                <w:highlight w:val="none"/>
              </w:rPr>
              <w:t>X＜10</w:t>
            </w:r>
          </w:p>
        </w:tc>
      </w:tr>
    </w:tbl>
    <w:p w14:paraId="44D3114A">
      <w:pPr>
        <w:spacing w:line="360" w:lineRule="auto"/>
        <w:ind w:firstLine="400" w:firstLineChars="250"/>
        <w:rPr>
          <w:bCs/>
          <w:color w:val="auto"/>
          <w:sz w:val="16"/>
          <w:szCs w:val="20"/>
          <w:highlight w:val="none"/>
        </w:rPr>
      </w:pPr>
      <w:r>
        <w:rPr>
          <w:bCs/>
          <w:color w:val="auto"/>
          <w:sz w:val="16"/>
          <w:szCs w:val="20"/>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98D89C2">
      <w:pPr>
        <w:pStyle w:val="5"/>
        <w:rPr>
          <w:color w:val="auto"/>
          <w:highlight w:val="none"/>
        </w:rPr>
      </w:pPr>
    </w:p>
    <w:p w14:paraId="2AF2E678">
      <w:pPr>
        <w:snapToGrid w:val="0"/>
        <w:spacing w:before="50" w:after="50"/>
        <w:rPr>
          <w:rFonts w:ascii="Times New Roman" w:hAnsi="Times New Roman"/>
          <w:b/>
          <w:color w:val="auto"/>
          <w:szCs w:val="21"/>
          <w:highlight w:val="none"/>
        </w:rPr>
      </w:pPr>
    </w:p>
    <w:p w14:paraId="5EFB1354">
      <w:pPr>
        <w:widowControl/>
        <w:spacing w:before="100" w:beforeAutospacing="1" w:after="100" w:afterAutospacing="1" w:line="425" w:lineRule="atLeast"/>
        <w:rPr>
          <w:rFonts w:ascii="Times New Roman" w:hAnsi="Times New Roman"/>
          <w:b/>
          <w:bCs/>
          <w:color w:val="auto"/>
          <w:kern w:val="0"/>
          <w:sz w:val="32"/>
          <w:szCs w:val="32"/>
          <w:highlight w:val="none"/>
        </w:rPr>
      </w:pPr>
    </w:p>
    <w:p w14:paraId="29378019">
      <w:pPr>
        <w:widowControl/>
        <w:spacing w:before="100" w:beforeAutospacing="1" w:after="100" w:afterAutospacing="1" w:line="425" w:lineRule="atLeast"/>
        <w:jc w:val="center"/>
        <w:rPr>
          <w:rFonts w:ascii="Times New Roman" w:hAnsi="Times New Roman"/>
          <w:color w:val="auto"/>
          <w:kern w:val="0"/>
          <w:sz w:val="32"/>
          <w:szCs w:val="32"/>
          <w:highlight w:val="none"/>
        </w:rPr>
      </w:pPr>
      <w:r>
        <w:rPr>
          <w:rFonts w:ascii="Times New Roman" w:hAnsi="Times New Roman"/>
          <w:b/>
          <w:bCs/>
          <w:color w:val="auto"/>
          <w:kern w:val="0"/>
          <w:sz w:val="32"/>
          <w:szCs w:val="32"/>
          <w:highlight w:val="none"/>
        </w:rPr>
        <w:t>残疾人福利性单位声明函（格式）</w:t>
      </w:r>
    </w:p>
    <w:p w14:paraId="2A2E06C4">
      <w:pPr>
        <w:widowControl/>
        <w:spacing w:before="100" w:beforeAutospacing="1" w:after="100" w:afterAutospacing="1" w:line="425" w:lineRule="atLeast"/>
        <w:jc w:val="left"/>
        <w:rPr>
          <w:rFonts w:ascii="Times New Roman" w:hAnsi="Times New Roman"/>
          <w:color w:val="auto"/>
          <w:kern w:val="0"/>
          <w:sz w:val="24"/>
          <w:highlight w:val="none"/>
        </w:rPr>
      </w:pPr>
    </w:p>
    <w:p w14:paraId="07A5CEA5">
      <w:pPr>
        <w:widowControl/>
        <w:spacing w:before="100" w:beforeAutospacing="1" w:after="100" w:afterAutospacing="1" w:line="400" w:lineRule="exact"/>
        <w:ind w:firstLine="480" w:firstLineChars="200"/>
        <w:jc w:val="left"/>
        <w:rPr>
          <w:rFonts w:ascii="Times New Roman" w:hAnsi="Times New Roman"/>
          <w:color w:val="auto"/>
          <w:kern w:val="0"/>
          <w:sz w:val="24"/>
          <w:highlight w:val="none"/>
        </w:rPr>
      </w:pPr>
      <w:r>
        <w:rPr>
          <w:rFonts w:ascii="Times New Roman" w:hAnsi="Times New Roman"/>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单位的</w:t>
      </w:r>
      <w:r>
        <w:rPr>
          <w:rFonts w:ascii="Times New Roman" w:hAnsi="Times New Roman"/>
          <w:color w:val="auto"/>
          <w:kern w:val="0"/>
          <w:sz w:val="24"/>
          <w:highlight w:val="none"/>
          <w:u w:val="single"/>
        </w:rPr>
        <w:t xml:space="preserve">                  </w:t>
      </w:r>
      <w:r>
        <w:rPr>
          <w:rFonts w:ascii="Times New Roman" w:hAnsi="Times New Roman"/>
          <w:color w:val="auto"/>
          <w:kern w:val="0"/>
          <w:sz w:val="24"/>
          <w:highlight w:val="none"/>
        </w:rPr>
        <w:t>项目采购活动提供本单位制造的货物（由本单位承担工程/提供服务），或者提供其他残疾人福利性单位制造的货物（不包括使用非残疾人福利性单位注册商标的货物）。</w:t>
      </w:r>
    </w:p>
    <w:p w14:paraId="6F5C7D64">
      <w:pPr>
        <w:widowControl/>
        <w:spacing w:before="100" w:beforeAutospacing="1" w:after="100" w:afterAutospacing="1" w:line="400" w:lineRule="exact"/>
        <w:ind w:firstLine="480" w:firstLineChars="200"/>
        <w:jc w:val="left"/>
        <w:rPr>
          <w:rFonts w:ascii="Times New Roman" w:hAnsi="Times New Roman"/>
          <w:color w:val="auto"/>
          <w:kern w:val="0"/>
          <w:sz w:val="24"/>
          <w:highlight w:val="none"/>
        </w:rPr>
      </w:pPr>
      <w:r>
        <w:rPr>
          <w:rFonts w:ascii="Times New Roman" w:hAnsi="Times New Roman"/>
          <w:color w:val="auto"/>
          <w:kern w:val="0"/>
          <w:sz w:val="24"/>
          <w:highlight w:val="none"/>
        </w:rPr>
        <w:t>本单位对上述声明的真实性负责。如有虚假，将依法承担相应责任。</w:t>
      </w:r>
    </w:p>
    <w:p w14:paraId="59915B81">
      <w:pPr>
        <w:widowControl/>
        <w:spacing w:before="100" w:beforeAutospacing="1" w:after="100" w:afterAutospacing="1" w:line="400" w:lineRule="exact"/>
        <w:jc w:val="left"/>
        <w:rPr>
          <w:rFonts w:ascii="Times New Roman" w:hAnsi="Times New Roman"/>
          <w:color w:val="auto"/>
          <w:kern w:val="0"/>
          <w:sz w:val="24"/>
          <w:highlight w:val="none"/>
        </w:rPr>
      </w:pPr>
    </w:p>
    <w:p w14:paraId="09EFDB49">
      <w:pPr>
        <w:widowControl/>
        <w:spacing w:before="100" w:beforeAutospacing="1" w:after="100" w:afterAutospacing="1" w:line="400" w:lineRule="exact"/>
        <w:jc w:val="left"/>
        <w:rPr>
          <w:rFonts w:ascii="Times New Roman" w:hAnsi="Times New Roman"/>
          <w:color w:val="auto"/>
          <w:kern w:val="0"/>
          <w:sz w:val="24"/>
          <w:highlight w:val="none"/>
        </w:rPr>
      </w:pPr>
    </w:p>
    <w:p w14:paraId="2724B816">
      <w:pPr>
        <w:widowControl/>
        <w:spacing w:before="100" w:beforeAutospacing="1" w:after="100" w:afterAutospacing="1" w:line="400" w:lineRule="exact"/>
        <w:jc w:val="left"/>
        <w:rPr>
          <w:rFonts w:ascii="Times New Roman" w:hAnsi="Times New Roman"/>
          <w:color w:val="auto"/>
          <w:kern w:val="0"/>
          <w:sz w:val="24"/>
          <w:highlight w:val="none"/>
        </w:rPr>
      </w:pPr>
      <w:r>
        <w:rPr>
          <w:rFonts w:ascii="Times New Roman" w:hAnsi="Times New Roman"/>
          <w:color w:val="auto"/>
          <w:kern w:val="0"/>
          <w:sz w:val="24"/>
          <w:highlight w:val="none"/>
        </w:rPr>
        <w:t xml:space="preserve">                                                    单位名称（</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kern w:val="0"/>
          <w:sz w:val="24"/>
          <w:highlight w:val="none"/>
        </w:rPr>
        <w:t>）：</w:t>
      </w:r>
    </w:p>
    <w:p w14:paraId="35091E44">
      <w:pPr>
        <w:widowControl/>
        <w:spacing w:before="100" w:beforeAutospacing="1" w:after="100" w:afterAutospacing="1" w:line="400" w:lineRule="exact"/>
        <w:jc w:val="left"/>
        <w:rPr>
          <w:rFonts w:ascii="Times New Roman" w:hAnsi="Times New Roman"/>
          <w:color w:val="auto"/>
          <w:kern w:val="0"/>
          <w:sz w:val="24"/>
          <w:highlight w:val="none"/>
        </w:rPr>
      </w:pPr>
      <w:r>
        <w:rPr>
          <w:rFonts w:ascii="Times New Roman" w:hAnsi="Times New Roman"/>
          <w:color w:val="auto"/>
          <w:kern w:val="0"/>
          <w:sz w:val="24"/>
          <w:highlight w:val="none"/>
        </w:rPr>
        <w:t xml:space="preserve">                                                          日  期</w:t>
      </w:r>
    </w:p>
    <w:p w14:paraId="4EE8ED63">
      <w:pPr>
        <w:widowControl/>
        <w:spacing w:before="100" w:beforeAutospacing="1" w:after="100" w:afterAutospacing="1" w:line="400" w:lineRule="exact"/>
        <w:jc w:val="left"/>
        <w:rPr>
          <w:rFonts w:ascii="Times New Roman" w:hAnsi="Times New Roman"/>
          <w:color w:val="auto"/>
          <w:kern w:val="0"/>
          <w:sz w:val="24"/>
          <w:highlight w:val="none"/>
        </w:rPr>
      </w:pPr>
    </w:p>
    <w:p w14:paraId="27AC08CD">
      <w:pPr>
        <w:widowControl/>
        <w:spacing w:before="100" w:beforeAutospacing="1" w:after="100" w:afterAutospacing="1" w:line="400" w:lineRule="exact"/>
        <w:jc w:val="left"/>
        <w:rPr>
          <w:rFonts w:ascii="Times New Roman" w:hAnsi="Times New Roman"/>
          <w:b/>
          <w:color w:val="auto"/>
          <w:sz w:val="24"/>
          <w:highlight w:val="none"/>
        </w:rPr>
      </w:pPr>
      <w:r>
        <w:rPr>
          <w:rFonts w:ascii="Times New Roman" w:hAnsi="Times New Roman"/>
          <w:color w:val="auto"/>
          <w:kern w:val="0"/>
          <w:sz w:val="24"/>
          <w:highlight w:val="none"/>
        </w:rPr>
        <w:t>注：投标人如为残疾人福利性单位并提供本《残疾人福利性单位声明函》的，必须对声明的真实性负责。</w:t>
      </w:r>
    </w:p>
    <w:p w14:paraId="54EB6309">
      <w:pPr>
        <w:widowControl/>
        <w:spacing w:line="400" w:lineRule="exact"/>
        <w:jc w:val="left"/>
        <w:rPr>
          <w:rFonts w:ascii="Times New Roman" w:hAnsi="Times New Roman"/>
          <w:b/>
          <w:color w:val="auto"/>
          <w:szCs w:val="21"/>
          <w:highlight w:val="none"/>
        </w:rPr>
      </w:pPr>
    </w:p>
    <w:p w14:paraId="3BEFC180">
      <w:pPr>
        <w:widowControl/>
        <w:spacing w:line="400" w:lineRule="exact"/>
        <w:jc w:val="left"/>
        <w:rPr>
          <w:rFonts w:ascii="Times New Roman" w:hAnsi="Times New Roman"/>
          <w:b/>
          <w:color w:val="auto"/>
          <w:szCs w:val="21"/>
          <w:highlight w:val="none"/>
        </w:rPr>
      </w:pPr>
    </w:p>
    <w:p w14:paraId="01AD3CF4">
      <w:pPr>
        <w:snapToGrid w:val="0"/>
        <w:spacing w:before="50" w:after="50"/>
        <w:rPr>
          <w:rFonts w:ascii="Times New Roman" w:hAnsi="Times New Roman"/>
          <w:b/>
          <w:color w:val="auto"/>
          <w:szCs w:val="21"/>
          <w:highlight w:val="none"/>
        </w:rPr>
      </w:pPr>
    </w:p>
    <w:p w14:paraId="4558F446">
      <w:pPr>
        <w:tabs>
          <w:tab w:val="left" w:pos="1305"/>
        </w:tabs>
        <w:spacing w:line="360" w:lineRule="auto"/>
        <w:rPr>
          <w:rFonts w:ascii="Times New Roman" w:hAnsi="Times New Roman"/>
          <w:b/>
          <w:color w:val="auto"/>
          <w:sz w:val="32"/>
          <w:szCs w:val="32"/>
          <w:highlight w:val="none"/>
        </w:rPr>
      </w:pPr>
    </w:p>
    <w:p w14:paraId="4202005B">
      <w:pPr>
        <w:tabs>
          <w:tab w:val="left" w:pos="1305"/>
        </w:tabs>
        <w:spacing w:line="360" w:lineRule="auto"/>
        <w:ind w:firstLine="321" w:firstLineChars="100"/>
        <w:jc w:val="center"/>
        <w:rPr>
          <w:rFonts w:ascii="Times New Roman" w:hAnsi="Times New Roman"/>
          <w:b/>
          <w:color w:val="auto"/>
          <w:sz w:val="32"/>
          <w:szCs w:val="32"/>
          <w:highlight w:val="none"/>
        </w:rPr>
      </w:pPr>
    </w:p>
    <w:p w14:paraId="061AED8F">
      <w:pPr>
        <w:tabs>
          <w:tab w:val="left" w:pos="1305"/>
        </w:tabs>
        <w:spacing w:line="360" w:lineRule="auto"/>
        <w:ind w:firstLine="321" w:firstLineChars="100"/>
        <w:jc w:val="center"/>
        <w:rPr>
          <w:rFonts w:ascii="Times New Roman" w:hAnsi="Times New Roman"/>
          <w:b/>
          <w:color w:val="auto"/>
          <w:sz w:val="32"/>
          <w:szCs w:val="32"/>
          <w:highlight w:val="none"/>
        </w:rPr>
      </w:pPr>
    </w:p>
    <w:p w14:paraId="340F34AD">
      <w:pPr>
        <w:tabs>
          <w:tab w:val="left" w:pos="1305"/>
        </w:tabs>
        <w:spacing w:line="360" w:lineRule="auto"/>
        <w:ind w:firstLine="0" w:firstLineChars="0"/>
        <w:jc w:val="both"/>
        <w:rPr>
          <w:rFonts w:ascii="Times New Roman" w:hAnsi="Times New Roman"/>
          <w:b/>
          <w:color w:val="auto"/>
          <w:sz w:val="32"/>
          <w:szCs w:val="32"/>
          <w:highlight w:val="none"/>
        </w:rPr>
      </w:pPr>
    </w:p>
    <w:p w14:paraId="33068D11">
      <w:pPr>
        <w:tabs>
          <w:tab w:val="left" w:pos="1305"/>
        </w:tabs>
        <w:spacing w:line="360" w:lineRule="auto"/>
        <w:ind w:firstLine="321" w:firstLineChars="100"/>
        <w:jc w:val="center"/>
        <w:rPr>
          <w:rFonts w:ascii="Times New Roman" w:hAnsi="Times New Roman"/>
          <w:b/>
          <w:color w:val="auto"/>
          <w:sz w:val="32"/>
          <w:szCs w:val="32"/>
          <w:highlight w:val="none"/>
        </w:rPr>
      </w:pPr>
      <w:r>
        <w:rPr>
          <w:rFonts w:ascii="Times New Roman" w:hAnsi="Times New Roman"/>
          <w:b/>
          <w:color w:val="auto"/>
          <w:sz w:val="32"/>
          <w:szCs w:val="32"/>
          <w:highlight w:val="none"/>
        </w:rPr>
        <w:t>投标承诺函（格式）</w:t>
      </w:r>
    </w:p>
    <w:p w14:paraId="15224AC8">
      <w:pPr>
        <w:snapToGrid w:val="0"/>
        <w:spacing w:before="156" w:beforeLines="50" w:after="50" w:line="360" w:lineRule="auto"/>
        <w:rPr>
          <w:rFonts w:ascii="Times New Roman" w:hAnsi="Times New Roman"/>
          <w:color w:val="auto"/>
          <w:sz w:val="24"/>
          <w:highlight w:val="none"/>
        </w:rPr>
      </w:pPr>
      <w:r>
        <w:rPr>
          <w:rFonts w:ascii="Times New Roman" w:hAnsi="Times New Roman"/>
          <w:color w:val="auto"/>
          <w:sz w:val="24"/>
          <w:highlight w:val="none"/>
        </w:rPr>
        <w:t>致：</w:t>
      </w:r>
      <w:r>
        <w:rPr>
          <w:rFonts w:ascii="Times New Roman" w:hAnsi="Times New Roman"/>
          <w:color w:val="auto"/>
          <w:sz w:val="24"/>
          <w:highlight w:val="none"/>
          <w:u w:val="single"/>
        </w:rPr>
        <w:t xml:space="preserve">                     </w:t>
      </w:r>
      <w:r>
        <w:rPr>
          <w:rFonts w:ascii="Times New Roman" w:hAnsi="Times New Roman"/>
          <w:color w:val="auto"/>
          <w:sz w:val="24"/>
          <w:highlight w:val="none"/>
        </w:rPr>
        <w:t>（采购代理机构名称）：</w:t>
      </w:r>
    </w:p>
    <w:p w14:paraId="2F171298">
      <w:pPr>
        <w:snapToGrid w:val="0"/>
        <w:spacing w:before="156" w:beforeLines="50" w:after="50" w:line="360" w:lineRule="auto"/>
        <w:ind w:firstLine="720" w:firstLineChars="300"/>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（投标人名称）系中华人民共和国合法企业，经营地址</w:t>
      </w:r>
      <w:r>
        <w:rPr>
          <w:rFonts w:ascii="Times New Roman" w:hAnsi="Times New Roman"/>
          <w:color w:val="auto"/>
          <w:sz w:val="24"/>
          <w:highlight w:val="none"/>
          <w:u w:val="single"/>
        </w:rPr>
        <w:t xml:space="preserve">                               </w:t>
      </w:r>
      <w:r>
        <w:rPr>
          <w:rFonts w:ascii="Times New Roman" w:hAnsi="Times New Roman"/>
          <w:color w:val="auto"/>
          <w:sz w:val="24"/>
          <w:highlight w:val="none"/>
        </w:rPr>
        <w:t>。</w:t>
      </w:r>
    </w:p>
    <w:p w14:paraId="1076C2B7">
      <w:pPr>
        <w:snapToGrid w:val="0"/>
        <w:spacing w:before="156" w:beforeLines="50" w:after="50" w:line="360" w:lineRule="auto"/>
        <w:ind w:firstLine="645"/>
        <w:rPr>
          <w:rFonts w:ascii="Times New Roman" w:hAnsi="Times New Roman"/>
          <w:color w:val="auto"/>
          <w:sz w:val="24"/>
          <w:highlight w:val="none"/>
        </w:rPr>
      </w:pPr>
      <w:r>
        <w:rPr>
          <w:rFonts w:ascii="Times New Roman" w:hAnsi="Times New Roman"/>
          <w:color w:val="auto"/>
          <w:sz w:val="24"/>
          <w:highlight w:val="none"/>
        </w:rPr>
        <w:t>我</w:t>
      </w:r>
      <w:r>
        <w:rPr>
          <w:rFonts w:ascii="Times New Roman" w:hAnsi="Times New Roman"/>
          <w:color w:val="auto"/>
          <w:sz w:val="24"/>
          <w:highlight w:val="none"/>
          <w:u w:val="single"/>
        </w:rPr>
        <w:t xml:space="preserve">           </w:t>
      </w:r>
      <w:r>
        <w:rPr>
          <w:rFonts w:ascii="Times New Roman" w:hAnsi="Times New Roman"/>
          <w:color w:val="auto"/>
          <w:sz w:val="24"/>
          <w:highlight w:val="none"/>
        </w:rPr>
        <w:t>（姓名）系</w:t>
      </w:r>
      <w:r>
        <w:rPr>
          <w:rFonts w:ascii="Times New Roman" w:hAnsi="Times New Roman"/>
          <w:color w:val="auto"/>
          <w:sz w:val="24"/>
          <w:highlight w:val="none"/>
          <w:u w:val="single"/>
        </w:rPr>
        <w:t xml:space="preserve">           （</w:t>
      </w:r>
      <w:r>
        <w:rPr>
          <w:rFonts w:ascii="Times New Roman" w:hAnsi="Times New Roman"/>
          <w:color w:val="auto"/>
          <w:sz w:val="24"/>
          <w:highlight w:val="none"/>
        </w:rPr>
        <w:t>投标人名称）的法定代表人，我方愿意参加贵方组织的_____项目的投标，为便于贵方公正、择优地确定中标人及服务，我方就本次投标有关事项郑重承诺如下：</w:t>
      </w:r>
    </w:p>
    <w:p w14:paraId="2259AE65">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1.我方向贵方提交的所有投标文件、资料都是准确的和真实的。</w:t>
      </w:r>
    </w:p>
    <w:p w14:paraId="2B440F15">
      <w:pPr>
        <w:snapToGrid w:val="0"/>
        <w:spacing w:before="156" w:beforeLines="50"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2.我方不是招标人的附属机构；在获知本项目采购信息后，与招标人聘请的为此项目提供咨询服务的公司及其附属机构没有任何联系。</w:t>
      </w:r>
    </w:p>
    <w:p w14:paraId="36CA4B94">
      <w:pPr>
        <w:snapToGrid w:val="0"/>
        <w:spacing w:before="156" w:beforeLines="50"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3.我方诚意提请贵方关注：近期有关该项目实施、售后服务等方面的重大决策和事项有：</w:t>
      </w:r>
    </w:p>
    <w:p w14:paraId="534E6272">
      <w:pPr>
        <w:snapToGrid w:val="0"/>
        <w:spacing w:before="156" w:beforeLines="50" w:line="360" w:lineRule="auto"/>
        <w:ind w:firstLine="480" w:firstLineChars="200"/>
        <w:rPr>
          <w:rFonts w:ascii="Times New Roman" w:hAnsi="Times New Roman"/>
          <w:color w:val="auto"/>
          <w:sz w:val="24"/>
          <w:highlight w:val="none"/>
          <w:u w:val="single"/>
        </w:rPr>
      </w:pPr>
      <w:r>
        <w:rPr>
          <w:rFonts w:ascii="Times New Roman" w:hAnsi="Times New Roman"/>
          <w:color w:val="auto"/>
          <w:sz w:val="24"/>
          <w:highlight w:val="none"/>
          <w:u w:val="single"/>
        </w:rPr>
        <w:t>　　　　　　　　　　　　　　　　　　　　　　　　　　　</w:t>
      </w:r>
    </w:p>
    <w:p w14:paraId="64EF2B84">
      <w:pPr>
        <w:pStyle w:val="11"/>
        <w:snapToGrid w:val="0"/>
        <w:spacing w:line="360" w:lineRule="auto"/>
        <w:ind w:firstLine="480" w:firstLineChars="200"/>
        <w:rPr>
          <w:rFonts w:ascii="Times New Roman" w:hAnsi="Times New Roman"/>
          <w:color w:val="auto"/>
          <w:sz w:val="24"/>
          <w:highlight w:val="none"/>
          <w:u w:val="single"/>
        </w:rPr>
      </w:pPr>
      <w:r>
        <w:rPr>
          <w:rFonts w:ascii="Times New Roman" w:hAnsi="Times New Roman" w:eastAsia="宋体"/>
          <w:color w:val="auto"/>
          <w:sz w:val="24"/>
          <w:szCs w:val="24"/>
          <w:highlight w:val="none"/>
        </w:rPr>
        <w:t>4.我方及由本人担任法定代表人的其他机构最近三年内被通报或者被处罚的违法行为有：</w:t>
      </w:r>
      <w:r>
        <w:rPr>
          <w:rFonts w:ascii="Times New Roman" w:hAnsi="Times New Roman"/>
          <w:color w:val="auto"/>
          <w:sz w:val="24"/>
          <w:highlight w:val="none"/>
          <w:u w:val="single"/>
        </w:rPr>
        <w:t>　　　　　　　　　　　　　　　　　　　　　　　　　　　</w:t>
      </w:r>
    </w:p>
    <w:p w14:paraId="7AF05787">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5.以上事项如有虚假或隐瞒，我方愿意承担一切后果，并不再寻求任何旨在减轻或免除法律责任的辩解。</w:t>
      </w:r>
    </w:p>
    <w:p w14:paraId="7A77D91E">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6.我方在规定的投标有效期内撤销或修改投标文件的，或者在收到中标通知书后无正当理由拒签合同或拒交规定履约担保的，愿承担违约责任。</w:t>
      </w:r>
    </w:p>
    <w:p w14:paraId="43B0B310">
      <w:pPr>
        <w:snapToGrid w:val="0"/>
        <w:spacing w:line="360" w:lineRule="auto"/>
        <w:ind w:firstLine="480" w:firstLineChars="200"/>
        <w:rPr>
          <w:rFonts w:ascii="Times New Roman" w:hAnsi="Times New Roman"/>
          <w:color w:val="auto"/>
          <w:sz w:val="24"/>
          <w:highlight w:val="none"/>
        </w:rPr>
      </w:pPr>
    </w:p>
    <w:p w14:paraId="23D54022">
      <w:pPr>
        <w:snapToGrid w:val="0"/>
        <w:spacing w:before="156" w:beforeLines="50" w:line="360" w:lineRule="auto"/>
        <w:ind w:firstLine="4128" w:firstLineChars="1720"/>
        <w:rPr>
          <w:rFonts w:ascii="Times New Roman" w:hAnsi="Times New Roman"/>
          <w:color w:val="auto"/>
          <w:sz w:val="24"/>
          <w:highlight w:val="none"/>
        </w:rPr>
      </w:pPr>
    </w:p>
    <w:p w14:paraId="5373B7E4">
      <w:pPr>
        <w:pStyle w:val="12"/>
        <w:spacing w:before="120" w:line="360" w:lineRule="auto"/>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法定代表人</w:t>
      </w:r>
      <w:r>
        <w:rPr>
          <w:rFonts w:hint="eastAsia" w:ascii="Times New Roman" w:hAnsi="Times New Roman" w:eastAsia="宋体"/>
          <w:color w:val="auto"/>
          <w:sz w:val="24"/>
          <w:szCs w:val="24"/>
          <w:highlight w:val="none"/>
        </w:rPr>
        <w:t>（负责人或自然人）</w:t>
      </w:r>
      <w:r>
        <w:rPr>
          <w:rFonts w:ascii="Times New Roman" w:hAnsi="Times New Roman" w:eastAsia="宋体"/>
          <w:color w:val="auto"/>
          <w:sz w:val="24"/>
          <w:szCs w:val="24"/>
          <w:highlight w:val="none"/>
        </w:rPr>
        <w:t>（</w:t>
      </w:r>
      <w:r>
        <w:rPr>
          <w:rFonts w:hint="eastAsia" w:ascii="宋体" w:hAnsi="宋体"/>
          <w:color w:val="auto"/>
          <w:sz w:val="24"/>
          <w:highlight w:val="none"/>
        </w:rPr>
        <w:t>签字或电子签名</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5E4F1DA6">
      <w:pPr>
        <w:pStyle w:val="12"/>
        <w:spacing w:before="120" w:line="360" w:lineRule="auto"/>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12083441">
      <w:pPr>
        <w:pStyle w:val="12"/>
        <w:spacing w:before="120" w:line="360" w:lineRule="auto"/>
        <w:rPr>
          <w:rFonts w:ascii="Times New Roman" w:hAnsi="Times New Roman"/>
          <w:b/>
          <w:bCs/>
          <w:color w:val="auto"/>
          <w:sz w:val="32"/>
          <w:szCs w:val="32"/>
          <w:highlight w:val="none"/>
        </w:rPr>
      </w:pPr>
      <w:r>
        <w:rPr>
          <w:rFonts w:ascii="Times New Roman" w:hAnsi="Times New Roman" w:eastAsia="宋体"/>
          <w:color w:val="auto"/>
          <w:sz w:val="24"/>
          <w:szCs w:val="24"/>
          <w:highlight w:val="none"/>
        </w:rPr>
        <w:t>日期：</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年</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月</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日</w:t>
      </w:r>
    </w:p>
    <w:p w14:paraId="3635942D">
      <w:pPr>
        <w:rPr>
          <w:rFonts w:ascii="Times New Roman" w:hAnsi="Times New Roman"/>
          <w:b/>
          <w:bCs/>
          <w:color w:val="auto"/>
          <w:szCs w:val="21"/>
          <w:highlight w:val="none"/>
        </w:rPr>
      </w:pPr>
    </w:p>
    <w:p w14:paraId="28CC9E73">
      <w:pPr>
        <w:rPr>
          <w:rFonts w:ascii="Times New Roman" w:hAnsi="Times New Roman"/>
          <w:b/>
          <w:bCs/>
          <w:color w:val="auto"/>
          <w:sz w:val="18"/>
          <w:szCs w:val="18"/>
          <w:highlight w:val="none"/>
        </w:rPr>
      </w:pPr>
      <w:r>
        <w:rPr>
          <w:rFonts w:hint="eastAsia" w:ascii="Times New Roman" w:hAnsi="Times New Roman"/>
          <w:b/>
          <w:bCs/>
          <w:color w:val="auto"/>
          <w:szCs w:val="21"/>
          <w:highlight w:val="none"/>
        </w:rPr>
        <w:t>注：</w:t>
      </w:r>
      <w:r>
        <w:rPr>
          <w:rFonts w:hint="eastAsia" w:ascii="宋体" w:hAnsi="宋体" w:cs="宋体"/>
          <w:b/>
          <w:bCs/>
          <w:color w:val="auto"/>
          <w:szCs w:val="21"/>
          <w:highlight w:val="none"/>
        </w:rPr>
        <w:t>如为联合体须提供所有联合体成员</w:t>
      </w:r>
      <w:r>
        <w:rPr>
          <w:rFonts w:hint="eastAsia" w:ascii="Times New Roman" w:hAnsi="Times New Roman"/>
          <w:color w:val="auto"/>
          <w:sz w:val="24"/>
          <w:highlight w:val="none"/>
          <w:lang w:eastAsia="zh-CN"/>
        </w:rPr>
        <w:t>出具的《</w:t>
      </w:r>
      <w:r>
        <w:rPr>
          <w:rFonts w:hint="eastAsia" w:ascii="宋体" w:hAnsi="宋体" w:cs="宋体"/>
          <w:b/>
          <w:bCs/>
          <w:color w:val="auto"/>
          <w:sz w:val="21"/>
          <w:szCs w:val="21"/>
          <w:highlight w:val="none"/>
        </w:rPr>
        <w:t>投标承诺函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w:t>
      </w:r>
      <w:r>
        <w:rPr>
          <w:rFonts w:hint="eastAsia" w:ascii="Times New Roman" w:hAnsi="Times New Roman"/>
          <w:color w:val="auto"/>
          <w:sz w:val="24"/>
          <w:highlight w:val="none"/>
        </w:rPr>
        <w:t>否则投标无效。</w:t>
      </w:r>
    </w:p>
    <w:p w14:paraId="742EF1BE">
      <w:pPr>
        <w:rPr>
          <w:rFonts w:ascii="Times New Roman" w:hAnsi="Times New Roman"/>
          <w:b/>
          <w:bCs/>
          <w:color w:val="auto"/>
          <w:sz w:val="32"/>
          <w:szCs w:val="32"/>
          <w:highlight w:val="none"/>
        </w:rPr>
      </w:pPr>
    </w:p>
    <w:p w14:paraId="171923DE">
      <w:pPr>
        <w:ind w:left="2420"/>
        <w:rPr>
          <w:rFonts w:ascii="Times New Roman" w:hAnsi="Times New Roman"/>
          <w:b/>
          <w:bCs/>
          <w:color w:val="auto"/>
          <w:sz w:val="32"/>
          <w:szCs w:val="32"/>
          <w:highlight w:val="none"/>
        </w:rPr>
      </w:pPr>
    </w:p>
    <w:p w14:paraId="5E430064">
      <w:pPr>
        <w:snapToGrid w:val="0"/>
        <w:spacing w:before="50" w:after="120" w:afterLines="5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投标声明</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格式</w:t>
      </w:r>
      <w:r>
        <w:rPr>
          <w:rFonts w:hint="eastAsia" w:ascii="宋体" w:hAnsi="宋体" w:cs="宋体"/>
          <w:b/>
          <w:color w:val="auto"/>
          <w:sz w:val="32"/>
          <w:szCs w:val="32"/>
          <w:highlight w:val="none"/>
          <w:lang w:eastAsia="zh-CN"/>
        </w:rPr>
        <w:t>）</w:t>
      </w:r>
    </w:p>
    <w:p w14:paraId="7731D3B4">
      <w:pPr>
        <w:spacing w:line="520" w:lineRule="exact"/>
        <w:ind w:left="54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（采购人名称）：</w:t>
      </w:r>
    </w:p>
    <w:p w14:paraId="7B9E8E92">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我方参加贵单位组织             项目（项目编号：       ）的政府采购活动。我方在此郑重声明：</w:t>
      </w:r>
    </w:p>
    <w:p w14:paraId="22B12211">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333B2FF">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2.我方不是为本次采购项目提供整体设计、规范编制或者项目管理、监理、检测等服务的供应商。</w:t>
      </w:r>
    </w:p>
    <w:p w14:paraId="10731D5D">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3. 我方承诺符合《中华人民共和国政府采购法》第二十二条规定：</w:t>
      </w:r>
    </w:p>
    <w:p w14:paraId="4807EFC3">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（一）具有独立承担民事责任的能力；</w:t>
      </w:r>
    </w:p>
    <w:p w14:paraId="77EDAE40">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（二）具有良好的商业信誉和健全的财务会计制度；</w:t>
      </w:r>
    </w:p>
    <w:p w14:paraId="6A8306DB">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（三）具有履行合同所必需的设备和专业技术能力；</w:t>
      </w:r>
    </w:p>
    <w:p w14:paraId="1B82C830">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（四）有依法缴纳税收和社会保障资金的良好记录；</w:t>
      </w:r>
    </w:p>
    <w:p w14:paraId="08CE88F6">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（五）参加政府采购活动前三年内，在经营活动中没有重大违法记录；</w:t>
      </w:r>
    </w:p>
    <w:p w14:paraId="5963F9CD">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（六）法律、行政法规规定的其他条件。</w:t>
      </w:r>
    </w:p>
    <w:p w14:paraId="19579ECF">
      <w:pPr>
        <w:spacing w:line="520" w:lineRule="exact"/>
        <w:ind w:left="540" w:firstLine="0" w:firstLineChars="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4.以上事项如有虚假或者隐瞒，我方愿意承担一切后果，并不再寻求任何旨在减轻或者免除法律责任的辩解。</w:t>
      </w:r>
    </w:p>
    <w:p w14:paraId="2203DC80">
      <w:pPr>
        <w:spacing w:line="520" w:lineRule="exact"/>
        <w:ind w:left="54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 xml:space="preserve">    特此承诺。</w:t>
      </w:r>
    </w:p>
    <w:p w14:paraId="3DB77050">
      <w:pPr>
        <w:spacing w:line="520" w:lineRule="exact"/>
        <w:ind w:left="54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b w:val="0"/>
          <w:color w:val="auto"/>
          <w:sz w:val="24"/>
          <w:highlight w:val="none"/>
          <w:u w:val="single"/>
        </w:rPr>
        <w:t xml:space="preserve">                  </w:t>
      </w:r>
      <w:r>
        <w:rPr>
          <w:rFonts w:hint="default" w:ascii="Times New Roman" w:hAnsi="Times New Roman" w:eastAsia="宋体" w:cs="Times New Roman"/>
          <w:color w:val="auto"/>
          <w:sz w:val="24"/>
          <w:highlight w:val="none"/>
          <w:u w:val="single"/>
        </w:rPr>
        <w:t xml:space="preserve">法定代表人（或负责人）（签字或者盖章或者电子签名）：             </w:t>
      </w:r>
    </w:p>
    <w:p w14:paraId="65A24337">
      <w:pPr>
        <w:spacing w:line="520" w:lineRule="exact"/>
        <w:ind w:left="54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 xml:space="preserve">                             投标人名称（电子签章）：                 </w:t>
      </w:r>
    </w:p>
    <w:p w14:paraId="553C8234">
      <w:pPr>
        <w:spacing w:line="520" w:lineRule="exact"/>
        <w:ind w:left="540"/>
        <w:contextualSpacing w:val="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u w:val="single"/>
        </w:rPr>
        <w:t xml:space="preserve">                                                  年    月    日</w:t>
      </w:r>
    </w:p>
    <w:p w14:paraId="2A639844">
      <w:pPr>
        <w:spacing w:line="520" w:lineRule="exact"/>
        <w:ind w:left="540"/>
        <w:contextualSpacing w:val="0"/>
        <w:rPr>
          <w:rFonts w:hint="default" w:ascii="Times New Roman" w:hAnsi="Times New Roman" w:eastAsia="宋体" w:cs="Times New Roman"/>
          <w:b w:val="0"/>
          <w:color w:val="auto"/>
          <w:sz w:val="24"/>
          <w:highlight w:val="none"/>
          <w:u w:val="single"/>
        </w:rPr>
      </w:pPr>
      <w:r>
        <w:rPr>
          <w:rFonts w:hint="default" w:ascii="Times New Roman" w:hAnsi="Times New Roman" w:eastAsia="宋体" w:cs="Times New Roman"/>
          <w:b w:val="0"/>
          <w:color w:val="auto"/>
          <w:sz w:val="24"/>
          <w:highlight w:val="none"/>
          <w:u w:val="single"/>
        </w:rPr>
        <w:t>注：如为联合体须提供所有联合体成员出具的《投标声明书》，否则投标无效。</w:t>
      </w:r>
    </w:p>
    <w:p w14:paraId="652B3FA1">
      <w:pPr>
        <w:ind w:left="2420"/>
        <w:rPr>
          <w:rFonts w:ascii="Times New Roman" w:hAnsi="Times New Roman"/>
          <w:b/>
          <w:bCs/>
          <w:color w:val="auto"/>
          <w:sz w:val="32"/>
          <w:szCs w:val="32"/>
          <w:highlight w:val="none"/>
        </w:rPr>
      </w:pPr>
    </w:p>
    <w:p w14:paraId="6C1A44B3">
      <w:pPr>
        <w:ind w:left="2420"/>
        <w:rPr>
          <w:rFonts w:ascii="Times New Roman" w:hAnsi="Times New Roman"/>
          <w:b/>
          <w:bCs/>
          <w:color w:val="auto"/>
          <w:sz w:val="32"/>
          <w:szCs w:val="32"/>
          <w:highlight w:val="none"/>
        </w:rPr>
      </w:pPr>
    </w:p>
    <w:p w14:paraId="17178F4C">
      <w:pPr>
        <w:ind w:left="2420"/>
        <w:rPr>
          <w:rFonts w:ascii="Times New Roman" w:hAnsi="Times New Roman"/>
          <w:b/>
          <w:bCs/>
          <w:color w:val="auto"/>
          <w:sz w:val="32"/>
          <w:szCs w:val="32"/>
          <w:highlight w:val="none"/>
        </w:rPr>
      </w:pPr>
    </w:p>
    <w:p w14:paraId="699A5157">
      <w:pPr>
        <w:ind w:left="2420"/>
        <w:rPr>
          <w:rFonts w:ascii="Times New Roman" w:hAnsi="Times New Roman"/>
          <w:b/>
          <w:bCs/>
          <w:color w:val="auto"/>
          <w:sz w:val="32"/>
          <w:szCs w:val="32"/>
          <w:highlight w:val="none"/>
        </w:rPr>
      </w:pPr>
    </w:p>
    <w:p w14:paraId="3FEDDE80">
      <w:pPr>
        <w:ind w:left="2420"/>
        <w:rPr>
          <w:rFonts w:ascii="Times New Roman" w:hAnsi="Times New Roman"/>
          <w:b/>
          <w:bCs/>
          <w:color w:val="auto"/>
          <w:sz w:val="32"/>
          <w:szCs w:val="32"/>
          <w:highlight w:val="none"/>
        </w:rPr>
      </w:pPr>
    </w:p>
    <w:p w14:paraId="14442996">
      <w:pPr>
        <w:ind w:left="2420"/>
        <w:rPr>
          <w:rFonts w:ascii="Times New Roman" w:hAnsi="Times New Roman"/>
          <w:color w:val="auto"/>
          <w:sz w:val="20"/>
          <w:szCs w:val="20"/>
          <w:highlight w:val="none"/>
        </w:rPr>
      </w:pPr>
      <w:r>
        <w:rPr>
          <w:rFonts w:ascii="Times New Roman" w:hAnsi="Times New Roman"/>
          <w:b/>
          <w:bCs/>
          <w:color w:val="auto"/>
          <w:sz w:val="32"/>
          <w:szCs w:val="32"/>
          <w:highlight w:val="none"/>
        </w:rPr>
        <w:t>法定代表人身份证明书（格式）</w:t>
      </w:r>
    </w:p>
    <w:p w14:paraId="2CD6288F">
      <w:pPr>
        <w:spacing w:line="200" w:lineRule="exact"/>
        <w:rPr>
          <w:rFonts w:ascii="Times New Roman" w:hAnsi="Times New Roman"/>
          <w:color w:val="auto"/>
          <w:sz w:val="20"/>
          <w:szCs w:val="20"/>
          <w:highlight w:val="none"/>
        </w:rPr>
      </w:pPr>
    </w:p>
    <w:p w14:paraId="401CFA4C">
      <w:pPr>
        <w:spacing w:line="398" w:lineRule="exact"/>
        <w:rPr>
          <w:rFonts w:ascii="Times New Roman" w:hAnsi="Times New Roman"/>
          <w:color w:val="auto"/>
          <w:sz w:val="20"/>
          <w:szCs w:val="20"/>
          <w:highlight w:val="none"/>
        </w:rPr>
      </w:pPr>
    </w:p>
    <w:p w14:paraId="6E51CCF7">
      <w:pPr>
        <w:spacing w:line="520" w:lineRule="exact"/>
        <w:ind w:left="540"/>
        <w:rPr>
          <w:rFonts w:ascii="Times New Roman" w:hAnsi="Times New Roman"/>
          <w:color w:val="auto"/>
          <w:sz w:val="24"/>
          <w:highlight w:val="none"/>
        </w:rPr>
      </w:pPr>
      <w:r>
        <w:rPr>
          <w:rFonts w:hint="eastAsia" w:ascii="Times New Roman" w:hAnsi="Times New Roman"/>
          <w:color w:val="auto"/>
          <w:sz w:val="24"/>
          <w:highlight w:val="none"/>
        </w:rPr>
        <w:t>投标人</w:t>
      </w:r>
      <w:r>
        <w:rPr>
          <w:rFonts w:ascii="Times New Roman" w:hAnsi="Times New Roman"/>
          <w:color w:val="auto"/>
          <w:sz w:val="24"/>
          <w:highlight w:val="none"/>
        </w:rPr>
        <w:t>名称：</w:t>
      </w:r>
      <w:r>
        <w:rPr>
          <w:rFonts w:ascii="Times New Roman" w:hAnsi="Times New Roman"/>
          <w:color w:val="auto"/>
          <w:sz w:val="24"/>
          <w:highlight w:val="none"/>
          <w:u w:val="single"/>
        </w:rPr>
        <w:t xml:space="preserve">                                                        </w:t>
      </w:r>
    </w:p>
    <w:p w14:paraId="0F8E52EE">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地    址：</w:t>
      </w:r>
      <w:r>
        <w:rPr>
          <w:rFonts w:ascii="Times New Roman" w:hAnsi="Times New Roman"/>
          <w:color w:val="auto"/>
          <w:sz w:val="24"/>
          <w:highlight w:val="none"/>
          <w:u w:val="single"/>
        </w:rPr>
        <w:t xml:space="preserve">                                                        </w:t>
      </w:r>
    </w:p>
    <w:p w14:paraId="163A2A10">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成立时间：</w:t>
      </w: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2B54ECC6">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经营期限：</w:t>
      </w:r>
      <w:r>
        <w:rPr>
          <w:rFonts w:ascii="Times New Roman" w:hAnsi="Times New Roman"/>
          <w:color w:val="auto"/>
          <w:sz w:val="24"/>
          <w:highlight w:val="none"/>
          <w:u w:val="single"/>
        </w:rPr>
        <w:t xml:space="preserve">                                                        </w:t>
      </w:r>
    </w:p>
    <w:p w14:paraId="6D7C3330">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姓    名：</w:t>
      </w:r>
      <w:r>
        <w:rPr>
          <w:rFonts w:ascii="Times New Roman" w:hAnsi="Times New Roman"/>
          <w:color w:val="auto"/>
          <w:sz w:val="24"/>
          <w:highlight w:val="none"/>
          <w:u w:val="single"/>
        </w:rPr>
        <w:t xml:space="preserve">                </w:t>
      </w:r>
      <w:r>
        <w:rPr>
          <w:rFonts w:ascii="Times New Roman" w:hAnsi="Times New Roman"/>
          <w:color w:val="auto"/>
          <w:sz w:val="24"/>
          <w:highlight w:val="none"/>
        </w:rPr>
        <w:t>性     别：</w:t>
      </w:r>
      <w:r>
        <w:rPr>
          <w:rFonts w:ascii="Times New Roman" w:hAnsi="Times New Roman"/>
          <w:color w:val="auto"/>
          <w:sz w:val="24"/>
          <w:highlight w:val="none"/>
          <w:u w:val="single"/>
        </w:rPr>
        <w:t xml:space="preserve">                </w:t>
      </w:r>
    </w:p>
    <w:p w14:paraId="5582F8AF">
      <w:pPr>
        <w:spacing w:line="520" w:lineRule="exact"/>
        <w:ind w:left="540"/>
        <w:rPr>
          <w:rFonts w:ascii="Times New Roman" w:hAnsi="Times New Roman"/>
          <w:color w:val="auto"/>
          <w:sz w:val="24"/>
          <w:highlight w:val="none"/>
          <w:u w:val="single"/>
        </w:rPr>
      </w:pPr>
      <w:r>
        <w:rPr>
          <w:rFonts w:ascii="Times New Roman" w:hAnsi="Times New Roman"/>
          <w:color w:val="auto"/>
          <w:sz w:val="24"/>
          <w:highlight w:val="none"/>
        </w:rPr>
        <w:t>年    龄：</w:t>
      </w:r>
      <w:r>
        <w:rPr>
          <w:rFonts w:ascii="Times New Roman" w:hAnsi="Times New Roman"/>
          <w:color w:val="auto"/>
          <w:sz w:val="24"/>
          <w:highlight w:val="none"/>
          <w:u w:val="single"/>
        </w:rPr>
        <w:t xml:space="preserve">                </w:t>
      </w:r>
      <w:r>
        <w:rPr>
          <w:rFonts w:ascii="Times New Roman" w:hAnsi="Times New Roman"/>
          <w:color w:val="auto"/>
          <w:sz w:val="24"/>
          <w:highlight w:val="none"/>
        </w:rPr>
        <w:t>职     务：</w:t>
      </w:r>
      <w:r>
        <w:rPr>
          <w:rFonts w:ascii="Times New Roman" w:hAnsi="Times New Roman"/>
          <w:color w:val="auto"/>
          <w:sz w:val="24"/>
          <w:highlight w:val="none"/>
          <w:u w:val="single"/>
        </w:rPr>
        <w:t xml:space="preserve">                </w:t>
      </w:r>
    </w:p>
    <w:p w14:paraId="3F9325DF">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身份证号码：</w:t>
      </w:r>
      <w:r>
        <w:rPr>
          <w:rFonts w:ascii="Times New Roman" w:hAnsi="Times New Roman"/>
          <w:color w:val="auto"/>
          <w:sz w:val="24"/>
          <w:highlight w:val="none"/>
          <w:u w:val="single"/>
        </w:rPr>
        <w:t xml:space="preserve">                                        </w:t>
      </w:r>
    </w:p>
    <w:p w14:paraId="62BB9605">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系</w:t>
      </w: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eastAsia" w:ascii="Times New Roman" w:hAnsi="Times New Roman"/>
          <w:color w:val="auto"/>
          <w:sz w:val="24"/>
          <w:highlight w:val="none"/>
        </w:rPr>
        <w:t>投标人</w:t>
      </w:r>
      <w:r>
        <w:rPr>
          <w:rFonts w:ascii="Times New Roman" w:hAnsi="Times New Roman"/>
          <w:color w:val="auto"/>
          <w:sz w:val="24"/>
          <w:highlight w:val="none"/>
        </w:rPr>
        <w:t>名称）的法定代表人</w:t>
      </w:r>
      <w:r>
        <w:rPr>
          <w:rFonts w:hint="eastAsia" w:ascii="Times New Roman" w:hAnsi="Times New Roman"/>
          <w:color w:val="auto"/>
          <w:sz w:val="24"/>
          <w:highlight w:val="none"/>
        </w:rPr>
        <w:t>（负责人）</w:t>
      </w:r>
      <w:r>
        <w:rPr>
          <w:rFonts w:ascii="Times New Roman" w:hAnsi="Times New Roman"/>
          <w:color w:val="auto"/>
          <w:sz w:val="24"/>
          <w:highlight w:val="none"/>
        </w:rPr>
        <w:t>。</w:t>
      </w:r>
    </w:p>
    <w:p w14:paraId="2D712B23">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特此证明。</w:t>
      </w:r>
    </w:p>
    <w:p w14:paraId="35DFF813">
      <w:pPr>
        <w:spacing w:line="520" w:lineRule="exact"/>
        <w:rPr>
          <w:rFonts w:ascii="Times New Roman" w:hAnsi="Times New Roman"/>
          <w:color w:val="auto"/>
          <w:sz w:val="24"/>
          <w:highlight w:val="none"/>
        </w:rPr>
      </w:pPr>
    </w:p>
    <w:p w14:paraId="344D1989">
      <w:pPr>
        <w:spacing w:line="520" w:lineRule="exact"/>
        <w:ind w:left="540"/>
        <w:rPr>
          <w:rFonts w:ascii="Times New Roman" w:hAnsi="Times New Roman"/>
          <w:color w:val="auto"/>
          <w:sz w:val="24"/>
          <w:highlight w:val="none"/>
        </w:rPr>
      </w:pPr>
    </w:p>
    <w:p w14:paraId="249659A1">
      <w:pPr>
        <w:wordWrap w:val="0"/>
        <w:spacing w:line="520" w:lineRule="exact"/>
        <w:ind w:left="540"/>
        <w:jc w:val="right"/>
        <w:rPr>
          <w:rFonts w:ascii="Times New Roman" w:hAnsi="Times New Roman"/>
          <w:color w:val="auto"/>
          <w:sz w:val="24"/>
          <w:highlight w:val="none"/>
        </w:rPr>
      </w:pPr>
      <w:r>
        <w:rPr>
          <w:rFonts w:ascii="Times New Roman" w:hAnsi="Times New Roman"/>
          <w:color w:val="auto"/>
          <w:sz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sz w:val="24"/>
          <w:highlight w:val="none"/>
          <w:u w:val="single"/>
        </w:rPr>
        <w:t xml:space="preserve">               </w:t>
      </w:r>
    </w:p>
    <w:p w14:paraId="4EB608FB">
      <w:pPr>
        <w:snapToGrid w:val="0"/>
        <w:spacing w:before="156" w:beforeLines="50" w:after="50" w:line="520" w:lineRule="exact"/>
        <w:ind w:firstLine="6240" w:firstLineChars="2600"/>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14:paraId="62083236">
      <w:pPr>
        <w:spacing w:line="380" w:lineRule="exact"/>
        <w:rPr>
          <w:rFonts w:ascii="Times New Roman" w:hAnsi="Times New Roman"/>
          <w:color w:val="auto"/>
          <w:sz w:val="32"/>
          <w:szCs w:val="32"/>
          <w:highlight w:val="none"/>
        </w:rPr>
      </w:pPr>
    </w:p>
    <w:p w14:paraId="240AF6CA">
      <w:pPr>
        <w:spacing w:line="520" w:lineRule="exact"/>
        <w:ind w:left="540"/>
        <w:rPr>
          <w:rFonts w:ascii="Times New Roman" w:hAnsi="Times New Roman"/>
          <w:color w:val="auto"/>
          <w:sz w:val="24"/>
          <w:highlight w:val="none"/>
        </w:rPr>
      </w:pPr>
    </w:p>
    <w:p w14:paraId="02228938">
      <w:pPr>
        <w:spacing w:line="520" w:lineRule="exact"/>
        <w:ind w:left="540"/>
        <w:rPr>
          <w:rFonts w:ascii="Times New Roman" w:hAnsi="Times New Roman"/>
          <w:color w:val="auto"/>
          <w:sz w:val="24"/>
          <w:highlight w:val="none"/>
        </w:rPr>
      </w:pPr>
      <w:r>
        <w:rPr>
          <w:rFonts w:ascii="Times New Roman" w:hAnsi="Times New Roman"/>
          <w:color w:val="auto"/>
          <w:sz w:val="24"/>
          <w:highlight w:val="none"/>
        </w:rPr>
        <w:t>附件：法定代表人有效身份证正反面复印件</w:t>
      </w:r>
    </w:p>
    <w:p w14:paraId="631BA6C4">
      <w:pPr>
        <w:spacing w:line="520" w:lineRule="exact"/>
        <w:ind w:left="540"/>
        <w:rPr>
          <w:rFonts w:ascii="Times New Roman" w:hAnsi="Times New Roman"/>
          <w:color w:val="auto"/>
          <w:sz w:val="24"/>
          <w:highlight w:val="none"/>
        </w:rPr>
      </w:pPr>
      <w:r>
        <w:rPr>
          <w:rFonts w:hint="eastAsia" w:ascii="Times New Roman" w:hAnsi="Times New Roman"/>
          <w:b/>
          <w:bCs/>
          <w:color w:val="auto"/>
          <w:szCs w:val="21"/>
          <w:highlight w:val="none"/>
        </w:rPr>
        <w:t>注：</w:t>
      </w:r>
      <w:r>
        <w:rPr>
          <w:rFonts w:hint="eastAsia" w:ascii="宋体" w:hAnsi="宋体" w:cs="宋体"/>
          <w:b/>
          <w:bCs/>
          <w:color w:val="auto"/>
          <w:szCs w:val="21"/>
          <w:highlight w:val="none"/>
        </w:rPr>
        <w:t>如为联合体须提供所有联合体成员</w:t>
      </w:r>
      <w:r>
        <w:rPr>
          <w:rFonts w:hint="eastAsia" w:ascii="Times New Roman" w:hAnsi="Times New Roman"/>
          <w:color w:val="auto"/>
          <w:sz w:val="24"/>
          <w:highlight w:val="none"/>
          <w:lang w:eastAsia="zh-CN"/>
        </w:rPr>
        <w:t>出具的《</w:t>
      </w:r>
      <w:r>
        <w:rPr>
          <w:rFonts w:hint="eastAsia" w:ascii="宋体" w:hAnsi="宋体" w:cs="宋体"/>
          <w:b/>
          <w:bCs/>
          <w:color w:val="auto"/>
          <w:sz w:val="21"/>
          <w:szCs w:val="21"/>
          <w:highlight w:val="none"/>
        </w:rPr>
        <w:t>法定代表人身份证明书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Times New Roman" w:hAnsi="Times New Roman"/>
          <w:color w:val="auto"/>
          <w:sz w:val="24"/>
          <w:highlight w:val="none"/>
        </w:rPr>
        <w:t>否则投标无效</w:t>
      </w:r>
    </w:p>
    <w:p w14:paraId="743EAD3E">
      <w:pPr>
        <w:adjustRightInd w:val="0"/>
        <w:snapToGrid w:val="0"/>
        <w:spacing w:line="300" w:lineRule="auto"/>
        <w:jc w:val="left"/>
        <w:rPr>
          <w:rFonts w:ascii="Times New Roman" w:hAnsi="Times New Roman"/>
          <w:b/>
          <w:color w:val="auto"/>
          <w:szCs w:val="21"/>
          <w:highlight w:val="none"/>
        </w:rPr>
      </w:pPr>
    </w:p>
    <w:p w14:paraId="44D0ABC5">
      <w:pPr>
        <w:tabs>
          <w:tab w:val="left" w:pos="1305"/>
        </w:tabs>
        <w:spacing w:line="360" w:lineRule="auto"/>
        <w:ind w:firstLine="320" w:firstLineChars="100"/>
        <w:rPr>
          <w:rFonts w:ascii="Times New Roman" w:hAnsi="Times New Roman"/>
          <w:bCs/>
          <w:color w:val="auto"/>
          <w:sz w:val="32"/>
          <w:szCs w:val="32"/>
          <w:highlight w:val="none"/>
        </w:rPr>
        <w:sectPr>
          <w:pgSz w:w="11906" w:h="16838"/>
          <w:pgMar w:top="1020" w:right="1134" w:bottom="1440" w:left="1134" w:header="851" w:footer="992" w:gutter="0"/>
          <w:cols w:space="720" w:num="1"/>
          <w:titlePg/>
          <w:docGrid w:type="lines" w:linePitch="312" w:charSpace="0"/>
        </w:sectPr>
      </w:pPr>
    </w:p>
    <w:p w14:paraId="3F935EFB">
      <w:pPr>
        <w:widowControl/>
        <w:spacing w:before="0" w:line="600" w:lineRule="exact"/>
        <w:ind w:firstLine="0" w:firstLineChars="0"/>
        <w:jc w:val="left"/>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法定代表人授权委托书格式</w:t>
      </w:r>
    </w:p>
    <w:p w14:paraId="3AFF5295">
      <w:pPr>
        <w:widowControl/>
        <w:spacing w:before="0" w:line="600" w:lineRule="exact"/>
        <w:ind w:firstLine="480" w:firstLineChars="200"/>
        <w:jc w:val="left"/>
        <w:rPr>
          <w:rFonts w:hint="default" w:ascii="Times New Roman" w:hAnsi="Times New Roman" w:eastAsia="宋体" w:cs="Times New Roman"/>
          <w:b w:val="0"/>
          <w:color w:val="auto"/>
          <w:sz w:val="24"/>
          <w:highlight w:val="none"/>
        </w:rPr>
      </w:pPr>
    </w:p>
    <w:p w14:paraId="17F1C7FA">
      <w:pPr>
        <w:widowControl/>
        <w:spacing w:before="0" w:line="600" w:lineRule="exact"/>
        <w:ind w:firstLine="4216" w:firstLineChars="1500"/>
        <w:jc w:val="left"/>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授权委托书</w:t>
      </w:r>
    </w:p>
    <w:p w14:paraId="1BE41D49">
      <w:pPr>
        <w:widowControl/>
        <w:numPr>
          <w:ilvl w:val="0"/>
          <w:numId w:val="0"/>
        </w:numPr>
        <w:spacing w:before="0" w:line="600" w:lineRule="exact"/>
        <w:ind w:firstLine="3600" w:firstLineChars="15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（非联合体投标格式）</w:t>
      </w:r>
    </w:p>
    <w:p w14:paraId="0FA49A83">
      <w:pPr>
        <w:widowControl/>
        <w:numPr>
          <w:ilvl w:val="0"/>
          <w:numId w:val="0"/>
        </w:numPr>
        <w:spacing w:before="0" w:line="600" w:lineRule="exact"/>
        <w:ind w:firstLine="4080" w:firstLineChars="17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（如有委托时）</w:t>
      </w:r>
    </w:p>
    <w:p w14:paraId="5224579A">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致：（采购人/采购代理机构名称）</w:t>
      </w:r>
    </w:p>
    <w:p w14:paraId="68B8CA7F">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我 （姓名）系 （投标人名称）的法定代表人，现授权委托 （姓名）</w:t>
      </w:r>
      <w:r>
        <w:rPr>
          <w:rFonts w:hint="eastAsia" w:ascii="仿宋" w:hAnsi="仿宋" w:eastAsia="仿宋" w:cs="仿宋"/>
          <w:b w:val="0"/>
          <w:bCs/>
          <w:color w:val="auto"/>
          <w:sz w:val="24"/>
          <w:highlight w:val="none"/>
          <w:u w:val="none"/>
          <w:lang w:val="en-US" w:eastAsia="zh-CN"/>
        </w:rPr>
        <w:t xml:space="preserve">    </w:t>
      </w:r>
      <w:r>
        <w:rPr>
          <w:rFonts w:hint="eastAsia" w:ascii="仿宋" w:hAnsi="仿宋" w:eastAsia="仿宋" w:cs="仿宋"/>
          <w:b w:val="0"/>
          <w:bCs/>
          <w:color w:val="auto"/>
          <w:sz w:val="24"/>
          <w:highlight w:val="none"/>
        </w:rPr>
        <w:t>以我方的名义参加</w:t>
      </w:r>
      <w:r>
        <w:rPr>
          <w:rFonts w:hint="eastAsia" w:ascii="仿宋" w:hAnsi="仿宋" w:eastAsia="仿宋" w:cs="仿宋"/>
          <w:b w:val="0"/>
          <w:bCs/>
          <w:color w:val="auto"/>
          <w:sz w:val="24"/>
          <w:highlight w:val="none"/>
          <w:lang w:val="en-US" w:eastAsia="zh-CN"/>
        </w:rPr>
        <w:t xml:space="preserve">       </w:t>
      </w:r>
      <w:r>
        <w:rPr>
          <w:rFonts w:hint="eastAsia" w:ascii="仿宋" w:hAnsi="仿宋" w:eastAsia="仿宋" w:cs="仿宋"/>
          <w:b w:val="0"/>
          <w:bCs/>
          <w:color w:val="auto"/>
          <w:sz w:val="24"/>
          <w:highlight w:val="none"/>
        </w:rPr>
        <w:t>项目的投标活动，并代表我方全权办理针对上述项目的所有采购程序和环节的具体事务和签署相关文件。</w:t>
      </w:r>
    </w:p>
    <w:p w14:paraId="530682D8">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我方对委托代理人的签字或者盖章或者电子签名事项负全部责任。</w:t>
      </w:r>
    </w:p>
    <w:p w14:paraId="5D0CB31C">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本授权书自签署之日起生效，在撤销授权的书面通知以前，本授权书一直有效。委托代理人在授权书有效期内签署的所有文件不因授权的撤销而失效。</w:t>
      </w:r>
    </w:p>
    <w:p w14:paraId="6462A733">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委托代理人无转委托权，特此委托。</w:t>
      </w:r>
    </w:p>
    <w:p w14:paraId="4BCA01FF">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附：法定代表人身份证明及委托代理人有效身份证正反面复印件</w:t>
      </w:r>
    </w:p>
    <w:p w14:paraId="649F3550">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委托代理人（签字或者盖章或者电子签名）：</w:t>
      </w:r>
    </w:p>
    <w:p w14:paraId="2ED9F2EA">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委托代理人身份证号码：</w:t>
      </w:r>
    </w:p>
    <w:p w14:paraId="1F2D456E">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法定代表人（签字或者盖章或者电子签名）：</w:t>
      </w:r>
    </w:p>
    <w:p w14:paraId="531AFB65">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投标人名称（电子签章）：</w:t>
      </w:r>
    </w:p>
    <w:p w14:paraId="1EE1CA25">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日期： 年 月 日</w:t>
      </w:r>
    </w:p>
    <w:p w14:paraId="68CDCCA4">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注：</w:t>
      </w:r>
    </w:p>
    <w:p w14:paraId="65F9E0E1">
      <w:pPr>
        <w:widowControl/>
        <w:numPr>
          <w:ilvl w:val="0"/>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1.法定代表人必须在授权委托书上签字或者盖章或者电子签名，委托代理人必须在授权委托书上签字或者盖章或者电子签名；</w:t>
      </w:r>
    </w:p>
    <w:p w14:paraId="3F380BDF">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法人、其他组织投标时“我方”是指“我单位”，自然人投标时“我方”是指“本人”。</w:t>
      </w:r>
    </w:p>
    <w:p w14:paraId="5C5D3BB9">
      <w:pPr>
        <w:widowControl/>
        <w:numPr>
          <w:ilvl w:val="-1"/>
          <w:numId w:val="0"/>
        </w:numPr>
        <w:spacing w:before="0" w:line="600" w:lineRule="exact"/>
        <w:ind w:firstLine="3534" w:firstLineChars="1100"/>
        <w:jc w:val="left"/>
        <w:rPr>
          <w:rFonts w:hint="eastAsia" w:ascii="仿宋" w:hAnsi="仿宋" w:eastAsia="仿宋" w:cs="仿宋"/>
          <w:b/>
          <w:bCs w:val="0"/>
          <w:color w:val="auto"/>
          <w:sz w:val="24"/>
          <w:highlight w:val="none"/>
        </w:rPr>
      </w:pPr>
      <w:r>
        <w:rPr>
          <w:rFonts w:hint="eastAsia" w:ascii="仿宋" w:hAnsi="仿宋" w:eastAsia="仿宋" w:cs="仿宋"/>
          <w:b/>
          <w:bCs w:val="0"/>
          <w:color w:val="auto"/>
          <w:sz w:val="32"/>
          <w:szCs w:val="32"/>
          <w:highlight w:val="none"/>
        </w:rPr>
        <w:t>授权委托书</w:t>
      </w:r>
    </w:p>
    <w:p w14:paraId="1979DB28">
      <w:pPr>
        <w:widowControl/>
        <w:numPr>
          <w:ilvl w:val="-1"/>
          <w:numId w:val="0"/>
        </w:numPr>
        <w:spacing w:before="0" w:line="600" w:lineRule="exact"/>
        <w:ind w:firstLine="3360" w:firstLineChars="14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（联合体投标格式）</w:t>
      </w:r>
    </w:p>
    <w:p w14:paraId="261D124B">
      <w:pPr>
        <w:widowControl/>
        <w:numPr>
          <w:ilvl w:val="-1"/>
          <w:numId w:val="0"/>
        </w:numPr>
        <w:spacing w:before="0" w:line="600" w:lineRule="exact"/>
        <w:ind w:firstLine="3600" w:firstLineChars="15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（如有委托时）</w:t>
      </w:r>
    </w:p>
    <w:p w14:paraId="5A2C5161">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致：（采购人/采购代理机构名称）</w:t>
      </w:r>
    </w:p>
    <w:p w14:paraId="13FF7B76">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根据 </w:t>
      </w:r>
      <w:r>
        <w:rPr>
          <w:rFonts w:hint="eastAsia" w:ascii="仿宋" w:hAnsi="仿宋" w:eastAsia="仿宋" w:cs="仿宋"/>
          <w:b w:val="0"/>
          <w:bCs/>
          <w:color w:val="auto"/>
          <w:sz w:val="24"/>
          <w:highlight w:val="none"/>
          <w:u w:val="single"/>
        </w:rPr>
        <w:t>（牵头人名称）</w:t>
      </w:r>
      <w:r>
        <w:rPr>
          <w:rFonts w:hint="eastAsia" w:ascii="仿宋" w:hAnsi="仿宋" w:eastAsia="仿宋" w:cs="仿宋"/>
          <w:b w:val="0"/>
          <w:bCs/>
          <w:color w:val="auto"/>
          <w:sz w:val="24"/>
          <w:highlight w:val="none"/>
        </w:rPr>
        <w:t>与</w:t>
      </w:r>
      <w:r>
        <w:rPr>
          <w:rFonts w:hint="eastAsia" w:ascii="仿宋" w:hAnsi="仿宋" w:eastAsia="仿宋" w:cs="仿宋"/>
          <w:b w:val="0"/>
          <w:bCs/>
          <w:color w:val="auto"/>
          <w:sz w:val="24"/>
          <w:highlight w:val="none"/>
          <w:u w:val="single"/>
        </w:rPr>
        <w:t>（联合体其他成员名称）</w:t>
      </w:r>
      <w:r>
        <w:rPr>
          <w:rFonts w:hint="eastAsia" w:ascii="仿宋" w:hAnsi="仿宋" w:eastAsia="仿宋" w:cs="仿宋"/>
          <w:b w:val="0"/>
          <w:bCs/>
          <w:color w:val="auto"/>
          <w:sz w:val="24"/>
          <w:highlight w:val="none"/>
        </w:rPr>
        <w:t>签订的《联合体投标协议书》的内容，</w:t>
      </w:r>
      <w:r>
        <w:rPr>
          <w:rFonts w:hint="eastAsia" w:ascii="仿宋" w:hAnsi="仿宋" w:eastAsia="仿宋" w:cs="仿宋"/>
          <w:b w:val="0"/>
          <w:bCs/>
          <w:color w:val="auto"/>
          <w:sz w:val="24"/>
          <w:highlight w:val="none"/>
          <w:u w:val="single"/>
        </w:rPr>
        <w:t>（牵头人名称）</w:t>
      </w:r>
      <w:r>
        <w:rPr>
          <w:rFonts w:hint="eastAsia" w:ascii="仿宋" w:hAnsi="仿宋" w:eastAsia="仿宋" w:cs="仿宋"/>
          <w:b w:val="0"/>
          <w:bCs/>
          <w:color w:val="auto"/>
          <w:sz w:val="24"/>
          <w:highlight w:val="none"/>
        </w:rPr>
        <w:t>的法定代表人</w:t>
      </w:r>
      <w:r>
        <w:rPr>
          <w:rFonts w:hint="eastAsia" w:ascii="仿宋" w:hAnsi="仿宋" w:eastAsia="仿宋" w:cs="仿宋"/>
          <w:b w:val="0"/>
          <w:bCs/>
          <w:color w:val="auto"/>
          <w:sz w:val="24"/>
          <w:highlight w:val="none"/>
          <w:u w:val="single"/>
        </w:rPr>
        <w:t>（姓名）</w:t>
      </w:r>
      <w:r>
        <w:rPr>
          <w:rFonts w:hint="eastAsia" w:ascii="仿宋" w:hAnsi="仿宋" w:eastAsia="仿宋" w:cs="仿宋"/>
          <w:b w:val="0"/>
          <w:bCs/>
          <w:color w:val="auto"/>
          <w:sz w:val="24"/>
          <w:highlight w:val="none"/>
        </w:rPr>
        <w:t xml:space="preserve">现授权委托 </w:t>
      </w:r>
      <w:r>
        <w:rPr>
          <w:rFonts w:hint="eastAsia" w:ascii="仿宋" w:hAnsi="仿宋" w:eastAsia="仿宋" w:cs="仿宋"/>
          <w:b w:val="0"/>
          <w:bCs/>
          <w:color w:val="auto"/>
          <w:sz w:val="24"/>
          <w:highlight w:val="none"/>
          <w:u w:val="single"/>
        </w:rPr>
        <w:t>（姓名）</w:t>
      </w:r>
      <w:r>
        <w:rPr>
          <w:rFonts w:hint="eastAsia" w:ascii="仿宋" w:hAnsi="仿宋" w:eastAsia="仿宋" w:cs="仿宋"/>
          <w:b w:val="0"/>
          <w:bCs/>
          <w:color w:val="auto"/>
          <w:sz w:val="24"/>
          <w:highlight w:val="none"/>
        </w:rPr>
        <w:t>以我方的名义参加</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color w:val="auto"/>
          <w:sz w:val="24"/>
          <w:highlight w:val="none"/>
        </w:rPr>
        <w:t>项目的投标活动，并代表我方全权办理针对上述项目的所有采购程序和环节的具体事务和签署相关文件。</w:t>
      </w:r>
    </w:p>
    <w:p w14:paraId="113F3309">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我方对委托代理人的签字或者盖章或者电子签名事项负全部责任。</w:t>
      </w:r>
    </w:p>
    <w:p w14:paraId="5644AE16">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本授权书自签署之日起生效，在撤销授权的书面通知以前，本授权书一直有效。委托</w:t>
      </w:r>
    </w:p>
    <w:p w14:paraId="73CAC756">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代理人在授权书有效期内签署的所有文件不因授权的撤销而失效。</w:t>
      </w:r>
    </w:p>
    <w:p w14:paraId="5F7F1CE6">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委托代理人无转委托权，特此委托。</w:t>
      </w:r>
    </w:p>
    <w:p w14:paraId="32AB8FAC">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附：牵头人法定代表人身份证明及委托代理人有效身份证正反面复印件</w:t>
      </w:r>
    </w:p>
    <w:p w14:paraId="69F7657D">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牵头人法定代表人（签字或者盖章或者电子签名）：</w:t>
      </w:r>
    </w:p>
    <w:p w14:paraId="25F706AB">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牵头人（公章或者电子签章）：</w:t>
      </w:r>
    </w:p>
    <w:p w14:paraId="14DC6A59">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日期： 年 月 日</w:t>
      </w:r>
    </w:p>
    <w:p w14:paraId="181A7F7B">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被授权人（签字或者盖章或者电子签名）：</w:t>
      </w:r>
    </w:p>
    <w:p w14:paraId="19E6F6A3">
      <w:pPr>
        <w:widowControl/>
        <w:numPr>
          <w:ilvl w:val="-1"/>
          <w:numId w:val="0"/>
        </w:numPr>
        <w:spacing w:before="0" w:line="600" w:lineRule="exact"/>
        <w:ind w:firstLine="720" w:firstLineChars="30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日期： 年 月 日</w:t>
      </w:r>
    </w:p>
    <w:p w14:paraId="20B08670">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注：1.法定代表人必须在授权委托书上签字或者盖章或者电子签名，委托代理人必须在授权</w:t>
      </w:r>
    </w:p>
    <w:p w14:paraId="64E88AD9">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委托书上签字或者盖章或者电子签名；</w:t>
      </w:r>
    </w:p>
    <w:p w14:paraId="7DA7DF61">
      <w:pPr>
        <w:widowControl/>
        <w:numPr>
          <w:ilvl w:val="-1"/>
          <w:numId w:val="0"/>
        </w:numPr>
        <w:spacing w:before="0" w:line="600" w:lineRule="exact"/>
        <w:ind w:firstLine="0" w:firstLineChars="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2.法人、其他组织投标时“我方”是指“我单位”，自然人投标时“我方”是指“本人”。</w:t>
      </w:r>
    </w:p>
    <w:p w14:paraId="45BD1A33">
      <w:pPr>
        <w:widowControl/>
        <w:numPr>
          <w:ilvl w:val="0"/>
          <w:numId w:val="8"/>
        </w:numPr>
        <w:spacing w:before="0" w:line="600" w:lineRule="exact"/>
        <w:ind w:firstLine="482" w:firstLineChars="200"/>
        <w:jc w:val="lef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p>
    <w:p w14:paraId="76A7B270">
      <w:pPr>
        <w:widowControl/>
        <w:spacing w:before="120"/>
        <w:jc w:val="left"/>
        <w:rPr>
          <w:rFonts w:hint="eastAsia" w:ascii="仿宋" w:hAnsi="仿宋" w:eastAsia="仿宋" w:cs="仿宋"/>
          <w:b/>
          <w:color w:val="auto"/>
          <w:sz w:val="24"/>
          <w:highlight w:val="none"/>
        </w:rPr>
      </w:pPr>
    </w:p>
    <w:p w14:paraId="4FECDA47">
      <w:pPr>
        <w:snapToGrid w:val="0"/>
        <w:spacing w:before="120" w:beforeLines="50" w:after="50" w:line="360" w:lineRule="auto"/>
        <w:jc w:val="center"/>
        <w:rPr>
          <w:rFonts w:ascii="Times New Roman" w:hAnsi="Times New Roman"/>
          <w:b/>
          <w:color w:val="auto"/>
          <w:sz w:val="32"/>
          <w:szCs w:val="32"/>
          <w:highlight w:val="none"/>
        </w:rPr>
      </w:pPr>
      <w:r>
        <w:rPr>
          <w:rFonts w:ascii="Times New Roman" w:hAnsi="Times New Roman"/>
          <w:b/>
          <w:color w:val="auto"/>
          <w:sz w:val="32"/>
          <w:szCs w:val="32"/>
          <w:highlight w:val="none"/>
        </w:rPr>
        <w:t>桂平市政府采购项目投标资格承诺函（格式）</w:t>
      </w:r>
    </w:p>
    <w:p w14:paraId="47A5E00C">
      <w:pPr>
        <w:pStyle w:val="5"/>
        <w:rPr>
          <w:color w:val="auto"/>
          <w:highlight w:val="none"/>
        </w:rPr>
      </w:pPr>
    </w:p>
    <w:p w14:paraId="494223A1">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本公司郑重承诺，根据《中华人民共和国政府采购法》第二十二条的规定，本公司为参加政府采购活动的合格</w:t>
      </w:r>
      <w:r>
        <w:rPr>
          <w:rFonts w:hint="eastAsia" w:ascii="Times New Roman" w:hAnsi="Times New Roman"/>
          <w:color w:val="auto"/>
          <w:sz w:val="24"/>
          <w:highlight w:val="none"/>
        </w:rPr>
        <w:t>投标人</w:t>
      </w:r>
      <w:r>
        <w:rPr>
          <w:rFonts w:ascii="Times New Roman" w:hAnsi="Times New Roman"/>
          <w:color w:val="auto"/>
          <w:sz w:val="24"/>
          <w:highlight w:val="none"/>
        </w:rPr>
        <w:t>。即本公司同时满足以下条件：</w:t>
      </w:r>
    </w:p>
    <w:p w14:paraId="50DCBA32">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1.具有独立承担民事责任的能力。</w:t>
      </w:r>
    </w:p>
    <w:p w14:paraId="79D942AC">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2.具有良好的商业信誉和健全的财务会计制度。</w:t>
      </w:r>
    </w:p>
    <w:p w14:paraId="3AA56C5C">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3.具有履行合同所必需的设备和专业技术能力。</w:t>
      </w:r>
    </w:p>
    <w:p w14:paraId="19FD846E">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4.有依法缴纳税收和社会保障资金的良好记录。</w:t>
      </w:r>
    </w:p>
    <w:p w14:paraId="2048CFF9">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5.提交投标文件截止日期前三年内，在经营活动中没有重大违法记录。</w:t>
      </w:r>
    </w:p>
    <w:p w14:paraId="415EE581">
      <w:pPr>
        <w:spacing w:line="6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697A5185">
      <w:pPr>
        <w:pStyle w:val="9"/>
        <w:rPr>
          <w:rFonts w:ascii="Times New Roman" w:hAnsi="Times New Roman" w:eastAsia="宋体"/>
          <w:color w:val="auto"/>
          <w:highlight w:val="none"/>
        </w:rPr>
      </w:pPr>
    </w:p>
    <w:p w14:paraId="533B40B8">
      <w:pPr>
        <w:spacing w:line="600" w:lineRule="exact"/>
        <w:ind w:firstLine="5280" w:firstLineChars="2200"/>
        <w:jc w:val="left"/>
        <w:rPr>
          <w:rFonts w:ascii="Times New Roman" w:hAnsi="Times New Roman"/>
          <w:color w:val="auto"/>
          <w:sz w:val="24"/>
          <w:highlight w:val="none"/>
        </w:rPr>
      </w:pPr>
      <w:r>
        <w:rPr>
          <w:rFonts w:ascii="Times New Roman" w:hAnsi="Times New Roman"/>
          <w:color w:val="auto"/>
          <w:sz w:val="24"/>
          <w:highlight w:val="none"/>
        </w:rPr>
        <w:t>企业名称（</w:t>
      </w:r>
      <w:r>
        <w:rPr>
          <w:rFonts w:hint="eastAsia" w:ascii="Times New Roman" w:hAnsi="Times New Roman"/>
          <w:color w:val="auto"/>
          <w:sz w:val="24"/>
          <w:highlight w:val="none"/>
        </w:rPr>
        <w:t>电子</w:t>
      </w:r>
      <w:r>
        <w:rPr>
          <w:rFonts w:ascii="Times New Roman" w:hAnsi="Times New Roman"/>
          <w:color w:val="auto"/>
          <w:sz w:val="24"/>
          <w:highlight w:val="none"/>
        </w:rPr>
        <w:t>公章）：</w:t>
      </w:r>
    </w:p>
    <w:p w14:paraId="0C1EE73B">
      <w:pPr>
        <w:spacing w:line="600" w:lineRule="exact"/>
        <w:ind w:firstLine="3840" w:firstLineChars="1600"/>
        <w:jc w:val="left"/>
        <w:rPr>
          <w:rFonts w:ascii="Times New Roman" w:hAnsi="Times New Roman"/>
          <w:color w:val="auto"/>
          <w:sz w:val="24"/>
          <w:highlight w:val="none"/>
        </w:rPr>
      </w:pPr>
      <w:r>
        <w:rPr>
          <w:rFonts w:ascii="Times New Roman" w:hAnsi="Times New Roman"/>
          <w:color w:val="auto"/>
          <w:sz w:val="24"/>
          <w:highlight w:val="none"/>
        </w:rPr>
        <w:t>法定代表人</w:t>
      </w:r>
      <w:r>
        <w:rPr>
          <w:rFonts w:hint="eastAsia" w:ascii="Times New Roman" w:hAnsi="Times New Roman"/>
          <w:color w:val="auto"/>
          <w:sz w:val="24"/>
          <w:highlight w:val="none"/>
        </w:rPr>
        <w:t>（负责人）</w:t>
      </w:r>
      <w:r>
        <w:rPr>
          <w:rFonts w:ascii="Times New Roman" w:hAnsi="Times New Roman"/>
          <w:color w:val="auto"/>
          <w:sz w:val="24"/>
          <w:highlight w:val="none"/>
        </w:rPr>
        <w:t>（</w:t>
      </w:r>
      <w:r>
        <w:rPr>
          <w:rFonts w:hint="eastAsia" w:ascii="宋体" w:hAnsi="宋体"/>
          <w:color w:val="auto"/>
          <w:sz w:val="24"/>
          <w:highlight w:val="none"/>
        </w:rPr>
        <w:t>签字或电子签名</w:t>
      </w:r>
      <w:r>
        <w:rPr>
          <w:rFonts w:ascii="Times New Roman" w:hAnsi="Times New Roman"/>
          <w:color w:val="auto"/>
          <w:sz w:val="24"/>
          <w:highlight w:val="none"/>
        </w:rPr>
        <w:t>）：</w:t>
      </w:r>
    </w:p>
    <w:p w14:paraId="47EEEDB8">
      <w:pPr>
        <w:spacing w:line="600" w:lineRule="exact"/>
        <w:ind w:firstLine="5520" w:firstLineChars="2300"/>
        <w:jc w:val="left"/>
        <w:rPr>
          <w:rFonts w:ascii="Times New Roman" w:hAnsi="Times New Roman"/>
          <w:color w:val="auto"/>
          <w:sz w:val="24"/>
          <w:highlight w:val="none"/>
        </w:rPr>
      </w:pPr>
      <w:r>
        <w:rPr>
          <w:rFonts w:ascii="Times New Roman" w:hAnsi="Times New Roman"/>
          <w:color w:val="auto"/>
          <w:sz w:val="24"/>
          <w:highlight w:val="none"/>
        </w:rPr>
        <w:t>日期： 年 月 日</w:t>
      </w:r>
    </w:p>
    <w:p w14:paraId="4797EA98">
      <w:pPr>
        <w:snapToGrid w:val="0"/>
        <w:spacing w:before="120" w:beforeLines="50" w:line="420" w:lineRule="exact"/>
        <w:rPr>
          <w:rFonts w:ascii="Times New Roman" w:hAnsi="Times New Roman"/>
          <w:b/>
          <w:color w:val="auto"/>
          <w:szCs w:val="21"/>
          <w:highlight w:val="none"/>
        </w:rPr>
      </w:pPr>
    </w:p>
    <w:p w14:paraId="40ADA4DF">
      <w:pPr>
        <w:spacing w:line="380" w:lineRule="exact"/>
        <w:rPr>
          <w:rFonts w:ascii="Times New Roman" w:hAnsi="Times New Roman"/>
          <w:color w:val="auto"/>
          <w:sz w:val="32"/>
          <w:szCs w:val="32"/>
          <w:highlight w:val="none"/>
        </w:rPr>
      </w:pPr>
    </w:p>
    <w:p w14:paraId="497654CC">
      <w:pPr>
        <w:spacing w:line="380" w:lineRule="exact"/>
        <w:rPr>
          <w:rFonts w:ascii="Times New Roman" w:hAnsi="Times New Roman"/>
          <w:color w:val="auto"/>
          <w:sz w:val="32"/>
          <w:szCs w:val="32"/>
          <w:highlight w:val="none"/>
        </w:rPr>
      </w:pPr>
    </w:p>
    <w:p w14:paraId="7CC04FEC">
      <w:pPr>
        <w:spacing w:line="380" w:lineRule="exact"/>
        <w:rPr>
          <w:rFonts w:ascii="Times New Roman" w:hAnsi="Times New Roman"/>
          <w:color w:val="auto"/>
          <w:sz w:val="32"/>
          <w:szCs w:val="32"/>
          <w:highlight w:val="none"/>
        </w:rPr>
      </w:pPr>
    </w:p>
    <w:p w14:paraId="1F7BD73D">
      <w:pPr>
        <w:spacing w:line="380" w:lineRule="exact"/>
        <w:rPr>
          <w:rFonts w:ascii="Times New Roman" w:hAnsi="Times New Roman"/>
          <w:color w:val="auto"/>
          <w:sz w:val="32"/>
          <w:szCs w:val="32"/>
          <w:highlight w:val="none"/>
        </w:rPr>
      </w:pPr>
    </w:p>
    <w:p w14:paraId="53234A0D">
      <w:pPr>
        <w:spacing w:line="380" w:lineRule="exact"/>
        <w:rPr>
          <w:rFonts w:ascii="Times New Roman" w:hAnsi="Times New Roman"/>
          <w:color w:val="auto"/>
          <w:sz w:val="24"/>
          <w:szCs w:val="24"/>
          <w:highlight w:val="none"/>
        </w:rPr>
      </w:pPr>
      <w:r>
        <w:rPr>
          <w:rFonts w:hint="eastAsia" w:ascii="Times New Roman" w:hAnsi="Times New Roman" w:eastAsia="宋体"/>
          <w:bCs/>
          <w:color w:val="auto"/>
          <w:sz w:val="24"/>
          <w:highlight w:val="none"/>
          <w:lang w:val="en-US" w:eastAsia="zh-CN"/>
        </w:rPr>
        <w:t>注：</w:t>
      </w:r>
      <w:r>
        <w:rPr>
          <w:rFonts w:hint="eastAsia" w:ascii="仿宋" w:hAnsi="仿宋" w:eastAsia="仿宋" w:cs="仿宋_GB2312"/>
          <w:color w:val="auto"/>
          <w:sz w:val="24"/>
          <w:szCs w:val="24"/>
          <w:highlight w:val="none"/>
        </w:rPr>
        <w:t>以联合体形式投标的，本</w:t>
      </w:r>
      <w:r>
        <w:rPr>
          <w:rFonts w:hint="eastAsia" w:ascii="仿宋" w:hAnsi="仿宋" w:eastAsia="仿宋" w:cs="仿宋_GB2312"/>
          <w:color w:val="auto"/>
          <w:sz w:val="24"/>
          <w:szCs w:val="24"/>
          <w:highlight w:val="none"/>
          <w:lang w:eastAsia="zh-CN"/>
        </w:rPr>
        <w:t>承诺函</w:t>
      </w:r>
      <w:r>
        <w:rPr>
          <w:rFonts w:hint="eastAsia" w:ascii="仿宋" w:hAnsi="仿宋" w:eastAsia="仿宋" w:cs="仿宋_GB2312"/>
          <w:color w:val="auto"/>
          <w:sz w:val="24"/>
          <w:szCs w:val="24"/>
          <w:highlight w:val="none"/>
        </w:rPr>
        <w:t>应由联合体</w:t>
      </w:r>
      <w:r>
        <w:rPr>
          <w:rFonts w:hint="eastAsia" w:ascii="仿宋" w:hAnsi="仿宋" w:eastAsia="仿宋" w:cs="仿宋_GB2312"/>
          <w:color w:val="auto"/>
          <w:sz w:val="24"/>
          <w:szCs w:val="24"/>
          <w:highlight w:val="none"/>
          <w:lang w:eastAsia="zh-CN"/>
        </w:rPr>
        <w:t>成员、</w:t>
      </w:r>
      <w:r>
        <w:rPr>
          <w:rFonts w:hint="eastAsia" w:ascii="仿宋" w:hAnsi="仿宋" w:eastAsia="仿宋" w:cs="仿宋_GB2312"/>
          <w:color w:val="auto"/>
          <w:sz w:val="24"/>
          <w:szCs w:val="24"/>
          <w:highlight w:val="none"/>
        </w:rPr>
        <w:t>法定代表人按上述规定签</w:t>
      </w:r>
      <w:r>
        <w:rPr>
          <w:rFonts w:hint="eastAsia" w:ascii="仿宋" w:hAnsi="仿宋" w:eastAsia="仿宋" w:cs="仿宋_GB2312"/>
          <w:color w:val="auto"/>
          <w:sz w:val="24"/>
          <w:szCs w:val="24"/>
          <w:highlight w:val="none"/>
          <w:lang w:eastAsia="zh-CN"/>
        </w:rPr>
        <w:t>字或盖章</w:t>
      </w:r>
      <w:r>
        <w:rPr>
          <w:rFonts w:hint="eastAsia" w:ascii="仿宋" w:hAnsi="仿宋" w:eastAsia="仿宋" w:cs="仿宋_GB2312"/>
          <w:color w:val="auto"/>
          <w:sz w:val="24"/>
          <w:szCs w:val="24"/>
          <w:highlight w:val="none"/>
        </w:rPr>
        <w:t>。</w:t>
      </w:r>
    </w:p>
    <w:p w14:paraId="6D3936D0">
      <w:pPr>
        <w:spacing w:line="380" w:lineRule="exact"/>
        <w:rPr>
          <w:rFonts w:ascii="Times New Roman" w:hAnsi="Times New Roman"/>
          <w:color w:val="auto"/>
          <w:sz w:val="32"/>
          <w:szCs w:val="32"/>
          <w:highlight w:val="none"/>
        </w:rPr>
      </w:pPr>
    </w:p>
    <w:p w14:paraId="3304F901">
      <w:pPr>
        <w:spacing w:line="380" w:lineRule="exact"/>
        <w:rPr>
          <w:rFonts w:ascii="Times New Roman" w:hAnsi="Times New Roman"/>
          <w:color w:val="auto"/>
          <w:sz w:val="32"/>
          <w:szCs w:val="32"/>
          <w:highlight w:val="none"/>
        </w:rPr>
      </w:pPr>
    </w:p>
    <w:p w14:paraId="7BD435FB">
      <w:pPr>
        <w:spacing w:line="380" w:lineRule="exact"/>
        <w:rPr>
          <w:rFonts w:ascii="Times New Roman" w:hAnsi="Times New Roman"/>
          <w:color w:val="auto"/>
          <w:sz w:val="32"/>
          <w:szCs w:val="32"/>
          <w:highlight w:val="none"/>
        </w:rPr>
      </w:pPr>
    </w:p>
    <w:p w14:paraId="36ABF06D">
      <w:pPr>
        <w:snapToGrid w:val="0"/>
        <w:spacing w:before="120" w:beforeLines="50" w:after="50"/>
        <w:rPr>
          <w:rFonts w:ascii="Times New Roman" w:hAnsi="Times New Roman"/>
          <w:b/>
          <w:color w:val="auto"/>
          <w:sz w:val="28"/>
          <w:szCs w:val="28"/>
          <w:highlight w:val="none"/>
        </w:rPr>
      </w:pPr>
    </w:p>
    <w:p w14:paraId="369A55DA">
      <w:pPr>
        <w:snapToGrid w:val="0"/>
        <w:spacing w:before="120" w:beforeLines="50" w:after="50" w:line="360" w:lineRule="auto"/>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投标人</w:t>
      </w:r>
      <w:r>
        <w:rPr>
          <w:rFonts w:ascii="Times New Roman" w:hAnsi="Times New Roman"/>
          <w:b/>
          <w:color w:val="auto"/>
          <w:sz w:val="32"/>
          <w:szCs w:val="32"/>
          <w:highlight w:val="none"/>
        </w:rPr>
        <w:t>参加本项目无围标串标行为的承诺函（格式）</w:t>
      </w:r>
    </w:p>
    <w:p w14:paraId="035CE1C4">
      <w:pPr>
        <w:snapToGrid w:val="0"/>
        <w:spacing w:before="120" w:beforeLines="50" w:after="50"/>
        <w:ind w:left="420"/>
        <w:jc w:val="center"/>
        <w:rPr>
          <w:rFonts w:ascii="Times New Roman" w:hAnsi="Times New Roman"/>
          <w:b/>
          <w:color w:val="auto"/>
          <w:sz w:val="24"/>
          <w:highlight w:val="none"/>
        </w:rPr>
      </w:pPr>
    </w:p>
    <w:p w14:paraId="08F82283">
      <w:pPr>
        <w:snapToGrid w:val="0"/>
        <w:spacing w:before="120" w:beforeLines="50" w:after="50"/>
        <w:ind w:left="420"/>
        <w:jc w:val="center"/>
        <w:rPr>
          <w:rFonts w:ascii="Times New Roman" w:hAnsi="Times New Roman"/>
          <w:b/>
          <w:color w:val="auto"/>
          <w:sz w:val="24"/>
          <w:highlight w:val="none"/>
        </w:rPr>
      </w:pPr>
    </w:p>
    <w:p w14:paraId="67FA088E">
      <w:pPr>
        <w:snapToGrid w:val="0"/>
        <w:spacing w:before="120" w:beforeLines="50" w:after="50"/>
        <w:jc w:val="left"/>
        <w:rPr>
          <w:rFonts w:ascii="Times New Roman" w:hAnsi="Times New Roman"/>
          <w:b/>
          <w:color w:val="auto"/>
          <w:sz w:val="24"/>
          <w:highlight w:val="none"/>
        </w:rPr>
      </w:pPr>
      <w:r>
        <w:rPr>
          <w:rFonts w:ascii="Times New Roman" w:hAnsi="Times New Roman"/>
          <w:b/>
          <w:color w:val="auto"/>
          <w:sz w:val="24"/>
          <w:highlight w:val="none"/>
        </w:rPr>
        <w:t>一、我公司承诺无下列相互串通投标的情形：</w:t>
      </w:r>
    </w:p>
    <w:p w14:paraId="3CFCC18D">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1.不同投标人的投标文件由同一单位或者个人编制；或不同投标人报名的IP地址一致的；</w:t>
      </w:r>
    </w:p>
    <w:p w14:paraId="01567C09">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2.不同投标人委托同一单位或者个人办理投标事宜；</w:t>
      </w:r>
    </w:p>
    <w:p w14:paraId="525ADEED">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3.不同的投标人的投标文件载明的项目管理员为同一个人；</w:t>
      </w:r>
    </w:p>
    <w:p w14:paraId="53B37B4D">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4.不同投标人的投标文件异常一致或投标报价呈规律性差异；</w:t>
      </w:r>
    </w:p>
    <w:p w14:paraId="3E50536A">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5.不同投标人的投标文件相互混装；</w:t>
      </w:r>
    </w:p>
    <w:p w14:paraId="32164FB6">
      <w:pPr>
        <w:snapToGrid w:val="0"/>
        <w:spacing w:before="120" w:beforeLines="50" w:after="50"/>
        <w:jc w:val="left"/>
        <w:rPr>
          <w:rFonts w:ascii="Times New Roman" w:hAnsi="Times New Roman"/>
          <w:color w:val="auto"/>
          <w:sz w:val="24"/>
          <w:highlight w:val="none"/>
        </w:rPr>
      </w:pPr>
      <w:r>
        <w:rPr>
          <w:rFonts w:ascii="Times New Roman" w:hAnsi="Times New Roman"/>
          <w:b/>
          <w:color w:val="auto"/>
          <w:sz w:val="24"/>
          <w:highlight w:val="none"/>
        </w:rPr>
        <w:t>二、我公司承诺无下列恶意串通的情形：</w:t>
      </w:r>
    </w:p>
    <w:p w14:paraId="3B20A2C3">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1.</w:t>
      </w:r>
      <w:r>
        <w:rPr>
          <w:rFonts w:hint="eastAsia" w:ascii="Times New Roman" w:hAnsi="Times New Roman"/>
          <w:color w:val="auto"/>
          <w:sz w:val="24"/>
          <w:highlight w:val="none"/>
        </w:rPr>
        <w:t>投标人</w:t>
      </w:r>
      <w:r>
        <w:rPr>
          <w:rFonts w:ascii="Times New Roman" w:hAnsi="Times New Roman"/>
          <w:color w:val="auto"/>
          <w:sz w:val="24"/>
          <w:highlight w:val="none"/>
        </w:rPr>
        <w:t>直接或者间接从招标人或者采购代理机构处获得其他</w:t>
      </w:r>
      <w:r>
        <w:rPr>
          <w:rFonts w:hint="eastAsia" w:ascii="Times New Roman" w:hAnsi="Times New Roman"/>
          <w:color w:val="auto"/>
          <w:sz w:val="24"/>
          <w:highlight w:val="none"/>
        </w:rPr>
        <w:t>投标人</w:t>
      </w:r>
      <w:r>
        <w:rPr>
          <w:rFonts w:ascii="Times New Roman" w:hAnsi="Times New Roman"/>
          <w:color w:val="auto"/>
          <w:sz w:val="24"/>
          <w:highlight w:val="none"/>
        </w:rPr>
        <w:t>的相关信息并修改其投标文件或者投标文件；</w:t>
      </w:r>
    </w:p>
    <w:p w14:paraId="4F2FC65D">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2.</w:t>
      </w:r>
      <w:r>
        <w:rPr>
          <w:rFonts w:hint="eastAsia" w:ascii="Times New Roman" w:hAnsi="Times New Roman"/>
          <w:color w:val="auto"/>
          <w:sz w:val="24"/>
          <w:highlight w:val="none"/>
        </w:rPr>
        <w:t>投标人</w:t>
      </w:r>
      <w:r>
        <w:rPr>
          <w:rFonts w:ascii="Times New Roman" w:hAnsi="Times New Roman"/>
          <w:color w:val="auto"/>
          <w:sz w:val="24"/>
          <w:highlight w:val="none"/>
        </w:rPr>
        <w:t>按照招标人或者采购代理机构的授意撤换、修改投标文件或者投标文件；</w:t>
      </w:r>
    </w:p>
    <w:p w14:paraId="3826B749">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3.</w:t>
      </w:r>
      <w:r>
        <w:rPr>
          <w:rFonts w:hint="eastAsia" w:ascii="Times New Roman" w:hAnsi="Times New Roman"/>
          <w:color w:val="auto"/>
          <w:sz w:val="24"/>
          <w:highlight w:val="none"/>
        </w:rPr>
        <w:t>投标人</w:t>
      </w:r>
      <w:r>
        <w:rPr>
          <w:rFonts w:ascii="Times New Roman" w:hAnsi="Times New Roman"/>
          <w:color w:val="auto"/>
          <w:sz w:val="24"/>
          <w:highlight w:val="none"/>
        </w:rPr>
        <w:t>之间协商报价、技术方案等投标文件或者投标文件的实质性内容；</w:t>
      </w:r>
    </w:p>
    <w:p w14:paraId="4DF08479">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4.属于同一集团、协会、商会等组织成员的</w:t>
      </w:r>
      <w:r>
        <w:rPr>
          <w:rFonts w:hint="eastAsia" w:ascii="Times New Roman" w:hAnsi="Times New Roman"/>
          <w:color w:val="auto"/>
          <w:sz w:val="24"/>
          <w:highlight w:val="none"/>
        </w:rPr>
        <w:t>投标人</w:t>
      </w:r>
      <w:r>
        <w:rPr>
          <w:rFonts w:ascii="Times New Roman" w:hAnsi="Times New Roman"/>
          <w:color w:val="auto"/>
          <w:sz w:val="24"/>
          <w:highlight w:val="none"/>
        </w:rPr>
        <w:t>按照该组织要求协同参加政府采购活动；</w:t>
      </w:r>
    </w:p>
    <w:p w14:paraId="3244CAD7">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5.</w:t>
      </w:r>
      <w:r>
        <w:rPr>
          <w:rFonts w:hint="eastAsia" w:ascii="Times New Roman" w:hAnsi="Times New Roman"/>
          <w:color w:val="auto"/>
          <w:sz w:val="24"/>
          <w:highlight w:val="none"/>
        </w:rPr>
        <w:t>投标人</w:t>
      </w:r>
      <w:r>
        <w:rPr>
          <w:rFonts w:ascii="Times New Roman" w:hAnsi="Times New Roman"/>
          <w:color w:val="auto"/>
          <w:sz w:val="24"/>
          <w:highlight w:val="none"/>
        </w:rPr>
        <w:t>之间事先约定一致抬高或者压低投标报价,或者在招标项目中事先约定轮流以高价位或者低价位中标,或者事先约定由某一特定</w:t>
      </w:r>
      <w:r>
        <w:rPr>
          <w:rFonts w:hint="eastAsia" w:ascii="Times New Roman" w:hAnsi="Times New Roman"/>
          <w:color w:val="auto"/>
          <w:sz w:val="24"/>
          <w:highlight w:val="none"/>
        </w:rPr>
        <w:t>投标人</w:t>
      </w:r>
      <w:r>
        <w:rPr>
          <w:rFonts w:ascii="Times New Roman" w:hAnsi="Times New Roman"/>
          <w:color w:val="auto"/>
          <w:sz w:val="24"/>
          <w:highlight w:val="none"/>
        </w:rPr>
        <w:t>中标,然后再参加投标；</w:t>
      </w:r>
    </w:p>
    <w:p w14:paraId="6356B658">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6.</w:t>
      </w:r>
      <w:r>
        <w:rPr>
          <w:rFonts w:hint="eastAsia" w:ascii="Times New Roman" w:hAnsi="Times New Roman"/>
          <w:color w:val="auto"/>
          <w:sz w:val="24"/>
          <w:highlight w:val="none"/>
        </w:rPr>
        <w:t>投标人</w:t>
      </w:r>
      <w:r>
        <w:rPr>
          <w:rFonts w:ascii="Times New Roman" w:hAnsi="Times New Roman"/>
          <w:color w:val="auto"/>
          <w:sz w:val="24"/>
          <w:highlight w:val="none"/>
        </w:rPr>
        <w:t>之间商定部分</w:t>
      </w:r>
      <w:r>
        <w:rPr>
          <w:rFonts w:hint="eastAsia" w:ascii="Times New Roman" w:hAnsi="Times New Roman"/>
          <w:color w:val="auto"/>
          <w:sz w:val="24"/>
          <w:highlight w:val="none"/>
        </w:rPr>
        <w:t>投标人</w:t>
      </w:r>
      <w:r>
        <w:rPr>
          <w:rFonts w:ascii="Times New Roman" w:hAnsi="Times New Roman"/>
          <w:color w:val="auto"/>
          <w:sz w:val="24"/>
          <w:highlight w:val="none"/>
        </w:rPr>
        <w:t>放弃参加政府采购活动或者放弃中标；</w:t>
      </w:r>
    </w:p>
    <w:p w14:paraId="5EA714C3">
      <w:pPr>
        <w:snapToGrid w:val="0"/>
        <w:spacing w:before="120" w:beforeLines="50" w:after="50"/>
        <w:ind w:firstLine="470" w:firstLineChars="196"/>
        <w:jc w:val="left"/>
        <w:rPr>
          <w:rFonts w:ascii="Times New Roman" w:hAnsi="Times New Roman"/>
          <w:color w:val="auto"/>
          <w:sz w:val="24"/>
          <w:highlight w:val="none"/>
        </w:rPr>
      </w:pPr>
      <w:r>
        <w:rPr>
          <w:rFonts w:ascii="Times New Roman" w:hAnsi="Times New Roman"/>
          <w:color w:val="auto"/>
          <w:sz w:val="24"/>
          <w:highlight w:val="none"/>
        </w:rPr>
        <w:t>7.</w:t>
      </w:r>
      <w:r>
        <w:rPr>
          <w:rFonts w:hint="eastAsia" w:ascii="Times New Roman" w:hAnsi="Times New Roman"/>
          <w:color w:val="auto"/>
          <w:sz w:val="24"/>
          <w:highlight w:val="none"/>
        </w:rPr>
        <w:t>投标人</w:t>
      </w:r>
      <w:r>
        <w:rPr>
          <w:rFonts w:ascii="Times New Roman" w:hAnsi="Times New Roman"/>
          <w:color w:val="auto"/>
          <w:sz w:val="24"/>
          <w:highlight w:val="none"/>
        </w:rPr>
        <w:t>与招标人或者采购代理机构之间、</w:t>
      </w:r>
      <w:r>
        <w:rPr>
          <w:rFonts w:hint="eastAsia" w:ascii="Times New Roman" w:hAnsi="Times New Roman"/>
          <w:color w:val="auto"/>
          <w:sz w:val="24"/>
          <w:highlight w:val="none"/>
        </w:rPr>
        <w:t>投标人</w:t>
      </w:r>
      <w:r>
        <w:rPr>
          <w:rFonts w:ascii="Times New Roman" w:hAnsi="Times New Roman"/>
          <w:color w:val="auto"/>
          <w:sz w:val="24"/>
          <w:highlight w:val="none"/>
        </w:rPr>
        <w:t>相互之间，为谋求特定</w:t>
      </w:r>
      <w:r>
        <w:rPr>
          <w:rFonts w:hint="eastAsia" w:ascii="Times New Roman" w:hAnsi="Times New Roman"/>
          <w:color w:val="auto"/>
          <w:sz w:val="24"/>
          <w:highlight w:val="none"/>
        </w:rPr>
        <w:t>投标人</w:t>
      </w:r>
      <w:r>
        <w:rPr>
          <w:rFonts w:ascii="Times New Roman" w:hAnsi="Times New Roman"/>
          <w:color w:val="auto"/>
          <w:sz w:val="24"/>
          <w:highlight w:val="none"/>
        </w:rPr>
        <w:t>中标或者排斥其他</w:t>
      </w:r>
      <w:r>
        <w:rPr>
          <w:rFonts w:hint="eastAsia" w:ascii="Times New Roman" w:hAnsi="Times New Roman"/>
          <w:color w:val="auto"/>
          <w:sz w:val="24"/>
          <w:highlight w:val="none"/>
        </w:rPr>
        <w:t>投标人</w:t>
      </w:r>
      <w:r>
        <w:rPr>
          <w:rFonts w:ascii="Times New Roman" w:hAnsi="Times New Roman"/>
          <w:color w:val="auto"/>
          <w:sz w:val="24"/>
          <w:highlight w:val="none"/>
        </w:rPr>
        <w:t>的其他串通行为。</w:t>
      </w:r>
    </w:p>
    <w:p w14:paraId="4760AB51">
      <w:pPr>
        <w:snapToGrid w:val="0"/>
        <w:spacing w:before="120" w:beforeLines="50" w:after="50"/>
        <w:ind w:firstLine="470" w:firstLineChars="196"/>
        <w:jc w:val="left"/>
        <w:rPr>
          <w:rFonts w:ascii="Times New Roman" w:hAnsi="Times New Roman"/>
          <w:color w:val="auto"/>
          <w:sz w:val="24"/>
          <w:highlight w:val="none"/>
        </w:rPr>
      </w:pPr>
    </w:p>
    <w:p w14:paraId="5A764398">
      <w:pPr>
        <w:snapToGrid w:val="0"/>
        <w:spacing w:before="120" w:beforeLines="50" w:after="50"/>
        <w:ind w:firstLine="472" w:firstLineChars="196"/>
        <w:jc w:val="left"/>
        <w:rPr>
          <w:rFonts w:ascii="Times New Roman" w:hAnsi="Times New Roman"/>
          <w:b/>
          <w:color w:val="auto"/>
          <w:sz w:val="24"/>
          <w:highlight w:val="none"/>
        </w:rPr>
      </w:pPr>
      <w:r>
        <w:rPr>
          <w:rFonts w:ascii="Times New Roman" w:hAnsi="Times New Roman"/>
          <w:b/>
          <w:color w:val="auto"/>
          <w:sz w:val="24"/>
          <w:highlight w:val="none"/>
        </w:rPr>
        <w:t>以上情形一经核查属实，我方愿意承担一切后果，并不再寻求任何旨在减轻或免除法律责任的辩解。</w:t>
      </w:r>
    </w:p>
    <w:p w14:paraId="13661218">
      <w:pPr>
        <w:pStyle w:val="12"/>
        <w:snapToGrid w:val="0"/>
        <w:spacing w:before="295" w:after="295" w:line="320" w:lineRule="exact"/>
        <w:ind w:firstLine="6840" w:firstLineChars="2850"/>
        <w:rPr>
          <w:rFonts w:ascii="Times New Roman" w:hAnsi="Times New Roman" w:eastAsia="宋体"/>
          <w:color w:val="auto"/>
          <w:sz w:val="24"/>
          <w:szCs w:val="24"/>
          <w:highlight w:val="none"/>
        </w:rPr>
      </w:pPr>
    </w:p>
    <w:p w14:paraId="7B3264A0">
      <w:pPr>
        <w:snapToGrid w:val="0"/>
        <w:spacing w:before="120" w:beforeLines="50" w:after="50" w:line="360" w:lineRule="auto"/>
        <w:ind w:firstLine="5280" w:firstLineChars="2200"/>
        <w:rPr>
          <w:rFonts w:ascii="Times New Roman" w:hAnsi="Times New Roman"/>
          <w:color w:val="auto"/>
          <w:sz w:val="24"/>
          <w:highlight w:val="none"/>
        </w:rPr>
      </w:pPr>
      <w:r>
        <w:rPr>
          <w:rFonts w:ascii="Times New Roman" w:hAnsi="Times New Roman"/>
          <w:color w:val="auto"/>
          <w:sz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hint="eastAsia" w:ascii="Times New Roman" w:hAnsi="Times New Roman"/>
          <w:color w:val="auto"/>
          <w:sz w:val="24"/>
          <w:highlight w:val="none"/>
        </w:rPr>
        <w:t>）</w:t>
      </w:r>
      <w:r>
        <w:rPr>
          <w:rFonts w:ascii="Times New Roman" w:hAnsi="Times New Roman"/>
          <w:color w:val="auto"/>
          <w:sz w:val="24"/>
          <w:highlight w:val="none"/>
        </w:rPr>
        <w:t>：</w:t>
      </w:r>
    </w:p>
    <w:p w14:paraId="32189E9E">
      <w:pPr>
        <w:pStyle w:val="12"/>
        <w:snapToGrid w:val="0"/>
        <w:spacing w:before="295" w:after="295" w:line="320" w:lineRule="exact"/>
        <w:rPr>
          <w:rFonts w:ascii="Times New Roman" w:hAnsi="Times New Roman" w:eastAsia="宋体"/>
          <w:color w:val="auto"/>
          <w:sz w:val="24"/>
          <w:highlight w:val="none"/>
        </w:rPr>
      </w:pPr>
      <w:r>
        <w:rPr>
          <w:rFonts w:ascii="Times New Roman" w:hAnsi="Times New Roman" w:eastAsia="宋体"/>
          <w:color w:val="auto"/>
          <w:sz w:val="24"/>
          <w:highlight w:val="none"/>
        </w:rPr>
        <w:t xml:space="preserve">                                                </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年</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月</w:t>
      </w:r>
      <w:r>
        <w:rPr>
          <w:rFonts w:ascii="Times New Roman" w:hAnsi="Times New Roman" w:eastAsia="宋体"/>
          <w:color w:val="auto"/>
          <w:sz w:val="24"/>
          <w:highlight w:val="none"/>
          <w:u w:val="single"/>
        </w:rPr>
        <w:t xml:space="preserve">     </w:t>
      </w:r>
      <w:r>
        <w:rPr>
          <w:rFonts w:ascii="Times New Roman" w:hAnsi="Times New Roman" w:eastAsia="宋体"/>
          <w:color w:val="auto"/>
          <w:sz w:val="24"/>
          <w:highlight w:val="none"/>
        </w:rPr>
        <w:t>日</w:t>
      </w:r>
    </w:p>
    <w:p w14:paraId="7E1FAE46">
      <w:pPr>
        <w:spacing w:line="380" w:lineRule="exact"/>
        <w:rPr>
          <w:rFonts w:ascii="Times New Roman" w:hAnsi="Times New Roman"/>
          <w:color w:val="auto"/>
          <w:sz w:val="32"/>
          <w:szCs w:val="32"/>
          <w:highlight w:val="none"/>
        </w:rPr>
      </w:pPr>
    </w:p>
    <w:p w14:paraId="1CB448AD">
      <w:pPr>
        <w:spacing w:line="380" w:lineRule="exact"/>
        <w:rPr>
          <w:rFonts w:ascii="Times New Roman" w:hAnsi="Times New Roman"/>
          <w:color w:val="auto"/>
          <w:sz w:val="32"/>
          <w:szCs w:val="32"/>
          <w:highlight w:val="none"/>
        </w:rPr>
      </w:pPr>
    </w:p>
    <w:p w14:paraId="524323C1">
      <w:pPr>
        <w:pStyle w:val="12"/>
        <w:spacing w:line="288" w:lineRule="auto"/>
        <w:ind w:firstLine="0" w:firstLineChars="0"/>
        <w:jc w:val="left"/>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eastAsia="zh-CN"/>
        </w:rPr>
        <w:t>注：</w:t>
      </w:r>
      <w:r>
        <w:rPr>
          <w:rFonts w:hint="eastAsia" w:ascii="Times New Roman" w:hAnsi="Times New Roman" w:eastAsia="宋体"/>
          <w:bCs/>
          <w:color w:val="auto"/>
          <w:sz w:val="24"/>
          <w:szCs w:val="24"/>
          <w:highlight w:val="none"/>
          <w:lang w:val="en-US" w:eastAsia="zh-CN"/>
        </w:rPr>
        <w:t>1、</w:t>
      </w:r>
      <w:r>
        <w:rPr>
          <w:rFonts w:hint="eastAsia" w:ascii="Times New Roman" w:hAnsi="Times New Roman" w:eastAsia="宋体"/>
          <w:bCs/>
          <w:color w:val="auto"/>
          <w:sz w:val="24"/>
          <w:szCs w:val="24"/>
          <w:highlight w:val="none"/>
        </w:rPr>
        <w:t>如为联合体投标，“投标人名称”处必须列明联合体各方名称，并标注联合体牵头人名称，否则其投标作无效标处理。</w:t>
      </w:r>
    </w:p>
    <w:p w14:paraId="6380EE7E">
      <w:pPr>
        <w:spacing w:line="380" w:lineRule="exact"/>
        <w:ind w:firstLine="0" w:firstLineChars="0"/>
        <w:rPr>
          <w:rFonts w:hint="eastAsia" w:ascii="Times New Roman" w:hAnsi="Times New Roman" w:eastAsia="宋体"/>
          <w:color w:val="auto"/>
          <w:sz w:val="24"/>
          <w:szCs w:val="24"/>
          <w:highlight w:val="none"/>
          <w:lang w:eastAsia="zh-CN"/>
        </w:rPr>
      </w:pPr>
      <w:r>
        <w:rPr>
          <w:rFonts w:hint="eastAsia" w:ascii="Times New Roman" w:hAnsi="Times New Roman" w:eastAsia="宋体"/>
          <w:bCs/>
          <w:color w:val="auto"/>
          <w:sz w:val="24"/>
          <w:highlight w:val="none"/>
          <w:lang w:val="en-US" w:eastAsia="zh-CN"/>
        </w:rPr>
        <w:t>2</w:t>
      </w:r>
      <w:r>
        <w:rPr>
          <w:rFonts w:hint="eastAsia" w:ascii="Times New Roman" w:hAnsi="Times New Roman"/>
          <w:bCs/>
          <w:color w:val="auto"/>
          <w:sz w:val="24"/>
          <w:highlight w:val="none"/>
          <w:lang w:eastAsia="zh-CN"/>
        </w:rPr>
        <w:t>、</w:t>
      </w:r>
      <w:r>
        <w:rPr>
          <w:rFonts w:hint="eastAsia" w:ascii="Times New Roman" w:hAnsi="Times New Roman" w:eastAsia="宋体"/>
          <w:bCs/>
          <w:color w:val="auto"/>
          <w:sz w:val="24"/>
          <w:highlight w:val="none"/>
        </w:rPr>
        <w:t>如为联合体投标，盖章处须加盖联合体牵头人</w:t>
      </w:r>
      <w:r>
        <w:rPr>
          <w:rFonts w:hint="eastAsia" w:ascii="Times New Roman" w:hAnsi="Times New Roman" w:eastAsia="宋体"/>
          <w:bCs/>
          <w:color w:val="auto"/>
          <w:sz w:val="24"/>
          <w:highlight w:val="none"/>
          <w:lang w:eastAsia="zh-CN"/>
        </w:rPr>
        <w:t>公章或</w:t>
      </w:r>
      <w:r>
        <w:rPr>
          <w:rFonts w:hint="eastAsia" w:ascii="Times New Roman" w:hAnsi="Times New Roman" w:eastAsia="宋体"/>
          <w:bCs/>
          <w:color w:val="auto"/>
          <w:sz w:val="24"/>
          <w:highlight w:val="none"/>
        </w:rPr>
        <w:t>电子签章，否则其投标作无效标处理</w:t>
      </w:r>
      <w:r>
        <w:rPr>
          <w:rFonts w:hint="eastAsia" w:ascii="Times New Roman" w:hAnsi="Times New Roman" w:eastAsia="宋体"/>
          <w:bCs/>
          <w:color w:val="auto"/>
          <w:sz w:val="24"/>
          <w:highlight w:val="none"/>
          <w:lang w:eastAsia="zh-CN"/>
        </w:rPr>
        <w:t>。</w:t>
      </w:r>
    </w:p>
    <w:p w14:paraId="4A1BAD09">
      <w:pPr>
        <w:spacing w:line="380" w:lineRule="exact"/>
        <w:rPr>
          <w:rFonts w:ascii="Times New Roman" w:hAnsi="Times New Roman"/>
          <w:color w:val="auto"/>
          <w:sz w:val="28"/>
          <w:szCs w:val="28"/>
          <w:highlight w:val="none"/>
        </w:rPr>
      </w:pPr>
    </w:p>
    <w:p w14:paraId="047FF9FE">
      <w:pPr>
        <w:spacing w:line="380" w:lineRule="exact"/>
        <w:rPr>
          <w:rFonts w:ascii="Times New Roman" w:hAnsi="Times New Roman"/>
          <w:color w:val="auto"/>
          <w:sz w:val="28"/>
          <w:szCs w:val="28"/>
          <w:highlight w:val="none"/>
        </w:rPr>
      </w:pPr>
    </w:p>
    <w:p w14:paraId="40C4885E">
      <w:pPr>
        <w:spacing w:line="380" w:lineRule="exact"/>
        <w:rPr>
          <w:rFonts w:ascii="Times New Roman" w:hAnsi="Times New Roman"/>
          <w:color w:val="auto"/>
          <w:sz w:val="28"/>
          <w:szCs w:val="28"/>
          <w:highlight w:val="none"/>
        </w:rPr>
      </w:pPr>
    </w:p>
    <w:p w14:paraId="2D274801">
      <w:pPr>
        <w:spacing w:line="380" w:lineRule="exact"/>
        <w:rPr>
          <w:rFonts w:ascii="Times New Roman" w:hAnsi="Times New Roman"/>
          <w:color w:val="auto"/>
          <w:sz w:val="28"/>
          <w:szCs w:val="28"/>
          <w:highlight w:val="none"/>
        </w:rPr>
      </w:pPr>
      <w:r>
        <w:rPr>
          <w:rFonts w:hint="eastAsia" w:ascii="Times New Roman" w:hAnsi="Times New Roman"/>
          <w:color w:val="auto"/>
          <w:sz w:val="28"/>
          <w:szCs w:val="28"/>
          <w:highlight w:val="none"/>
        </w:rPr>
        <w:t>投标人</w:t>
      </w:r>
      <w:r>
        <w:rPr>
          <w:rFonts w:ascii="Times New Roman" w:hAnsi="Times New Roman"/>
          <w:color w:val="auto"/>
          <w:sz w:val="28"/>
          <w:szCs w:val="28"/>
          <w:highlight w:val="none"/>
        </w:rPr>
        <w:t>参与政府采购活动前三年在经营活动中没有重大违法记录的书面声明函（必须提供）</w:t>
      </w:r>
    </w:p>
    <w:p w14:paraId="1F55A03B">
      <w:pPr>
        <w:spacing w:line="400" w:lineRule="exact"/>
        <w:ind w:firstLine="480" w:firstLineChars="200"/>
        <w:rPr>
          <w:rFonts w:ascii="Times New Roman" w:hAnsi="Times New Roman"/>
          <w:color w:val="auto"/>
          <w:sz w:val="24"/>
          <w:highlight w:val="none"/>
        </w:rPr>
      </w:pPr>
    </w:p>
    <w:p w14:paraId="21F835E6">
      <w:pPr>
        <w:pStyle w:val="12"/>
        <w:spacing w:line="400" w:lineRule="exact"/>
        <w:jc w:val="center"/>
        <w:rPr>
          <w:rFonts w:ascii="Times New Roman" w:hAnsi="Times New Roman" w:eastAsia="宋体"/>
          <w:b/>
          <w:color w:val="auto"/>
          <w:sz w:val="36"/>
          <w:szCs w:val="36"/>
          <w:highlight w:val="none"/>
        </w:rPr>
      </w:pPr>
      <w:r>
        <w:rPr>
          <w:rFonts w:ascii="Times New Roman" w:hAnsi="Times New Roman" w:eastAsia="宋体"/>
          <w:b/>
          <w:color w:val="auto"/>
          <w:sz w:val="36"/>
          <w:szCs w:val="36"/>
          <w:highlight w:val="none"/>
        </w:rPr>
        <w:t>声  明（格式）</w:t>
      </w:r>
    </w:p>
    <w:p w14:paraId="16C1A45D">
      <w:pPr>
        <w:snapToGrid w:val="0"/>
        <w:spacing w:line="480" w:lineRule="auto"/>
        <w:outlineLvl w:val="4"/>
        <w:rPr>
          <w:rFonts w:ascii="Times New Roman" w:hAnsi="Times New Roman"/>
          <w:b/>
          <w:color w:val="auto"/>
          <w:sz w:val="24"/>
          <w:highlight w:val="none"/>
        </w:rPr>
      </w:pPr>
    </w:p>
    <w:p w14:paraId="5ED11E12">
      <w:pPr>
        <w:snapToGrid w:val="0"/>
        <w:spacing w:line="480" w:lineRule="auto"/>
        <w:outlineLvl w:val="4"/>
        <w:rPr>
          <w:rFonts w:ascii="Times New Roman" w:hAnsi="Times New Roman"/>
          <w:color w:val="auto"/>
          <w:sz w:val="24"/>
          <w:highlight w:val="none"/>
          <w:u w:val="single"/>
        </w:rPr>
      </w:pPr>
      <w:r>
        <w:rPr>
          <w:rFonts w:ascii="Times New Roman" w:hAnsi="Times New Roman"/>
          <w:b/>
          <w:color w:val="auto"/>
          <w:sz w:val="24"/>
          <w:highlight w:val="none"/>
        </w:rPr>
        <w:t>致</w:t>
      </w:r>
      <w:r>
        <w:rPr>
          <w:rFonts w:ascii="Times New Roman" w:hAnsi="Times New Roman"/>
          <w:color w:val="auto"/>
          <w:sz w:val="24"/>
          <w:highlight w:val="none"/>
        </w:rPr>
        <w:t>：（采购单位名称）</w:t>
      </w:r>
    </w:p>
    <w:p w14:paraId="74A967F1">
      <w:pPr>
        <w:pStyle w:val="12"/>
        <w:spacing w:line="480" w:lineRule="auto"/>
        <w:ind w:firstLine="480"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我（公司）郑重声明，在参加本项目政府采购活动前3年内在经营活动中没有重大违法记录（重大违法记录是指</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Fonts w:hint="eastAsia" w:ascii="Times New Roman" w:hAnsi="Times New Roman" w:eastAsia="宋体"/>
          <w:color w:val="auto"/>
          <w:sz w:val="24"/>
          <w:szCs w:val="24"/>
          <w:highlight w:val="none"/>
        </w:rPr>
        <w:t>投标人</w:t>
      </w:r>
      <w:r>
        <w:rPr>
          <w:rFonts w:ascii="Times New Roman" w:hAnsi="Times New Roman" w:eastAsia="宋体"/>
          <w:color w:val="auto"/>
          <w:sz w:val="24"/>
          <w:szCs w:val="24"/>
          <w:highlight w:val="none"/>
        </w:rPr>
        <w:t>资格条件，我方对此声明负全部法律责任。</w:t>
      </w:r>
    </w:p>
    <w:p w14:paraId="44004BF4">
      <w:pPr>
        <w:snapToGrid w:val="0"/>
        <w:spacing w:line="480" w:lineRule="auto"/>
        <w:ind w:firstLine="5160" w:firstLineChars="2150"/>
        <w:outlineLvl w:val="4"/>
        <w:rPr>
          <w:rFonts w:ascii="Times New Roman" w:hAnsi="Times New Roman"/>
          <w:color w:val="auto"/>
          <w:sz w:val="24"/>
          <w:highlight w:val="none"/>
        </w:rPr>
      </w:pPr>
    </w:p>
    <w:p w14:paraId="76BBA2CE">
      <w:pPr>
        <w:snapToGrid w:val="0"/>
        <w:spacing w:line="480" w:lineRule="auto"/>
        <w:ind w:firstLine="2160" w:firstLineChars="900"/>
        <w:outlineLvl w:val="4"/>
        <w:rPr>
          <w:rFonts w:ascii="Times New Roman" w:hAnsi="Times New Roman"/>
          <w:color w:val="auto"/>
          <w:sz w:val="24"/>
          <w:highlight w:val="none"/>
          <w:u w:val="single"/>
        </w:rPr>
      </w:pPr>
      <w:r>
        <w:rPr>
          <w:rFonts w:hint="eastAsia" w:ascii="Times New Roman" w:hAnsi="Times New Roman"/>
          <w:color w:val="auto"/>
          <w:sz w:val="24"/>
          <w:highlight w:val="none"/>
        </w:rPr>
        <w:t>投标人</w:t>
      </w:r>
      <w:r>
        <w:rPr>
          <w:rFonts w:ascii="Times New Roman" w:hAnsi="Times New Roman"/>
          <w:color w:val="auto"/>
          <w:sz w:val="24"/>
          <w:highlight w:val="none"/>
        </w:rPr>
        <w:t>名称（</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color w:val="auto"/>
          <w:sz w:val="24"/>
          <w:highlight w:val="none"/>
          <w:u w:val="single"/>
        </w:rPr>
        <w:t xml:space="preserve">                      </w:t>
      </w:r>
    </w:p>
    <w:p w14:paraId="423EF0AE">
      <w:pPr>
        <w:spacing w:line="480" w:lineRule="auto"/>
        <w:ind w:firstLine="2160" w:firstLineChars="900"/>
        <w:rPr>
          <w:rFonts w:ascii="Times New Roman" w:hAnsi="Times New Roman"/>
          <w:color w:val="auto"/>
          <w:sz w:val="24"/>
          <w:highlight w:val="none"/>
          <w:u w:val="single"/>
        </w:rPr>
      </w:pPr>
      <w:r>
        <w:rPr>
          <w:rFonts w:ascii="Times New Roman" w:hAnsi="Times New Roman"/>
          <w:color w:val="auto"/>
          <w:sz w:val="24"/>
          <w:highlight w:val="none"/>
        </w:rPr>
        <w:t>法定代表人</w:t>
      </w:r>
      <w:r>
        <w:rPr>
          <w:rFonts w:hint="eastAsia" w:ascii="Times New Roman" w:hAnsi="Times New Roman"/>
          <w:color w:val="auto"/>
          <w:sz w:val="24"/>
          <w:highlight w:val="none"/>
        </w:rPr>
        <w:t>（负责人）</w:t>
      </w:r>
      <w:r>
        <w:rPr>
          <w:rFonts w:ascii="Times New Roman" w:hAnsi="Times New Roman"/>
          <w:color w:val="auto"/>
          <w:sz w:val="24"/>
          <w:highlight w:val="none"/>
        </w:rPr>
        <w:t>或委托代理人</w:t>
      </w:r>
      <w:r>
        <w:rPr>
          <w:rFonts w:hint="eastAsia" w:ascii="Times New Roman" w:hAnsi="Times New Roman"/>
          <w:color w:val="auto"/>
          <w:sz w:val="24"/>
          <w:highlight w:val="none"/>
        </w:rPr>
        <w:t>（</w:t>
      </w:r>
      <w:r>
        <w:rPr>
          <w:rFonts w:hint="eastAsia" w:ascii="宋体" w:hAnsi="宋体"/>
          <w:color w:val="auto"/>
          <w:sz w:val="24"/>
          <w:highlight w:val="none"/>
        </w:rPr>
        <w:t>签字或电子签名</w:t>
      </w:r>
      <w:r>
        <w:rPr>
          <w:rFonts w:ascii="Times New Roman" w:hAnsi="Times New Roman"/>
          <w:color w:val="auto"/>
          <w:sz w:val="24"/>
          <w:highlight w:val="none"/>
        </w:rPr>
        <w:t>）：</w:t>
      </w:r>
      <w:r>
        <w:rPr>
          <w:rFonts w:ascii="Times New Roman" w:hAnsi="Times New Roman"/>
          <w:color w:val="auto"/>
          <w:sz w:val="24"/>
          <w:highlight w:val="none"/>
          <w:u w:val="single"/>
        </w:rPr>
        <w:t xml:space="preserve">          </w:t>
      </w:r>
    </w:p>
    <w:p w14:paraId="3F7A2C4D">
      <w:pPr>
        <w:pStyle w:val="12"/>
        <w:spacing w:line="400" w:lineRule="exact"/>
        <w:rPr>
          <w:rFonts w:ascii="Times New Roman" w:hAnsi="Times New Roman" w:eastAsia="宋体"/>
          <w:color w:val="auto"/>
          <w:sz w:val="24"/>
          <w:szCs w:val="24"/>
          <w:highlight w:val="none"/>
        </w:rPr>
      </w:pPr>
      <w:r>
        <w:rPr>
          <w:rFonts w:ascii="Times New Roman" w:hAnsi="Times New Roman" w:eastAsia="宋体"/>
          <w:color w:val="auto"/>
          <w:sz w:val="24"/>
          <w:highlight w:val="none"/>
        </w:rPr>
        <w:t xml:space="preserve">                  日  期：</w:t>
      </w:r>
      <w:r>
        <w:rPr>
          <w:rFonts w:ascii="Times New Roman" w:hAnsi="Times New Roman" w:eastAsia="宋体"/>
          <w:color w:val="auto"/>
          <w:sz w:val="24"/>
          <w:highlight w:val="none"/>
          <w:u w:val="single"/>
        </w:rPr>
        <w:t xml:space="preserve">                   </w:t>
      </w:r>
    </w:p>
    <w:p w14:paraId="7FD05AF2">
      <w:pPr>
        <w:pStyle w:val="7"/>
        <w:overflowPunct w:val="0"/>
        <w:spacing w:line="360" w:lineRule="auto"/>
        <w:ind w:firstLine="0"/>
        <w:rPr>
          <w:rFonts w:ascii="Times New Roman" w:hAnsi="Times New Roman"/>
          <w:color w:val="auto"/>
          <w:szCs w:val="21"/>
          <w:highlight w:val="none"/>
        </w:rPr>
      </w:pPr>
    </w:p>
    <w:p w14:paraId="321D9AA4">
      <w:pPr>
        <w:widowControl/>
        <w:jc w:val="left"/>
        <w:rPr>
          <w:rFonts w:ascii="Times New Roman" w:hAnsi="Times New Roman"/>
          <w:b/>
          <w:color w:val="auto"/>
          <w:szCs w:val="21"/>
          <w:highlight w:val="none"/>
        </w:rPr>
      </w:pPr>
    </w:p>
    <w:p w14:paraId="2CE3F16D">
      <w:pPr>
        <w:pStyle w:val="5"/>
        <w:rPr>
          <w:rFonts w:ascii="Times New Roman" w:hAnsi="Times New Roman" w:eastAsia="宋体"/>
          <w:b/>
          <w:color w:val="auto"/>
          <w:szCs w:val="21"/>
          <w:highlight w:val="none"/>
        </w:rPr>
      </w:pPr>
    </w:p>
    <w:p w14:paraId="7E1E1251">
      <w:pPr>
        <w:rPr>
          <w:rFonts w:ascii="Times New Roman" w:hAnsi="Times New Roman"/>
          <w:b/>
          <w:color w:val="auto"/>
          <w:szCs w:val="21"/>
          <w:highlight w:val="none"/>
        </w:rPr>
      </w:pPr>
    </w:p>
    <w:p w14:paraId="515E9879">
      <w:pPr>
        <w:pStyle w:val="12"/>
        <w:spacing w:line="288" w:lineRule="auto"/>
        <w:ind w:firstLine="0" w:firstLineChars="0"/>
        <w:jc w:val="left"/>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eastAsia="zh-CN"/>
        </w:rPr>
        <w:t>注：</w:t>
      </w:r>
      <w:r>
        <w:rPr>
          <w:rFonts w:hint="eastAsia" w:ascii="Times New Roman" w:hAnsi="Times New Roman" w:eastAsia="宋体"/>
          <w:bCs/>
          <w:color w:val="auto"/>
          <w:sz w:val="24"/>
          <w:szCs w:val="24"/>
          <w:highlight w:val="none"/>
          <w:lang w:val="en-US" w:eastAsia="zh-CN"/>
        </w:rPr>
        <w:t>1、</w:t>
      </w:r>
      <w:r>
        <w:rPr>
          <w:rFonts w:hint="eastAsia" w:ascii="Times New Roman" w:hAnsi="Times New Roman" w:eastAsia="宋体"/>
          <w:bCs/>
          <w:color w:val="auto"/>
          <w:sz w:val="24"/>
          <w:szCs w:val="24"/>
          <w:highlight w:val="none"/>
        </w:rPr>
        <w:t>如为联合体投标，“投标人名称”处必须列明联合体各方名称，并标注联合体牵头人名称，否则其投标作无效标处理。</w:t>
      </w:r>
    </w:p>
    <w:p w14:paraId="7D74C9AD">
      <w:pPr>
        <w:pStyle w:val="5"/>
        <w:rPr>
          <w:rFonts w:ascii="Times New Roman" w:hAnsi="Times New Roman" w:eastAsia="宋体"/>
          <w:b/>
          <w:color w:val="auto"/>
          <w:szCs w:val="21"/>
          <w:highlight w:val="none"/>
        </w:rPr>
      </w:pPr>
      <w:r>
        <w:rPr>
          <w:rFonts w:hint="eastAsia" w:ascii="Times New Roman" w:hAnsi="Times New Roman" w:eastAsia="宋体"/>
          <w:bCs/>
          <w:color w:val="auto"/>
          <w:sz w:val="24"/>
          <w:szCs w:val="24"/>
          <w:highlight w:val="none"/>
          <w:lang w:val="en-US" w:eastAsia="zh-CN"/>
        </w:rPr>
        <w:t>2</w:t>
      </w:r>
      <w:r>
        <w:rPr>
          <w:rFonts w:hint="eastAsia" w:ascii="Times New Roman" w:hAnsi="Times New Roman" w:eastAsia="宋体"/>
          <w:bCs/>
          <w:color w:val="auto"/>
          <w:sz w:val="24"/>
          <w:szCs w:val="24"/>
          <w:highlight w:val="none"/>
          <w:lang w:eastAsia="zh-CN"/>
        </w:rPr>
        <w:t>、</w:t>
      </w:r>
      <w:r>
        <w:rPr>
          <w:rFonts w:hint="eastAsia" w:ascii="Times New Roman" w:hAnsi="Times New Roman" w:eastAsia="宋体"/>
          <w:bCs/>
          <w:color w:val="auto"/>
          <w:sz w:val="24"/>
          <w:szCs w:val="24"/>
          <w:highlight w:val="none"/>
        </w:rPr>
        <w:t>如为联合体投标，盖章处须加盖联合体牵头人</w:t>
      </w:r>
      <w:r>
        <w:rPr>
          <w:rFonts w:hint="eastAsia" w:ascii="Times New Roman" w:hAnsi="Times New Roman" w:eastAsia="宋体"/>
          <w:bCs/>
          <w:color w:val="auto"/>
          <w:sz w:val="24"/>
          <w:szCs w:val="24"/>
          <w:highlight w:val="none"/>
          <w:lang w:eastAsia="zh-CN"/>
        </w:rPr>
        <w:t>公章或</w:t>
      </w:r>
      <w:r>
        <w:rPr>
          <w:rFonts w:hint="eastAsia" w:ascii="Times New Roman" w:hAnsi="Times New Roman" w:eastAsia="宋体"/>
          <w:bCs/>
          <w:color w:val="auto"/>
          <w:sz w:val="24"/>
          <w:szCs w:val="24"/>
          <w:highlight w:val="none"/>
        </w:rPr>
        <w:t>电子签章，否则其投标作无效标处理</w:t>
      </w:r>
      <w:r>
        <w:rPr>
          <w:rFonts w:hint="eastAsia" w:ascii="Times New Roman" w:hAnsi="Times New Roman" w:eastAsia="宋体"/>
          <w:bCs/>
          <w:color w:val="auto"/>
          <w:sz w:val="24"/>
          <w:szCs w:val="24"/>
          <w:highlight w:val="none"/>
          <w:lang w:eastAsia="zh-CN"/>
        </w:rPr>
        <w:t>。</w:t>
      </w:r>
    </w:p>
    <w:p w14:paraId="2869BD3A">
      <w:pPr>
        <w:rPr>
          <w:rFonts w:ascii="Times New Roman" w:hAnsi="Times New Roman"/>
          <w:b/>
          <w:color w:val="auto"/>
          <w:szCs w:val="21"/>
          <w:highlight w:val="none"/>
        </w:rPr>
      </w:pPr>
    </w:p>
    <w:p w14:paraId="02E6E9B4">
      <w:pPr>
        <w:rPr>
          <w:rFonts w:ascii="Times New Roman" w:hAnsi="Times New Roman"/>
          <w:b/>
          <w:color w:val="auto"/>
          <w:szCs w:val="21"/>
          <w:highlight w:val="none"/>
        </w:rPr>
      </w:pPr>
    </w:p>
    <w:p w14:paraId="44E34EFF">
      <w:pPr>
        <w:rPr>
          <w:rFonts w:ascii="Times New Roman" w:hAnsi="Times New Roman"/>
          <w:b/>
          <w:color w:val="auto"/>
          <w:szCs w:val="21"/>
          <w:highlight w:val="none"/>
        </w:rPr>
      </w:pPr>
    </w:p>
    <w:p w14:paraId="4674A334">
      <w:pPr>
        <w:rPr>
          <w:rFonts w:ascii="Times New Roman" w:hAnsi="Times New Roman"/>
          <w:b/>
          <w:color w:val="auto"/>
          <w:szCs w:val="21"/>
          <w:highlight w:val="none"/>
        </w:rPr>
      </w:pPr>
    </w:p>
    <w:p w14:paraId="068304ED">
      <w:pPr>
        <w:rPr>
          <w:rFonts w:ascii="Times New Roman" w:hAnsi="Times New Roman"/>
          <w:b/>
          <w:color w:val="auto"/>
          <w:szCs w:val="21"/>
          <w:highlight w:val="none"/>
        </w:rPr>
      </w:pPr>
    </w:p>
    <w:p w14:paraId="5D5DF3A7">
      <w:pPr>
        <w:rPr>
          <w:rFonts w:ascii="Times New Roman" w:hAnsi="Times New Roman"/>
          <w:b/>
          <w:color w:val="auto"/>
          <w:szCs w:val="21"/>
          <w:highlight w:val="none"/>
        </w:rPr>
      </w:pPr>
    </w:p>
    <w:p w14:paraId="0317D13D">
      <w:pPr>
        <w:spacing w:line="420" w:lineRule="exact"/>
        <w:rPr>
          <w:rFonts w:ascii="Times New Roman" w:hAnsi="Times New Roman"/>
          <w:b/>
          <w:color w:val="auto"/>
          <w:sz w:val="32"/>
          <w:szCs w:val="32"/>
          <w:highlight w:val="none"/>
        </w:rPr>
      </w:pPr>
    </w:p>
    <w:p w14:paraId="2FFFC921">
      <w:pPr>
        <w:rPr>
          <w:rFonts w:ascii="Times New Roman" w:hAnsi="Times New Roman"/>
          <w:b/>
          <w:color w:val="auto"/>
          <w:sz w:val="32"/>
          <w:szCs w:val="32"/>
          <w:highlight w:val="none"/>
        </w:rPr>
      </w:pPr>
    </w:p>
    <w:p w14:paraId="1720A4FF">
      <w:pPr>
        <w:snapToGrid w:val="0"/>
        <w:spacing w:before="120" w:beforeLines="50" w:after="50"/>
        <w:jc w:val="center"/>
        <w:rPr>
          <w:rFonts w:hint="eastAsia" w:ascii="宋体" w:hAnsi="宋体" w:cs="宋体"/>
          <w:b/>
          <w:color w:val="auto"/>
          <w:spacing w:val="20"/>
          <w:sz w:val="24"/>
          <w:highlight w:val="none"/>
        </w:rPr>
      </w:pPr>
      <w:r>
        <w:rPr>
          <w:rFonts w:hint="eastAsia" w:ascii="宋体" w:hAnsi="宋体" w:cs="宋体"/>
          <w:b/>
          <w:color w:val="auto"/>
          <w:spacing w:val="20"/>
          <w:sz w:val="24"/>
          <w:highlight w:val="none"/>
        </w:rPr>
        <w:t>联合体协议书（如有）</w:t>
      </w:r>
    </w:p>
    <w:p w14:paraId="653477D0">
      <w:pPr>
        <w:spacing w:before="120" w:line="600" w:lineRule="exact"/>
        <w:ind w:firstLine="560"/>
        <w:jc w:val="center"/>
        <w:rPr>
          <w:rFonts w:hint="eastAsia" w:ascii="宋体" w:hAnsi="宋体" w:cs="宋体"/>
          <w:color w:val="auto"/>
          <w:kern w:val="0"/>
          <w:sz w:val="24"/>
          <w:highlight w:val="none"/>
          <w:u w:val="single"/>
        </w:rPr>
      </w:pPr>
      <w:r>
        <w:rPr>
          <w:rFonts w:hint="eastAsia" w:ascii="宋体" w:hAnsi="宋体" w:cs="宋体"/>
          <w:color w:val="auto"/>
          <w:sz w:val="24"/>
          <w:highlight w:val="none"/>
        </w:rPr>
        <w:t>联合体投标协议书（格式）</w:t>
      </w:r>
    </w:p>
    <w:p w14:paraId="1A3D1FB2">
      <w:pPr>
        <w:autoSpaceDE w:val="0"/>
        <w:autoSpaceDN w:val="0"/>
        <w:adjustRightInd w:val="0"/>
        <w:spacing w:line="360" w:lineRule="auto"/>
        <w:ind w:firstLine="720" w:firstLineChars="300"/>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（采购代理机构名称）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）投标。现就联合体投标事宜订立如下协议：</w:t>
      </w:r>
    </w:p>
    <w:p w14:paraId="1250F1A4">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14:paraId="462687BD">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EC366BC">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11B8203E">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sz w:val="24"/>
          <w:highlight w:val="none"/>
          <w:u w:val="single"/>
        </w:rPr>
        <w:t>________________________________________________</w:t>
      </w:r>
      <w:r>
        <w:rPr>
          <w:rFonts w:hint="eastAsia" w:ascii="宋体" w:hAnsi="宋体" w:cs="宋体"/>
          <w:color w:val="auto"/>
          <w:kern w:val="0"/>
          <w:sz w:val="24"/>
          <w:highlight w:val="none"/>
        </w:rPr>
        <w:t>。</w:t>
      </w:r>
    </w:p>
    <w:p w14:paraId="2A8780CF">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5、本协议书自签署之日起生效，合同履行完毕后自动失效。</w:t>
      </w:r>
    </w:p>
    <w:p w14:paraId="13AA2944">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04569A30">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3CD061AE">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（公章/电子签章）</w:t>
      </w:r>
    </w:p>
    <w:p w14:paraId="08A0B1C5">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（手写签名/电子签名）</w:t>
      </w:r>
    </w:p>
    <w:p w14:paraId="5B43CA6B">
      <w:pPr>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（公章/电子签章）</w:t>
      </w:r>
    </w:p>
    <w:p w14:paraId="07EAB31B">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（手写签名/电子签名）</w:t>
      </w:r>
    </w:p>
    <w:p w14:paraId="23D38845">
      <w:pPr>
        <w:autoSpaceDE w:val="0"/>
        <w:autoSpaceDN w:val="0"/>
        <w:adjustRightInd w:val="0"/>
        <w:spacing w:line="360" w:lineRule="auto"/>
        <w:ind w:firstLine="4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（公章/电子签章）</w:t>
      </w:r>
    </w:p>
    <w:p w14:paraId="566BE7BE">
      <w:pPr>
        <w:spacing w:line="360" w:lineRule="auto"/>
        <w:ind w:firstLine="420"/>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（手写签名/电子签名）</w:t>
      </w:r>
    </w:p>
    <w:p w14:paraId="4E120F60">
      <w:pPr>
        <w:pStyle w:val="16"/>
        <w:jc w:val="both"/>
        <w:rPr>
          <w:rFonts w:ascii="Times New Roman" w:hAnsi="Times New Roman"/>
          <w:b/>
          <w:color w:val="auto"/>
          <w:sz w:val="32"/>
          <w:szCs w:val="32"/>
          <w:highlight w:val="none"/>
        </w:rPr>
        <w:sectPr>
          <w:headerReference r:id="rId7" w:type="default"/>
          <w:footerReference r:id="rId8" w:type="default"/>
          <w:pgSz w:w="11906" w:h="16838"/>
          <w:pgMar w:top="1440" w:right="1080" w:bottom="1440" w:left="1080" w:header="851" w:footer="992" w:gutter="0"/>
          <w:cols w:space="720" w:num="1"/>
          <w:docGrid w:linePitch="312" w:charSpace="0"/>
        </w:sectPr>
      </w:pPr>
    </w:p>
    <w:p w14:paraId="7F23A676">
      <w:pPr>
        <w:spacing w:line="420" w:lineRule="exact"/>
        <w:rPr>
          <w:rFonts w:ascii="Times New Roman" w:hAnsi="Times New Roman"/>
          <w:b/>
          <w:color w:val="auto"/>
          <w:sz w:val="32"/>
          <w:szCs w:val="32"/>
          <w:highlight w:val="none"/>
        </w:rPr>
      </w:pPr>
    </w:p>
    <w:p w14:paraId="79AAC3BA">
      <w:pPr>
        <w:spacing w:line="420" w:lineRule="exact"/>
        <w:jc w:val="center"/>
        <w:rPr>
          <w:rFonts w:ascii="Times New Roman" w:hAnsi="Times New Roman"/>
          <w:b/>
          <w:color w:val="auto"/>
          <w:sz w:val="32"/>
          <w:szCs w:val="32"/>
          <w:highlight w:val="none"/>
        </w:rPr>
      </w:pPr>
      <w:r>
        <w:rPr>
          <w:rFonts w:ascii="Times New Roman" w:hAnsi="Times New Roman"/>
          <w:b/>
          <w:color w:val="auto"/>
          <w:sz w:val="32"/>
          <w:szCs w:val="32"/>
          <w:highlight w:val="none"/>
        </w:rPr>
        <w:t>商务响应表（格式）</w:t>
      </w:r>
    </w:p>
    <w:p w14:paraId="6EFA118B">
      <w:pPr>
        <w:pStyle w:val="12"/>
        <w:spacing w:before="120" w:line="360" w:lineRule="auto"/>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项目名称：</w:t>
      </w:r>
      <w:r>
        <w:rPr>
          <w:rFonts w:ascii="Times New Roman" w:hAnsi="Times New Roman" w:eastAsia="宋体"/>
          <w:b/>
          <w:color w:val="auto"/>
          <w:sz w:val="24"/>
          <w:szCs w:val="24"/>
          <w:highlight w:val="none"/>
          <w:u w:val="single"/>
        </w:rPr>
        <w:t xml:space="preserve">                    </w:t>
      </w:r>
    </w:p>
    <w:p w14:paraId="7FDD0F23">
      <w:pPr>
        <w:pStyle w:val="12"/>
        <w:spacing w:before="120" w:line="360" w:lineRule="auto"/>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项目编号：</w:t>
      </w:r>
      <w:r>
        <w:rPr>
          <w:rFonts w:ascii="Times New Roman" w:hAnsi="Times New Roman" w:eastAsia="宋体"/>
          <w:b/>
          <w:color w:val="auto"/>
          <w:sz w:val="24"/>
          <w:szCs w:val="24"/>
          <w:highlight w:val="none"/>
          <w:u w:val="single"/>
        </w:rPr>
        <w:t xml:space="preserve">  </w:t>
      </w:r>
      <w:r>
        <w:rPr>
          <w:rFonts w:hint="eastAsia" w:ascii="Times New Roman" w:hAnsi="Times New Roman" w:eastAsia="宋体"/>
          <w:b/>
          <w:color w:val="auto"/>
          <w:sz w:val="24"/>
          <w:szCs w:val="24"/>
          <w:highlight w:val="none"/>
          <w:u w:val="single"/>
        </w:rPr>
        <w:t xml:space="preserve">                  </w:t>
      </w:r>
    </w:p>
    <w:p w14:paraId="7DEF9B9E">
      <w:pPr>
        <w:rPr>
          <w:rFonts w:ascii="Times New Roman" w:hAnsi="Times New Roman"/>
          <w:b/>
          <w:color w:val="auto"/>
          <w:kern w:val="0"/>
          <w:sz w:val="24"/>
          <w:highlight w:val="none"/>
        </w:rPr>
      </w:pPr>
      <w:r>
        <w:rPr>
          <w:rFonts w:ascii="Times New Roman" w:hAnsi="Times New Roman"/>
          <w:b/>
          <w:color w:val="auto"/>
          <w:kern w:val="0"/>
          <w:sz w:val="24"/>
          <w:highlight w:val="none"/>
        </w:rPr>
        <w:t xml:space="preserve">                 </w:t>
      </w:r>
      <w:r>
        <w:rPr>
          <w:rFonts w:hint="eastAsia" w:ascii="Times New Roman" w:hAnsi="Times New Roman"/>
          <w:b/>
          <w:color w:val="auto"/>
          <w:kern w:val="0"/>
          <w:sz w:val="24"/>
          <w:highlight w:val="none"/>
        </w:rPr>
        <w:t xml:space="preserve">  </w:t>
      </w:r>
    </w:p>
    <w:p w14:paraId="60A60A25">
      <w:pPr>
        <w:adjustRightInd w:val="0"/>
        <w:snapToGrid w:val="0"/>
        <w:spacing w:line="420" w:lineRule="exact"/>
        <w:rPr>
          <w:rFonts w:ascii="Times New Roman" w:hAnsi="Times New Roman"/>
          <w:b/>
          <w:color w:val="auto"/>
          <w:kern w:val="0"/>
          <w:sz w:val="24"/>
          <w:highlight w:val="none"/>
        </w:rPr>
      </w:pPr>
    </w:p>
    <w:tbl>
      <w:tblPr>
        <w:tblStyle w:val="19"/>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2883"/>
        <w:gridCol w:w="1346"/>
        <w:gridCol w:w="3318"/>
      </w:tblGrid>
      <w:tr w14:paraId="5C20AB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61" w:type="dxa"/>
            <w:tcBorders>
              <w:top w:val="single" w:color="auto" w:sz="4" w:space="0"/>
              <w:left w:val="single" w:color="auto" w:sz="4" w:space="0"/>
              <w:bottom w:val="single" w:color="auto" w:sz="4" w:space="0"/>
              <w:right w:val="single" w:color="auto" w:sz="4" w:space="0"/>
            </w:tcBorders>
            <w:vAlign w:val="center"/>
          </w:tcPr>
          <w:p w14:paraId="13F0A231">
            <w:pPr>
              <w:snapToGrid w:val="0"/>
              <w:spacing w:before="120" w:beforeLines="50" w:line="520" w:lineRule="exact"/>
              <w:jc w:val="center"/>
              <w:rPr>
                <w:rFonts w:ascii="Times New Roman" w:hAnsi="Times New Roman"/>
                <w:color w:val="auto"/>
                <w:sz w:val="24"/>
                <w:highlight w:val="none"/>
              </w:rPr>
            </w:pPr>
            <w:r>
              <w:rPr>
                <w:rFonts w:ascii="Times New Roman" w:hAnsi="Times New Roman"/>
                <w:color w:val="auto"/>
                <w:sz w:val="24"/>
                <w:highlight w:val="none"/>
              </w:rPr>
              <w:t>项目</w:t>
            </w:r>
          </w:p>
        </w:tc>
        <w:tc>
          <w:tcPr>
            <w:tcW w:w="2883" w:type="dxa"/>
            <w:tcBorders>
              <w:top w:val="single" w:color="auto" w:sz="4" w:space="0"/>
              <w:left w:val="single" w:color="auto" w:sz="4" w:space="0"/>
              <w:bottom w:val="single" w:color="auto" w:sz="4" w:space="0"/>
              <w:right w:val="single" w:color="auto" w:sz="4" w:space="0"/>
            </w:tcBorders>
            <w:vAlign w:val="center"/>
          </w:tcPr>
          <w:p w14:paraId="6344A88A">
            <w:pPr>
              <w:snapToGrid w:val="0"/>
              <w:spacing w:before="120" w:beforeLines="50" w:line="520" w:lineRule="exact"/>
              <w:jc w:val="center"/>
              <w:rPr>
                <w:rFonts w:ascii="Times New Roman" w:hAnsi="Times New Roman"/>
                <w:color w:val="auto"/>
                <w:sz w:val="24"/>
                <w:highlight w:val="none"/>
              </w:rPr>
            </w:pPr>
            <w:r>
              <w:rPr>
                <w:rFonts w:ascii="Times New Roman" w:hAnsi="Times New Roman"/>
                <w:color w:val="auto"/>
                <w:sz w:val="24"/>
                <w:highlight w:val="none"/>
              </w:rPr>
              <w:t>招标文件商务条款要求</w:t>
            </w:r>
          </w:p>
        </w:tc>
        <w:tc>
          <w:tcPr>
            <w:tcW w:w="1346" w:type="dxa"/>
            <w:tcBorders>
              <w:top w:val="single" w:color="auto" w:sz="4" w:space="0"/>
              <w:left w:val="single" w:color="auto" w:sz="4" w:space="0"/>
              <w:bottom w:val="single" w:color="auto" w:sz="4" w:space="0"/>
              <w:right w:val="single" w:color="auto" w:sz="4" w:space="0"/>
            </w:tcBorders>
            <w:vAlign w:val="center"/>
          </w:tcPr>
          <w:p w14:paraId="246BB19D">
            <w:pPr>
              <w:snapToGrid w:val="0"/>
              <w:spacing w:before="120" w:beforeLines="50" w:line="520" w:lineRule="exact"/>
              <w:jc w:val="center"/>
              <w:rPr>
                <w:rFonts w:ascii="Times New Roman" w:hAnsi="Times New Roman"/>
                <w:color w:val="auto"/>
                <w:sz w:val="24"/>
                <w:highlight w:val="none"/>
              </w:rPr>
            </w:pPr>
            <w:r>
              <w:rPr>
                <w:rFonts w:ascii="Times New Roman" w:hAnsi="Times New Roman"/>
                <w:color w:val="auto"/>
                <w:sz w:val="24"/>
                <w:highlight w:val="none"/>
              </w:rPr>
              <w:t>是否偏离</w:t>
            </w:r>
          </w:p>
        </w:tc>
        <w:tc>
          <w:tcPr>
            <w:tcW w:w="3318" w:type="dxa"/>
            <w:tcBorders>
              <w:top w:val="single" w:color="auto" w:sz="4" w:space="0"/>
              <w:left w:val="single" w:color="auto" w:sz="4" w:space="0"/>
              <w:bottom w:val="single" w:color="auto" w:sz="4" w:space="0"/>
              <w:right w:val="single" w:color="auto" w:sz="4" w:space="0"/>
            </w:tcBorders>
            <w:vAlign w:val="center"/>
          </w:tcPr>
          <w:p w14:paraId="2D144176">
            <w:pPr>
              <w:snapToGrid w:val="0"/>
              <w:spacing w:before="120" w:beforeLines="50" w:line="520" w:lineRule="exact"/>
              <w:jc w:val="center"/>
              <w:rPr>
                <w:rFonts w:ascii="Times New Roman" w:hAnsi="Times New Roman"/>
                <w:color w:val="auto"/>
                <w:sz w:val="24"/>
                <w:highlight w:val="none"/>
              </w:rPr>
            </w:pPr>
            <w:r>
              <w:rPr>
                <w:rFonts w:hint="eastAsia" w:ascii="Times New Roman" w:hAnsi="Times New Roman"/>
                <w:color w:val="auto"/>
                <w:sz w:val="24"/>
                <w:highlight w:val="none"/>
              </w:rPr>
              <w:t>投标人</w:t>
            </w:r>
            <w:r>
              <w:rPr>
                <w:rFonts w:ascii="Times New Roman" w:hAnsi="Times New Roman"/>
                <w:color w:val="auto"/>
                <w:sz w:val="24"/>
                <w:highlight w:val="none"/>
              </w:rPr>
              <w:t>的承诺或说明</w:t>
            </w:r>
          </w:p>
        </w:tc>
      </w:tr>
      <w:tr w14:paraId="5CD02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61" w:type="dxa"/>
            <w:tcBorders>
              <w:top w:val="single" w:color="auto" w:sz="4" w:space="0"/>
              <w:left w:val="single" w:color="auto" w:sz="4" w:space="0"/>
              <w:bottom w:val="single" w:color="auto" w:sz="4" w:space="0"/>
              <w:right w:val="single" w:color="auto" w:sz="4" w:space="0"/>
            </w:tcBorders>
            <w:vAlign w:val="center"/>
          </w:tcPr>
          <w:p w14:paraId="08452210">
            <w:pPr>
              <w:spacing w:line="520" w:lineRule="exact"/>
              <w:jc w:val="center"/>
              <w:rPr>
                <w:rFonts w:ascii="Times New Roman" w:hAnsi="Times New Roman"/>
                <w:color w:val="auto"/>
                <w:sz w:val="24"/>
                <w:highlight w:val="none"/>
              </w:rPr>
            </w:pPr>
          </w:p>
        </w:tc>
        <w:tc>
          <w:tcPr>
            <w:tcW w:w="2883" w:type="dxa"/>
            <w:tcBorders>
              <w:top w:val="single" w:color="auto" w:sz="4" w:space="0"/>
              <w:left w:val="single" w:color="auto" w:sz="4" w:space="0"/>
              <w:bottom w:val="single" w:color="auto" w:sz="4" w:space="0"/>
              <w:right w:val="single" w:color="auto" w:sz="4" w:space="0"/>
            </w:tcBorders>
            <w:vAlign w:val="center"/>
          </w:tcPr>
          <w:p w14:paraId="4A1138D3">
            <w:pPr>
              <w:snapToGrid w:val="0"/>
              <w:spacing w:before="120" w:beforeLines="50" w:line="520" w:lineRule="exact"/>
              <w:jc w:val="center"/>
              <w:rPr>
                <w:rFonts w:ascii="Times New Roman" w:hAnsi="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vAlign w:val="center"/>
          </w:tcPr>
          <w:p w14:paraId="204F9A76">
            <w:pPr>
              <w:snapToGrid w:val="0"/>
              <w:spacing w:before="120" w:beforeLines="50" w:line="520" w:lineRule="exact"/>
              <w:jc w:val="center"/>
              <w:rPr>
                <w:rFonts w:ascii="Times New Roman" w:hAnsi="Times New Roman"/>
                <w:color w:val="auto"/>
                <w:sz w:val="24"/>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14:paraId="27A03FB2">
            <w:pPr>
              <w:snapToGrid w:val="0"/>
              <w:spacing w:before="120" w:beforeLines="50" w:line="520" w:lineRule="exact"/>
              <w:jc w:val="center"/>
              <w:rPr>
                <w:rFonts w:ascii="Times New Roman" w:hAnsi="Times New Roman"/>
                <w:color w:val="auto"/>
                <w:sz w:val="24"/>
                <w:highlight w:val="none"/>
              </w:rPr>
            </w:pPr>
          </w:p>
        </w:tc>
      </w:tr>
      <w:tr w14:paraId="6B793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61" w:type="dxa"/>
            <w:tcBorders>
              <w:top w:val="single" w:color="auto" w:sz="4" w:space="0"/>
              <w:left w:val="single" w:color="auto" w:sz="4" w:space="0"/>
              <w:bottom w:val="single" w:color="auto" w:sz="4" w:space="0"/>
              <w:right w:val="single" w:color="auto" w:sz="4" w:space="0"/>
            </w:tcBorders>
            <w:vAlign w:val="center"/>
          </w:tcPr>
          <w:p w14:paraId="50D10C9A">
            <w:pPr>
              <w:spacing w:line="520" w:lineRule="exact"/>
              <w:jc w:val="center"/>
              <w:rPr>
                <w:rFonts w:ascii="Times New Roman" w:hAnsi="Times New Roman"/>
                <w:color w:val="auto"/>
                <w:sz w:val="24"/>
                <w:highlight w:val="none"/>
              </w:rPr>
            </w:pPr>
          </w:p>
        </w:tc>
        <w:tc>
          <w:tcPr>
            <w:tcW w:w="2883" w:type="dxa"/>
            <w:tcBorders>
              <w:top w:val="single" w:color="auto" w:sz="4" w:space="0"/>
              <w:left w:val="single" w:color="auto" w:sz="4" w:space="0"/>
              <w:bottom w:val="single" w:color="auto" w:sz="4" w:space="0"/>
              <w:right w:val="single" w:color="auto" w:sz="4" w:space="0"/>
            </w:tcBorders>
            <w:vAlign w:val="center"/>
          </w:tcPr>
          <w:p w14:paraId="374BDFF9">
            <w:pPr>
              <w:snapToGrid w:val="0"/>
              <w:spacing w:before="120" w:beforeLines="50" w:line="520" w:lineRule="exact"/>
              <w:jc w:val="center"/>
              <w:rPr>
                <w:rFonts w:ascii="Times New Roman" w:hAnsi="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vAlign w:val="center"/>
          </w:tcPr>
          <w:p w14:paraId="2B7ED06C">
            <w:pPr>
              <w:snapToGrid w:val="0"/>
              <w:spacing w:before="120" w:beforeLines="50" w:line="520" w:lineRule="exact"/>
              <w:ind w:left="43"/>
              <w:jc w:val="center"/>
              <w:rPr>
                <w:rFonts w:ascii="Times New Roman" w:hAnsi="Times New Roman"/>
                <w:color w:val="auto"/>
                <w:sz w:val="24"/>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14:paraId="03AC13D1">
            <w:pPr>
              <w:snapToGrid w:val="0"/>
              <w:spacing w:before="120" w:beforeLines="50" w:line="520" w:lineRule="exact"/>
              <w:ind w:left="43"/>
              <w:jc w:val="center"/>
              <w:rPr>
                <w:rFonts w:ascii="Times New Roman" w:hAnsi="Times New Roman"/>
                <w:color w:val="auto"/>
                <w:sz w:val="24"/>
                <w:highlight w:val="none"/>
              </w:rPr>
            </w:pPr>
          </w:p>
        </w:tc>
      </w:tr>
      <w:tr w14:paraId="5F332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61" w:type="dxa"/>
            <w:tcBorders>
              <w:top w:val="single" w:color="auto" w:sz="4" w:space="0"/>
              <w:left w:val="single" w:color="auto" w:sz="4" w:space="0"/>
              <w:bottom w:val="single" w:color="auto" w:sz="4" w:space="0"/>
              <w:right w:val="single" w:color="auto" w:sz="4" w:space="0"/>
            </w:tcBorders>
            <w:vAlign w:val="center"/>
          </w:tcPr>
          <w:p w14:paraId="6F48EC81">
            <w:pPr>
              <w:spacing w:line="520" w:lineRule="exact"/>
              <w:jc w:val="center"/>
              <w:rPr>
                <w:rFonts w:ascii="Times New Roman" w:hAnsi="Times New Roman"/>
                <w:color w:val="auto"/>
                <w:sz w:val="24"/>
                <w:highlight w:val="none"/>
              </w:rPr>
            </w:pPr>
          </w:p>
        </w:tc>
        <w:tc>
          <w:tcPr>
            <w:tcW w:w="2883" w:type="dxa"/>
            <w:tcBorders>
              <w:top w:val="single" w:color="auto" w:sz="4" w:space="0"/>
              <w:left w:val="single" w:color="auto" w:sz="4" w:space="0"/>
              <w:bottom w:val="single" w:color="auto" w:sz="4" w:space="0"/>
              <w:right w:val="single" w:color="auto" w:sz="4" w:space="0"/>
            </w:tcBorders>
            <w:vAlign w:val="center"/>
          </w:tcPr>
          <w:p w14:paraId="63F583CB">
            <w:pPr>
              <w:snapToGrid w:val="0"/>
              <w:spacing w:before="120" w:beforeLines="50" w:line="520" w:lineRule="exact"/>
              <w:jc w:val="center"/>
              <w:rPr>
                <w:rFonts w:ascii="Times New Roman" w:hAnsi="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vAlign w:val="center"/>
          </w:tcPr>
          <w:p w14:paraId="4D898B67">
            <w:pPr>
              <w:snapToGrid w:val="0"/>
              <w:spacing w:before="120" w:beforeLines="50" w:line="520" w:lineRule="exact"/>
              <w:jc w:val="center"/>
              <w:rPr>
                <w:rFonts w:ascii="Times New Roman" w:hAnsi="Times New Roman"/>
                <w:color w:val="auto"/>
                <w:sz w:val="24"/>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14:paraId="7EDF8961">
            <w:pPr>
              <w:snapToGrid w:val="0"/>
              <w:spacing w:before="120" w:beforeLines="50" w:line="520" w:lineRule="exact"/>
              <w:jc w:val="center"/>
              <w:rPr>
                <w:rFonts w:ascii="Times New Roman" w:hAnsi="Times New Roman"/>
                <w:color w:val="auto"/>
                <w:sz w:val="24"/>
                <w:highlight w:val="none"/>
              </w:rPr>
            </w:pPr>
          </w:p>
        </w:tc>
      </w:tr>
      <w:tr w14:paraId="674F2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61" w:type="dxa"/>
            <w:tcBorders>
              <w:top w:val="single" w:color="auto" w:sz="4" w:space="0"/>
              <w:left w:val="single" w:color="auto" w:sz="4" w:space="0"/>
              <w:bottom w:val="single" w:color="auto" w:sz="4" w:space="0"/>
              <w:right w:val="single" w:color="auto" w:sz="4" w:space="0"/>
            </w:tcBorders>
            <w:vAlign w:val="center"/>
          </w:tcPr>
          <w:p w14:paraId="7D3462AE">
            <w:pPr>
              <w:spacing w:line="520" w:lineRule="exact"/>
              <w:jc w:val="center"/>
              <w:rPr>
                <w:rFonts w:ascii="Times New Roman" w:hAnsi="Times New Roman"/>
                <w:color w:val="auto"/>
                <w:sz w:val="24"/>
                <w:highlight w:val="none"/>
              </w:rPr>
            </w:pPr>
            <w:r>
              <w:rPr>
                <w:rFonts w:ascii="Times New Roman" w:hAnsi="Times New Roman"/>
                <w:color w:val="auto"/>
                <w:sz w:val="24"/>
                <w:highlight w:val="none"/>
              </w:rPr>
              <w:t>...</w:t>
            </w:r>
          </w:p>
        </w:tc>
        <w:tc>
          <w:tcPr>
            <w:tcW w:w="2883" w:type="dxa"/>
            <w:tcBorders>
              <w:top w:val="single" w:color="auto" w:sz="4" w:space="0"/>
              <w:left w:val="single" w:color="auto" w:sz="4" w:space="0"/>
              <w:bottom w:val="single" w:color="auto" w:sz="4" w:space="0"/>
              <w:right w:val="single" w:color="auto" w:sz="4" w:space="0"/>
            </w:tcBorders>
            <w:vAlign w:val="center"/>
          </w:tcPr>
          <w:p w14:paraId="1B86E573">
            <w:pPr>
              <w:snapToGrid w:val="0"/>
              <w:spacing w:before="120" w:beforeLines="50" w:line="520" w:lineRule="exact"/>
              <w:jc w:val="center"/>
              <w:rPr>
                <w:rFonts w:ascii="Times New Roman" w:hAnsi="Times New Roman"/>
                <w:color w:val="auto"/>
                <w:sz w:val="24"/>
                <w:highlight w:val="none"/>
              </w:rPr>
            </w:pPr>
          </w:p>
        </w:tc>
        <w:tc>
          <w:tcPr>
            <w:tcW w:w="1346" w:type="dxa"/>
            <w:tcBorders>
              <w:top w:val="single" w:color="auto" w:sz="4" w:space="0"/>
              <w:left w:val="single" w:color="auto" w:sz="4" w:space="0"/>
              <w:bottom w:val="single" w:color="auto" w:sz="4" w:space="0"/>
              <w:right w:val="single" w:color="auto" w:sz="4" w:space="0"/>
            </w:tcBorders>
            <w:vAlign w:val="center"/>
          </w:tcPr>
          <w:p w14:paraId="38D8C1FD">
            <w:pPr>
              <w:snapToGrid w:val="0"/>
              <w:spacing w:before="120" w:beforeLines="50" w:line="520" w:lineRule="exact"/>
              <w:jc w:val="center"/>
              <w:rPr>
                <w:rFonts w:ascii="Times New Roman" w:hAnsi="Times New Roman"/>
                <w:color w:val="auto"/>
                <w:sz w:val="24"/>
                <w:highlight w:val="none"/>
              </w:rPr>
            </w:pPr>
          </w:p>
        </w:tc>
        <w:tc>
          <w:tcPr>
            <w:tcW w:w="3318" w:type="dxa"/>
            <w:tcBorders>
              <w:top w:val="single" w:color="auto" w:sz="4" w:space="0"/>
              <w:left w:val="single" w:color="auto" w:sz="4" w:space="0"/>
              <w:bottom w:val="single" w:color="auto" w:sz="4" w:space="0"/>
              <w:right w:val="single" w:color="auto" w:sz="4" w:space="0"/>
            </w:tcBorders>
            <w:vAlign w:val="center"/>
          </w:tcPr>
          <w:p w14:paraId="650F8492">
            <w:pPr>
              <w:snapToGrid w:val="0"/>
              <w:spacing w:before="120" w:beforeLines="50" w:line="520" w:lineRule="exact"/>
              <w:jc w:val="center"/>
              <w:rPr>
                <w:rFonts w:ascii="Times New Roman" w:hAnsi="Times New Roman"/>
                <w:color w:val="auto"/>
                <w:sz w:val="24"/>
                <w:highlight w:val="none"/>
              </w:rPr>
            </w:pPr>
          </w:p>
        </w:tc>
      </w:tr>
    </w:tbl>
    <w:p w14:paraId="143E17CD">
      <w:pPr>
        <w:pStyle w:val="14"/>
        <w:rPr>
          <w:rFonts w:ascii="Times New Roman" w:hAnsi="Times New Roman"/>
          <w:color w:val="auto"/>
          <w:sz w:val="24"/>
          <w:highlight w:val="none"/>
        </w:rPr>
      </w:pPr>
    </w:p>
    <w:p w14:paraId="02F93992">
      <w:pPr>
        <w:pStyle w:val="14"/>
        <w:rPr>
          <w:rFonts w:ascii="Times New Roman" w:hAnsi="Times New Roman"/>
          <w:color w:val="auto"/>
          <w:sz w:val="24"/>
          <w:highlight w:val="none"/>
        </w:rPr>
      </w:pPr>
    </w:p>
    <w:p w14:paraId="334CECB9">
      <w:pPr>
        <w:pStyle w:val="14"/>
        <w:rPr>
          <w:rFonts w:ascii="Times New Roman" w:hAnsi="Times New Roman"/>
          <w:color w:val="auto"/>
          <w:sz w:val="24"/>
          <w:highlight w:val="none"/>
        </w:rPr>
      </w:pPr>
    </w:p>
    <w:p w14:paraId="0A53960E">
      <w:pPr>
        <w:pStyle w:val="12"/>
        <w:spacing w:line="420" w:lineRule="exact"/>
        <w:rPr>
          <w:rFonts w:ascii="Times New Roman" w:hAnsi="Times New Roman" w:eastAsia="宋体"/>
          <w:color w:val="auto"/>
          <w:sz w:val="24"/>
          <w:szCs w:val="24"/>
          <w:highlight w:val="none"/>
        </w:rPr>
      </w:pPr>
    </w:p>
    <w:p w14:paraId="443FBFF4">
      <w:pPr>
        <w:pStyle w:val="12"/>
        <w:spacing w:before="120" w:line="360" w:lineRule="auto"/>
        <w:ind w:firstLine="420"/>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法定代表人</w:t>
      </w:r>
      <w:r>
        <w:rPr>
          <w:rFonts w:hint="eastAsia" w:ascii="Times New Roman" w:hAnsi="Times New Roman" w:eastAsia="宋体"/>
          <w:color w:val="auto"/>
          <w:sz w:val="24"/>
          <w:szCs w:val="24"/>
          <w:highlight w:val="none"/>
        </w:rPr>
        <w:t>（负责人）</w:t>
      </w:r>
      <w:r>
        <w:rPr>
          <w:rFonts w:ascii="Times New Roman" w:hAnsi="Times New Roman" w:eastAsia="宋体"/>
          <w:color w:val="auto"/>
          <w:sz w:val="24"/>
          <w:szCs w:val="24"/>
          <w:highlight w:val="none"/>
        </w:rPr>
        <w:t>或委托代理人（</w:t>
      </w:r>
      <w:r>
        <w:rPr>
          <w:rFonts w:hint="eastAsia" w:ascii="宋体" w:hAnsi="宋体" w:eastAsia="宋体"/>
          <w:color w:val="auto"/>
          <w:sz w:val="24"/>
          <w:highlight w:val="none"/>
        </w:rPr>
        <w:t>签字或电子签名</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29A0C6FD">
      <w:pPr>
        <w:pStyle w:val="12"/>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投标人名称（</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255BCEA3">
      <w:pPr>
        <w:pStyle w:val="12"/>
        <w:spacing w:before="120" w:line="360" w:lineRule="auto"/>
        <w:ind w:firstLine="42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日期：</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年</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月</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日</w:t>
      </w:r>
    </w:p>
    <w:p w14:paraId="32232435">
      <w:pPr>
        <w:pStyle w:val="12"/>
        <w:spacing w:line="500" w:lineRule="exact"/>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 xml:space="preserve"> </w:t>
      </w:r>
    </w:p>
    <w:p w14:paraId="1C368FC9">
      <w:pPr>
        <w:spacing w:line="300" w:lineRule="auto"/>
        <w:rPr>
          <w:rFonts w:ascii="Times New Roman" w:hAnsi="Times New Roman"/>
          <w:color w:val="auto"/>
          <w:sz w:val="24"/>
          <w:highlight w:val="none"/>
        </w:rPr>
      </w:pPr>
    </w:p>
    <w:p w14:paraId="7BF53D47">
      <w:pPr>
        <w:pStyle w:val="12"/>
        <w:spacing w:line="288" w:lineRule="auto"/>
        <w:ind w:firstLine="0" w:firstLineChars="0"/>
        <w:jc w:val="left"/>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eastAsia="zh-CN"/>
        </w:rPr>
        <w:t>注：</w:t>
      </w:r>
      <w:r>
        <w:rPr>
          <w:rFonts w:hint="eastAsia" w:ascii="Times New Roman" w:hAnsi="Times New Roman" w:eastAsia="宋体"/>
          <w:bCs/>
          <w:color w:val="auto"/>
          <w:sz w:val="24"/>
          <w:szCs w:val="24"/>
          <w:highlight w:val="none"/>
          <w:lang w:val="en-US" w:eastAsia="zh-CN"/>
        </w:rPr>
        <w:t>1、</w:t>
      </w:r>
      <w:r>
        <w:rPr>
          <w:rFonts w:hint="eastAsia" w:ascii="Times New Roman" w:hAnsi="Times New Roman" w:eastAsia="宋体"/>
          <w:bCs/>
          <w:color w:val="auto"/>
          <w:sz w:val="24"/>
          <w:szCs w:val="24"/>
          <w:highlight w:val="none"/>
        </w:rPr>
        <w:t>如为联合体投标，“投标人名称”处必须列明联合体各方名称，并标注联合体牵头人名称，否则其投标作无效标处理。</w:t>
      </w:r>
    </w:p>
    <w:p w14:paraId="30E1E123">
      <w:pPr>
        <w:spacing w:line="380" w:lineRule="exact"/>
        <w:ind w:firstLine="0" w:firstLineChars="0"/>
        <w:rPr>
          <w:rFonts w:hint="eastAsia" w:ascii="Times New Roman" w:hAnsi="Times New Roman" w:eastAsia="宋体"/>
          <w:color w:val="auto"/>
          <w:sz w:val="24"/>
          <w:szCs w:val="24"/>
          <w:highlight w:val="none"/>
          <w:lang w:eastAsia="zh-CN"/>
        </w:rPr>
      </w:pPr>
      <w:r>
        <w:rPr>
          <w:rFonts w:hint="eastAsia" w:ascii="Times New Roman" w:hAnsi="Times New Roman" w:eastAsia="宋体"/>
          <w:bCs/>
          <w:color w:val="auto"/>
          <w:sz w:val="24"/>
          <w:highlight w:val="none"/>
          <w:lang w:val="en-US" w:eastAsia="zh-CN"/>
        </w:rPr>
        <w:t>2</w:t>
      </w:r>
      <w:r>
        <w:rPr>
          <w:rFonts w:hint="eastAsia" w:ascii="Times New Roman" w:hAnsi="Times New Roman"/>
          <w:bCs/>
          <w:color w:val="auto"/>
          <w:sz w:val="24"/>
          <w:highlight w:val="none"/>
          <w:lang w:eastAsia="zh-CN"/>
        </w:rPr>
        <w:t>、</w:t>
      </w:r>
      <w:r>
        <w:rPr>
          <w:rFonts w:hint="eastAsia" w:ascii="Times New Roman" w:hAnsi="Times New Roman" w:eastAsia="宋体"/>
          <w:bCs/>
          <w:color w:val="auto"/>
          <w:sz w:val="24"/>
          <w:highlight w:val="none"/>
        </w:rPr>
        <w:t>如为联合体投标，盖章处须加盖联合体牵头人</w:t>
      </w:r>
      <w:r>
        <w:rPr>
          <w:rFonts w:hint="eastAsia" w:ascii="Times New Roman" w:hAnsi="Times New Roman" w:eastAsia="宋体"/>
          <w:bCs/>
          <w:color w:val="auto"/>
          <w:sz w:val="24"/>
          <w:highlight w:val="none"/>
          <w:lang w:eastAsia="zh-CN"/>
        </w:rPr>
        <w:t>公章或</w:t>
      </w:r>
      <w:r>
        <w:rPr>
          <w:rFonts w:hint="eastAsia" w:ascii="Times New Roman" w:hAnsi="Times New Roman" w:eastAsia="宋体"/>
          <w:bCs/>
          <w:color w:val="auto"/>
          <w:sz w:val="24"/>
          <w:highlight w:val="none"/>
        </w:rPr>
        <w:t>电子签章，否则其投标作无效标处理</w:t>
      </w:r>
      <w:r>
        <w:rPr>
          <w:rFonts w:hint="eastAsia" w:ascii="Times New Roman" w:hAnsi="Times New Roman" w:eastAsia="宋体"/>
          <w:bCs/>
          <w:color w:val="auto"/>
          <w:sz w:val="24"/>
          <w:highlight w:val="none"/>
          <w:lang w:eastAsia="zh-CN"/>
        </w:rPr>
        <w:t>。</w:t>
      </w:r>
    </w:p>
    <w:p w14:paraId="7C7C8532">
      <w:pPr>
        <w:adjustRightInd w:val="0"/>
        <w:snapToGrid w:val="0"/>
        <w:spacing w:line="520" w:lineRule="exact"/>
        <w:ind w:firstLine="4480" w:firstLineChars="1600"/>
        <w:jc w:val="center"/>
        <w:rPr>
          <w:rFonts w:ascii="Times New Roman" w:hAnsi="Times New Roman"/>
          <w:color w:val="auto"/>
          <w:highlight w:val="none"/>
        </w:rPr>
      </w:pPr>
      <w:r>
        <w:rPr>
          <w:rFonts w:ascii="Times New Roman" w:hAnsi="Times New Roman"/>
          <w:color w:val="auto"/>
          <w:sz w:val="28"/>
          <w:szCs w:val="28"/>
          <w:highlight w:val="none"/>
        </w:rPr>
        <w:br w:type="page"/>
      </w:r>
    </w:p>
    <w:p w14:paraId="79806803">
      <w:pPr>
        <w:adjustRightInd w:val="0"/>
        <w:snapToGrid w:val="0"/>
        <w:spacing w:line="300" w:lineRule="auto"/>
        <w:jc w:val="center"/>
        <w:rPr>
          <w:rFonts w:ascii="Times New Roman" w:hAnsi="Times New Roman"/>
          <w:b/>
          <w:color w:val="auto"/>
          <w:sz w:val="36"/>
          <w:szCs w:val="36"/>
          <w:highlight w:val="none"/>
        </w:rPr>
      </w:pPr>
      <w:r>
        <w:rPr>
          <w:rFonts w:ascii="Times New Roman" w:hAnsi="Times New Roman"/>
          <w:b/>
          <w:color w:val="auto"/>
          <w:sz w:val="36"/>
          <w:szCs w:val="36"/>
          <w:highlight w:val="none"/>
        </w:rPr>
        <w:t>技术响应表（格式）</w:t>
      </w:r>
    </w:p>
    <w:p w14:paraId="2EA303E5">
      <w:pPr>
        <w:pStyle w:val="12"/>
        <w:spacing w:before="120" w:line="360" w:lineRule="auto"/>
        <w:rPr>
          <w:rFonts w:ascii="Times New Roman" w:hAnsi="Times New Roman" w:eastAsia="宋体"/>
          <w:b/>
          <w:color w:val="auto"/>
          <w:sz w:val="24"/>
          <w:szCs w:val="24"/>
          <w:highlight w:val="none"/>
        </w:rPr>
      </w:pPr>
    </w:p>
    <w:p w14:paraId="7CD43103">
      <w:pPr>
        <w:pStyle w:val="12"/>
        <w:spacing w:before="120" w:line="360" w:lineRule="auto"/>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项目名称：</w:t>
      </w:r>
      <w:r>
        <w:rPr>
          <w:rFonts w:ascii="Times New Roman" w:hAnsi="Times New Roman" w:eastAsia="宋体"/>
          <w:b/>
          <w:color w:val="auto"/>
          <w:sz w:val="24"/>
          <w:szCs w:val="24"/>
          <w:highlight w:val="none"/>
          <w:u w:val="single"/>
        </w:rPr>
        <w:t xml:space="preserve">                    </w:t>
      </w:r>
    </w:p>
    <w:p w14:paraId="7554D916">
      <w:pPr>
        <w:pStyle w:val="12"/>
        <w:spacing w:before="120" w:line="360" w:lineRule="auto"/>
        <w:rPr>
          <w:rFonts w:ascii="Times New Roman" w:hAnsi="Times New Roman" w:eastAsia="宋体"/>
          <w:b/>
          <w:color w:val="auto"/>
          <w:sz w:val="24"/>
          <w:szCs w:val="24"/>
          <w:highlight w:val="none"/>
          <w:u w:val="single"/>
        </w:rPr>
      </w:pPr>
      <w:r>
        <w:rPr>
          <w:rFonts w:ascii="Times New Roman" w:hAnsi="Times New Roman" w:eastAsia="宋体"/>
          <w:b/>
          <w:color w:val="auto"/>
          <w:sz w:val="24"/>
          <w:szCs w:val="24"/>
          <w:highlight w:val="none"/>
        </w:rPr>
        <w:t>项目编号：</w:t>
      </w:r>
      <w:r>
        <w:rPr>
          <w:rFonts w:ascii="Times New Roman" w:hAnsi="Times New Roman" w:eastAsia="宋体"/>
          <w:b/>
          <w:color w:val="auto"/>
          <w:sz w:val="24"/>
          <w:szCs w:val="24"/>
          <w:highlight w:val="none"/>
          <w:u w:val="single"/>
        </w:rPr>
        <w:t xml:space="preserve">  </w:t>
      </w:r>
      <w:r>
        <w:rPr>
          <w:rFonts w:hint="eastAsia" w:ascii="Times New Roman" w:hAnsi="Times New Roman" w:eastAsia="宋体"/>
          <w:b/>
          <w:color w:val="auto"/>
          <w:sz w:val="24"/>
          <w:szCs w:val="24"/>
          <w:highlight w:val="none"/>
          <w:u w:val="single"/>
        </w:rPr>
        <w:t xml:space="preserve">                  </w:t>
      </w:r>
    </w:p>
    <w:p w14:paraId="4AFFCDFB">
      <w:pPr>
        <w:rPr>
          <w:color w:val="auto"/>
          <w:highlight w:val="none"/>
        </w:rPr>
      </w:pPr>
    </w:p>
    <w:tbl>
      <w:tblPr>
        <w:tblStyle w:val="19"/>
        <w:tblpPr w:leftFromText="180" w:rightFromText="180" w:vertAnchor="text" w:horzAnchor="page" w:tblpX="1588"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367"/>
        <w:gridCol w:w="3260"/>
        <w:gridCol w:w="1843"/>
      </w:tblGrid>
      <w:tr w14:paraId="2D3F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 w:type="dxa"/>
            <w:vAlign w:val="center"/>
          </w:tcPr>
          <w:p w14:paraId="17B5A302">
            <w:pPr>
              <w:pStyle w:val="12"/>
              <w:spacing w:line="400" w:lineRule="exact"/>
              <w:rPr>
                <w:rFonts w:ascii="Times New Roman" w:hAnsi="Times New Roman" w:eastAsia="宋体"/>
                <w:color w:val="auto"/>
                <w:kern w:val="2"/>
                <w:sz w:val="24"/>
                <w:szCs w:val="24"/>
                <w:highlight w:val="none"/>
              </w:rPr>
            </w:pPr>
            <w:r>
              <w:rPr>
                <w:rFonts w:ascii="Times New Roman" w:hAnsi="Times New Roman" w:eastAsia="宋体"/>
                <w:color w:val="auto"/>
                <w:kern w:val="2"/>
                <w:sz w:val="24"/>
                <w:szCs w:val="24"/>
                <w:highlight w:val="none"/>
              </w:rPr>
              <w:t>项号</w:t>
            </w:r>
          </w:p>
        </w:tc>
        <w:tc>
          <w:tcPr>
            <w:tcW w:w="3367" w:type="dxa"/>
            <w:vAlign w:val="center"/>
          </w:tcPr>
          <w:p w14:paraId="25A58899">
            <w:pPr>
              <w:pStyle w:val="12"/>
              <w:spacing w:line="400" w:lineRule="exact"/>
              <w:jc w:val="center"/>
              <w:rPr>
                <w:rFonts w:ascii="Times New Roman" w:hAnsi="Times New Roman" w:eastAsia="宋体"/>
                <w:color w:val="auto"/>
                <w:kern w:val="2"/>
                <w:sz w:val="24"/>
                <w:szCs w:val="24"/>
                <w:highlight w:val="none"/>
              </w:rPr>
            </w:pPr>
            <w:r>
              <w:rPr>
                <w:rFonts w:ascii="Times New Roman" w:hAnsi="Times New Roman" w:eastAsia="宋体"/>
                <w:color w:val="auto"/>
                <w:kern w:val="2"/>
                <w:sz w:val="24"/>
                <w:szCs w:val="24"/>
                <w:highlight w:val="none"/>
              </w:rPr>
              <w:t>招标文件服务要求</w:t>
            </w:r>
          </w:p>
        </w:tc>
        <w:tc>
          <w:tcPr>
            <w:tcW w:w="3260" w:type="dxa"/>
            <w:vAlign w:val="center"/>
          </w:tcPr>
          <w:p w14:paraId="29918BB8">
            <w:pPr>
              <w:pStyle w:val="12"/>
              <w:spacing w:line="400" w:lineRule="exact"/>
              <w:jc w:val="center"/>
              <w:rPr>
                <w:rFonts w:ascii="Times New Roman" w:hAnsi="Times New Roman" w:eastAsia="宋体"/>
                <w:color w:val="auto"/>
                <w:kern w:val="2"/>
                <w:sz w:val="24"/>
                <w:szCs w:val="24"/>
                <w:highlight w:val="none"/>
              </w:rPr>
            </w:pPr>
            <w:r>
              <w:rPr>
                <w:rFonts w:ascii="Times New Roman" w:hAnsi="Times New Roman" w:eastAsia="宋体"/>
                <w:color w:val="auto"/>
                <w:kern w:val="2"/>
                <w:sz w:val="24"/>
                <w:szCs w:val="24"/>
                <w:highlight w:val="none"/>
              </w:rPr>
              <w:t>投标文件响应情况</w:t>
            </w:r>
          </w:p>
        </w:tc>
        <w:tc>
          <w:tcPr>
            <w:tcW w:w="1843" w:type="dxa"/>
            <w:vAlign w:val="center"/>
          </w:tcPr>
          <w:p w14:paraId="2D3353B8">
            <w:pPr>
              <w:pStyle w:val="12"/>
              <w:spacing w:line="400" w:lineRule="exact"/>
              <w:jc w:val="center"/>
              <w:rPr>
                <w:rFonts w:ascii="Times New Roman" w:hAnsi="Times New Roman" w:eastAsia="宋体"/>
                <w:color w:val="auto"/>
                <w:kern w:val="2"/>
                <w:sz w:val="24"/>
                <w:szCs w:val="24"/>
                <w:highlight w:val="none"/>
              </w:rPr>
            </w:pPr>
            <w:r>
              <w:rPr>
                <w:rFonts w:ascii="Times New Roman" w:hAnsi="Times New Roman" w:eastAsia="宋体"/>
                <w:color w:val="auto"/>
                <w:kern w:val="2"/>
                <w:sz w:val="24"/>
                <w:szCs w:val="24"/>
                <w:highlight w:val="none"/>
              </w:rPr>
              <w:t>偏离说明</w:t>
            </w:r>
          </w:p>
        </w:tc>
      </w:tr>
      <w:tr w14:paraId="2AC2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F3BA722">
            <w:pPr>
              <w:pStyle w:val="12"/>
              <w:jc w:val="center"/>
              <w:rPr>
                <w:rFonts w:ascii="Times New Roman" w:hAnsi="Times New Roman" w:eastAsia="宋体"/>
                <w:color w:val="auto"/>
                <w:kern w:val="2"/>
                <w:sz w:val="24"/>
                <w:szCs w:val="24"/>
                <w:highlight w:val="none"/>
              </w:rPr>
            </w:pPr>
            <w:r>
              <w:rPr>
                <w:rFonts w:ascii="Times New Roman" w:hAnsi="Times New Roman" w:eastAsia="宋体"/>
                <w:color w:val="auto"/>
                <w:kern w:val="2"/>
                <w:sz w:val="24"/>
                <w:szCs w:val="24"/>
                <w:highlight w:val="none"/>
              </w:rPr>
              <w:t>1</w:t>
            </w:r>
          </w:p>
        </w:tc>
        <w:tc>
          <w:tcPr>
            <w:tcW w:w="3367" w:type="dxa"/>
            <w:vAlign w:val="center"/>
          </w:tcPr>
          <w:p w14:paraId="46CAC41E">
            <w:pPr>
              <w:pStyle w:val="12"/>
              <w:spacing w:line="600" w:lineRule="exact"/>
              <w:jc w:val="center"/>
              <w:rPr>
                <w:rFonts w:ascii="Times New Roman" w:hAnsi="Times New Roman" w:eastAsia="宋体"/>
                <w:color w:val="auto"/>
                <w:kern w:val="2"/>
                <w:sz w:val="24"/>
                <w:szCs w:val="24"/>
                <w:highlight w:val="none"/>
              </w:rPr>
            </w:pPr>
          </w:p>
        </w:tc>
        <w:tc>
          <w:tcPr>
            <w:tcW w:w="3260" w:type="dxa"/>
            <w:vAlign w:val="center"/>
          </w:tcPr>
          <w:p w14:paraId="7248BCAC">
            <w:pPr>
              <w:pStyle w:val="12"/>
              <w:spacing w:line="600" w:lineRule="exact"/>
              <w:jc w:val="center"/>
              <w:rPr>
                <w:rFonts w:ascii="Times New Roman" w:hAnsi="Times New Roman" w:eastAsia="宋体"/>
                <w:color w:val="auto"/>
                <w:kern w:val="2"/>
                <w:sz w:val="24"/>
                <w:szCs w:val="24"/>
                <w:highlight w:val="none"/>
              </w:rPr>
            </w:pPr>
          </w:p>
        </w:tc>
        <w:tc>
          <w:tcPr>
            <w:tcW w:w="1843" w:type="dxa"/>
            <w:vAlign w:val="center"/>
          </w:tcPr>
          <w:p w14:paraId="677D00AB">
            <w:pPr>
              <w:pStyle w:val="12"/>
              <w:spacing w:line="600" w:lineRule="exact"/>
              <w:jc w:val="center"/>
              <w:rPr>
                <w:rFonts w:ascii="Times New Roman" w:hAnsi="Times New Roman" w:eastAsia="宋体"/>
                <w:color w:val="auto"/>
                <w:kern w:val="2"/>
                <w:sz w:val="24"/>
                <w:szCs w:val="24"/>
                <w:highlight w:val="none"/>
              </w:rPr>
            </w:pPr>
          </w:p>
        </w:tc>
      </w:tr>
      <w:tr w14:paraId="4DBD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DBC8673">
            <w:pPr>
              <w:pStyle w:val="12"/>
              <w:jc w:val="center"/>
              <w:rPr>
                <w:rFonts w:ascii="Times New Roman" w:hAnsi="Times New Roman" w:eastAsia="宋体"/>
                <w:color w:val="auto"/>
                <w:kern w:val="2"/>
                <w:sz w:val="24"/>
                <w:szCs w:val="24"/>
                <w:highlight w:val="none"/>
              </w:rPr>
            </w:pPr>
            <w:r>
              <w:rPr>
                <w:rFonts w:ascii="Times New Roman" w:hAnsi="Times New Roman" w:eastAsia="宋体"/>
                <w:color w:val="auto"/>
                <w:kern w:val="2"/>
                <w:sz w:val="24"/>
                <w:szCs w:val="24"/>
                <w:highlight w:val="none"/>
              </w:rPr>
              <w:t>2</w:t>
            </w:r>
          </w:p>
        </w:tc>
        <w:tc>
          <w:tcPr>
            <w:tcW w:w="3367" w:type="dxa"/>
            <w:vAlign w:val="center"/>
          </w:tcPr>
          <w:p w14:paraId="7F0DA556">
            <w:pPr>
              <w:pStyle w:val="12"/>
              <w:spacing w:line="600" w:lineRule="exact"/>
              <w:jc w:val="center"/>
              <w:rPr>
                <w:rFonts w:ascii="Times New Roman" w:hAnsi="Times New Roman" w:eastAsia="宋体"/>
                <w:color w:val="auto"/>
                <w:kern w:val="2"/>
                <w:sz w:val="24"/>
                <w:szCs w:val="24"/>
                <w:highlight w:val="none"/>
              </w:rPr>
            </w:pPr>
          </w:p>
        </w:tc>
        <w:tc>
          <w:tcPr>
            <w:tcW w:w="3260" w:type="dxa"/>
            <w:vAlign w:val="center"/>
          </w:tcPr>
          <w:p w14:paraId="66E1EB8B">
            <w:pPr>
              <w:pStyle w:val="12"/>
              <w:spacing w:line="600" w:lineRule="exact"/>
              <w:jc w:val="center"/>
              <w:rPr>
                <w:rFonts w:ascii="Times New Roman" w:hAnsi="Times New Roman" w:eastAsia="宋体"/>
                <w:color w:val="auto"/>
                <w:kern w:val="2"/>
                <w:sz w:val="24"/>
                <w:szCs w:val="24"/>
                <w:highlight w:val="none"/>
              </w:rPr>
            </w:pPr>
          </w:p>
        </w:tc>
        <w:tc>
          <w:tcPr>
            <w:tcW w:w="1843" w:type="dxa"/>
            <w:vAlign w:val="center"/>
          </w:tcPr>
          <w:p w14:paraId="1EB28C34">
            <w:pPr>
              <w:pStyle w:val="12"/>
              <w:spacing w:line="600" w:lineRule="exact"/>
              <w:jc w:val="center"/>
              <w:rPr>
                <w:rFonts w:ascii="Times New Roman" w:hAnsi="Times New Roman" w:eastAsia="宋体"/>
                <w:color w:val="auto"/>
                <w:kern w:val="2"/>
                <w:sz w:val="24"/>
                <w:szCs w:val="24"/>
                <w:highlight w:val="none"/>
              </w:rPr>
            </w:pPr>
          </w:p>
        </w:tc>
      </w:tr>
      <w:tr w14:paraId="7057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09C44F5">
            <w:pPr>
              <w:pStyle w:val="12"/>
              <w:jc w:val="center"/>
              <w:rPr>
                <w:rFonts w:ascii="Times New Roman" w:hAnsi="Times New Roman" w:eastAsia="宋体"/>
                <w:color w:val="auto"/>
                <w:kern w:val="2"/>
                <w:sz w:val="24"/>
                <w:szCs w:val="24"/>
                <w:highlight w:val="none"/>
              </w:rPr>
            </w:pPr>
            <w:r>
              <w:rPr>
                <w:rFonts w:ascii="Times New Roman" w:hAnsi="Times New Roman" w:eastAsia="宋体"/>
                <w:color w:val="auto"/>
                <w:kern w:val="2"/>
                <w:sz w:val="24"/>
                <w:szCs w:val="24"/>
                <w:highlight w:val="none"/>
              </w:rPr>
              <w:t>3</w:t>
            </w:r>
          </w:p>
        </w:tc>
        <w:tc>
          <w:tcPr>
            <w:tcW w:w="3367" w:type="dxa"/>
            <w:vAlign w:val="center"/>
          </w:tcPr>
          <w:p w14:paraId="6948FBB0">
            <w:pPr>
              <w:pStyle w:val="12"/>
              <w:spacing w:line="600" w:lineRule="exact"/>
              <w:jc w:val="center"/>
              <w:rPr>
                <w:rFonts w:ascii="Times New Roman" w:hAnsi="Times New Roman" w:eastAsia="宋体"/>
                <w:color w:val="auto"/>
                <w:kern w:val="2"/>
                <w:sz w:val="24"/>
                <w:szCs w:val="24"/>
                <w:highlight w:val="none"/>
              </w:rPr>
            </w:pPr>
          </w:p>
        </w:tc>
        <w:tc>
          <w:tcPr>
            <w:tcW w:w="3260" w:type="dxa"/>
            <w:vAlign w:val="center"/>
          </w:tcPr>
          <w:p w14:paraId="240A79B8">
            <w:pPr>
              <w:pStyle w:val="12"/>
              <w:spacing w:line="600" w:lineRule="exact"/>
              <w:jc w:val="center"/>
              <w:rPr>
                <w:rFonts w:ascii="Times New Roman" w:hAnsi="Times New Roman" w:eastAsia="宋体"/>
                <w:color w:val="auto"/>
                <w:kern w:val="2"/>
                <w:sz w:val="24"/>
                <w:szCs w:val="24"/>
                <w:highlight w:val="none"/>
              </w:rPr>
            </w:pPr>
          </w:p>
        </w:tc>
        <w:tc>
          <w:tcPr>
            <w:tcW w:w="1843" w:type="dxa"/>
            <w:vAlign w:val="center"/>
          </w:tcPr>
          <w:p w14:paraId="6D2127A1">
            <w:pPr>
              <w:pStyle w:val="12"/>
              <w:spacing w:line="600" w:lineRule="exact"/>
              <w:jc w:val="center"/>
              <w:rPr>
                <w:rFonts w:ascii="Times New Roman" w:hAnsi="Times New Roman" w:eastAsia="宋体"/>
                <w:color w:val="auto"/>
                <w:kern w:val="2"/>
                <w:sz w:val="24"/>
                <w:szCs w:val="24"/>
                <w:highlight w:val="none"/>
              </w:rPr>
            </w:pPr>
          </w:p>
        </w:tc>
      </w:tr>
      <w:tr w14:paraId="7860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0FC25ECE">
            <w:pPr>
              <w:pStyle w:val="12"/>
              <w:jc w:val="center"/>
              <w:rPr>
                <w:rFonts w:ascii="Times New Roman" w:hAnsi="Times New Roman" w:eastAsia="宋体"/>
                <w:color w:val="auto"/>
                <w:kern w:val="2"/>
                <w:sz w:val="24"/>
                <w:szCs w:val="24"/>
                <w:highlight w:val="none"/>
              </w:rPr>
            </w:pPr>
            <w:r>
              <w:rPr>
                <w:rFonts w:ascii="Times New Roman" w:hAnsi="Times New Roman" w:eastAsia="宋体"/>
                <w:color w:val="auto"/>
                <w:kern w:val="2"/>
                <w:sz w:val="24"/>
                <w:szCs w:val="24"/>
                <w:highlight w:val="none"/>
              </w:rPr>
              <w:t>N</w:t>
            </w:r>
          </w:p>
        </w:tc>
        <w:tc>
          <w:tcPr>
            <w:tcW w:w="3367" w:type="dxa"/>
            <w:vAlign w:val="center"/>
          </w:tcPr>
          <w:p w14:paraId="02B5DBDB">
            <w:pPr>
              <w:pStyle w:val="12"/>
              <w:spacing w:line="600" w:lineRule="exact"/>
              <w:jc w:val="center"/>
              <w:rPr>
                <w:rFonts w:ascii="Times New Roman" w:hAnsi="Times New Roman" w:eastAsia="宋体"/>
                <w:color w:val="auto"/>
                <w:kern w:val="2"/>
                <w:sz w:val="24"/>
                <w:szCs w:val="24"/>
                <w:highlight w:val="none"/>
              </w:rPr>
            </w:pPr>
          </w:p>
        </w:tc>
        <w:tc>
          <w:tcPr>
            <w:tcW w:w="3260" w:type="dxa"/>
            <w:vAlign w:val="center"/>
          </w:tcPr>
          <w:p w14:paraId="4FDB0059">
            <w:pPr>
              <w:pStyle w:val="12"/>
              <w:spacing w:line="600" w:lineRule="exact"/>
              <w:jc w:val="center"/>
              <w:rPr>
                <w:rFonts w:ascii="Times New Roman" w:hAnsi="Times New Roman" w:eastAsia="宋体"/>
                <w:color w:val="auto"/>
                <w:kern w:val="2"/>
                <w:sz w:val="24"/>
                <w:szCs w:val="24"/>
                <w:highlight w:val="none"/>
              </w:rPr>
            </w:pPr>
          </w:p>
        </w:tc>
        <w:tc>
          <w:tcPr>
            <w:tcW w:w="1843" w:type="dxa"/>
            <w:vAlign w:val="center"/>
          </w:tcPr>
          <w:p w14:paraId="219D577F">
            <w:pPr>
              <w:pStyle w:val="12"/>
              <w:spacing w:line="600" w:lineRule="exact"/>
              <w:jc w:val="center"/>
              <w:rPr>
                <w:rFonts w:ascii="Times New Roman" w:hAnsi="Times New Roman" w:eastAsia="宋体"/>
                <w:color w:val="auto"/>
                <w:kern w:val="2"/>
                <w:sz w:val="24"/>
                <w:szCs w:val="24"/>
                <w:highlight w:val="none"/>
              </w:rPr>
            </w:pPr>
          </w:p>
        </w:tc>
      </w:tr>
    </w:tbl>
    <w:p w14:paraId="1B2833B9">
      <w:pPr>
        <w:adjustRightInd w:val="0"/>
        <w:snapToGrid w:val="0"/>
        <w:spacing w:line="520" w:lineRule="exact"/>
        <w:rPr>
          <w:rFonts w:ascii="Times New Roman" w:hAnsi="Times New Roman"/>
          <w:color w:val="auto"/>
          <w:sz w:val="24"/>
          <w:highlight w:val="none"/>
        </w:rPr>
      </w:pPr>
    </w:p>
    <w:p w14:paraId="4F4BF808">
      <w:pPr>
        <w:pStyle w:val="11"/>
        <w:spacing w:line="520" w:lineRule="exact"/>
        <w:ind w:firstLine="0" w:firstLineChars="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说明：应对照招标文件“第三章 “</w:t>
      </w:r>
      <w:r>
        <w:rPr>
          <w:rFonts w:hint="eastAsia" w:ascii="Times New Roman" w:hAnsi="Times New Roman" w:eastAsia="宋体"/>
          <w:color w:val="auto"/>
          <w:sz w:val="24"/>
          <w:szCs w:val="24"/>
          <w:highlight w:val="none"/>
        </w:rPr>
        <w:t>项目采购需求</w:t>
      </w:r>
      <w:r>
        <w:rPr>
          <w:rFonts w:ascii="Times New Roman" w:hAnsi="Times New Roman" w:eastAsia="宋体"/>
          <w:color w:val="auto"/>
          <w:sz w:val="24"/>
          <w:szCs w:val="24"/>
          <w:highlight w:val="none"/>
        </w:rPr>
        <w:t>”，逐条说明所提供服务已对招标文件的技术需求做出了实质性的响应，并申明与服务需求条文的响应和偏离。</w:t>
      </w:r>
    </w:p>
    <w:p w14:paraId="4E853151">
      <w:pPr>
        <w:pStyle w:val="12"/>
        <w:spacing w:line="520" w:lineRule="exact"/>
        <w:rPr>
          <w:rFonts w:ascii="Times New Roman" w:hAnsi="Times New Roman" w:eastAsia="宋体"/>
          <w:color w:val="auto"/>
          <w:sz w:val="24"/>
          <w:szCs w:val="24"/>
          <w:highlight w:val="none"/>
        </w:rPr>
      </w:pPr>
    </w:p>
    <w:p w14:paraId="11D655CA">
      <w:pPr>
        <w:snapToGrid w:val="0"/>
        <w:spacing w:before="50" w:after="50" w:line="520" w:lineRule="exact"/>
        <w:ind w:right="-817" w:rightChars="-389"/>
        <w:rPr>
          <w:rFonts w:ascii="Times New Roman" w:hAnsi="Times New Roman"/>
          <w:color w:val="auto"/>
          <w:sz w:val="24"/>
          <w:highlight w:val="none"/>
        </w:rPr>
      </w:pPr>
    </w:p>
    <w:p w14:paraId="050B53BB">
      <w:pPr>
        <w:pStyle w:val="12"/>
        <w:spacing w:before="120" w:line="360" w:lineRule="auto"/>
        <w:ind w:firstLine="3120" w:firstLineChars="1300"/>
        <w:rPr>
          <w:rFonts w:ascii="Times New Roman" w:hAnsi="Times New Roman" w:eastAsia="宋体"/>
          <w:color w:val="auto"/>
          <w:sz w:val="24"/>
          <w:szCs w:val="24"/>
          <w:highlight w:val="none"/>
          <w:u w:val="single"/>
        </w:rPr>
      </w:pPr>
      <w:r>
        <w:rPr>
          <w:rFonts w:ascii="Times New Roman" w:hAnsi="Times New Roman" w:eastAsia="宋体"/>
          <w:color w:val="auto"/>
          <w:sz w:val="24"/>
          <w:szCs w:val="24"/>
          <w:highlight w:val="none"/>
        </w:rPr>
        <w:t>法定代表人</w:t>
      </w:r>
      <w:r>
        <w:rPr>
          <w:rFonts w:hint="eastAsia" w:ascii="Times New Roman" w:hAnsi="Times New Roman" w:eastAsia="宋体"/>
          <w:color w:val="auto"/>
          <w:sz w:val="24"/>
          <w:szCs w:val="24"/>
          <w:highlight w:val="none"/>
        </w:rPr>
        <w:t>（负责人）</w:t>
      </w:r>
      <w:r>
        <w:rPr>
          <w:rFonts w:ascii="Times New Roman" w:hAnsi="Times New Roman" w:eastAsia="宋体"/>
          <w:color w:val="auto"/>
          <w:sz w:val="24"/>
          <w:szCs w:val="24"/>
          <w:highlight w:val="none"/>
        </w:rPr>
        <w:t>或委托代理人（</w:t>
      </w:r>
      <w:r>
        <w:rPr>
          <w:rFonts w:hint="eastAsia" w:ascii="宋体" w:hAnsi="宋体" w:eastAsia="宋体"/>
          <w:color w:val="auto"/>
          <w:sz w:val="24"/>
          <w:highlight w:val="none"/>
        </w:rPr>
        <w:t>签字或电子签名</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078A712C">
      <w:pPr>
        <w:pStyle w:val="12"/>
        <w:spacing w:before="120" w:line="360" w:lineRule="auto"/>
        <w:ind w:firstLine="4320" w:firstLineChars="18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投标人（</w:t>
      </w:r>
      <w:r>
        <w:rPr>
          <w:rFonts w:hint="eastAsia" w:ascii="Times New Roman" w:hAnsi="Times New Roman"/>
          <w:color w:val="auto"/>
          <w:sz w:val="24"/>
          <w:highlight w:val="none"/>
        </w:rPr>
        <w:t>电子</w:t>
      </w:r>
      <w:r>
        <w:rPr>
          <w:rFonts w:ascii="Times New Roman" w:hAnsi="Times New Roman"/>
          <w:color w:val="auto"/>
          <w:sz w:val="24"/>
          <w:highlight w:val="none"/>
        </w:rPr>
        <w:t>公章</w:t>
      </w:r>
      <w:r>
        <w:rPr>
          <w:rFonts w:ascii="Times New Roman" w:hAnsi="Times New Roman" w:eastAsia="宋体"/>
          <w:color w:val="auto"/>
          <w:sz w:val="24"/>
          <w:szCs w:val="24"/>
          <w:highlight w:val="none"/>
        </w:rPr>
        <w:t>）：</w:t>
      </w:r>
      <w:r>
        <w:rPr>
          <w:rFonts w:ascii="Times New Roman" w:hAnsi="Times New Roman" w:eastAsia="宋体"/>
          <w:color w:val="auto"/>
          <w:sz w:val="24"/>
          <w:szCs w:val="24"/>
          <w:highlight w:val="none"/>
          <w:u w:val="single"/>
        </w:rPr>
        <w:t xml:space="preserve">                       </w:t>
      </w:r>
    </w:p>
    <w:p w14:paraId="0D5E411C">
      <w:pPr>
        <w:pStyle w:val="12"/>
        <w:spacing w:before="120" w:line="360" w:lineRule="auto"/>
        <w:ind w:firstLine="5040" w:firstLineChars="21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日期：</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 xml:space="preserve"> 年</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月</w:t>
      </w:r>
      <w:r>
        <w:rPr>
          <w:rFonts w:ascii="Times New Roman" w:hAnsi="Times New Roman" w:eastAsia="宋体"/>
          <w:color w:val="auto"/>
          <w:sz w:val="24"/>
          <w:szCs w:val="24"/>
          <w:highlight w:val="none"/>
          <w:u w:val="single"/>
        </w:rPr>
        <w:t xml:space="preserve">    </w:t>
      </w:r>
      <w:r>
        <w:rPr>
          <w:rFonts w:ascii="Times New Roman" w:hAnsi="Times New Roman" w:eastAsia="宋体"/>
          <w:color w:val="auto"/>
          <w:sz w:val="24"/>
          <w:szCs w:val="24"/>
          <w:highlight w:val="none"/>
        </w:rPr>
        <w:t>日</w:t>
      </w:r>
    </w:p>
    <w:p w14:paraId="1AB09860">
      <w:pPr>
        <w:pStyle w:val="24"/>
        <w:rPr>
          <w:rFonts w:ascii="Times New Roman" w:hAnsi="Times New Roman"/>
          <w:color w:val="auto"/>
          <w:sz w:val="24"/>
          <w:szCs w:val="24"/>
          <w:highlight w:val="none"/>
        </w:rPr>
      </w:pPr>
    </w:p>
    <w:p w14:paraId="3429DB20">
      <w:pPr>
        <w:rPr>
          <w:rFonts w:ascii="Times New Roman" w:hAnsi="Times New Roman"/>
          <w:color w:val="auto"/>
          <w:sz w:val="24"/>
          <w:highlight w:val="none"/>
        </w:rPr>
      </w:pPr>
    </w:p>
    <w:p w14:paraId="52971718">
      <w:pPr>
        <w:pStyle w:val="9"/>
        <w:rPr>
          <w:rFonts w:ascii="Times New Roman" w:hAnsi="Times New Roman" w:eastAsia="宋体"/>
          <w:color w:val="auto"/>
          <w:highlight w:val="none"/>
        </w:rPr>
      </w:pPr>
    </w:p>
    <w:p w14:paraId="252C9B4F">
      <w:pPr>
        <w:rPr>
          <w:rFonts w:ascii="Times New Roman" w:hAnsi="Times New Roman"/>
          <w:color w:val="auto"/>
          <w:sz w:val="24"/>
          <w:highlight w:val="none"/>
        </w:rPr>
      </w:pPr>
    </w:p>
    <w:p w14:paraId="1FDE3D9E">
      <w:pPr>
        <w:pStyle w:val="9"/>
        <w:rPr>
          <w:rFonts w:ascii="Times New Roman" w:hAnsi="Times New Roman" w:eastAsia="宋体"/>
          <w:color w:val="auto"/>
          <w:highlight w:val="none"/>
        </w:rPr>
      </w:pPr>
    </w:p>
    <w:p w14:paraId="0D2D0EE1">
      <w:pPr>
        <w:rPr>
          <w:rFonts w:ascii="Times New Roman" w:hAnsi="Times New Roman"/>
          <w:color w:val="auto"/>
          <w:sz w:val="24"/>
          <w:highlight w:val="none"/>
        </w:rPr>
      </w:pPr>
    </w:p>
    <w:p w14:paraId="38654D71">
      <w:pPr>
        <w:pStyle w:val="9"/>
        <w:rPr>
          <w:rFonts w:ascii="Times New Roman" w:hAnsi="Times New Roman" w:eastAsia="宋体"/>
          <w:color w:val="auto"/>
          <w:highlight w:val="none"/>
        </w:rPr>
      </w:pPr>
    </w:p>
    <w:p w14:paraId="34D11A57">
      <w:pPr>
        <w:pStyle w:val="12"/>
        <w:spacing w:line="288" w:lineRule="auto"/>
        <w:ind w:firstLine="0" w:firstLineChars="0"/>
        <w:jc w:val="left"/>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lang w:eastAsia="zh-CN"/>
        </w:rPr>
        <w:t>注：</w:t>
      </w:r>
      <w:r>
        <w:rPr>
          <w:rFonts w:hint="eastAsia" w:ascii="Times New Roman" w:hAnsi="Times New Roman" w:eastAsia="宋体"/>
          <w:bCs/>
          <w:color w:val="auto"/>
          <w:sz w:val="24"/>
          <w:szCs w:val="24"/>
          <w:highlight w:val="none"/>
          <w:lang w:val="en-US" w:eastAsia="zh-CN"/>
        </w:rPr>
        <w:t>1、</w:t>
      </w:r>
      <w:r>
        <w:rPr>
          <w:rFonts w:hint="eastAsia" w:ascii="Times New Roman" w:hAnsi="Times New Roman" w:eastAsia="宋体"/>
          <w:bCs/>
          <w:color w:val="auto"/>
          <w:sz w:val="24"/>
          <w:szCs w:val="24"/>
          <w:highlight w:val="none"/>
        </w:rPr>
        <w:t>如为联合体投标，“投标人名称”处必须列明联合体各方名称，并标注联合体牵头人名称，否则其投标作无效标处理。</w:t>
      </w:r>
    </w:p>
    <w:p w14:paraId="258632E6">
      <w:pPr>
        <w:rPr>
          <w:rFonts w:ascii="Times New Roman" w:hAnsi="Times New Roman"/>
          <w:color w:val="auto"/>
          <w:sz w:val="24"/>
          <w:highlight w:val="none"/>
        </w:rPr>
      </w:pPr>
      <w:r>
        <w:rPr>
          <w:rFonts w:hint="eastAsia" w:ascii="Times New Roman" w:hAnsi="Times New Roman" w:eastAsia="宋体"/>
          <w:bCs/>
          <w:color w:val="auto"/>
          <w:sz w:val="24"/>
          <w:highlight w:val="none"/>
          <w:lang w:val="en-US" w:eastAsia="zh-CN"/>
        </w:rPr>
        <w:t>2</w:t>
      </w:r>
      <w:r>
        <w:rPr>
          <w:rFonts w:hint="eastAsia" w:ascii="Times New Roman" w:hAnsi="Times New Roman"/>
          <w:bCs/>
          <w:color w:val="auto"/>
          <w:sz w:val="24"/>
          <w:highlight w:val="none"/>
          <w:lang w:eastAsia="zh-CN"/>
        </w:rPr>
        <w:t>、</w:t>
      </w:r>
      <w:r>
        <w:rPr>
          <w:rFonts w:hint="eastAsia" w:ascii="Times New Roman" w:hAnsi="Times New Roman" w:eastAsia="宋体"/>
          <w:bCs/>
          <w:color w:val="auto"/>
          <w:sz w:val="24"/>
          <w:highlight w:val="none"/>
        </w:rPr>
        <w:t>如为联合体投标，盖章处须加盖联合体牵头人</w:t>
      </w:r>
      <w:r>
        <w:rPr>
          <w:rFonts w:hint="eastAsia" w:ascii="Times New Roman" w:hAnsi="Times New Roman" w:eastAsia="宋体"/>
          <w:bCs/>
          <w:color w:val="auto"/>
          <w:sz w:val="24"/>
          <w:highlight w:val="none"/>
          <w:lang w:eastAsia="zh-CN"/>
        </w:rPr>
        <w:t>公章或</w:t>
      </w:r>
      <w:r>
        <w:rPr>
          <w:rFonts w:hint="eastAsia" w:ascii="Times New Roman" w:hAnsi="Times New Roman" w:eastAsia="宋体"/>
          <w:bCs/>
          <w:color w:val="auto"/>
          <w:sz w:val="24"/>
          <w:highlight w:val="none"/>
        </w:rPr>
        <w:t>电子签章，否则其投标作无效标处理</w:t>
      </w:r>
      <w:r>
        <w:rPr>
          <w:rFonts w:hint="eastAsia" w:ascii="Times New Roman" w:hAnsi="Times New Roman" w:eastAsia="宋体"/>
          <w:bCs/>
          <w:color w:val="auto"/>
          <w:sz w:val="24"/>
          <w:highlight w:val="none"/>
          <w:lang w:eastAsia="zh-CN"/>
        </w:rPr>
        <w:t>。</w:t>
      </w:r>
    </w:p>
    <w:p w14:paraId="02B51A82">
      <w:pPr>
        <w:pStyle w:val="9"/>
        <w:rPr>
          <w:rFonts w:ascii="Times New Roman" w:hAnsi="Times New Roman" w:eastAsia="宋体"/>
          <w:color w:val="auto"/>
          <w:highlight w:val="none"/>
        </w:rPr>
      </w:pPr>
    </w:p>
    <w:p w14:paraId="297FE4C3">
      <w:pPr>
        <w:rPr>
          <w:rFonts w:ascii="Times New Roman" w:hAnsi="Times New Roman"/>
          <w:color w:val="auto"/>
          <w:sz w:val="24"/>
          <w:highlight w:val="none"/>
        </w:rPr>
      </w:pPr>
    </w:p>
    <w:p w14:paraId="6312CD87">
      <w:pPr>
        <w:pStyle w:val="9"/>
        <w:rPr>
          <w:rFonts w:ascii="Times New Roman" w:hAnsi="Times New Roman" w:eastAsia="宋体"/>
          <w:color w:val="auto"/>
          <w:highlight w:val="none"/>
        </w:rPr>
      </w:pPr>
    </w:p>
    <w:p w14:paraId="279D1058">
      <w:pPr>
        <w:adjustRightInd w:val="0"/>
        <w:snapToGrid w:val="0"/>
        <w:spacing w:line="300" w:lineRule="auto"/>
        <w:jc w:val="center"/>
        <w:rPr>
          <w:b/>
          <w:color w:val="auto"/>
          <w:sz w:val="36"/>
          <w:szCs w:val="36"/>
          <w:highlight w:val="none"/>
        </w:rPr>
      </w:pPr>
      <w:r>
        <w:rPr>
          <w:rFonts w:hint="eastAsia"/>
          <w:b/>
          <w:color w:val="auto"/>
          <w:sz w:val="36"/>
          <w:szCs w:val="36"/>
          <w:highlight w:val="none"/>
        </w:rPr>
        <w:t>技术服务方案</w:t>
      </w:r>
      <w:r>
        <w:rPr>
          <w:b/>
          <w:color w:val="auto"/>
          <w:sz w:val="36"/>
          <w:szCs w:val="36"/>
          <w:highlight w:val="none"/>
        </w:rPr>
        <w:t>（格式</w:t>
      </w:r>
      <w:r>
        <w:rPr>
          <w:rFonts w:hint="eastAsia"/>
          <w:b/>
          <w:color w:val="auto"/>
          <w:sz w:val="36"/>
          <w:szCs w:val="36"/>
          <w:highlight w:val="none"/>
        </w:rPr>
        <w:t>自拟</w:t>
      </w:r>
      <w:r>
        <w:rPr>
          <w:b/>
          <w:color w:val="auto"/>
          <w:sz w:val="36"/>
          <w:szCs w:val="36"/>
          <w:highlight w:val="none"/>
        </w:rPr>
        <w:t>）</w:t>
      </w:r>
    </w:p>
    <w:p w14:paraId="67896916">
      <w:pPr>
        <w:rPr>
          <w:b/>
          <w:color w:val="auto"/>
          <w:sz w:val="32"/>
          <w:highlight w:val="none"/>
        </w:rPr>
      </w:pPr>
    </w:p>
    <w:p w14:paraId="27CAA04F">
      <w:pPr>
        <w:spacing w:line="360" w:lineRule="auto"/>
        <w:ind w:firstLine="480" w:firstLineChars="200"/>
        <w:rPr>
          <w:color w:val="auto"/>
          <w:sz w:val="24"/>
          <w:highlight w:val="none"/>
        </w:rPr>
      </w:pPr>
      <w:r>
        <w:rPr>
          <w:rFonts w:hint="eastAsia"/>
          <w:color w:val="auto"/>
          <w:sz w:val="24"/>
          <w:highlight w:val="none"/>
        </w:rPr>
        <w:t>[说明]投标人按照招标文件的要求，根据《投标须知》、《项目采购需求》等上述内容做出全面响应并编制技术服务方案（包括但不限于以下各项）的内容：</w:t>
      </w:r>
    </w:p>
    <w:p w14:paraId="00BD0529">
      <w:pPr>
        <w:spacing w:line="400" w:lineRule="exact"/>
        <w:rPr>
          <w:color w:val="auto"/>
          <w:sz w:val="24"/>
          <w:highlight w:val="none"/>
        </w:rPr>
      </w:pPr>
    </w:p>
    <w:p w14:paraId="246F9137">
      <w:pPr>
        <w:snapToGrid w:val="0"/>
        <w:spacing w:line="360" w:lineRule="auto"/>
        <w:ind w:firstLine="420"/>
        <w:rPr>
          <w:color w:val="auto"/>
          <w:sz w:val="24"/>
          <w:highlight w:val="none"/>
        </w:rPr>
      </w:pPr>
      <w:r>
        <w:rPr>
          <w:rFonts w:hint="eastAsia"/>
          <w:color w:val="auto"/>
          <w:sz w:val="24"/>
          <w:highlight w:val="none"/>
        </w:rPr>
        <w:t>技术服务方案必须科学合理、真实可行，能充分体现出自身技术和专业优势。</w:t>
      </w:r>
    </w:p>
    <w:p w14:paraId="2DCDF9DC">
      <w:pPr>
        <w:snapToGrid w:val="0"/>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1.</w:t>
      </w:r>
      <w:r>
        <w:rPr>
          <w:rFonts w:ascii="Times New Roman" w:hAnsi="Times New Roman"/>
          <w:color w:val="auto"/>
          <w:highlight w:val="none"/>
        </w:rPr>
        <w:t xml:space="preserve"> </w:t>
      </w:r>
      <w:r>
        <w:rPr>
          <w:rFonts w:ascii="Times New Roman" w:hAnsi="Times New Roman"/>
          <w:color w:val="auto"/>
          <w:sz w:val="24"/>
          <w:highlight w:val="none"/>
        </w:rPr>
        <w:t>技术方案、实施方案</w:t>
      </w:r>
    </w:p>
    <w:p w14:paraId="7A79C465">
      <w:pPr>
        <w:snapToGrid w:val="0"/>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2.</w:t>
      </w:r>
      <w:r>
        <w:rPr>
          <w:rFonts w:ascii="Times New Roman" w:hAnsi="Times New Roman"/>
          <w:color w:val="auto"/>
          <w:highlight w:val="none"/>
        </w:rPr>
        <w:t xml:space="preserve"> </w:t>
      </w:r>
      <w:r>
        <w:rPr>
          <w:rFonts w:ascii="Times New Roman" w:hAnsi="Times New Roman"/>
          <w:color w:val="auto"/>
          <w:sz w:val="24"/>
          <w:highlight w:val="none"/>
        </w:rPr>
        <w:t>拟投入人员配置方案</w:t>
      </w:r>
    </w:p>
    <w:p w14:paraId="0182BD2E">
      <w:pPr>
        <w:snapToGrid w:val="0"/>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3.</w:t>
      </w:r>
      <w:r>
        <w:rPr>
          <w:rFonts w:ascii="Times New Roman" w:hAnsi="Times New Roman"/>
          <w:color w:val="auto"/>
          <w:highlight w:val="none"/>
        </w:rPr>
        <w:t xml:space="preserve"> </w:t>
      </w:r>
      <w:r>
        <w:rPr>
          <w:rFonts w:ascii="Times New Roman" w:hAnsi="Times New Roman"/>
          <w:color w:val="auto"/>
          <w:sz w:val="24"/>
          <w:highlight w:val="none"/>
        </w:rPr>
        <w:t>服务承诺方案</w:t>
      </w:r>
    </w:p>
    <w:p w14:paraId="12A470D5">
      <w:pPr>
        <w:snapToGrid w:val="0"/>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 xml:space="preserve">4. </w:t>
      </w:r>
      <w:r>
        <w:rPr>
          <w:rFonts w:hint="eastAsia" w:ascii="Times New Roman" w:hAnsi="Times New Roman"/>
          <w:color w:val="auto"/>
          <w:sz w:val="24"/>
          <w:highlight w:val="none"/>
        </w:rPr>
        <w:t>投标人</w:t>
      </w:r>
      <w:r>
        <w:rPr>
          <w:rFonts w:ascii="Times New Roman" w:hAnsi="Times New Roman"/>
          <w:color w:val="auto"/>
          <w:sz w:val="24"/>
          <w:highlight w:val="none"/>
        </w:rPr>
        <w:t>认为必要说明的其他内容</w:t>
      </w:r>
    </w:p>
    <w:p w14:paraId="351D54FC">
      <w:pPr>
        <w:snapToGrid w:val="0"/>
        <w:spacing w:before="50" w:after="50"/>
        <w:jc w:val="center"/>
        <w:rPr>
          <w:rFonts w:ascii="Times New Roman" w:hAnsi="Times New Roman"/>
          <w:b/>
          <w:color w:val="auto"/>
          <w:sz w:val="44"/>
          <w:szCs w:val="44"/>
          <w:highlight w:val="none"/>
        </w:rPr>
      </w:pPr>
    </w:p>
    <w:p w14:paraId="03C41FAB">
      <w:pPr>
        <w:snapToGrid w:val="0"/>
        <w:spacing w:before="50" w:after="50"/>
        <w:jc w:val="center"/>
        <w:rPr>
          <w:rFonts w:ascii="Times New Roman" w:hAnsi="Times New Roman"/>
          <w:b/>
          <w:color w:val="auto"/>
          <w:sz w:val="44"/>
          <w:szCs w:val="44"/>
          <w:highlight w:val="none"/>
        </w:rPr>
      </w:pPr>
    </w:p>
    <w:p w14:paraId="5163DFA3">
      <w:pPr>
        <w:snapToGrid w:val="0"/>
        <w:spacing w:before="50" w:after="50"/>
        <w:jc w:val="center"/>
        <w:rPr>
          <w:rFonts w:ascii="Times New Roman" w:hAnsi="Times New Roman"/>
          <w:b/>
          <w:color w:val="auto"/>
          <w:sz w:val="44"/>
          <w:szCs w:val="44"/>
          <w:highlight w:val="none"/>
        </w:rPr>
      </w:pPr>
    </w:p>
    <w:p w14:paraId="4E4FA7DA">
      <w:pPr>
        <w:snapToGrid w:val="0"/>
        <w:spacing w:before="50" w:after="50"/>
        <w:jc w:val="center"/>
        <w:rPr>
          <w:rFonts w:ascii="Times New Roman" w:hAnsi="Times New Roman"/>
          <w:b/>
          <w:color w:val="auto"/>
          <w:sz w:val="44"/>
          <w:szCs w:val="44"/>
          <w:highlight w:val="none"/>
        </w:rPr>
      </w:pPr>
    </w:p>
    <w:p w14:paraId="75CB31AA">
      <w:pPr>
        <w:snapToGrid w:val="0"/>
        <w:spacing w:before="50" w:after="50"/>
        <w:jc w:val="center"/>
        <w:rPr>
          <w:rFonts w:ascii="Times New Roman" w:hAnsi="Times New Roman"/>
          <w:b/>
          <w:color w:val="auto"/>
          <w:sz w:val="44"/>
          <w:szCs w:val="44"/>
          <w:highlight w:val="none"/>
        </w:rPr>
      </w:pPr>
    </w:p>
    <w:p w14:paraId="3CA6B116">
      <w:pPr>
        <w:snapToGrid w:val="0"/>
        <w:spacing w:before="50" w:after="50"/>
        <w:jc w:val="center"/>
        <w:rPr>
          <w:rFonts w:ascii="Times New Roman" w:hAnsi="Times New Roman"/>
          <w:b/>
          <w:color w:val="auto"/>
          <w:sz w:val="44"/>
          <w:szCs w:val="44"/>
          <w:highlight w:val="none"/>
        </w:rPr>
      </w:pPr>
    </w:p>
    <w:p w14:paraId="71CF3FCF">
      <w:pPr>
        <w:snapToGrid w:val="0"/>
        <w:spacing w:before="50" w:after="50"/>
        <w:jc w:val="center"/>
        <w:rPr>
          <w:rFonts w:ascii="Times New Roman" w:hAnsi="Times New Roman"/>
          <w:b/>
          <w:color w:val="auto"/>
          <w:sz w:val="44"/>
          <w:szCs w:val="44"/>
          <w:highlight w:val="none"/>
        </w:rPr>
      </w:pPr>
    </w:p>
    <w:p w14:paraId="50E171F6">
      <w:pPr>
        <w:snapToGrid w:val="0"/>
        <w:spacing w:before="50" w:after="50"/>
        <w:jc w:val="center"/>
        <w:rPr>
          <w:rFonts w:ascii="Times New Roman" w:hAnsi="Times New Roman"/>
          <w:b/>
          <w:color w:val="auto"/>
          <w:sz w:val="44"/>
          <w:szCs w:val="44"/>
          <w:highlight w:val="none"/>
        </w:rPr>
      </w:pPr>
    </w:p>
    <w:p w14:paraId="79008C6E">
      <w:pPr>
        <w:snapToGrid w:val="0"/>
        <w:spacing w:before="50" w:after="50"/>
        <w:jc w:val="center"/>
        <w:rPr>
          <w:rFonts w:ascii="Times New Roman" w:hAnsi="Times New Roman"/>
          <w:b/>
          <w:color w:val="auto"/>
          <w:sz w:val="44"/>
          <w:szCs w:val="44"/>
          <w:highlight w:val="none"/>
        </w:rPr>
      </w:pPr>
    </w:p>
    <w:p w14:paraId="02442FAF">
      <w:pPr>
        <w:snapToGrid w:val="0"/>
        <w:spacing w:before="50" w:after="50"/>
        <w:jc w:val="center"/>
        <w:rPr>
          <w:rFonts w:ascii="Times New Roman" w:hAnsi="Times New Roman"/>
          <w:b/>
          <w:color w:val="auto"/>
          <w:sz w:val="44"/>
          <w:szCs w:val="44"/>
          <w:highlight w:val="none"/>
        </w:rPr>
      </w:pPr>
    </w:p>
    <w:p w14:paraId="40397326">
      <w:pPr>
        <w:snapToGrid w:val="0"/>
        <w:spacing w:before="50" w:after="50"/>
        <w:jc w:val="center"/>
        <w:rPr>
          <w:rFonts w:ascii="Times New Roman" w:hAnsi="Times New Roman"/>
          <w:b/>
          <w:color w:val="auto"/>
          <w:sz w:val="44"/>
          <w:szCs w:val="44"/>
          <w:highlight w:val="none"/>
        </w:rPr>
      </w:pPr>
    </w:p>
    <w:p w14:paraId="4FD7956E">
      <w:pPr>
        <w:snapToGrid w:val="0"/>
        <w:spacing w:before="50" w:after="50"/>
        <w:jc w:val="center"/>
        <w:rPr>
          <w:rFonts w:ascii="Times New Roman" w:hAnsi="Times New Roman"/>
          <w:b/>
          <w:color w:val="auto"/>
          <w:sz w:val="44"/>
          <w:szCs w:val="44"/>
          <w:highlight w:val="none"/>
        </w:rPr>
      </w:pPr>
    </w:p>
    <w:p w14:paraId="4820BFB6">
      <w:pPr>
        <w:snapToGrid w:val="0"/>
        <w:spacing w:before="50" w:after="50"/>
        <w:jc w:val="center"/>
        <w:rPr>
          <w:rFonts w:ascii="Times New Roman" w:hAnsi="Times New Roman"/>
          <w:b/>
          <w:color w:val="auto"/>
          <w:sz w:val="44"/>
          <w:szCs w:val="44"/>
          <w:highlight w:val="none"/>
        </w:rPr>
      </w:pPr>
    </w:p>
    <w:p w14:paraId="452F198C">
      <w:pPr>
        <w:snapToGrid w:val="0"/>
        <w:spacing w:before="50" w:after="50"/>
        <w:jc w:val="center"/>
        <w:rPr>
          <w:rFonts w:ascii="Times New Roman" w:hAnsi="Times New Roman"/>
          <w:b/>
          <w:color w:val="auto"/>
          <w:sz w:val="44"/>
          <w:szCs w:val="44"/>
          <w:highlight w:val="none"/>
        </w:rPr>
      </w:pPr>
    </w:p>
    <w:p w14:paraId="2B1E70E1">
      <w:pPr>
        <w:snapToGrid w:val="0"/>
        <w:spacing w:before="50" w:after="50"/>
        <w:jc w:val="center"/>
        <w:rPr>
          <w:rFonts w:ascii="Times New Roman" w:hAnsi="Times New Roman"/>
          <w:b/>
          <w:color w:val="auto"/>
          <w:sz w:val="44"/>
          <w:szCs w:val="44"/>
          <w:highlight w:val="none"/>
        </w:rPr>
      </w:pPr>
    </w:p>
    <w:p w14:paraId="2CB7F660">
      <w:pPr>
        <w:snapToGrid w:val="0"/>
        <w:spacing w:before="50" w:after="50"/>
        <w:jc w:val="center"/>
        <w:rPr>
          <w:rFonts w:ascii="Times New Roman" w:hAnsi="Times New Roman"/>
          <w:b/>
          <w:color w:val="auto"/>
          <w:sz w:val="44"/>
          <w:szCs w:val="44"/>
          <w:highlight w:val="none"/>
        </w:rPr>
      </w:pPr>
      <w:r>
        <w:rPr>
          <w:rFonts w:ascii="Times New Roman" w:hAnsi="Times New Roman"/>
          <w:b/>
          <w:color w:val="auto"/>
          <w:sz w:val="44"/>
          <w:szCs w:val="44"/>
          <w:highlight w:val="none"/>
        </w:rPr>
        <w:t>质疑函（格式）</w:t>
      </w:r>
    </w:p>
    <w:p w14:paraId="2B009ED7">
      <w:pPr>
        <w:snapToGrid w:val="0"/>
        <w:ind w:firstLine="482"/>
        <w:rPr>
          <w:rFonts w:ascii="Times New Roman" w:hAnsi="Times New Roman"/>
          <w:b/>
          <w:bCs/>
          <w:color w:val="auto"/>
          <w:kern w:val="0"/>
          <w:sz w:val="24"/>
          <w:highlight w:val="none"/>
          <w:lang w:val="zh-CN"/>
        </w:rPr>
      </w:pPr>
    </w:p>
    <w:p w14:paraId="61E2A4A7">
      <w:pPr>
        <w:snapToGrid w:val="0"/>
        <w:ind w:firstLine="482"/>
        <w:rPr>
          <w:rFonts w:ascii="Times New Roman" w:hAnsi="Times New Roman"/>
          <w:b/>
          <w:bCs/>
          <w:color w:val="auto"/>
          <w:kern w:val="0"/>
          <w:sz w:val="24"/>
          <w:highlight w:val="none"/>
          <w:lang w:val="zh-CN"/>
        </w:rPr>
      </w:pPr>
      <w:r>
        <w:rPr>
          <w:rFonts w:ascii="Times New Roman" w:hAnsi="Times New Roman"/>
          <w:b/>
          <w:bCs/>
          <w:color w:val="auto"/>
          <w:kern w:val="0"/>
          <w:sz w:val="24"/>
          <w:highlight w:val="none"/>
          <w:lang w:val="zh-CN"/>
        </w:rPr>
        <w:t>一、质疑</w:t>
      </w:r>
      <w:r>
        <w:rPr>
          <w:rFonts w:hint="eastAsia" w:ascii="Times New Roman" w:hAnsi="Times New Roman"/>
          <w:b/>
          <w:bCs/>
          <w:color w:val="auto"/>
          <w:kern w:val="0"/>
          <w:sz w:val="24"/>
          <w:highlight w:val="none"/>
          <w:lang w:val="zh-CN"/>
        </w:rPr>
        <w:t>投标人</w:t>
      </w:r>
      <w:r>
        <w:rPr>
          <w:rFonts w:ascii="Times New Roman" w:hAnsi="Times New Roman"/>
          <w:b/>
          <w:bCs/>
          <w:color w:val="auto"/>
          <w:kern w:val="0"/>
          <w:sz w:val="24"/>
          <w:highlight w:val="none"/>
          <w:lang w:val="zh-CN"/>
        </w:rPr>
        <w:t>基本信息：</w:t>
      </w:r>
    </w:p>
    <w:p w14:paraId="7BE97261">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质疑</w:t>
      </w:r>
      <w:r>
        <w:rPr>
          <w:rFonts w:hint="eastAsia" w:ascii="Times New Roman" w:hAnsi="Times New Roman"/>
          <w:bCs/>
          <w:color w:val="auto"/>
          <w:kern w:val="0"/>
          <w:sz w:val="24"/>
          <w:highlight w:val="none"/>
          <w:lang w:val="zh-CN"/>
        </w:rPr>
        <w:t>投标人</w:t>
      </w:r>
      <w:r>
        <w:rPr>
          <w:rFonts w:ascii="Times New Roman" w:hAnsi="Times New Roman"/>
          <w:bCs/>
          <w:color w:val="auto"/>
          <w:kern w:val="0"/>
          <w:sz w:val="24"/>
          <w:highlight w:val="none"/>
          <w:lang w:val="zh-CN"/>
        </w:rPr>
        <w:t>：</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38A90055">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3796967F">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联系人：</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p>
    <w:p w14:paraId="3888F6D9">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授权代表：</w:t>
      </w:r>
      <w:r>
        <w:rPr>
          <w:rFonts w:ascii="Times New Roman" w:hAnsi="Times New Roman"/>
          <w:bCs/>
          <w:color w:val="auto"/>
          <w:kern w:val="0"/>
          <w:sz w:val="24"/>
          <w:highlight w:val="none"/>
          <w:u w:val="single"/>
          <w:lang w:val="zh-CN"/>
        </w:rPr>
        <w:t xml:space="preserve">                      </w:t>
      </w:r>
    </w:p>
    <w:p w14:paraId="71E8CA7B">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p>
    <w:p w14:paraId="1F7D007B">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693BD36F">
      <w:pPr>
        <w:snapToGrid w:val="0"/>
        <w:ind w:firstLine="482"/>
        <w:rPr>
          <w:rFonts w:ascii="Times New Roman" w:hAnsi="Times New Roman"/>
          <w:b/>
          <w:bCs/>
          <w:color w:val="auto"/>
          <w:kern w:val="0"/>
          <w:sz w:val="24"/>
          <w:highlight w:val="none"/>
          <w:lang w:val="zh-CN"/>
        </w:rPr>
      </w:pPr>
      <w:r>
        <w:rPr>
          <w:rFonts w:ascii="Times New Roman" w:hAnsi="Times New Roman"/>
          <w:b/>
          <w:bCs/>
          <w:color w:val="auto"/>
          <w:kern w:val="0"/>
          <w:sz w:val="24"/>
          <w:highlight w:val="none"/>
          <w:lang w:val="zh-CN"/>
        </w:rPr>
        <w:t>二、质疑项目基本情况：</w:t>
      </w:r>
    </w:p>
    <w:p w14:paraId="02FAEFE6">
      <w:pPr>
        <w:ind w:firstLine="472" w:firstLineChars="197"/>
        <w:rPr>
          <w:rFonts w:ascii="Times New Roman" w:hAnsi="Times New Roman"/>
          <w:color w:val="auto"/>
          <w:kern w:val="0"/>
          <w:sz w:val="24"/>
          <w:highlight w:val="none"/>
          <w:lang w:val="zh-CN"/>
        </w:rPr>
      </w:pPr>
      <w:r>
        <w:rPr>
          <w:rFonts w:ascii="Times New Roman" w:hAnsi="Times New Roman"/>
          <w:bCs/>
          <w:color w:val="auto"/>
          <w:kern w:val="0"/>
          <w:sz w:val="24"/>
          <w:highlight w:val="none"/>
          <w:lang w:val="zh-CN"/>
        </w:rPr>
        <w:t>质疑</w:t>
      </w:r>
      <w:r>
        <w:rPr>
          <w:rFonts w:ascii="Times New Roman" w:hAnsi="Times New Roman"/>
          <w:color w:val="auto"/>
          <w:kern w:val="0"/>
          <w:sz w:val="24"/>
          <w:highlight w:val="none"/>
          <w:lang w:val="zh-CN"/>
        </w:rPr>
        <w:t>项目的名称：</w:t>
      </w:r>
      <w:r>
        <w:rPr>
          <w:rFonts w:ascii="Times New Roman" w:hAnsi="Times New Roman"/>
          <w:bCs/>
          <w:color w:val="auto"/>
          <w:kern w:val="0"/>
          <w:sz w:val="24"/>
          <w:highlight w:val="none"/>
          <w:u w:val="single"/>
          <w:lang w:val="zh-CN"/>
        </w:rPr>
        <w:t xml:space="preserve">                                     </w:t>
      </w:r>
    </w:p>
    <w:p w14:paraId="0EDAAEBC">
      <w:pPr>
        <w:ind w:firstLine="472" w:firstLineChars="197"/>
        <w:rPr>
          <w:rFonts w:ascii="Times New Roman" w:hAnsi="Times New Roman"/>
          <w:color w:val="auto"/>
          <w:kern w:val="0"/>
          <w:sz w:val="24"/>
          <w:highlight w:val="none"/>
          <w:lang w:val="zh-CN"/>
        </w:rPr>
      </w:pPr>
      <w:r>
        <w:rPr>
          <w:rFonts w:ascii="Times New Roman" w:hAnsi="Times New Roman"/>
          <w:bCs/>
          <w:color w:val="auto"/>
          <w:kern w:val="0"/>
          <w:sz w:val="24"/>
          <w:highlight w:val="none"/>
          <w:lang w:val="zh-CN"/>
        </w:rPr>
        <w:t>质疑</w:t>
      </w:r>
      <w:r>
        <w:rPr>
          <w:rFonts w:ascii="Times New Roman" w:hAnsi="Times New Roman"/>
          <w:color w:val="auto"/>
          <w:kern w:val="0"/>
          <w:sz w:val="24"/>
          <w:highlight w:val="none"/>
          <w:lang w:val="zh-CN"/>
        </w:rPr>
        <w:t>项目的编号：</w:t>
      </w:r>
      <w:r>
        <w:rPr>
          <w:rFonts w:ascii="Times New Roman" w:hAnsi="Times New Roman"/>
          <w:bCs/>
          <w:color w:val="auto"/>
          <w:kern w:val="0"/>
          <w:sz w:val="24"/>
          <w:highlight w:val="none"/>
          <w:u w:val="single"/>
          <w:lang w:val="zh-CN"/>
        </w:rPr>
        <w:t xml:space="preserve">                                     </w:t>
      </w:r>
    </w:p>
    <w:p w14:paraId="11A42B9E">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招标人名称：</w:t>
      </w:r>
      <w:r>
        <w:rPr>
          <w:rFonts w:ascii="Times New Roman" w:hAnsi="Times New Roman"/>
          <w:bCs/>
          <w:color w:val="auto"/>
          <w:kern w:val="0"/>
          <w:sz w:val="24"/>
          <w:highlight w:val="none"/>
          <w:u w:val="single"/>
          <w:lang w:val="zh-CN"/>
        </w:rPr>
        <w:t xml:space="preserve">                                         </w:t>
      </w:r>
    </w:p>
    <w:p w14:paraId="1A7EC076">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质疑事项：</w:t>
      </w:r>
    </w:p>
    <w:p w14:paraId="1672C410">
      <w:pPr>
        <w:ind w:firstLine="424" w:firstLineChars="177"/>
        <w:rPr>
          <w:rFonts w:ascii="Times New Roman" w:hAnsi="Times New Roman"/>
          <w:color w:val="auto"/>
          <w:kern w:val="0"/>
          <w:sz w:val="24"/>
          <w:highlight w:val="none"/>
          <w:lang w:val="zh-CN"/>
        </w:rPr>
      </w:pPr>
      <w:r>
        <w:rPr>
          <w:rFonts w:hint="eastAsia" w:ascii="Times New Roman" w:hAnsi="Times New Roman"/>
          <w:color w:val="auto"/>
          <w:kern w:val="0"/>
          <w:sz w:val="24"/>
          <w:highlight w:val="none"/>
          <w:lang w:val="zh-CN"/>
        </w:rPr>
        <w:t>□</w:t>
      </w:r>
      <w:r>
        <w:rPr>
          <w:rFonts w:ascii="Times New Roman" w:hAnsi="Times New Roman"/>
          <w:color w:val="auto"/>
          <w:kern w:val="0"/>
          <w:sz w:val="24"/>
          <w:highlight w:val="none"/>
          <w:lang w:val="zh-CN"/>
        </w:rPr>
        <w:t>招标文件   招标文件获取日期：</w:t>
      </w:r>
      <w:r>
        <w:rPr>
          <w:rFonts w:ascii="Times New Roman" w:hAnsi="Times New Roman"/>
          <w:bCs/>
          <w:color w:val="auto"/>
          <w:kern w:val="0"/>
          <w:sz w:val="24"/>
          <w:highlight w:val="none"/>
          <w:u w:val="single"/>
          <w:lang w:val="zh-CN"/>
        </w:rPr>
        <w:t xml:space="preserve">                                   </w:t>
      </w:r>
    </w:p>
    <w:p w14:paraId="577EAEAF">
      <w:pPr>
        <w:ind w:firstLine="424" w:firstLineChars="177"/>
        <w:rPr>
          <w:rFonts w:ascii="Times New Roman" w:hAnsi="Times New Roman"/>
          <w:color w:val="auto"/>
          <w:kern w:val="0"/>
          <w:sz w:val="24"/>
          <w:highlight w:val="none"/>
          <w:lang w:val="zh-CN"/>
        </w:rPr>
      </w:pPr>
      <w:r>
        <w:rPr>
          <w:rFonts w:hint="eastAsia" w:ascii="Times New Roman" w:hAnsi="Times New Roman"/>
          <w:color w:val="auto"/>
          <w:kern w:val="0"/>
          <w:sz w:val="24"/>
          <w:highlight w:val="none"/>
          <w:lang w:val="zh-CN"/>
        </w:rPr>
        <w:t>□</w:t>
      </w:r>
      <w:r>
        <w:rPr>
          <w:rFonts w:ascii="Times New Roman" w:hAnsi="Times New Roman"/>
          <w:color w:val="auto"/>
          <w:kern w:val="0"/>
          <w:sz w:val="24"/>
          <w:highlight w:val="none"/>
          <w:lang w:val="zh-CN"/>
        </w:rPr>
        <w:t xml:space="preserve">采购过程   </w:t>
      </w:r>
    </w:p>
    <w:p w14:paraId="610FD5DE">
      <w:pPr>
        <w:ind w:firstLine="424" w:firstLineChars="177"/>
        <w:rPr>
          <w:rFonts w:ascii="Times New Roman" w:hAnsi="Times New Roman"/>
          <w:bCs/>
          <w:color w:val="auto"/>
          <w:kern w:val="0"/>
          <w:sz w:val="24"/>
          <w:highlight w:val="none"/>
          <w:u w:val="single"/>
          <w:lang w:val="zh-CN"/>
        </w:rPr>
      </w:pPr>
      <w:r>
        <w:rPr>
          <w:rFonts w:hint="eastAsia" w:ascii="Times New Roman" w:hAnsi="Times New Roman"/>
          <w:color w:val="auto"/>
          <w:kern w:val="0"/>
          <w:sz w:val="24"/>
          <w:highlight w:val="none"/>
          <w:lang w:val="zh-CN"/>
        </w:rPr>
        <w:t>□</w:t>
      </w:r>
      <w:r>
        <w:rPr>
          <w:rFonts w:ascii="Times New Roman" w:hAnsi="Times New Roman"/>
          <w:color w:val="auto"/>
          <w:kern w:val="0"/>
          <w:sz w:val="24"/>
          <w:highlight w:val="none"/>
          <w:lang w:val="zh-CN"/>
        </w:rPr>
        <w:t xml:space="preserve">中标结果   </w:t>
      </w:r>
    </w:p>
    <w:p w14:paraId="1C3E1C20">
      <w:pPr>
        <w:ind w:firstLine="472" w:firstLineChars="196"/>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三、质疑事项具体内容</w:t>
      </w:r>
    </w:p>
    <w:p w14:paraId="4F525AC6">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质疑事项1：</w:t>
      </w:r>
      <w:r>
        <w:rPr>
          <w:rFonts w:ascii="Times New Roman" w:hAnsi="Times New Roman"/>
          <w:bCs/>
          <w:color w:val="auto"/>
          <w:kern w:val="0"/>
          <w:sz w:val="24"/>
          <w:highlight w:val="none"/>
          <w:u w:val="single"/>
          <w:lang w:val="zh-CN"/>
        </w:rPr>
        <w:t xml:space="preserve">                                                                    </w:t>
      </w:r>
    </w:p>
    <w:p w14:paraId="33F7C548">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事实依据：</w:t>
      </w:r>
      <w:r>
        <w:rPr>
          <w:rFonts w:ascii="Times New Roman" w:hAnsi="Times New Roman"/>
          <w:bCs/>
          <w:color w:val="auto"/>
          <w:kern w:val="0"/>
          <w:sz w:val="24"/>
          <w:highlight w:val="none"/>
          <w:u w:val="single"/>
          <w:lang w:val="zh-CN"/>
        </w:rPr>
        <w:t xml:space="preserve">                                                                      </w:t>
      </w:r>
    </w:p>
    <w:p w14:paraId="3713EEB5">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法律依据：</w:t>
      </w:r>
      <w:r>
        <w:rPr>
          <w:rFonts w:ascii="Times New Roman" w:hAnsi="Times New Roman"/>
          <w:color w:val="auto"/>
          <w:kern w:val="0"/>
          <w:sz w:val="24"/>
          <w:highlight w:val="none"/>
          <w:u w:val="single"/>
          <w:lang w:val="zh-CN"/>
        </w:rPr>
        <w:t xml:space="preserve">                                                        </w:t>
      </w:r>
      <w:r>
        <w:rPr>
          <w:rFonts w:ascii="Times New Roman" w:hAnsi="Times New Roman"/>
          <w:bCs/>
          <w:color w:val="auto"/>
          <w:kern w:val="0"/>
          <w:sz w:val="24"/>
          <w:highlight w:val="none"/>
          <w:u w:val="single"/>
          <w:lang w:val="zh-CN"/>
        </w:rPr>
        <w:t xml:space="preserve">               </w:t>
      </w:r>
    </w:p>
    <w:p w14:paraId="0FB4E8A9">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质疑事项2</w:t>
      </w:r>
    </w:p>
    <w:p w14:paraId="7D55DFB5">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w:t>
      </w:r>
    </w:p>
    <w:p w14:paraId="09110C35">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四、与质疑事项相关的质疑请求：</w:t>
      </w:r>
    </w:p>
    <w:p w14:paraId="5CCC8C1D">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请求：</w:t>
      </w:r>
      <w:r>
        <w:rPr>
          <w:rFonts w:ascii="Times New Roman" w:hAnsi="Times New Roman"/>
          <w:bCs/>
          <w:color w:val="auto"/>
          <w:kern w:val="0"/>
          <w:sz w:val="24"/>
          <w:highlight w:val="none"/>
          <w:u w:val="single"/>
          <w:lang w:val="zh-CN"/>
        </w:rPr>
        <w:t xml:space="preserve">                                                                </w:t>
      </w:r>
    </w:p>
    <w:p w14:paraId="78DC162F">
      <w:pPr>
        <w:spacing w:line="600" w:lineRule="auto"/>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签字（签章）：                                       公章：</w:t>
      </w:r>
    </w:p>
    <w:p w14:paraId="356AE8F9">
      <w:pPr>
        <w:spacing w:line="600" w:lineRule="auto"/>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日期：</w:t>
      </w:r>
    </w:p>
    <w:p w14:paraId="103F4DD0">
      <w:pPr>
        <w:snapToGrid w:val="0"/>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说明：</w:t>
      </w:r>
    </w:p>
    <w:p w14:paraId="39C3C670">
      <w:pPr>
        <w:ind w:left="25" w:leftChars="12" w:firstLine="354" w:firstLineChars="147"/>
        <w:rPr>
          <w:rFonts w:ascii="Times New Roman" w:hAnsi="Times New Roman"/>
          <w:b/>
          <w:bCs/>
          <w:color w:val="auto"/>
          <w:kern w:val="0"/>
          <w:sz w:val="24"/>
          <w:highlight w:val="none"/>
          <w:lang w:val="zh-CN"/>
        </w:rPr>
      </w:pPr>
      <w:r>
        <w:rPr>
          <w:rFonts w:ascii="Times New Roman" w:hAnsi="Times New Roman"/>
          <w:b/>
          <w:color w:val="auto"/>
          <w:kern w:val="0"/>
          <w:sz w:val="24"/>
          <w:highlight w:val="none"/>
          <w:lang w:val="zh-CN"/>
        </w:rPr>
        <w:t>1.</w:t>
      </w:r>
      <w:r>
        <w:rPr>
          <w:rFonts w:hint="eastAsia" w:ascii="Times New Roman" w:hAnsi="Times New Roman"/>
          <w:b/>
          <w:color w:val="auto"/>
          <w:kern w:val="0"/>
          <w:sz w:val="24"/>
          <w:highlight w:val="none"/>
          <w:lang w:val="zh-CN"/>
        </w:rPr>
        <w:t>投标人</w:t>
      </w:r>
      <w:r>
        <w:rPr>
          <w:rFonts w:ascii="Times New Roman" w:hAnsi="Times New Roman"/>
          <w:b/>
          <w:color w:val="auto"/>
          <w:kern w:val="0"/>
          <w:sz w:val="24"/>
          <w:highlight w:val="none"/>
          <w:lang w:val="zh-CN"/>
        </w:rPr>
        <w:t>提出质疑时，应提交质疑函和必要的证明材料</w:t>
      </w:r>
      <w:r>
        <w:rPr>
          <w:rFonts w:ascii="Times New Roman" w:hAnsi="Times New Roman"/>
          <w:b/>
          <w:bCs/>
          <w:color w:val="auto"/>
          <w:kern w:val="0"/>
          <w:sz w:val="24"/>
          <w:highlight w:val="none"/>
          <w:lang w:val="zh-CN"/>
        </w:rPr>
        <w:t>。</w:t>
      </w:r>
    </w:p>
    <w:p w14:paraId="53A438BA">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2.质疑</w:t>
      </w:r>
      <w:r>
        <w:rPr>
          <w:rFonts w:hint="eastAsia" w:ascii="Times New Roman" w:hAnsi="Times New Roman"/>
          <w:b/>
          <w:color w:val="auto"/>
          <w:kern w:val="0"/>
          <w:sz w:val="24"/>
          <w:highlight w:val="none"/>
          <w:lang w:val="zh-CN"/>
        </w:rPr>
        <w:t>投标人</w:t>
      </w:r>
      <w:r>
        <w:rPr>
          <w:rFonts w:ascii="Times New Roman" w:hAnsi="Times New Roman"/>
          <w:b/>
          <w:color w:val="auto"/>
          <w:kern w:val="0"/>
          <w:sz w:val="24"/>
          <w:highlight w:val="none"/>
          <w:lang w:val="zh-CN"/>
        </w:rPr>
        <w:t>若委托代理人进行质疑的，质疑函应按要求列明“授权代表”的有关内容，并在附件中提交由质疑</w:t>
      </w:r>
      <w:r>
        <w:rPr>
          <w:rFonts w:hint="eastAsia" w:ascii="Times New Roman" w:hAnsi="Times New Roman"/>
          <w:b/>
          <w:color w:val="auto"/>
          <w:kern w:val="0"/>
          <w:sz w:val="24"/>
          <w:highlight w:val="none"/>
          <w:lang w:val="zh-CN"/>
        </w:rPr>
        <w:t>投标人</w:t>
      </w:r>
      <w:r>
        <w:rPr>
          <w:rFonts w:ascii="Times New Roman" w:hAnsi="Times New Roman"/>
          <w:b/>
          <w:color w:val="auto"/>
          <w:kern w:val="0"/>
          <w:sz w:val="24"/>
          <w:highlight w:val="none"/>
          <w:lang w:val="zh-CN"/>
        </w:rPr>
        <w:t>签署的授权委托书。授权委托书应载明代理人的姓名或者名称、代理事项、具体权限、期限和相关事项。</w:t>
      </w:r>
    </w:p>
    <w:p w14:paraId="6E8BAA66">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3.质疑函的质疑事项应具体、明确，并有必要的事实依据和法律依据。</w:t>
      </w:r>
    </w:p>
    <w:p w14:paraId="558906A3">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4.质疑函的质疑请求应与质疑事项相关。</w:t>
      </w:r>
    </w:p>
    <w:p w14:paraId="36F25F3D">
      <w:pPr>
        <w:ind w:left="25" w:leftChars="12" w:firstLine="354" w:firstLineChars="147"/>
        <w:rPr>
          <w:rFonts w:ascii="Times New Roman" w:hAnsi="Times New Roman"/>
          <w:b/>
          <w:color w:val="auto"/>
          <w:kern w:val="0"/>
          <w:sz w:val="20"/>
          <w:highlight w:val="none"/>
          <w:lang w:val="zh-CN"/>
        </w:rPr>
      </w:pPr>
      <w:r>
        <w:rPr>
          <w:rFonts w:ascii="Times New Roman" w:hAnsi="Times New Roman"/>
          <w:b/>
          <w:color w:val="auto"/>
          <w:kern w:val="0"/>
          <w:sz w:val="24"/>
          <w:highlight w:val="none"/>
          <w:lang w:val="zh-CN"/>
        </w:rPr>
        <w:t>5.质疑</w:t>
      </w:r>
      <w:r>
        <w:rPr>
          <w:rFonts w:hint="eastAsia" w:ascii="Times New Roman" w:hAnsi="Times New Roman"/>
          <w:b/>
          <w:color w:val="auto"/>
          <w:kern w:val="0"/>
          <w:sz w:val="24"/>
          <w:highlight w:val="none"/>
          <w:lang w:val="zh-CN"/>
        </w:rPr>
        <w:t>投标人</w:t>
      </w:r>
      <w:r>
        <w:rPr>
          <w:rFonts w:ascii="Times New Roman" w:hAnsi="Times New Roman"/>
          <w:b/>
          <w:color w:val="auto"/>
          <w:kern w:val="0"/>
          <w:sz w:val="24"/>
          <w:highlight w:val="none"/>
          <w:lang w:val="zh-CN"/>
        </w:rPr>
        <w:t>为法人或者其他组织的，质疑函应由法定代表人、主要负责人，或者其授权代表签字或者盖章，并加盖公章。</w:t>
      </w:r>
    </w:p>
    <w:p w14:paraId="22F04BBB">
      <w:pPr>
        <w:snapToGrid w:val="0"/>
        <w:rPr>
          <w:rFonts w:ascii="Times New Roman" w:hAnsi="Times New Roman"/>
          <w:b/>
          <w:color w:val="auto"/>
          <w:kern w:val="0"/>
          <w:sz w:val="24"/>
          <w:highlight w:val="none"/>
          <w:lang w:val="zh-CN"/>
        </w:rPr>
      </w:pPr>
    </w:p>
    <w:p w14:paraId="01F48AA7">
      <w:pPr>
        <w:pStyle w:val="31"/>
        <w:rPr>
          <w:rFonts w:ascii="Times New Roman" w:hAnsi="Times New Roman"/>
          <w:bCs/>
          <w:color w:val="auto"/>
          <w:sz w:val="32"/>
          <w:szCs w:val="32"/>
          <w:highlight w:val="none"/>
        </w:rPr>
      </w:pPr>
      <w:r>
        <w:rPr>
          <w:rFonts w:ascii="Times New Roman" w:hAnsi="Times New Roman"/>
          <w:color w:val="auto"/>
          <w:sz w:val="44"/>
          <w:highlight w:val="none"/>
        </w:rPr>
        <w:br w:type="page"/>
      </w:r>
    </w:p>
    <w:p w14:paraId="03CFCFC1">
      <w:pPr>
        <w:snapToGrid w:val="0"/>
        <w:spacing w:before="50" w:after="50"/>
        <w:jc w:val="center"/>
        <w:rPr>
          <w:rFonts w:ascii="Times New Roman" w:hAnsi="Times New Roman"/>
          <w:b/>
          <w:color w:val="auto"/>
          <w:sz w:val="44"/>
          <w:szCs w:val="44"/>
          <w:highlight w:val="none"/>
        </w:rPr>
      </w:pPr>
      <w:r>
        <w:rPr>
          <w:rFonts w:ascii="Times New Roman" w:hAnsi="Times New Roman"/>
          <w:b/>
          <w:color w:val="auto"/>
          <w:sz w:val="44"/>
          <w:szCs w:val="44"/>
          <w:highlight w:val="none"/>
        </w:rPr>
        <w:t>投诉书（格式）</w:t>
      </w:r>
    </w:p>
    <w:p w14:paraId="5B137B05">
      <w:pPr>
        <w:snapToGrid w:val="0"/>
        <w:ind w:firstLine="482"/>
        <w:rPr>
          <w:rFonts w:ascii="Times New Roman" w:hAnsi="Times New Roman"/>
          <w:b/>
          <w:bCs/>
          <w:color w:val="auto"/>
          <w:kern w:val="0"/>
          <w:sz w:val="24"/>
          <w:highlight w:val="none"/>
          <w:lang w:val="zh-CN"/>
        </w:rPr>
      </w:pPr>
    </w:p>
    <w:p w14:paraId="5892BDDB">
      <w:pPr>
        <w:snapToGrid w:val="0"/>
        <w:ind w:firstLine="482"/>
        <w:rPr>
          <w:rFonts w:ascii="Times New Roman" w:hAnsi="Times New Roman"/>
          <w:b/>
          <w:bCs/>
          <w:color w:val="auto"/>
          <w:kern w:val="0"/>
          <w:sz w:val="24"/>
          <w:highlight w:val="none"/>
          <w:lang w:val="zh-CN"/>
        </w:rPr>
      </w:pPr>
      <w:r>
        <w:rPr>
          <w:rFonts w:ascii="Times New Roman" w:hAnsi="Times New Roman"/>
          <w:b/>
          <w:bCs/>
          <w:color w:val="auto"/>
          <w:kern w:val="0"/>
          <w:sz w:val="24"/>
          <w:highlight w:val="none"/>
          <w:lang w:val="zh-CN"/>
        </w:rPr>
        <w:t>一、投诉相关主体基本情况：</w:t>
      </w:r>
    </w:p>
    <w:p w14:paraId="1634C4BD">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投标人：</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05E2F95F">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2D0880A4">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法定代表人/主要负责人：</w:t>
      </w:r>
      <w:r>
        <w:rPr>
          <w:rFonts w:ascii="Times New Roman" w:hAnsi="Times New Roman"/>
          <w:bCs/>
          <w:color w:val="auto"/>
          <w:kern w:val="0"/>
          <w:sz w:val="24"/>
          <w:highlight w:val="none"/>
          <w:u w:val="single"/>
          <w:lang w:val="zh-CN"/>
        </w:rPr>
        <w:t xml:space="preserve">                                                         </w:t>
      </w:r>
    </w:p>
    <w:p w14:paraId="0EE45013">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p>
    <w:p w14:paraId="1165AC96">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授权代表：</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p>
    <w:p w14:paraId="6A4839AA">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p>
    <w:p w14:paraId="71844AEA">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54365424">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被投诉人1：</w:t>
      </w:r>
    </w:p>
    <w:p w14:paraId="2DABF6F7">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p>
    <w:p w14:paraId="6303E999">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39DC9E7D">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联系人：</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p>
    <w:p w14:paraId="3500790E">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被投诉人2：</w:t>
      </w:r>
    </w:p>
    <w:p w14:paraId="066D391B">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w:t>
      </w:r>
    </w:p>
    <w:p w14:paraId="4B24C0D2">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相关</w:t>
      </w:r>
      <w:r>
        <w:rPr>
          <w:rFonts w:hint="eastAsia" w:ascii="Times New Roman" w:hAnsi="Times New Roman"/>
          <w:bCs/>
          <w:color w:val="auto"/>
          <w:kern w:val="0"/>
          <w:sz w:val="24"/>
          <w:highlight w:val="none"/>
          <w:lang w:val="zh-CN"/>
        </w:rPr>
        <w:t>投标人</w:t>
      </w:r>
      <w:r>
        <w:rPr>
          <w:rFonts w:ascii="Times New Roman" w:hAnsi="Times New Roman"/>
          <w:bCs/>
          <w:color w:val="auto"/>
          <w:kern w:val="0"/>
          <w:sz w:val="24"/>
          <w:highlight w:val="none"/>
          <w:lang w:val="zh-CN"/>
        </w:rPr>
        <w:t>：</w:t>
      </w:r>
      <w:r>
        <w:rPr>
          <w:rFonts w:ascii="Times New Roman" w:hAnsi="Times New Roman"/>
          <w:bCs/>
          <w:color w:val="auto"/>
          <w:kern w:val="0"/>
          <w:sz w:val="24"/>
          <w:highlight w:val="none"/>
          <w:u w:val="single"/>
          <w:lang w:val="zh-CN"/>
        </w:rPr>
        <w:t xml:space="preserve">                                                                       </w:t>
      </w:r>
    </w:p>
    <w:p w14:paraId="49225377">
      <w:pPr>
        <w:snapToGrid w:val="0"/>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地址：</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邮编：</w:t>
      </w:r>
      <w:r>
        <w:rPr>
          <w:rFonts w:ascii="Times New Roman" w:hAnsi="Times New Roman"/>
          <w:bCs/>
          <w:color w:val="auto"/>
          <w:kern w:val="0"/>
          <w:sz w:val="24"/>
          <w:highlight w:val="none"/>
          <w:u w:val="single"/>
          <w:lang w:val="zh-CN"/>
        </w:rPr>
        <w:t xml:space="preserve">                         </w:t>
      </w:r>
    </w:p>
    <w:p w14:paraId="6FD840C2">
      <w:pPr>
        <w:snapToGrid w:val="0"/>
        <w:ind w:firstLine="480"/>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联系人：</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联系电话：</w:t>
      </w:r>
      <w:r>
        <w:rPr>
          <w:rFonts w:ascii="Times New Roman" w:hAnsi="Times New Roman"/>
          <w:bCs/>
          <w:color w:val="auto"/>
          <w:kern w:val="0"/>
          <w:sz w:val="24"/>
          <w:highlight w:val="none"/>
          <w:u w:val="single"/>
          <w:lang w:val="zh-CN"/>
        </w:rPr>
        <w:t xml:space="preserve">                     </w:t>
      </w:r>
      <w:r>
        <w:rPr>
          <w:rFonts w:ascii="Times New Roman" w:hAnsi="Times New Roman"/>
          <w:bCs/>
          <w:color w:val="auto"/>
          <w:kern w:val="0"/>
          <w:sz w:val="24"/>
          <w:highlight w:val="none"/>
          <w:lang w:val="zh-CN"/>
        </w:rPr>
        <w:t xml:space="preserve">                </w:t>
      </w:r>
    </w:p>
    <w:p w14:paraId="4C8644EF">
      <w:pPr>
        <w:snapToGrid w:val="0"/>
        <w:ind w:firstLine="482"/>
        <w:rPr>
          <w:rFonts w:ascii="Times New Roman" w:hAnsi="Times New Roman"/>
          <w:b/>
          <w:bCs/>
          <w:color w:val="auto"/>
          <w:kern w:val="0"/>
          <w:sz w:val="24"/>
          <w:highlight w:val="none"/>
          <w:lang w:val="zh-CN"/>
        </w:rPr>
      </w:pPr>
      <w:r>
        <w:rPr>
          <w:rFonts w:ascii="Times New Roman" w:hAnsi="Times New Roman"/>
          <w:b/>
          <w:bCs/>
          <w:color w:val="auto"/>
          <w:kern w:val="0"/>
          <w:sz w:val="24"/>
          <w:highlight w:val="none"/>
          <w:lang w:val="zh-CN"/>
        </w:rPr>
        <w:t>二、投诉项目基本情况：</w:t>
      </w:r>
    </w:p>
    <w:p w14:paraId="1C5D23F7">
      <w:pPr>
        <w:ind w:firstLine="472" w:firstLineChars="197"/>
        <w:rPr>
          <w:rFonts w:ascii="Times New Roman" w:hAnsi="Times New Roman"/>
          <w:color w:val="auto"/>
          <w:kern w:val="0"/>
          <w:sz w:val="24"/>
          <w:highlight w:val="none"/>
          <w:lang w:val="zh-CN"/>
        </w:rPr>
      </w:pPr>
      <w:r>
        <w:rPr>
          <w:rFonts w:ascii="Times New Roman" w:hAnsi="Times New Roman"/>
          <w:bCs/>
          <w:color w:val="auto"/>
          <w:kern w:val="0"/>
          <w:sz w:val="24"/>
          <w:highlight w:val="none"/>
          <w:lang w:val="zh-CN"/>
        </w:rPr>
        <w:t>采购</w:t>
      </w:r>
      <w:r>
        <w:rPr>
          <w:rFonts w:ascii="Times New Roman" w:hAnsi="Times New Roman"/>
          <w:color w:val="auto"/>
          <w:kern w:val="0"/>
          <w:sz w:val="24"/>
          <w:highlight w:val="none"/>
          <w:lang w:val="zh-CN"/>
        </w:rPr>
        <w:t>项目的名称：</w:t>
      </w:r>
      <w:r>
        <w:rPr>
          <w:rFonts w:ascii="Times New Roman" w:hAnsi="Times New Roman"/>
          <w:bCs/>
          <w:color w:val="auto"/>
          <w:kern w:val="0"/>
          <w:sz w:val="24"/>
          <w:highlight w:val="none"/>
          <w:u w:val="single"/>
          <w:lang w:val="zh-CN"/>
        </w:rPr>
        <w:t xml:space="preserve">                                                                   </w:t>
      </w:r>
    </w:p>
    <w:p w14:paraId="34293CC9">
      <w:pPr>
        <w:ind w:firstLine="472" w:firstLineChars="197"/>
        <w:rPr>
          <w:rFonts w:ascii="Times New Roman" w:hAnsi="Times New Roman"/>
          <w:color w:val="auto"/>
          <w:kern w:val="0"/>
          <w:sz w:val="24"/>
          <w:highlight w:val="none"/>
          <w:lang w:val="zh-CN"/>
        </w:rPr>
      </w:pPr>
      <w:r>
        <w:rPr>
          <w:rFonts w:ascii="Times New Roman" w:hAnsi="Times New Roman"/>
          <w:bCs/>
          <w:color w:val="auto"/>
          <w:kern w:val="0"/>
          <w:sz w:val="24"/>
          <w:highlight w:val="none"/>
          <w:lang w:val="zh-CN"/>
        </w:rPr>
        <w:t>采购</w:t>
      </w:r>
      <w:r>
        <w:rPr>
          <w:rFonts w:ascii="Times New Roman" w:hAnsi="Times New Roman"/>
          <w:color w:val="auto"/>
          <w:kern w:val="0"/>
          <w:sz w:val="24"/>
          <w:highlight w:val="none"/>
          <w:lang w:val="zh-CN"/>
        </w:rPr>
        <w:t>项目的编号：</w:t>
      </w:r>
      <w:r>
        <w:rPr>
          <w:rFonts w:ascii="Times New Roman" w:hAnsi="Times New Roman"/>
          <w:bCs/>
          <w:color w:val="auto"/>
          <w:kern w:val="0"/>
          <w:sz w:val="24"/>
          <w:highlight w:val="none"/>
          <w:u w:val="single"/>
          <w:lang w:val="zh-CN"/>
        </w:rPr>
        <w:t xml:space="preserve">                                          </w:t>
      </w:r>
    </w:p>
    <w:p w14:paraId="2ACCDDC8">
      <w:pPr>
        <w:ind w:firstLine="472" w:firstLineChars="197"/>
        <w:rPr>
          <w:rFonts w:ascii="Times New Roman" w:hAnsi="Times New Roman"/>
          <w:bCs/>
          <w:color w:val="auto"/>
          <w:kern w:val="0"/>
          <w:sz w:val="24"/>
          <w:highlight w:val="none"/>
          <w:u w:val="single"/>
          <w:lang w:val="zh-CN"/>
        </w:rPr>
      </w:pPr>
      <w:r>
        <w:rPr>
          <w:rFonts w:ascii="Times New Roman" w:hAnsi="Times New Roman"/>
          <w:color w:val="auto"/>
          <w:kern w:val="0"/>
          <w:sz w:val="24"/>
          <w:highlight w:val="none"/>
          <w:lang w:val="zh-CN"/>
        </w:rPr>
        <w:t>招标人名称：</w:t>
      </w:r>
      <w:r>
        <w:rPr>
          <w:rFonts w:ascii="Times New Roman" w:hAnsi="Times New Roman"/>
          <w:bCs/>
          <w:color w:val="auto"/>
          <w:kern w:val="0"/>
          <w:sz w:val="24"/>
          <w:highlight w:val="none"/>
          <w:u w:val="single"/>
          <w:lang w:val="zh-CN"/>
        </w:rPr>
        <w:t xml:space="preserve">                                                                        </w:t>
      </w:r>
    </w:p>
    <w:p w14:paraId="7C1F8460">
      <w:pPr>
        <w:ind w:firstLine="472" w:firstLineChars="197"/>
        <w:rPr>
          <w:rFonts w:ascii="Times New Roman" w:hAnsi="Times New Roman"/>
          <w:bCs/>
          <w:color w:val="auto"/>
          <w:kern w:val="0"/>
          <w:sz w:val="24"/>
          <w:highlight w:val="none"/>
          <w:u w:val="single"/>
          <w:lang w:val="zh-CN"/>
        </w:rPr>
      </w:pPr>
      <w:r>
        <w:rPr>
          <w:rFonts w:ascii="Times New Roman" w:hAnsi="Times New Roman"/>
          <w:color w:val="auto"/>
          <w:kern w:val="0"/>
          <w:sz w:val="24"/>
          <w:highlight w:val="none"/>
          <w:lang w:val="zh-CN"/>
        </w:rPr>
        <w:t>代理机构名称：</w:t>
      </w:r>
      <w:r>
        <w:rPr>
          <w:rFonts w:ascii="Times New Roman" w:hAnsi="Times New Roman"/>
          <w:bCs/>
          <w:color w:val="auto"/>
          <w:kern w:val="0"/>
          <w:sz w:val="24"/>
          <w:highlight w:val="none"/>
          <w:u w:val="single"/>
          <w:lang w:val="zh-CN"/>
        </w:rPr>
        <w:t xml:space="preserve">                                                                      </w:t>
      </w:r>
    </w:p>
    <w:p w14:paraId="366B08F8">
      <w:pPr>
        <w:ind w:firstLine="472" w:firstLineChars="197"/>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招标文件公告：</w:t>
      </w:r>
      <w:r>
        <w:rPr>
          <w:rFonts w:ascii="Times New Roman" w:hAnsi="Times New Roman"/>
          <w:bCs/>
          <w:color w:val="auto"/>
          <w:kern w:val="0"/>
          <w:sz w:val="24"/>
          <w:highlight w:val="none"/>
          <w:u w:val="single"/>
          <w:lang w:val="zh-CN"/>
        </w:rPr>
        <w:t>是/否</w:t>
      </w:r>
      <w:r>
        <w:rPr>
          <w:rFonts w:ascii="Times New Roman" w:hAnsi="Times New Roman"/>
          <w:bCs/>
          <w:color w:val="auto"/>
          <w:kern w:val="0"/>
          <w:sz w:val="24"/>
          <w:highlight w:val="none"/>
          <w:lang w:val="zh-CN"/>
        </w:rPr>
        <w:t>公告期限：</w:t>
      </w:r>
      <w:r>
        <w:rPr>
          <w:rFonts w:ascii="Times New Roman" w:hAnsi="Times New Roman"/>
          <w:bCs/>
          <w:color w:val="auto"/>
          <w:kern w:val="0"/>
          <w:sz w:val="24"/>
          <w:highlight w:val="none"/>
          <w:u w:val="single"/>
          <w:lang w:val="zh-CN"/>
        </w:rPr>
        <w:t xml:space="preserve">                                                       </w:t>
      </w:r>
    </w:p>
    <w:p w14:paraId="7ABF496F">
      <w:pPr>
        <w:ind w:firstLine="472" w:firstLineChars="197"/>
        <w:rPr>
          <w:rFonts w:ascii="Times New Roman" w:hAnsi="Times New Roman"/>
          <w:b/>
          <w:color w:val="auto"/>
          <w:kern w:val="0"/>
          <w:sz w:val="24"/>
          <w:highlight w:val="none"/>
          <w:lang w:val="zh-CN"/>
        </w:rPr>
      </w:pPr>
      <w:r>
        <w:rPr>
          <w:rFonts w:ascii="Times New Roman" w:hAnsi="Times New Roman"/>
          <w:bCs/>
          <w:color w:val="auto"/>
          <w:kern w:val="0"/>
          <w:sz w:val="24"/>
          <w:highlight w:val="none"/>
          <w:lang w:val="zh-CN"/>
        </w:rPr>
        <w:t>采购结果公告：</w:t>
      </w:r>
      <w:r>
        <w:rPr>
          <w:rFonts w:ascii="Times New Roman" w:hAnsi="Times New Roman"/>
          <w:bCs/>
          <w:color w:val="auto"/>
          <w:kern w:val="0"/>
          <w:sz w:val="24"/>
          <w:highlight w:val="none"/>
          <w:u w:val="single"/>
          <w:lang w:val="zh-CN"/>
        </w:rPr>
        <w:t>是/否</w:t>
      </w:r>
      <w:r>
        <w:rPr>
          <w:rFonts w:ascii="Times New Roman" w:hAnsi="Times New Roman"/>
          <w:bCs/>
          <w:color w:val="auto"/>
          <w:kern w:val="0"/>
          <w:sz w:val="24"/>
          <w:highlight w:val="none"/>
          <w:lang w:val="zh-CN"/>
        </w:rPr>
        <w:t>公告期限：</w:t>
      </w:r>
      <w:r>
        <w:rPr>
          <w:rFonts w:ascii="Times New Roman" w:hAnsi="Times New Roman"/>
          <w:bCs/>
          <w:color w:val="auto"/>
          <w:kern w:val="0"/>
          <w:sz w:val="24"/>
          <w:highlight w:val="none"/>
          <w:u w:val="single"/>
          <w:lang w:val="zh-CN"/>
        </w:rPr>
        <w:t xml:space="preserve">                                                       </w:t>
      </w:r>
    </w:p>
    <w:p w14:paraId="2C74DF35">
      <w:pPr>
        <w:ind w:firstLine="472" w:firstLineChars="196"/>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三、质疑基本情况</w:t>
      </w:r>
    </w:p>
    <w:p w14:paraId="0D7E017C">
      <w:pPr>
        <w:ind w:firstLine="480"/>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投诉人于</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年</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月</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日，向</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提出质疑，质疑事项为：</w:t>
      </w:r>
    </w:p>
    <w:p w14:paraId="303D4AFB">
      <w:pPr>
        <w:rPr>
          <w:rFonts w:ascii="Times New Roman" w:hAnsi="Times New Roman"/>
          <w:bCs/>
          <w:color w:val="auto"/>
          <w:kern w:val="0"/>
          <w:sz w:val="24"/>
          <w:highlight w:val="none"/>
          <w:u w:val="single"/>
          <w:lang w:val="zh-CN"/>
        </w:rPr>
      </w:pPr>
      <w:r>
        <w:rPr>
          <w:rFonts w:ascii="Times New Roman" w:hAnsi="Times New Roman"/>
          <w:color w:val="auto"/>
          <w:kern w:val="0"/>
          <w:sz w:val="24"/>
          <w:highlight w:val="none"/>
          <w:lang w:val="zh-CN"/>
        </w:rPr>
        <w:t xml:space="preserve">    </w:t>
      </w:r>
      <w:r>
        <w:rPr>
          <w:rFonts w:ascii="Times New Roman" w:hAnsi="Times New Roman"/>
          <w:bCs/>
          <w:color w:val="auto"/>
          <w:kern w:val="0"/>
          <w:sz w:val="24"/>
          <w:highlight w:val="none"/>
          <w:u w:val="single"/>
          <w:lang w:val="zh-CN"/>
        </w:rPr>
        <w:t xml:space="preserve">                                                                                      </w:t>
      </w:r>
    </w:p>
    <w:p w14:paraId="2924ADC3">
      <w:pPr>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 xml:space="preserve">    </w:t>
      </w:r>
      <w:r>
        <w:rPr>
          <w:rFonts w:ascii="Times New Roman" w:hAnsi="Times New Roman"/>
          <w:bCs/>
          <w:color w:val="auto"/>
          <w:kern w:val="0"/>
          <w:sz w:val="24"/>
          <w:highlight w:val="none"/>
          <w:u w:val="single"/>
          <w:lang w:val="zh-CN"/>
        </w:rPr>
        <w:t xml:space="preserve">                                                                                      </w:t>
      </w:r>
    </w:p>
    <w:p w14:paraId="24D89633">
      <w:pPr>
        <w:ind w:firstLine="480"/>
        <w:rPr>
          <w:rFonts w:ascii="Times New Roman" w:hAnsi="Times New Roman"/>
          <w:color w:val="auto"/>
          <w:kern w:val="0"/>
          <w:sz w:val="24"/>
          <w:highlight w:val="none"/>
          <w:lang w:val="zh-CN"/>
        </w:rPr>
      </w:pPr>
      <w:r>
        <w:rPr>
          <w:rFonts w:ascii="Times New Roman" w:hAnsi="Times New Roman"/>
          <w:bCs/>
          <w:color w:val="auto"/>
          <w:kern w:val="0"/>
          <w:sz w:val="24"/>
          <w:highlight w:val="none"/>
          <w:u w:val="single"/>
          <w:lang w:val="zh-CN"/>
        </w:rPr>
        <w:t>招标人/代理机构</w:t>
      </w:r>
      <w:r>
        <w:rPr>
          <w:rFonts w:ascii="Times New Roman" w:hAnsi="Times New Roman"/>
          <w:bCs/>
          <w:color w:val="auto"/>
          <w:kern w:val="0"/>
          <w:sz w:val="24"/>
          <w:highlight w:val="none"/>
          <w:lang w:val="zh-CN"/>
        </w:rPr>
        <w:t>于</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年</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月</w:t>
      </w:r>
      <w:r>
        <w:rPr>
          <w:rFonts w:ascii="Times New Roman" w:hAnsi="Times New Roman"/>
          <w:color w:val="auto"/>
          <w:kern w:val="0"/>
          <w:sz w:val="24"/>
          <w:highlight w:val="none"/>
          <w:u w:val="single"/>
          <w:lang w:val="zh-CN"/>
        </w:rPr>
        <w:t xml:space="preserve">   </w:t>
      </w:r>
      <w:r>
        <w:rPr>
          <w:rFonts w:ascii="Times New Roman" w:hAnsi="Times New Roman"/>
          <w:color w:val="auto"/>
          <w:kern w:val="0"/>
          <w:sz w:val="24"/>
          <w:highlight w:val="none"/>
          <w:lang w:val="zh-CN"/>
        </w:rPr>
        <w:t>日，</w:t>
      </w:r>
      <w:r>
        <w:rPr>
          <w:rFonts w:ascii="Times New Roman" w:hAnsi="Times New Roman"/>
          <w:bCs/>
          <w:color w:val="auto"/>
          <w:kern w:val="0"/>
          <w:sz w:val="24"/>
          <w:highlight w:val="none"/>
          <w:lang w:val="zh-CN"/>
        </w:rPr>
        <w:t xml:space="preserve">就质疑事项作出了答复/没有在法定期限内作出答复。                                                                                             </w:t>
      </w:r>
    </w:p>
    <w:p w14:paraId="2281AD47">
      <w:pPr>
        <w:ind w:firstLine="472" w:firstLineChars="196"/>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四、投诉事项具体内容</w:t>
      </w:r>
    </w:p>
    <w:p w14:paraId="5D1AAE53">
      <w:pPr>
        <w:ind w:firstLine="472" w:firstLineChars="197"/>
        <w:rPr>
          <w:rFonts w:ascii="Times New Roman" w:hAnsi="Times New Roman"/>
          <w:bCs/>
          <w:color w:val="auto"/>
          <w:kern w:val="0"/>
          <w:sz w:val="24"/>
          <w:highlight w:val="none"/>
          <w:u w:val="single"/>
          <w:lang w:val="zh-CN"/>
        </w:rPr>
      </w:pPr>
      <w:r>
        <w:rPr>
          <w:rFonts w:ascii="Times New Roman" w:hAnsi="Times New Roman"/>
          <w:color w:val="auto"/>
          <w:kern w:val="0"/>
          <w:sz w:val="24"/>
          <w:highlight w:val="none"/>
          <w:lang w:val="zh-CN"/>
        </w:rPr>
        <w:t>投诉事项1：</w:t>
      </w:r>
      <w:r>
        <w:rPr>
          <w:rFonts w:ascii="Times New Roman" w:hAnsi="Times New Roman"/>
          <w:bCs/>
          <w:color w:val="auto"/>
          <w:kern w:val="0"/>
          <w:sz w:val="24"/>
          <w:highlight w:val="none"/>
          <w:u w:val="single"/>
          <w:lang w:val="zh-CN"/>
        </w:rPr>
        <w:t xml:space="preserve">                                                                           </w:t>
      </w:r>
    </w:p>
    <w:p w14:paraId="2654F89D">
      <w:pPr>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事实依据：</w:t>
      </w:r>
      <w:r>
        <w:rPr>
          <w:rFonts w:ascii="Times New Roman" w:hAnsi="Times New Roman"/>
          <w:color w:val="auto"/>
          <w:kern w:val="0"/>
          <w:sz w:val="24"/>
          <w:highlight w:val="none"/>
          <w:lang w:val="zh-CN"/>
        </w:rPr>
        <w:t xml:space="preserve"> </w:t>
      </w:r>
      <w:r>
        <w:rPr>
          <w:rFonts w:ascii="Times New Roman" w:hAnsi="Times New Roman"/>
          <w:bCs/>
          <w:color w:val="auto"/>
          <w:kern w:val="0"/>
          <w:sz w:val="24"/>
          <w:highlight w:val="none"/>
          <w:u w:val="single"/>
          <w:lang w:val="zh-CN"/>
        </w:rPr>
        <w:t xml:space="preserve">                                                                                      </w:t>
      </w:r>
    </w:p>
    <w:p w14:paraId="41FC2400">
      <w:pPr>
        <w:ind w:firstLine="472" w:firstLineChars="197"/>
        <w:rPr>
          <w:rFonts w:ascii="Times New Roman" w:hAnsi="Times New Roman"/>
          <w:color w:val="auto"/>
          <w:kern w:val="0"/>
          <w:sz w:val="24"/>
          <w:highlight w:val="none"/>
          <w:lang w:val="zh-CN"/>
        </w:rPr>
      </w:pPr>
      <w:r>
        <w:rPr>
          <w:rFonts w:ascii="Times New Roman" w:hAnsi="Times New Roman"/>
          <w:bCs/>
          <w:color w:val="auto"/>
          <w:kern w:val="0"/>
          <w:sz w:val="24"/>
          <w:highlight w:val="none"/>
          <w:u w:val="single"/>
          <w:lang w:val="zh-CN"/>
        </w:rPr>
        <w:t xml:space="preserve">                                                                                        </w:t>
      </w:r>
    </w:p>
    <w:p w14:paraId="29041F99">
      <w:pPr>
        <w:ind w:firstLine="480"/>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法律依据：</w:t>
      </w:r>
      <w:r>
        <w:rPr>
          <w:rFonts w:ascii="Times New Roman" w:hAnsi="Times New Roman"/>
          <w:color w:val="auto"/>
          <w:kern w:val="0"/>
          <w:sz w:val="24"/>
          <w:highlight w:val="none"/>
          <w:lang w:val="zh-CN"/>
        </w:rPr>
        <w:t xml:space="preserve"> </w:t>
      </w:r>
      <w:r>
        <w:rPr>
          <w:rFonts w:ascii="Times New Roman" w:hAnsi="Times New Roman"/>
          <w:bCs/>
          <w:color w:val="auto"/>
          <w:kern w:val="0"/>
          <w:sz w:val="24"/>
          <w:highlight w:val="none"/>
          <w:u w:val="single"/>
          <w:lang w:val="zh-CN"/>
        </w:rPr>
        <w:t xml:space="preserve">                                                                                      </w:t>
      </w:r>
    </w:p>
    <w:p w14:paraId="4751BE61">
      <w:pPr>
        <w:ind w:firstLine="352" w:firstLineChars="147"/>
        <w:rPr>
          <w:rFonts w:ascii="Times New Roman" w:hAnsi="Times New Roman"/>
          <w:bCs/>
          <w:color w:val="auto"/>
          <w:kern w:val="0"/>
          <w:sz w:val="24"/>
          <w:highlight w:val="none"/>
          <w:u w:val="single"/>
          <w:lang w:val="zh-CN"/>
        </w:rPr>
      </w:pPr>
      <w:r>
        <w:rPr>
          <w:rFonts w:ascii="Times New Roman" w:hAnsi="Times New Roman"/>
          <w:bCs/>
          <w:color w:val="auto"/>
          <w:kern w:val="0"/>
          <w:sz w:val="24"/>
          <w:highlight w:val="none"/>
          <w:lang w:val="zh-CN"/>
        </w:rPr>
        <w:t xml:space="preserve"> </w:t>
      </w:r>
      <w:r>
        <w:rPr>
          <w:rFonts w:ascii="Times New Roman" w:hAnsi="Times New Roman"/>
          <w:bCs/>
          <w:color w:val="auto"/>
          <w:kern w:val="0"/>
          <w:sz w:val="24"/>
          <w:highlight w:val="none"/>
          <w:u w:val="single"/>
          <w:lang w:val="zh-CN"/>
        </w:rPr>
        <w:t xml:space="preserve">                                                                                        </w:t>
      </w:r>
    </w:p>
    <w:p w14:paraId="06FE9658">
      <w:pPr>
        <w:ind w:firstLine="472" w:firstLineChars="197"/>
        <w:rPr>
          <w:rFonts w:ascii="Times New Roman" w:hAnsi="Times New Roman"/>
          <w:bCs/>
          <w:color w:val="auto"/>
          <w:kern w:val="0"/>
          <w:sz w:val="24"/>
          <w:highlight w:val="none"/>
          <w:lang w:val="zh-CN"/>
        </w:rPr>
      </w:pPr>
      <w:r>
        <w:rPr>
          <w:rFonts w:ascii="Times New Roman" w:hAnsi="Times New Roman"/>
          <w:color w:val="auto"/>
          <w:kern w:val="0"/>
          <w:sz w:val="24"/>
          <w:highlight w:val="none"/>
          <w:lang w:val="zh-CN"/>
        </w:rPr>
        <w:t xml:space="preserve">投诉事项2  </w:t>
      </w:r>
      <w:r>
        <w:rPr>
          <w:rFonts w:ascii="Times New Roman" w:hAnsi="Times New Roman"/>
          <w:bCs/>
          <w:color w:val="auto"/>
          <w:kern w:val="0"/>
          <w:sz w:val="24"/>
          <w:highlight w:val="none"/>
          <w:lang w:val="zh-CN"/>
        </w:rPr>
        <w:t xml:space="preserve">   </w:t>
      </w:r>
    </w:p>
    <w:p w14:paraId="1D5CF540">
      <w:pPr>
        <w:ind w:firstLine="472" w:firstLineChars="197"/>
        <w:rPr>
          <w:rFonts w:ascii="Times New Roman" w:hAnsi="Times New Roman"/>
          <w:bCs/>
          <w:color w:val="auto"/>
          <w:kern w:val="0"/>
          <w:sz w:val="24"/>
          <w:highlight w:val="none"/>
          <w:lang w:val="zh-CN"/>
        </w:rPr>
      </w:pPr>
      <w:r>
        <w:rPr>
          <w:rFonts w:ascii="Times New Roman" w:hAnsi="Times New Roman"/>
          <w:bCs/>
          <w:color w:val="auto"/>
          <w:kern w:val="0"/>
          <w:sz w:val="24"/>
          <w:highlight w:val="none"/>
          <w:lang w:val="zh-CN"/>
        </w:rPr>
        <w:t>……</w:t>
      </w:r>
    </w:p>
    <w:p w14:paraId="62ECAB9B">
      <w:pPr>
        <w:ind w:firstLine="472" w:firstLineChars="196"/>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五、与投诉事项相关的投诉请求：</w:t>
      </w:r>
    </w:p>
    <w:p w14:paraId="3ED4D4FC">
      <w:pPr>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请求：</w:t>
      </w:r>
      <w:r>
        <w:rPr>
          <w:rFonts w:ascii="Times New Roman" w:hAnsi="Times New Roman"/>
          <w:bCs/>
          <w:color w:val="auto"/>
          <w:kern w:val="0"/>
          <w:sz w:val="24"/>
          <w:highlight w:val="none"/>
          <w:u w:val="single"/>
          <w:lang w:val="zh-CN"/>
        </w:rPr>
        <w:t xml:space="preserve">                                                                                 </w:t>
      </w:r>
    </w:p>
    <w:p w14:paraId="6AEE08DE">
      <w:pPr>
        <w:spacing w:line="480" w:lineRule="auto"/>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签字（签章）：                                       公章：</w:t>
      </w:r>
    </w:p>
    <w:p w14:paraId="5B621E6D">
      <w:pPr>
        <w:spacing w:line="480" w:lineRule="auto"/>
        <w:ind w:firstLine="472" w:firstLineChars="197"/>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日期：</w:t>
      </w:r>
      <w:r>
        <w:rPr>
          <w:rFonts w:ascii="Times New Roman" w:hAnsi="Times New Roman"/>
          <w:bCs/>
          <w:color w:val="auto"/>
          <w:kern w:val="0"/>
          <w:sz w:val="24"/>
          <w:highlight w:val="none"/>
          <w:lang w:val="zh-CN"/>
        </w:rPr>
        <w:t xml:space="preserve"> </w:t>
      </w:r>
    </w:p>
    <w:p w14:paraId="7CF822DB">
      <w:pPr>
        <w:snapToGrid w:val="0"/>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说明：</w:t>
      </w:r>
    </w:p>
    <w:p w14:paraId="30C7CCD3">
      <w:pPr>
        <w:ind w:left="25" w:leftChars="12" w:firstLine="354" w:firstLineChars="147"/>
        <w:rPr>
          <w:rFonts w:ascii="Times New Roman" w:hAnsi="Times New Roman"/>
          <w:b/>
          <w:bCs/>
          <w:color w:val="auto"/>
          <w:kern w:val="0"/>
          <w:sz w:val="24"/>
          <w:highlight w:val="none"/>
          <w:lang w:val="zh-CN"/>
        </w:rPr>
      </w:pPr>
      <w:r>
        <w:rPr>
          <w:rFonts w:ascii="Times New Roman" w:hAnsi="Times New Roman"/>
          <w:b/>
          <w:color w:val="auto"/>
          <w:kern w:val="0"/>
          <w:sz w:val="24"/>
          <w:highlight w:val="none"/>
          <w:lang w:val="zh-CN"/>
        </w:rPr>
        <w:t>1.投诉人提起投诉时，应当提交投诉书和必要的证明材料，并按照被投诉人和与投诉事项有关的</w:t>
      </w:r>
      <w:r>
        <w:rPr>
          <w:rFonts w:hint="eastAsia" w:ascii="Times New Roman" w:hAnsi="Times New Roman"/>
          <w:b/>
          <w:color w:val="auto"/>
          <w:kern w:val="0"/>
          <w:sz w:val="24"/>
          <w:highlight w:val="none"/>
          <w:lang w:val="zh-CN"/>
        </w:rPr>
        <w:t>投标人</w:t>
      </w:r>
      <w:r>
        <w:rPr>
          <w:rFonts w:ascii="Times New Roman" w:hAnsi="Times New Roman"/>
          <w:b/>
          <w:color w:val="auto"/>
          <w:kern w:val="0"/>
          <w:sz w:val="24"/>
          <w:highlight w:val="none"/>
          <w:lang w:val="zh-CN"/>
        </w:rPr>
        <w:t>数量提供投诉书副本</w:t>
      </w:r>
      <w:r>
        <w:rPr>
          <w:rFonts w:ascii="Times New Roman" w:hAnsi="Times New Roman"/>
          <w:b/>
          <w:bCs/>
          <w:color w:val="auto"/>
          <w:kern w:val="0"/>
          <w:sz w:val="24"/>
          <w:highlight w:val="none"/>
          <w:lang w:val="zh-CN"/>
        </w:rPr>
        <w:t>。</w:t>
      </w:r>
    </w:p>
    <w:p w14:paraId="6E9754CD">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23194E4">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3.投诉书应简要列明质疑事项，质疑函、质疑答复等作为附件材料提供。</w:t>
      </w:r>
    </w:p>
    <w:p w14:paraId="5863EBDD">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4.投诉书的投诉事项应具体、明确，并有必要的事实依据和法律依据。</w:t>
      </w:r>
    </w:p>
    <w:p w14:paraId="49F600F5">
      <w:pPr>
        <w:ind w:left="25" w:leftChars="12" w:firstLine="354" w:firstLineChars="147"/>
        <w:rPr>
          <w:rFonts w:ascii="Times New Roman" w:hAnsi="Times New Roman"/>
          <w:b/>
          <w:color w:val="auto"/>
          <w:kern w:val="0"/>
          <w:sz w:val="24"/>
          <w:highlight w:val="none"/>
          <w:lang w:val="zh-CN"/>
        </w:rPr>
      </w:pPr>
      <w:r>
        <w:rPr>
          <w:rFonts w:ascii="Times New Roman" w:hAnsi="Times New Roman"/>
          <w:b/>
          <w:color w:val="auto"/>
          <w:kern w:val="0"/>
          <w:sz w:val="24"/>
          <w:highlight w:val="none"/>
          <w:lang w:val="zh-CN"/>
        </w:rPr>
        <w:t>5.投诉书的投诉请求应与投诉事项相关。</w:t>
      </w:r>
    </w:p>
    <w:p w14:paraId="3DBD2C04">
      <w:pPr>
        <w:ind w:left="25" w:leftChars="12" w:firstLine="354" w:firstLineChars="147"/>
        <w:rPr>
          <w:rFonts w:ascii="Times New Roman" w:hAnsi="Times New Roman"/>
          <w:color w:val="auto"/>
          <w:highlight w:val="none"/>
        </w:rPr>
      </w:pPr>
      <w:r>
        <w:rPr>
          <w:rFonts w:ascii="Times New Roman" w:hAnsi="Times New Roman"/>
          <w:b/>
          <w:color w:val="auto"/>
          <w:kern w:val="0"/>
          <w:sz w:val="24"/>
          <w:highlight w:val="none"/>
          <w:lang w:val="zh-CN"/>
        </w:rPr>
        <w:t>6.投诉人为法人或者其他组织的，投诉书应由法定代表人、主要负责人，或者其授权代表签字或者盖章，并加盖公章。</w:t>
      </w:r>
    </w:p>
    <w:p w14:paraId="03A5D593">
      <w:pPr>
        <w:rPr>
          <w:rFonts w:ascii="Times New Roman" w:hAnsi="Times New Roman"/>
          <w:color w:val="auto"/>
          <w:highlight w:val="none"/>
        </w:rPr>
      </w:pPr>
    </w:p>
    <w:p w14:paraId="5EBAD001">
      <w:pPr>
        <w:rPr>
          <w:color w:val="auto"/>
          <w:highlight w:val="none"/>
        </w:rPr>
      </w:pPr>
    </w:p>
    <w:p w14:paraId="2E2D5EB0">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FC35">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E192A78">
                          <w:pPr>
                            <w:pStyle w:val="13"/>
                          </w:pPr>
                          <w:r>
                            <w:fldChar w:fldCharType="begin"/>
                          </w:r>
                          <w:r>
                            <w:instrText xml:space="preserve"> PAGE  \* MERGEFORMAT </w:instrText>
                          </w:r>
                          <w:r>
                            <w:fldChar w:fldCharType="separate"/>
                          </w:r>
                          <w:r>
                            <w:t>45</w:t>
                          </w:r>
                          <w:r>
                            <w:fldChar w:fldCharType="end"/>
                          </w:r>
                        </w:p>
                      </w:txbxContent>
                    </wps:txbx>
                    <wps:bodyPr vert="horz" wrap="none" lIns="0" tIns="0" rIns="0" bIns="0" anchor="t" anchorCtr="0">
                      <a:spAutoFit/>
                    </wps:bodyPr>
                  </wps:wsp>
                </a:graphicData>
              </a:graphic>
            </wp:anchor>
          </w:drawing>
        </mc:Choice>
        <mc:Fallback>
          <w:pict>
            <v:shape id="文本框 41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uonmP&#10;6QEAAM0DAAAOAAAAAAAAAAEAIAAAACIBAABkcnMvZTJvRG9jLnhtbFBLBQYAAAAABgAGAFkBAAB9&#10;BQAAAAA=&#10;">
              <v:fill on="f" focussize="0,0"/>
              <v:stroke on="f" weight="1.25pt"/>
              <v:imagedata o:title=""/>
              <o:lock v:ext="edit" aspectratio="f"/>
              <v:textbox inset="0mm,0mm,0mm,0mm" style="mso-fit-shape-to-text:t;">
                <w:txbxContent>
                  <w:p w14:paraId="5E192A78">
                    <w:pPr>
                      <w:pStyle w:val="1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F80D">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29BF8E">
                          <w:pPr>
                            <w:pStyle w:val="13"/>
                          </w:pPr>
                          <w:r>
                            <w:fldChar w:fldCharType="begin"/>
                          </w:r>
                          <w:r>
                            <w:instrText xml:space="preserve"> PAGE  \* MERGEFORMAT </w:instrText>
                          </w:r>
                          <w:r>
                            <w:fldChar w:fldCharType="separate"/>
                          </w:r>
                          <w:r>
                            <w:t>27</w:t>
                          </w:r>
                          <w:r>
                            <w:fldChar w:fldCharType="end"/>
                          </w:r>
                        </w:p>
                      </w:txbxContent>
                    </wps:txbx>
                    <wps:bodyPr vert="horz" wrap="none" lIns="0" tIns="0" rIns="0" bIns="0" anchor="t" anchorCtr="0">
                      <a:spAutoFit/>
                    </wps:bodyPr>
                  </wps:wsp>
                </a:graphicData>
              </a:graphic>
            </wp:anchor>
          </w:drawing>
        </mc:Choice>
        <mc:Fallback>
          <w:pict>
            <v:shape id="文本框 41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Faf3E&#10;6QEAAM0DAAAOAAAAAAAAAAEAIAAAACIBAABkcnMvZTJvRG9jLnhtbFBLBQYAAAAABgAGAFkBAAB9&#10;BQAAAAA=&#10;">
              <v:fill on="f" focussize="0,0"/>
              <v:stroke on="f" weight="1.25pt"/>
              <v:imagedata o:title=""/>
              <o:lock v:ext="edit" aspectratio="f"/>
              <v:textbox inset="0mm,0mm,0mm,0mm" style="mso-fit-shape-to-text:t;">
                <w:txbxContent>
                  <w:p w14:paraId="4F29BF8E">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3DC45">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D4A8540">
                          <w:pPr>
                            <w:pStyle w:val="13"/>
                            <w:jc w:val="center"/>
                          </w:pPr>
                          <w:r>
                            <w:fldChar w:fldCharType="begin"/>
                          </w:r>
                          <w:r>
                            <w:instrText xml:space="preserve"> PAGE   \* MERGEFORMAT </w:instrText>
                          </w:r>
                          <w:r>
                            <w:fldChar w:fldCharType="separate"/>
                          </w:r>
                          <w:r>
                            <w:rPr>
                              <w:lang w:val="zh-CN"/>
                            </w:rPr>
                            <w:t>136</w:t>
                          </w:r>
                          <w:r>
                            <w:fldChar w:fldCharType="end"/>
                          </w:r>
                        </w:p>
                      </w:txbxContent>
                    </wps:txbx>
                    <wps:bodyPr vert="horz" wrap="none" lIns="0" tIns="0" rIns="0" bIns="0" anchor="t" anchorCtr="0">
                      <a:spAutoFit/>
                    </wps:bodyPr>
                  </wps:wsp>
                </a:graphicData>
              </a:graphic>
            </wp:anchor>
          </w:drawing>
        </mc:Choice>
        <mc:Fallback>
          <w:pict>
            <v:shape id="文本框 410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CMnpD&#10;6QEAAM0DAAAOAAAAAAAAAAEAIAAAACIBAABkcnMvZTJvRG9jLnhtbFBLBQYAAAAABgAGAFkBAAB9&#10;BQAAAAA=&#10;">
              <v:fill on="f" focussize="0,0"/>
              <v:stroke on="f" weight="1.25pt"/>
              <v:imagedata o:title=""/>
              <o:lock v:ext="edit" aspectratio="f"/>
              <v:textbox inset="0mm,0mm,0mm,0mm" style="mso-fit-shape-to-text:t;">
                <w:txbxContent>
                  <w:p w14:paraId="5D4A8540">
                    <w:pPr>
                      <w:pStyle w:val="13"/>
                      <w:jc w:val="center"/>
                    </w:pPr>
                    <w:r>
                      <w:fldChar w:fldCharType="begin"/>
                    </w:r>
                    <w:r>
                      <w:instrText xml:space="preserve"> PAGE   \* MERGEFORMAT </w:instrText>
                    </w:r>
                    <w:r>
                      <w:fldChar w:fldCharType="separate"/>
                    </w:r>
                    <w:r>
                      <w:rPr>
                        <w:lang w:val="zh-CN"/>
                      </w:rPr>
                      <w:t>136</w:t>
                    </w:r>
                    <w:r>
                      <w:fldChar w:fldCharType="end"/>
                    </w:r>
                  </w:p>
                </w:txbxContent>
              </v:textbox>
            </v:shape>
          </w:pict>
        </mc:Fallback>
      </mc:AlternateContent>
    </w:r>
  </w:p>
  <w:p w14:paraId="1AABD90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50BA">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16DB4C0">
                          <w:pPr>
                            <w:pStyle w:val="13"/>
                            <w:jc w:val="center"/>
                          </w:pPr>
                          <w:r>
                            <w:fldChar w:fldCharType="begin"/>
                          </w:r>
                          <w:r>
                            <w:instrText xml:space="preserve"> PAGE   \* MERGEFORMAT </w:instrText>
                          </w:r>
                          <w:r>
                            <w:fldChar w:fldCharType="separate"/>
                          </w:r>
                          <w:r>
                            <w:rPr>
                              <w:lang w:val="zh-CN"/>
                            </w:rPr>
                            <w:t>142</w:t>
                          </w:r>
                          <w:r>
                            <w:fldChar w:fldCharType="end"/>
                          </w:r>
                        </w:p>
                      </w:txbxContent>
                    </wps:txbx>
                    <wps:bodyPr wrap="none" lIns="0" tIns="0" rIns="0" bIns="0">
                      <a:spAutoFit/>
                    </wps:bodyPr>
                  </wps:wsp>
                </a:graphicData>
              </a:graphic>
            </wp:anchor>
          </w:drawing>
        </mc:Choice>
        <mc:Fallback>
          <w:pict>
            <v:shape id="文本框 410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JBN0fnNAQAAmgMAAA4AAAAAAAAAAQAgAAAAIgEAAGRy&#10;cy9lMm9Eb2MueG1sUEsFBgAAAAAGAAYAWQEAAGEFAAAAAA==&#10;">
              <v:fill on="f" focussize="0,0"/>
              <v:stroke on="f" weight="1.25pt"/>
              <v:imagedata o:title=""/>
              <o:lock v:ext="edit" aspectratio="f"/>
              <v:textbox inset="0mm,0mm,0mm,0mm" style="mso-fit-shape-to-text:t;">
                <w:txbxContent>
                  <w:p w14:paraId="316DB4C0">
                    <w:pPr>
                      <w:pStyle w:val="13"/>
                      <w:jc w:val="center"/>
                    </w:pPr>
                    <w:r>
                      <w:fldChar w:fldCharType="begin"/>
                    </w:r>
                    <w:r>
                      <w:instrText xml:space="preserve"> PAGE   \* MERGEFORMAT </w:instrText>
                    </w:r>
                    <w:r>
                      <w:fldChar w:fldCharType="separate"/>
                    </w:r>
                    <w:r>
                      <w:rPr>
                        <w:lang w:val="zh-CN"/>
                      </w:rPr>
                      <w:t>142</w:t>
                    </w:r>
                    <w:r>
                      <w:fldChar w:fldCharType="end"/>
                    </w:r>
                  </w:p>
                </w:txbxContent>
              </v:textbox>
            </v:shape>
          </w:pict>
        </mc:Fallback>
      </mc:AlternateContent>
    </w:r>
  </w:p>
  <w:p w14:paraId="7A80CB7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118E">
    <w:pPr>
      <w:pStyle w:val="15"/>
    </w:pPr>
    <w:r>
      <w:rPr>
        <w:rFonts w:hint="eastAsia"/>
        <w:u w:val="none"/>
      </w:rPr>
      <w:t xml:space="preserve">    </w:t>
    </w:r>
    <w:r>
      <w:rPr>
        <w:rFonts w:hint="eastAsia" w:ascii="新宋体" w:hAnsi="新宋体" w:eastAsia="新宋体" w:cs="新宋体"/>
        <w:color w:val="000000"/>
        <w:u w:val="none"/>
      </w:rPr>
      <w:t>广西创佳项目管理有限公司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4F26">
    <w:pPr>
      <w:pStyle w:val="15"/>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81B2">
    <w:pPr>
      <w:pStyle w:val="15"/>
      <w:pBdr>
        <w:bottom w:val="none" w:color="auto" w:sz="0" w:space="0"/>
      </w:pBdr>
      <w:tabs>
        <w:tab w:val="left" w:pos="6015"/>
      </w:tabs>
      <w:jc w:val="both"/>
      <w:rPr>
        <w:rStyle w:val="23"/>
        <w:rFonts w:eastAsia="Times New Roman"/>
        <w:sz w:val="21"/>
        <w:szCs w:val="21"/>
      </w:rPr>
    </w:pPr>
    <w:r>
      <w:rPr>
        <w:rFonts w:hint="eastAsia"/>
        <w:sz w:val="20"/>
        <w:szCs w:val="28"/>
      </w:rPr>
      <w:t xml:space="preserve">    </w:t>
    </w:r>
    <w:r>
      <w:rPr>
        <w:rFonts w:hint="eastAsia" w:eastAsia="宋体"/>
        <w:sz w:val="20"/>
        <w:szCs w:val="28"/>
      </w:rPr>
      <w:t xml:space="preserve">  </w:t>
    </w:r>
    <w:r>
      <w:rPr>
        <w:rFonts w:hint="eastAsia" w:ascii="新宋体" w:hAnsi="新宋体" w:eastAsia="新宋体" w:cs="新宋体"/>
        <w:color w:val="000000"/>
        <w:sz w:val="20"/>
        <w:szCs w:val="20"/>
      </w:rPr>
      <w:t>广西创佳项目管理有限公司                                                  公开招标文件</w:t>
    </w:r>
    <w:r>
      <w:rPr>
        <w:rFonts w:hint="eastAsia" w:ascii="新宋体" w:hAnsi="新宋体" w:eastAsia="新宋体" w:cs="新宋体"/>
        <w:color w:val="00000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D39C">
    <w:pPr>
      <w:pStyle w:val="15"/>
      <w:pBdr>
        <w:bottom w:val="none" w:color="auto" w:sz="0" w:space="0"/>
      </w:pBdr>
      <w:tabs>
        <w:tab w:val="left" w:pos="6015"/>
      </w:tabs>
      <w:jc w:val="both"/>
      <w:rPr>
        <w:rStyle w:val="23"/>
        <w:rFonts w:eastAsia="Times New Roman"/>
        <w:sz w:val="21"/>
        <w:szCs w:val="21"/>
      </w:rPr>
    </w:pPr>
    <w:r>
      <w:rPr>
        <w:rFonts w:hint="eastAsia"/>
        <w:sz w:val="20"/>
        <w:szCs w:val="28"/>
      </w:rPr>
      <w:t xml:space="preserve">    </w:t>
    </w:r>
    <w:r>
      <w:rPr>
        <w:rFonts w:hint="eastAsia" w:eastAsia="宋体"/>
        <w:sz w:val="20"/>
        <w:szCs w:val="28"/>
      </w:rPr>
      <w:t xml:space="preserve">  </w:t>
    </w:r>
    <w:r>
      <w:rPr>
        <w:rFonts w:hint="eastAsia" w:ascii="新宋体" w:hAnsi="新宋体" w:eastAsia="新宋体" w:cs="新宋体"/>
        <w:color w:val="000000"/>
        <w:sz w:val="20"/>
        <w:szCs w:val="20"/>
      </w:rPr>
      <w:t>广西创佳项目管理有限公司                                                  公开招标文件</w:t>
    </w:r>
    <w:r>
      <w:rPr>
        <w:rFonts w:hint="eastAsia" w:ascii="新宋体" w:hAnsi="新宋体" w:eastAsia="新宋体" w:cs="新宋体"/>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3FA66"/>
    <w:multiLevelType w:val="singleLevel"/>
    <w:tmpl w:val="8353FA66"/>
    <w:lvl w:ilvl="0" w:tentative="0">
      <w:start w:val="1"/>
      <w:numFmt w:val="decimal"/>
      <w:suff w:val="nothing"/>
      <w:lvlText w:val="%1、"/>
      <w:lvlJc w:val="left"/>
    </w:lvl>
  </w:abstractNum>
  <w:abstractNum w:abstractNumId="1">
    <w:nsid w:val="8D6A4D01"/>
    <w:multiLevelType w:val="singleLevel"/>
    <w:tmpl w:val="8D6A4D01"/>
    <w:lvl w:ilvl="0" w:tentative="0">
      <w:start w:val="3"/>
      <w:numFmt w:val="chineseCounting"/>
      <w:suff w:val="space"/>
      <w:lvlText w:val="第%1章"/>
      <w:lvlJc w:val="left"/>
      <w:rPr>
        <w:rFonts w:hint="eastAsia"/>
      </w:rPr>
    </w:lvl>
  </w:abstractNum>
  <w:abstractNum w:abstractNumId="2">
    <w:nsid w:val="941F33BA"/>
    <w:multiLevelType w:val="singleLevel"/>
    <w:tmpl w:val="941F33BA"/>
    <w:lvl w:ilvl="0" w:tentative="0">
      <w:start w:val="2"/>
      <w:numFmt w:val="decimal"/>
      <w:suff w:val="nothing"/>
      <w:lvlText w:val="%1、"/>
      <w:lvlJc w:val="left"/>
    </w:lvl>
  </w:abstractNum>
  <w:abstractNum w:abstractNumId="3">
    <w:nsid w:val="B6EBE104"/>
    <w:multiLevelType w:val="singleLevel"/>
    <w:tmpl w:val="B6EBE104"/>
    <w:lvl w:ilvl="0" w:tentative="0">
      <w:start w:val="1"/>
      <w:numFmt w:val="chineseCounting"/>
      <w:suff w:val="space"/>
      <w:lvlText w:val="第%1条"/>
      <w:lvlJc w:val="left"/>
      <w:rPr>
        <w:rFonts w:hint="eastAsia"/>
        <w:b/>
        <w:bCs/>
      </w:rPr>
    </w:lvl>
  </w:abstractNum>
  <w:abstractNum w:abstractNumId="4">
    <w:nsid w:val="F336FD03"/>
    <w:multiLevelType w:val="singleLevel"/>
    <w:tmpl w:val="F336FD03"/>
    <w:lvl w:ilvl="0" w:tentative="0">
      <w:start w:val="1"/>
      <w:numFmt w:val="decimal"/>
      <w:suff w:val="nothing"/>
      <w:lvlText w:val="%1、"/>
      <w:lvlJc w:val="left"/>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456B62D7"/>
    <w:multiLevelType w:val="singleLevel"/>
    <w:tmpl w:val="456B62D7"/>
    <w:lvl w:ilvl="0" w:tentative="0">
      <w:start w:val="1"/>
      <w:numFmt w:val="decimal"/>
      <w:suff w:val="nothing"/>
      <w:lvlText w:val="（%1）"/>
      <w:lvlJc w:val="left"/>
    </w:lvl>
  </w:abstractNum>
  <w:abstractNum w:abstractNumId="7">
    <w:nsid w:val="55543313"/>
    <w:multiLevelType w:val="singleLevel"/>
    <w:tmpl w:val="55543313"/>
    <w:lvl w:ilvl="0" w:tentative="0">
      <w:start w:val="2"/>
      <w:numFmt w:val="decimal"/>
      <w:lvlText w:val="%1."/>
      <w:lvlJc w:val="left"/>
      <w:pPr>
        <w:tabs>
          <w:tab w:val="left" w:pos="312"/>
        </w:tabs>
      </w:p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NTZmYTBmMzI4NzE3ZDhkMmE5MDRkYjY1YjdhMzcifQ=="/>
  </w:docVars>
  <w:rsids>
    <w:rsidRoot w:val="127650A2"/>
    <w:rsid w:val="00024C22"/>
    <w:rsid w:val="00213B10"/>
    <w:rsid w:val="0040571F"/>
    <w:rsid w:val="0051009B"/>
    <w:rsid w:val="00611D6B"/>
    <w:rsid w:val="00681217"/>
    <w:rsid w:val="00782225"/>
    <w:rsid w:val="00943650"/>
    <w:rsid w:val="00C64B7B"/>
    <w:rsid w:val="00D2469A"/>
    <w:rsid w:val="00DD5AF3"/>
    <w:rsid w:val="020E77A1"/>
    <w:rsid w:val="04FE17BB"/>
    <w:rsid w:val="05687CD1"/>
    <w:rsid w:val="08E93FC2"/>
    <w:rsid w:val="09E30FE9"/>
    <w:rsid w:val="0A143686"/>
    <w:rsid w:val="0A611B74"/>
    <w:rsid w:val="0A7B2255"/>
    <w:rsid w:val="0AEA14E0"/>
    <w:rsid w:val="0CC36CAA"/>
    <w:rsid w:val="0D917DDD"/>
    <w:rsid w:val="0E065B37"/>
    <w:rsid w:val="1248731B"/>
    <w:rsid w:val="127650A2"/>
    <w:rsid w:val="14B44A5E"/>
    <w:rsid w:val="14EF1875"/>
    <w:rsid w:val="16926A30"/>
    <w:rsid w:val="177B2F13"/>
    <w:rsid w:val="18FE1560"/>
    <w:rsid w:val="19BB2276"/>
    <w:rsid w:val="1E21780C"/>
    <w:rsid w:val="1FED0F41"/>
    <w:rsid w:val="207672EF"/>
    <w:rsid w:val="250C5E22"/>
    <w:rsid w:val="25D53A04"/>
    <w:rsid w:val="262E2524"/>
    <w:rsid w:val="27433AD1"/>
    <w:rsid w:val="27833591"/>
    <w:rsid w:val="27A079B5"/>
    <w:rsid w:val="28E77059"/>
    <w:rsid w:val="29E3380C"/>
    <w:rsid w:val="32D22AAA"/>
    <w:rsid w:val="345A2F3F"/>
    <w:rsid w:val="35E756EF"/>
    <w:rsid w:val="3737510D"/>
    <w:rsid w:val="38293F6F"/>
    <w:rsid w:val="3B4F156E"/>
    <w:rsid w:val="3BB5576A"/>
    <w:rsid w:val="4099322F"/>
    <w:rsid w:val="41B3069B"/>
    <w:rsid w:val="44D80F16"/>
    <w:rsid w:val="45A831F7"/>
    <w:rsid w:val="46017D76"/>
    <w:rsid w:val="466A6495"/>
    <w:rsid w:val="47285E0E"/>
    <w:rsid w:val="47964697"/>
    <w:rsid w:val="480F155C"/>
    <w:rsid w:val="49101AD1"/>
    <w:rsid w:val="4A635600"/>
    <w:rsid w:val="4AFC6040"/>
    <w:rsid w:val="4BC77293"/>
    <w:rsid w:val="4D0D13BF"/>
    <w:rsid w:val="4D950A56"/>
    <w:rsid w:val="4ECB3B9A"/>
    <w:rsid w:val="502A120C"/>
    <w:rsid w:val="50435F29"/>
    <w:rsid w:val="505378FA"/>
    <w:rsid w:val="5080704B"/>
    <w:rsid w:val="512B177F"/>
    <w:rsid w:val="54466BAE"/>
    <w:rsid w:val="58CF6C77"/>
    <w:rsid w:val="5C3B3841"/>
    <w:rsid w:val="5E8A5C5F"/>
    <w:rsid w:val="613100ED"/>
    <w:rsid w:val="62323582"/>
    <w:rsid w:val="6545216E"/>
    <w:rsid w:val="65D03074"/>
    <w:rsid w:val="67B36333"/>
    <w:rsid w:val="68B97536"/>
    <w:rsid w:val="696F4896"/>
    <w:rsid w:val="6A424F7A"/>
    <w:rsid w:val="6D1003AE"/>
    <w:rsid w:val="6EC72C21"/>
    <w:rsid w:val="6EE449F0"/>
    <w:rsid w:val="706B7A8A"/>
    <w:rsid w:val="708A49EB"/>
    <w:rsid w:val="709703B5"/>
    <w:rsid w:val="709B1617"/>
    <w:rsid w:val="70C27FA4"/>
    <w:rsid w:val="76402E54"/>
    <w:rsid w:val="7743087B"/>
    <w:rsid w:val="7A843E8E"/>
    <w:rsid w:val="7AFD6F75"/>
    <w:rsid w:val="7D5F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Verdana" w:hAnsi="Verdana"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220" w:after="210" w:line="578" w:lineRule="auto"/>
      <w:jc w:val="center"/>
      <w:outlineLvl w:val="0"/>
    </w:pPr>
    <w:rPr>
      <w:b/>
      <w:bCs/>
      <w:kern w:val="44"/>
      <w:sz w:val="36"/>
      <w:szCs w:val="44"/>
    </w:rPr>
  </w:style>
  <w:style w:type="paragraph" w:styleId="3">
    <w:name w:val="heading 2"/>
    <w:basedOn w:val="1"/>
    <w:next w:val="1"/>
    <w:qFormat/>
    <w:uiPriority w:val="9"/>
    <w:pPr>
      <w:keepNext/>
      <w:keepLines/>
      <w:spacing w:before="260" w:after="260" w:line="416" w:lineRule="auto"/>
      <w:outlineLvl w:val="1"/>
    </w:pPr>
    <w:rPr>
      <w:rFonts w:eastAsia="Ђˎ̥"/>
      <w:b/>
      <w:bCs/>
      <w:kern w:val="0"/>
      <w:sz w:val="32"/>
      <w:szCs w:val="32"/>
    </w:rPr>
  </w:style>
  <w:style w:type="paragraph" w:styleId="4">
    <w:name w:val="heading 3"/>
    <w:basedOn w:val="1"/>
    <w:next w:val="1"/>
    <w:qFormat/>
    <w:uiPriority w:val="9"/>
    <w:pPr>
      <w:keepNext/>
      <w:keepLines/>
      <w:spacing w:before="260" w:after="260" w:line="416" w:lineRule="auto"/>
      <w:outlineLvl w:val="2"/>
    </w:pPr>
    <w:rPr>
      <w:rFonts w:eastAsia="Ђˎ̥"/>
      <w:b/>
      <w:bCs/>
      <w:kern w:val="0"/>
      <w:sz w:val="32"/>
      <w:szCs w:val="32"/>
    </w:rPr>
  </w:style>
  <w:style w:type="paragraph" w:styleId="5">
    <w:name w:val="heading 4"/>
    <w:basedOn w:val="1"/>
    <w:next w:val="1"/>
    <w:qFormat/>
    <w:uiPriority w:val="9"/>
    <w:pPr>
      <w:keepNext/>
      <w:keepLines/>
      <w:widowControl/>
      <w:spacing w:before="120" w:after="120" w:line="360" w:lineRule="auto"/>
      <w:jc w:val="center"/>
      <w:outlineLvl w:val="3"/>
    </w:pPr>
    <w:rPr>
      <w:rFonts w:eastAsia="Ђˎ̥"/>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adjustRightInd w:val="0"/>
      <w:spacing w:line="360" w:lineRule="atLeast"/>
      <w:jc w:val="left"/>
      <w:textAlignment w:val="baseline"/>
    </w:pPr>
    <w:rPr>
      <w:rFonts w:eastAsia="Ђˎ̥"/>
      <w:kern w:val="0"/>
      <w:sz w:val="24"/>
      <w:szCs w:val="20"/>
    </w:rPr>
  </w:style>
  <w:style w:type="paragraph" w:styleId="9">
    <w:name w:val="Body Text"/>
    <w:basedOn w:val="1"/>
    <w:next w:val="10"/>
    <w:qFormat/>
    <w:uiPriority w:val="0"/>
    <w:pPr>
      <w:spacing w:line="380" w:lineRule="exact"/>
    </w:pPr>
    <w:rPr>
      <w:rFonts w:eastAsia="Ђˎ̥"/>
      <w:kern w:val="0"/>
      <w:sz w:val="24"/>
    </w:rPr>
  </w:style>
  <w:style w:type="paragraph" w:styleId="10">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1">
    <w:name w:val="Body Text Indent"/>
    <w:basedOn w:val="1"/>
    <w:qFormat/>
    <w:uiPriority w:val="0"/>
    <w:pPr>
      <w:ind w:firstLine="830" w:firstLineChars="352"/>
    </w:pPr>
    <w:rPr>
      <w:rFonts w:ascii="Ђˎ̥" w:eastAsia="Ђˎ̥"/>
      <w:kern w:val="0"/>
      <w:sz w:val="32"/>
      <w:szCs w:val="20"/>
    </w:rPr>
  </w:style>
  <w:style w:type="paragraph" w:styleId="12">
    <w:name w:val="Plain Text"/>
    <w:basedOn w:val="1"/>
    <w:next w:val="1"/>
    <w:qFormat/>
    <w:uiPriority w:val="99"/>
    <w:rPr>
      <w:rFonts w:ascii="Ђˎ̥" w:eastAsia="Ђˎ̥"/>
      <w:kern w:val="0"/>
      <w:sz w:val="20"/>
      <w:szCs w:val="21"/>
    </w:rPr>
  </w:style>
  <w:style w:type="paragraph" w:styleId="13">
    <w:name w:val="footer"/>
    <w:basedOn w:val="1"/>
    <w:next w:val="1"/>
    <w:qFormat/>
    <w:uiPriority w:val="99"/>
    <w:pPr>
      <w:tabs>
        <w:tab w:val="center" w:pos="4153"/>
        <w:tab w:val="right" w:pos="8306"/>
      </w:tabs>
      <w:snapToGrid w:val="0"/>
      <w:jc w:val="left"/>
    </w:pPr>
    <w:rPr>
      <w:rFonts w:eastAsia="Ђˎ̥"/>
      <w:kern w:val="0"/>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Ђˎ̥"/>
      <w:sz w:val="18"/>
      <w:szCs w:val="18"/>
      <w:u w:val="single"/>
    </w:rPr>
  </w:style>
  <w:style w:type="paragraph" w:styleId="16">
    <w:name w:val="toc 1"/>
    <w:basedOn w:val="1"/>
    <w:next w:val="1"/>
    <w:qFormat/>
    <w:uiPriority w:val="39"/>
    <w:pPr>
      <w:tabs>
        <w:tab w:val="right" w:leader="dot" w:pos="9870"/>
      </w:tabs>
      <w:spacing w:line="480" w:lineRule="auto"/>
      <w:jc w:val="center"/>
    </w:pPr>
    <w:rPr>
      <w:rFonts w:ascii="Ђˎ̥" w:hAnsi="Ђˎ̥" w:eastAsia="Ђˎ̥" w:cs="Verdana"/>
      <w:bCs/>
      <w:caps/>
      <w:szCs w:val="21"/>
    </w:rPr>
  </w:style>
  <w:style w:type="paragraph" w:styleId="17">
    <w:name w:val="Normal (Web)"/>
    <w:basedOn w:val="1"/>
    <w:qFormat/>
    <w:uiPriority w:val="99"/>
    <w:pPr>
      <w:widowControl/>
      <w:spacing w:before="100" w:beforeAutospacing="1" w:after="100" w:afterAutospacing="1"/>
      <w:jc w:val="left"/>
    </w:pPr>
    <w:rPr>
      <w:rFonts w:ascii="Ђˎ̥" w:hAnsi="Ђˎ̥"/>
      <w:kern w:val="0"/>
      <w:sz w:val="24"/>
    </w:rPr>
  </w:style>
  <w:style w:type="paragraph" w:styleId="18">
    <w:name w:val="Title"/>
    <w:basedOn w:val="1"/>
    <w:next w:val="1"/>
    <w:qFormat/>
    <w:uiPriority w:val="0"/>
    <w:pPr>
      <w:spacing w:before="240" w:after="60"/>
      <w:jc w:val="center"/>
      <w:outlineLvl w:val="0"/>
    </w:pPr>
    <w:rPr>
      <w:rFonts w:cs="Verdana"/>
      <w:b/>
      <w:bCs/>
      <w:sz w:val="32"/>
      <w:szCs w:val="32"/>
    </w:rPr>
  </w:style>
  <w:style w:type="character" w:styleId="21">
    <w:name w:val="Strong"/>
    <w:qFormat/>
    <w:uiPriority w:val="22"/>
    <w:rPr>
      <w:b/>
      <w:bCs/>
    </w:rPr>
  </w:style>
  <w:style w:type="character" w:styleId="22">
    <w:name w:val="page number"/>
    <w:qFormat/>
    <w:uiPriority w:val="0"/>
  </w:style>
  <w:style w:type="character" w:styleId="23">
    <w:name w:val="line number"/>
    <w:qFormat/>
    <w:uiPriority w:val="0"/>
  </w:style>
  <w:style w:type="paragraph" w:customStyle="1" w:styleId="24">
    <w:name w:val="toc 12"/>
    <w:next w:val="1"/>
    <w:qFormat/>
    <w:uiPriority w:val="0"/>
    <w:pPr>
      <w:wordWrap w:val="0"/>
      <w:jc w:val="both"/>
    </w:pPr>
    <w:rPr>
      <w:rFonts w:ascii="宋体" w:hAnsi="宋体" w:eastAsia="宋体" w:cs="Times New Roman"/>
      <w:sz w:val="21"/>
      <w:lang w:val="en-US" w:eastAsia="zh-CN" w:bidi="ar-SA"/>
    </w:rPr>
  </w:style>
  <w:style w:type="paragraph" w:customStyle="1" w:styleId="25">
    <w:name w:val="List Paragraph2"/>
    <w:basedOn w:val="1"/>
    <w:qFormat/>
    <w:uiPriority w:val="0"/>
    <w:pPr>
      <w:ind w:firstLine="420" w:firstLineChars="200"/>
    </w:pPr>
    <w:rPr>
      <w:rFonts w:ascii="Segoe UI Symbol" w:hAnsi="Segoe UI Symbol" w:cs="Courier New"/>
      <w:szCs w:val="22"/>
    </w:rPr>
  </w:style>
  <w:style w:type="character" w:customStyle="1" w:styleId="26">
    <w:name w:val="标题 1 字符"/>
    <w:link w:val="2"/>
    <w:qFormat/>
    <w:uiPriority w:val="9"/>
    <w:rPr>
      <w:b/>
      <w:bCs/>
      <w:kern w:val="44"/>
      <w:sz w:val="36"/>
      <w:szCs w:val="44"/>
    </w:rPr>
  </w:style>
  <w:style w:type="paragraph" w:customStyle="1" w:styleId="27">
    <w:name w:val="Table Paragraph"/>
    <w:basedOn w:val="1"/>
    <w:qFormat/>
    <w:uiPriority w:val="1"/>
    <w:rPr>
      <w:rFonts w:ascii="宋体" w:hAnsi="宋体" w:cs="宋体"/>
      <w:lang w:val="zh-CN" w:bidi="zh-CN"/>
    </w:rPr>
  </w:style>
  <w:style w:type="character" w:customStyle="1" w:styleId="28">
    <w:name w:val="font71"/>
    <w:basedOn w:val="20"/>
    <w:qFormat/>
    <w:uiPriority w:val="0"/>
    <w:rPr>
      <w:rFonts w:hint="default" w:ascii="Times New Roman" w:hAnsi="Times New Roman" w:cs="Times New Roman"/>
      <w:color w:val="000000"/>
      <w:sz w:val="20"/>
      <w:szCs w:val="20"/>
      <w:u w:val="none"/>
    </w:rPr>
  </w:style>
  <w:style w:type="paragraph" w:customStyle="1" w:styleId="29">
    <w:name w:val="样式 标题 2 + 宋体"/>
    <w:basedOn w:val="3"/>
    <w:qFormat/>
    <w:uiPriority w:val="0"/>
    <w:pPr>
      <w:tabs>
        <w:tab w:val="left" w:pos="1021"/>
      </w:tabs>
      <w:suppressAutoHyphens/>
      <w:spacing w:line="380" w:lineRule="atLeast"/>
      <w:jc w:val="center"/>
    </w:pPr>
    <w:rPr>
      <w:rFonts w:ascii="宋体" w:hAnsi="宋体" w:eastAsia="宋体"/>
      <w:sz w:val="30"/>
    </w:rPr>
  </w:style>
  <w:style w:type="paragraph" w:customStyle="1" w:styleId="30">
    <w:name w:val="我的正文"/>
    <w:basedOn w:val="1"/>
    <w:qFormat/>
    <w:uiPriority w:val="0"/>
    <w:pPr>
      <w:spacing w:line="520" w:lineRule="exact"/>
      <w:ind w:firstLine="192" w:firstLineChars="192"/>
    </w:pPr>
    <w:rPr>
      <w:rFonts w:ascii="Ђˎ̥" w:hAnsi="Ђˎ̥" w:cs="Ђˎ̥"/>
      <w:sz w:val="28"/>
      <w:szCs w:val="28"/>
    </w:rPr>
  </w:style>
  <w:style w:type="paragraph" w:customStyle="1" w:styleId="31">
    <w:name w:val="标题3（采购需求）"/>
    <w:basedOn w:val="32"/>
    <w:next w:val="1"/>
    <w:qFormat/>
    <w:uiPriority w:val="0"/>
    <w:pPr>
      <w:spacing w:before="0" w:after="0"/>
    </w:pPr>
    <w:rPr>
      <w:rFonts w:ascii="宋体" w:hAnsi="宋体" w:eastAsia="宋体"/>
    </w:rPr>
  </w:style>
  <w:style w:type="paragraph" w:customStyle="1" w:styleId="32">
    <w:name w:val="标题3"/>
    <w:basedOn w:val="4"/>
    <w:next w:val="1"/>
    <w:qFormat/>
    <w:uiPriority w:val="0"/>
    <w:pPr>
      <w:spacing w:before="200" w:after="200" w:line="360" w:lineRule="auto"/>
    </w:pPr>
    <w:rPr>
      <w:rFonts w:ascii="黑体" w:hAnsi="黑体" w:eastAsia="黑体"/>
      <w:bCs w:val="0"/>
      <w:sz w:val="24"/>
      <w:szCs w:val="24"/>
    </w:rPr>
  </w:style>
  <w:style w:type="paragraph" w:customStyle="1" w:styleId="33">
    <w:name w:val="Revision"/>
    <w:hidden/>
    <w:unhideWhenUsed/>
    <w:qFormat/>
    <w:uiPriority w:val="99"/>
    <w:rPr>
      <w:rFonts w:ascii="Verdana" w:hAnsi="Verdana" w:eastAsia="宋体" w:cs="Times New Roman"/>
      <w:kern w:val="2"/>
      <w:sz w:val="21"/>
      <w:szCs w:val="24"/>
      <w:lang w:val="en-US" w:eastAsia="zh-CN" w:bidi="ar-SA"/>
    </w:rPr>
  </w:style>
  <w:style w:type="paragraph" w:customStyle="1" w:styleId="34">
    <w:name w:val="Default"/>
    <w:basedOn w:val="18"/>
    <w:next w:val="2"/>
    <w:qForma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19158</Words>
  <Characters>20724</Characters>
  <Lines>4149</Lines>
  <Paragraphs>2073</Paragraphs>
  <TotalTime>183</TotalTime>
  <ScaleCrop>false</ScaleCrop>
  <LinksUpToDate>false</LinksUpToDate>
  <CharactersWithSpaces>21277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2025-07-06T02:35:00Z</dcterms:created>
  <dc:creator>唐～</dc:creator>
  <cp:lastModifiedBy>唐～</cp:lastModifiedBy>
  <cp:lastPrinted>2025-07-28T01:48:00Z</cp:lastPrinted>
  <dcterms:modified xsi:type="dcterms:W3CDTF">2025-07-28T09:01:58Z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AEE1083E3EC04A52B1B94A1C1DA4C3F4_13</vt:lpwstr>
  </property>
  <property fmtid="{D5CDD505-2E9C-101B-9397-08002B2CF9AE}" pid="4" name="KSOTemplateDocerSaveRecord">
    <vt:lpwstr>eyJoZGlkIjoiZmZkZWRiYTZlMzdkN2ZkZGJkNDNmMDQ5ZGZlNDRkNjAiLCJ1c2VySWQiOiIyNjk5MDgzNTIifQ==</vt:lpwstr>
  </property>
</Properties>
</file>