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2620">
      <w:pPr>
        <w:spacing w:line="276" w:lineRule="auto"/>
        <w:jc w:val="distribute"/>
        <w:rPr>
          <w:rFonts w:hint="default" w:ascii="Times New Roman" w:hAnsi="Times New Roman" w:eastAsia="宋体" w:cs="Times New Roman"/>
          <w:b/>
          <w:bCs/>
          <w:color w:val="auto"/>
          <w:sz w:val="52"/>
          <w:highlight w:val="none"/>
        </w:rPr>
      </w:pPr>
    </w:p>
    <w:p w14:paraId="3E7212A1">
      <w:pPr>
        <w:jc w:val="center"/>
        <w:rPr>
          <w:rFonts w:hint="default" w:ascii="Times New Roman" w:hAnsi="Times New Roman" w:eastAsia="宋体" w:cs="Times New Roman"/>
          <w:b/>
          <w:bCs/>
          <w:color w:val="auto"/>
          <w:sz w:val="72"/>
          <w:szCs w:val="72"/>
          <w:highlight w:val="none"/>
          <w:lang w:val="en-US"/>
          <w14:shadow w14:blurRad="50800" w14:dist="38100" w14:dir="2700000" w14:sx="100000" w14:sy="100000" w14:kx="0" w14:ky="0" w14:algn="tl">
            <w14:srgbClr w14:val="000000">
              <w14:alpha w14:val="60000"/>
            </w14:srgbClr>
          </w14:shadow>
        </w:rPr>
      </w:pPr>
      <w:r>
        <w:rPr>
          <w:rFonts w:hint="eastAsia" w:cs="Times New Roman"/>
          <w:b/>
          <w:bCs/>
          <w:color w:val="auto"/>
          <w:sz w:val="72"/>
          <w:szCs w:val="72"/>
          <w:highlight w:val="none"/>
          <w:lang w:val="en-US" w:eastAsia="zh-CN"/>
          <w14:shadow w14:blurRad="50800" w14:dist="38100" w14:dir="2700000" w14:sx="100000" w14:sy="100000" w14:kx="0" w14:ky="0" w14:algn="tl">
            <w14:srgbClr w14:val="000000">
              <w14:alpha w14:val="60000"/>
            </w14:srgbClr>
          </w14:shadow>
        </w:rPr>
        <w:t>广西创佳项目</w:t>
      </w:r>
      <w:r>
        <w:rPr>
          <w:rFonts w:hint="eastAsia" w:ascii="Times New Roman" w:hAnsi="Times New Roman" w:eastAsia="宋体" w:cs="Times New Roman"/>
          <w:b/>
          <w:bCs/>
          <w:color w:val="auto"/>
          <w:sz w:val="72"/>
          <w:szCs w:val="72"/>
          <w:highlight w:val="none"/>
          <w:lang w:val="en-US" w:eastAsia="zh-CN"/>
          <w14:shadow w14:blurRad="50800" w14:dist="38100" w14:dir="2700000" w14:sx="100000" w14:sy="100000" w14:kx="0" w14:ky="0" w14:algn="tl">
            <w14:srgbClr w14:val="000000">
              <w14:alpha w14:val="60000"/>
            </w14:srgbClr>
          </w14:shadow>
        </w:rPr>
        <w:t>管理有限公司</w:t>
      </w:r>
    </w:p>
    <w:p w14:paraId="6BF34FD7">
      <w:pPr>
        <w:pStyle w:val="10"/>
        <w:rPr>
          <w:rFonts w:hint="default" w:ascii="Times New Roman" w:hAnsi="Times New Roman" w:eastAsia="宋体" w:cs="Times New Roman"/>
          <w:color w:val="auto"/>
          <w:sz w:val="20"/>
          <w:highlight w:val="none"/>
          <w:u w:val="single"/>
        </w:rPr>
      </w:pPr>
    </w:p>
    <w:p w14:paraId="4062B4BA">
      <w:pPr>
        <w:pStyle w:val="10"/>
        <w:rPr>
          <w:rFonts w:hint="default" w:ascii="Times New Roman" w:hAnsi="Times New Roman" w:eastAsia="宋体" w:cs="Times New Roman"/>
          <w:color w:val="auto"/>
          <w:sz w:val="20"/>
          <w:highlight w:val="none"/>
          <w:u w:val="single"/>
        </w:rPr>
      </w:pPr>
    </w:p>
    <w:p w14:paraId="40D66D51">
      <w:pPr>
        <w:pStyle w:val="10"/>
        <w:rPr>
          <w:rFonts w:hint="default" w:ascii="Times New Roman" w:hAnsi="Times New Roman" w:eastAsia="宋体" w:cs="Times New Roman"/>
          <w:color w:val="auto"/>
          <w:sz w:val="20"/>
          <w:highlight w:val="none"/>
          <w:u w:val="single"/>
        </w:rPr>
      </w:pPr>
    </w:p>
    <w:p w14:paraId="4CBDDD5C">
      <w:pPr>
        <w:pStyle w:val="10"/>
        <w:rPr>
          <w:rFonts w:hint="default" w:ascii="Times New Roman" w:hAnsi="Times New Roman" w:eastAsia="宋体" w:cs="Times New Roman"/>
          <w:color w:val="auto"/>
          <w:sz w:val="20"/>
          <w:highlight w:val="none"/>
          <w:u w:val="single"/>
        </w:rPr>
      </w:pPr>
    </w:p>
    <w:p w14:paraId="738FAA2A">
      <w:pPr>
        <w:pStyle w:val="10"/>
        <w:spacing w:line="240" w:lineRule="exact"/>
        <w:jc w:val="center"/>
        <w:rPr>
          <w:rFonts w:hint="default" w:ascii="Times New Roman" w:hAnsi="Times New Roman" w:eastAsia="宋体" w:cs="Times New Roman"/>
          <w:color w:val="auto"/>
          <w:sz w:val="100"/>
          <w:szCs w:val="100"/>
          <w:highlight w:val="none"/>
        </w:rPr>
      </w:pPr>
    </w:p>
    <w:p w14:paraId="02F381CB">
      <w:pPr>
        <w:pStyle w:val="10"/>
        <w:jc w:val="center"/>
        <w:rPr>
          <w:rFonts w:hint="default" w:ascii="Times New Roman" w:hAnsi="Times New Roman" w:eastAsia="宋体" w:cs="Times New Roman"/>
          <w:b/>
          <w:bCs/>
          <w:color w:val="auto"/>
          <w:sz w:val="80"/>
          <w:szCs w:val="80"/>
          <w:highlight w:val="none"/>
        </w:rPr>
      </w:pPr>
      <w:r>
        <w:rPr>
          <w:rFonts w:hint="default" w:ascii="Times New Roman" w:hAnsi="Times New Roman" w:eastAsia="宋体" w:cs="Times New Roman"/>
          <w:b/>
          <w:bCs/>
          <w:color w:val="auto"/>
          <w:sz w:val="80"/>
          <w:szCs w:val="80"/>
          <w:highlight w:val="none"/>
        </w:rPr>
        <w:t>竞争性磋商文件</w:t>
      </w:r>
    </w:p>
    <w:p w14:paraId="279E224B">
      <w:pPr>
        <w:jc w:val="center"/>
        <w:rPr>
          <w:rFonts w:hint="eastAsia"/>
          <w:color w:val="auto"/>
          <w:sz w:val="24"/>
          <w:szCs w:val="32"/>
          <w:highlight w:val="none"/>
          <w:lang w:eastAsia="zh-CN"/>
        </w:rPr>
      </w:pPr>
      <w:r>
        <w:rPr>
          <w:rFonts w:hint="eastAsia"/>
          <w:color w:val="auto"/>
          <w:sz w:val="24"/>
          <w:szCs w:val="32"/>
          <w:highlight w:val="none"/>
          <w:lang w:eastAsia="zh-CN"/>
        </w:rPr>
        <w:t>（</w:t>
      </w:r>
      <w:r>
        <w:rPr>
          <w:rFonts w:hint="eastAsia"/>
          <w:color w:val="auto"/>
          <w:sz w:val="24"/>
          <w:szCs w:val="32"/>
          <w:highlight w:val="none"/>
          <w:lang w:val="en-US" w:eastAsia="zh-CN"/>
        </w:rPr>
        <w:t>全流程电子化评标</w:t>
      </w:r>
      <w:r>
        <w:rPr>
          <w:rFonts w:hint="eastAsia"/>
          <w:color w:val="auto"/>
          <w:sz w:val="24"/>
          <w:szCs w:val="32"/>
          <w:highlight w:val="none"/>
          <w:lang w:eastAsia="zh-CN"/>
        </w:rPr>
        <w:t>）</w:t>
      </w:r>
    </w:p>
    <w:p w14:paraId="047FE399">
      <w:pPr>
        <w:rPr>
          <w:rFonts w:hint="default" w:ascii="Times New Roman" w:hAnsi="Times New Roman" w:eastAsia="宋体" w:cs="Times New Roman"/>
          <w:color w:val="auto"/>
          <w:sz w:val="32"/>
          <w:highlight w:val="none"/>
        </w:rPr>
      </w:pPr>
    </w:p>
    <w:p w14:paraId="1CA90656">
      <w:pPr>
        <w:spacing w:line="360" w:lineRule="auto"/>
        <w:ind w:left="2239" w:leftChars="760" w:hanging="643" w:hangingChars="200"/>
        <w:rPr>
          <w:rFonts w:hint="default" w:ascii="Times New Roman" w:hAnsi="Times New Roman" w:eastAsia="宋体" w:cs="Times New Roman"/>
          <w:b/>
          <w:bCs/>
          <w:color w:val="auto"/>
          <w:sz w:val="32"/>
          <w:highlight w:val="none"/>
        </w:rPr>
      </w:pPr>
    </w:p>
    <w:p w14:paraId="69D71423">
      <w:pPr>
        <w:spacing w:line="360" w:lineRule="auto"/>
        <w:ind w:firstLine="643" w:firstLineChars="200"/>
        <w:rPr>
          <w:rFonts w:hint="default" w:ascii="Times New Roman" w:hAnsi="Times New Roman" w:eastAsia="宋体" w:cs="Times New Roman"/>
          <w:b/>
          <w:bCs/>
          <w:color w:val="auto"/>
          <w:sz w:val="32"/>
          <w:highlight w:val="none"/>
          <w:lang w:eastAsia="zh-CN"/>
        </w:rPr>
      </w:pPr>
      <w:r>
        <w:rPr>
          <w:rFonts w:hint="default" w:ascii="Times New Roman" w:hAnsi="Times New Roman" w:eastAsia="宋体" w:cs="Times New Roman"/>
          <w:b/>
          <w:bCs/>
          <w:color w:val="auto"/>
          <w:sz w:val="32"/>
          <w:highlight w:val="none"/>
        </w:rPr>
        <w:t>项目名称：</w:t>
      </w:r>
      <w:r>
        <w:rPr>
          <w:rFonts w:hint="eastAsia" w:cs="Times New Roman"/>
          <w:b/>
          <w:bCs/>
          <w:color w:val="auto"/>
          <w:sz w:val="32"/>
          <w:highlight w:val="none"/>
          <w:lang w:eastAsia="zh-CN"/>
        </w:rPr>
        <w:t>2025年桂平市特殊困难老年人家庭适老化改造项目</w:t>
      </w:r>
    </w:p>
    <w:p w14:paraId="7BCAB676">
      <w:pPr>
        <w:spacing w:line="360" w:lineRule="auto"/>
        <w:ind w:firstLine="643" w:firstLineChars="200"/>
        <w:rPr>
          <w:rFonts w:hint="default" w:ascii="Times New Roman" w:hAnsi="Times New Roman" w:eastAsia="宋体" w:cs="Times New Roman"/>
          <w:b/>
          <w:bCs/>
          <w:color w:val="auto"/>
          <w:sz w:val="32"/>
          <w:highlight w:val="none"/>
          <w:lang w:eastAsia="zh-CN"/>
        </w:rPr>
      </w:pPr>
      <w:r>
        <w:rPr>
          <w:rFonts w:hint="default" w:ascii="Times New Roman" w:hAnsi="Times New Roman" w:eastAsia="宋体" w:cs="Times New Roman"/>
          <w:b/>
          <w:bCs/>
          <w:color w:val="auto"/>
          <w:sz w:val="32"/>
          <w:szCs w:val="32"/>
          <w:highlight w:val="none"/>
        </w:rPr>
        <w:t>项目编号：</w:t>
      </w:r>
      <w:r>
        <w:rPr>
          <w:rFonts w:hint="eastAsia" w:cs="Times New Roman"/>
          <w:b/>
          <w:bCs/>
          <w:color w:val="auto"/>
          <w:sz w:val="32"/>
          <w:highlight w:val="none"/>
          <w:lang w:eastAsia="zh-CN"/>
        </w:rPr>
        <w:t>GGZC2025-C3-810219-GXCJ</w:t>
      </w:r>
    </w:p>
    <w:p w14:paraId="7D6A423E">
      <w:pPr>
        <w:pStyle w:val="10"/>
        <w:spacing w:line="600" w:lineRule="exact"/>
        <w:ind w:right="-260" w:rightChars="-124"/>
        <w:rPr>
          <w:rFonts w:hint="default" w:ascii="Times New Roman" w:hAnsi="Times New Roman" w:eastAsia="宋体" w:cs="Times New Roman"/>
          <w:color w:val="auto"/>
          <w:sz w:val="32"/>
          <w:szCs w:val="32"/>
          <w:highlight w:val="none"/>
        </w:rPr>
      </w:pPr>
    </w:p>
    <w:p w14:paraId="48114C00">
      <w:pPr>
        <w:pStyle w:val="10"/>
        <w:spacing w:line="600" w:lineRule="exact"/>
        <w:ind w:right="-260" w:rightChars="-124" w:firstLine="640" w:firstLineChars="200"/>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u w:val="single"/>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32385</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9pt;margin-top:2.55pt;height:0.5pt;width:490.5pt;z-index:251659264;mso-width-relative:page;mso-height-relative:page;" filled="f" stroked="t" coordsize="21600,21600" o:gfxdata="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LCcDfTAAAABgEAAA8AAAAAAAAAAQAgAAAAIgAAAGRycy9kb3ducmV2&#10;LnhtbFBLAQIUABQAAAAIAIdO4kDmrmb3AQIAAAAEAAAOAAAAAAAAAAEAIAAAACIBAABkcnMvZTJv&#10;RG9jLnhtbFBLBQYAAAAABgAGAFkBAACVBQAAAAA=&#10;">
                <v:fill on="f" focussize="0,0"/>
                <v:stroke weight="2.25pt" color="#000000" joinstyle="round"/>
                <v:imagedata o:title=""/>
                <o:lock v:ext="edit" aspectratio="f"/>
              </v:line>
            </w:pict>
          </mc:Fallback>
        </mc:AlternateContent>
      </w:r>
    </w:p>
    <w:p w14:paraId="7A312804">
      <w:pPr>
        <w:ind w:firstLine="1606" w:firstLineChars="500"/>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rPr>
        <w:t>采 购 单 位：</w:t>
      </w:r>
      <w:r>
        <w:rPr>
          <w:rFonts w:hint="eastAsia" w:ascii="Times New Roman" w:hAnsi="Times New Roman" w:eastAsia="宋体" w:cs="Times New Roman"/>
          <w:b/>
          <w:bCs/>
          <w:color w:val="auto"/>
          <w:sz w:val="32"/>
          <w:szCs w:val="32"/>
          <w:highlight w:val="none"/>
          <w:lang w:eastAsia="zh-CN"/>
        </w:rPr>
        <w:t>桂平市民政局</w:t>
      </w:r>
      <w:r>
        <w:rPr>
          <w:rFonts w:hint="default" w:ascii="Times New Roman" w:hAnsi="Times New Roman" w:eastAsia="宋体" w:cs="Times New Roman"/>
          <w:b/>
          <w:bCs/>
          <w:color w:val="auto"/>
          <w:sz w:val="32"/>
          <w:szCs w:val="32"/>
          <w:highlight w:val="none"/>
          <w:lang w:eastAsia="zh-CN"/>
        </w:rPr>
        <w:t xml:space="preserve"> </w:t>
      </w:r>
    </w:p>
    <w:p w14:paraId="4809531F">
      <w:pPr>
        <w:ind w:firstLine="1606" w:firstLineChars="500"/>
        <w:rPr>
          <w:rFonts w:hint="eastAsia"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rPr>
        <w:t>采购代理机构：</w:t>
      </w:r>
      <w:r>
        <w:rPr>
          <w:rFonts w:hint="eastAsia" w:cs="Times New Roman"/>
          <w:b/>
          <w:bCs/>
          <w:color w:val="auto"/>
          <w:sz w:val="32"/>
          <w:szCs w:val="32"/>
          <w:highlight w:val="none"/>
          <w:lang w:eastAsia="zh-CN"/>
        </w:rPr>
        <w:t>广西创佳项目</w:t>
      </w:r>
      <w:r>
        <w:rPr>
          <w:rFonts w:hint="eastAsia" w:ascii="Times New Roman" w:hAnsi="Times New Roman" w:eastAsia="宋体" w:cs="Times New Roman"/>
          <w:b/>
          <w:bCs/>
          <w:color w:val="auto"/>
          <w:sz w:val="32"/>
          <w:szCs w:val="32"/>
          <w:highlight w:val="none"/>
          <w:lang w:eastAsia="zh-CN"/>
        </w:rPr>
        <w:t>管理有限公司</w:t>
      </w:r>
    </w:p>
    <w:p w14:paraId="0D48EAD3">
      <w:pPr>
        <w:pStyle w:val="32"/>
        <w:rPr>
          <w:rFonts w:hint="default" w:ascii="Times New Roman" w:hAnsi="Times New Roman" w:eastAsia="宋体" w:cs="Times New Roman"/>
          <w:b/>
          <w:color w:val="auto"/>
          <w:highlight w:val="none"/>
        </w:rPr>
      </w:pPr>
    </w:p>
    <w:p w14:paraId="5CC38B3B">
      <w:pPr>
        <w:pStyle w:val="13"/>
        <w:snapToGrid w:val="0"/>
        <w:spacing w:line="360" w:lineRule="auto"/>
        <w:jc w:val="center"/>
        <w:rPr>
          <w:rFonts w:hint="default" w:ascii="Times New Roman" w:hAnsi="Times New Roman" w:eastAsia="宋体" w:cs="Times New Roman"/>
          <w:b/>
          <w:bCs/>
          <w:color w:val="auto"/>
          <w:sz w:val="32"/>
          <w:szCs w:val="32"/>
          <w:highlight w:val="none"/>
        </w:rPr>
      </w:pPr>
      <w:r>
        <w:rPr>
          <w:rFonts w:hint="eastAsia" w:ascii="Times New Roman" w:hAnsi="Times New Roman" w:cs="Times New Roman"/>
          <w:b/>
          <w:bCs/>
          <w:color w:val="auto"/>
          <w:sz w:val="32"/>
          <w:szCs w:val="32"/>
          <w:highlight w:val="none"/>
          <w:lang w:val="en-US" w:eastAsia="zh-CN"/>
        </w:rPr>
        <w:t>2025年10月</w:t>
      </w:r>
    </w:p>
    <w:p w14:paraId="318E1202">
      <w:pPr>
        <w:pStyle w:val="13"/>
        <w:snapToGrid w:val="0"/>
        <w:spacing w:line="360" w:lineRule="auto"/>
        <w:rPr>
          <w:rFonts w:hint="default" w:ascii="Times New Roman" w:hAnsi="Times New Roman" w:eastAsia="宋体" w:cs="Times New Roman"/>
          <w:color w:val="auto"/>
          <w:sz w:val="44"/>
          <w:highlight w:val="none"/>
        </w:rPr>
      </w:pPr>
    </w:p>
    <w:p w14:paraId="6A07B3C4">
      <w:pPr>
        <w:pStyle w:val="13"/>
        <w:snapToGrid w:val="0"/>
        <w:spacing w:line="360" w:lineRule="auto"/>
        <w:ind w:firstLine="3960" w:firstLineChars="900"/>
        <w:rPr>
          <w:rFonts w:hint="default" w:ascii="Times New Roman" w:hAnsi="Times New Roman" w:eastAsia="宋体" w:cs="Times New Roman"/>
          <w:color w:val="auto"/>
          <w:sz w:val="44"/>
          <w:highlight w:val="none"/>
        </w:rPr>
        <w:sectPr>
          <w:headerReference r:id="rId4" w:type="first"/>
          <w:headerReference r:id="rId3" w:type="default"/>
          <w:pgSz w:w="11906" w:h="16838"/>
          <w:pgMar w:top="1134" w:right="851" w:bottom="1134" w:left="1134" w:header="851" w:footer="992" w:gutter="0"/>
          <w:pgNumType w:fmt="decimal"/>
          <w:cols w:space="720" w:num="1"/>
          <w:titlePg/>
          <w:docGrid w:type="lines" w:linePitch="312" w:charSpace="0"/>
        </w:sectPr>
      </w:pPr>
    </w:p>
    <w:p w14:paraId="2A6905C8">
      <w:pPr>
        <w:pStyle w:val="13"/>
        <w:snapToGrid w:val="0"/>
        <w:spacing w:line="360" w:lineRule="auto"/>
        <w:ind w:firstLine="3960" w:firstLineChars="900"/>
        <w:rPr>
          <w:rFonts w:hint="default" w:ascii="Times New Roman" w:hAnsi="Times New Roman" w:eastAsia="宋体" w:cs="Times New Roman"/>
          <w:color w:val="auto"/>
          <w:sz w:val="44"/>
          <w:highlight w:val="none"/>
        </w:rPr>
      </w:pPr>
    </w:p>
    <w:p w14:paraId="69152B38">
      <w:pPr>
        <w:pStyle w:val="13"/>
        <w:snapToGrid w:val="0"/>
        <w:spacing w:line="360" w:lineRule="auto"/>
        <w:ind w:firstLine="3960" w:firstLineChars="900"/>
        <w:jc w:val="both"/>
        <w:rPr>
          <w:rFonts w:hint="default" w:ascii="Times New Roman" w:hAnsi="Times New Roman" w:eastAsia="宋体" w:cs="Times New Roman"/>
          <w:color w:val="auto"/>
          <w:sz w:val="44"/>
          <w:highlight w:val="none"/>
        </w:rPr>
      </w:pPr>
      <w:r>
        <w:rPr>
          <w:rFonts w:hint="default" w:ascii="Times New Roman" w:hAnsi="Times New Roman" w:eastAsia="宋体" w:cs="Times New Roman"/>
          <w:color w:val="auto"/>
          <w:sz w:val="44"/>
          <w:highlight w:val="none"/>
        </w:rPr>
        <w:t>目  录</w:t>
      </w:r>
    </w:p>
    <w:p w14:paraId="6A218102">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_Toc19654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lang w:val="en-US" w:eastAsia="zh-CN"/>
        </w:rPr>
        <w:t xml:space="preserve">第一章 </w:t>
      </w:r>
      <w:r>
        <w:rPr>
          <w:rFonts w:hint="eastAsia" w:ascii="宋体" w:hAnsi="宋体" w:eastAsia="宋体" w:cs="宋体"/>
          <w:color w:val="auto"/>
          <w:sz w:val="28"/>
          <w:szCs w:val="28"/>
          <w:highlight w:val="none"/>
          <w:lang w:eastAsia="zh-CN"/>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_Toc19654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04630B9F">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_Toc1213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章  磋商须知及前附表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41944AC7">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_Toc5234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lang w:val="en-US" w:eastAsia="zh-CN"/>
        </w:rPr>
        <w:t xml:space="preserve">第三章 </w:t>
      </w:r>
      <w:r>
        <w:rPr>
          <w:rFonts w:hint="eastAsia" w:ascii="宋体" w:hAnsi="宋体" w:eastAsia="宋体" w:cs="宋体"/>
          <w:color w:val="auto"/>
          <w:sz w:val="28"/>
          <w:szCs w:val="28"/>
          <w:highlight w:val="none"/>
          <w:lang w:eastAsia="zh-CN"/>
        </w:rPr>
        <w:t>项目采购需求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_Toc5234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63AE8838">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_Toc21880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章  竞争性磋商响应文件格式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_Toc21880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24D71F94">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_Toc15653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五</w:t>
      </w:r>
      <w:r>
        <w:rPr>
          <w:rFonts w:hint="eastAsia" w:ascii="宋体" w:hAnsi="宋体" w:eastAsia="宋体" w:cs="宋体"/>
          <w:color w:val="auto"/>
          <w:sz w:val="28"/>
          <w:szCs w:val="28"/>
          <w:highlight w:val="none"/>
        </w:rPr>
        <w:t>章  合同主要条款（格式）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_Toc15653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55</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2D626500">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_Toc21580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lang w:eastAsia="zh-CN"/>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_Toc21580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62</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13776873">
      <w:pPr>
        <w:pStyle w:val="18"/>
        <w:tabs>
          <w:tab w:val="right" w:leader="dot" w:pos="9746"/>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_Toc30976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color w:val="auto"/>
          <w:sz w:val="28"/>
          <w:szCs w:val="28"/>
          <w:highlight w:val="none"/>
          <w:lang w:eastAsia="zh-CN"/>
        </w:rPr>
        <w:t>第七章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质疑书及投诉书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_Toc30976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67</w:t>
      </w:r>
      <w:r>
        <w:rPr>
          <w:rFonts w:hint="eastAsia" w:ascii="宋体" w:hAnsi="宋体" w:eastAsia="宋体" w:cs="宋体"/>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6007D25F">
      <w:pPr>
        <w:pStyle w:val="18"/>
        <w:tabs>
          <w:tab w:val="right" w:leader="dot" w:pos="9921"/>
        </w:tabs>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rPr>
        <w:fldChar w:fldCharType="end"/>
      </w:r>
    </w:p>
    <w:p w14:paraId="4D17CE1B">
      <w:pPr>
        <w:pStyle w:val="13"/>
        <w:ind w:left="412" w:leftChars="196"/>
        <w:rPr>
          <w:rFonts w:hint="default" w:ascii="Times New Roman" w:hAnsi="Times New Roman" w:eastAsia="宋体" w:cs="Times New Roman"/>
          <w:color w:val="auto"/>
          <w:sz w:val="32"/>
          <w:highlight w:val="none"/>
        </w:rPr>
      </w:pPr>
    </w:p>
    <w:p w14:paraId="28401EC2">
      <w:pPr>
        <w:pStyle w:val="13"/>
        <w:ind w:left="412" w:leftChars="196"/>
        <w:rPr>
          <w:rFonts w:hint="default" w:ascii="Times New Roman" w:hAnsi="Times New Roman" w:eastAsia="宋体" w:cs="Times New Roman"/>
          <w:color w:val="auto"/>
          <w:sz w:val="32"/>
          <w:highlight w:val="none"/>
        </w:rPr>
      </w:pPr>
    </w:p>
    <w:p w14:paraId="44C6547E">
      <w:pPr>
        <w:tabs>
          <w:tab w:val="center" w:pos="4535"/>
          <w:tab w:val="left" w:pos="6945"/>
        </w:tabs>
        <w:spacing w:line="400" w:lineRule="exact"/>
        <w:jc w:val="left"/>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rPr>
        <w:tab/>
      </w:r>
    </w:p>
    <w:p w14:paraId="43751D70">
      <w:pPr>
        <w:numPr>
          <w:ilvl w:val="0"/>
          <w:numId w:val="0"/>
        </w:numPr>
        <w:spacing w:before="156" w:beforeLines="50" w:line="360" w:lineRule="auto"/>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rPr>
        <w:br w:type="page"/>
      </w:r>
    </w:p>
    <w:p w14:paraId="1720846F">
      <w:pPr>
        <w:numPr>
          <w:ilvl w:val="0"/>
          <w:numId w:val="0"/>
        </w:numPr>
        <w:spacing w:before="156" w:beforeLines="50" w:line="360" w:lineRule="auto"/>
        <w:jc w:val="center"/>
        <w:rPr>
          <w:rFonts w:hint="default" w:ascii="Times New Roman" w:hAnsi="Times New Roman" w:eastAsia="宋体" w:cs="Times New Roman"/>
          <w:color w:val="auto"/>
          <w:sz w:val="36"/>
          <w:szCs w:val="36"/>
          <w:highlight w:val="none"/>
        </w:rPr>
      </w:pPr>
    </w:p>
    <w:p w14:paraId="689600EA">
      <w:pPr>
        <w:numPr>
          <w:ilvl w:val="0"/>
          <w:numId w:val="0"/>
        </w:numPr>
        <w:spacing w:before="156" w:beforeLines="50" w:line="360" w:lineRule="auto"/>
        <w:jc w:val="center"/>
        <w:rPr>
          <w:rFonts w:hint="default" w:ascii="Times New Roman" w:hAnsi="Times New Roman" w:eastAsia="宋体" w:cs="Times New Roman"/>
          <w:color w:val="auto"/>
          <w:sz w:val="36"/>
          <w:szCs w:val="36"/>
          <w:highlight w:val="none"/>
        </w:rPr>
      </w:pPr>
    </w:p>
    <w:p w14:paraId="5CD09BAD">
      <w:pPr>
        <w:numPr>
          <w:ilvl w:val="0"/>
          <w:numId w:val="0"/>
        </w:numPr>
        <w:spacing w:before="156" w:beforeLines="50" w:line="360" w:lineRule="auto"/>
        <w:jc w:val="center"/>
        <w:rPr>
          <w:rFonts w:hint="default" w:ascii="Times New Roman" w:hAnsi="Times New Roman" w:eastAsia="宋体" w:cs="Times New Roman"/>
          <w:color w:val="auto"/>
          <w:sz w:val="36"/>
          <w:szCs w:val="36"/>
          <w:highlight w:val="none"/>
        </w:rPr>
      </w:pPr>
    </w:p>
    <w:p w14:paraId="6054FA08">
      <w:pPr>
        <w:numPr>
          <w:ilvl w:val="0"/>
          <w:numId w:val="0"/>
        </w:numPr>
        <w:spacing w:before="156" w:beforeLines="50" w:line="360" w:lineRule="auto"/>
        <w:jc w:val="center"/>
        <w:rPr>
          <w:rFonts w:hint="default" w:ascii="Times New Roman" w:hAnsi="Times New Roman" w:eastAsia="宋体" w:cs="Times New Roman"/>
          <w:color w:val="auto"/>
          <w:sz w:val="36"/>
          <w:szCs w:val="36"/>
          <w:highlight w:val="none"/>
        </w:rPr>
      </w:pPr>
    </w:p>
    <w:p w14:paraId="1567C667">
      <w:pPr>
        <w:numPr>
          <w:ilvl w:val="0"/>
          <w:numId w:val="0"/>
        </w:numPr>
        <w:spacing w:before="156" w:beforeLines="50" w:line="360" w:lineRule="auto"/>
        <w:jc w:val="center"/>
        <w:rPr>
          <w:rFonts w:hint="default" w:ascii="Times New Roman" w:hAnsi="Times New Roman" w:eastAsia="宋体" w:cs="Times New Roman"/>
          <w:b/>
          <w:bCs/>
          <w:color w:val="auto"/>
          <w:sz w:val="32"/>
          <w:highlight w:val="none"/>
          <w:lang w:eastAsia="zh-CN"/>
        </w:rPr>
      </w:pPr>
      <w:bookmarkStart w:id="0" w:name="_Toc19654"/>
      <w:r>
        <w:rPr>
          <w:rStyle w:val="33"/>
          <w:rFonts w:hint="default" w:ascii="Times New Roman" w:hAnsi="Times New Roman" w:cs="Times New Roman"/>
          <w:color w:val="auto"/>
          <w:highlight w:val="none"/>
          <w:lang w:val="en-US" w:eastAsia="zh-CN"/>
        </w:rPr>
        <w:t xml:space="preserve">第一章 </w:t>
      </w:r>
      <w:r>
        <w:rPr>
          <w:rStyle w:val="33"/>
          <w:rFonts w:hint="default" w:ascii="Times New Roman" w:hAnsi="Times New Roman" w:cs="Times New Roman"/>
          <w:color w:val="auto"/>
          <w:highlight w:val="none"/>
          <w:lang w:eastAsia="zh-CN"/>
        </w:rPr>
        <w:t>竞争性磋商公告</w:t>
      </w:r>
      <w:bookmarkEnd w:id="0"/>
    </w:p>
    <w:p w14:paraId="3AC0BCE8">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0641CEB3">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0429CA5D">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23B443EE">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4311E956">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1B840FF1">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37E8F082">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70D3E870">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00766B22">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00FDDB0D">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06F3C18E">
      <w:pPr>
        <w:numPr>
          <w:ilvl w:val="0"/>
          <w:numId w:val="0"/>
        </w:numPr>
        <w:spacing w:before="156" w:beforeLines="50" w:line="360" w:lineRule="auto"/>
        <w:jc w:val="center"/>
        <w:rPr>
          <w:rStyle w:val="34"/>
          <w:rFonts w:hint="default" w:ascii="Times New Roman" w:hAnsi="Times New Roman" w:eastAsia="宋体" w:cs="Times New Roman"/>
          <w:color w:val="auto"/>
          <w:sz w:val="32"/>
          <w:szCs w:val="32"/>
          <w:highlight w:val="none"/>
        </w:rPr>
      </w:pPr>
    </w:p>
    <w:p w14:paraId="5B1716C6">
      <w:pPr>
        <w:numPr>
          <w:ilvl w:val="0"/>
          <w:numId w:val="0"/>
        </w:numPr>
        <w:spacing w:before="156" w:beforeLines="50" w:line="360" w:lineRule="auto"/>
        <w:jc w:val="both"/>
        <w:rPr>
          <w:rStyle w:val="34"/>
          <w:rFonts w:hint="default" w:ascii="Times New Roman" w:hAnsi="Times New Roman" w:eastAsia="宋体" w:cs="Times New Roman"/>
          <w:color w:val="auto"/>
          <w:sz w:val="32"/>
          <w:szCs w:val="32"/>
          <w:highlight w:val="none"/>
        </w:rPr>
      </w:pPr>
    </w:p>
    <w:p w14:paraId="3BDEBD89">
      <w:pPr>
        <w:rPr>
          <w:rStyle w:val="34"/>
          <w:rFonts w:hint="eastAsia" w:ascii="Times New Roman" w:hAnsi="Times New Roman" w:eastAsia="宋体" w:cs="Times New Roman"/>
          <w:color w:val="auto"/>
          <w:sz w:val="32"/>
          <w:szCs w:val="32"/>
          <w:highlight w:val="none"/>
          <w:lang w:eastAsia="zh-CN"/>
        </w:rPr>
      </w:pPr>
      <w:r>
        <w:rPr>
          <w:rStyle w:val="34"/>
          <w:rFonts w:hint="eastAsia" w:ascii="Times New Roman" w:hAnsi="Times New Roman" w:eastAsia="宋体" w:cs="Times New Roman"/>
          <w:color w:val="auto"/>
          <w:sz w:val="32"/>
          <w:szCs w:val="32"/>
          <w:highlight w:val="none"/>
          <w:lang w:eastAsia="zh-CN"/>
        </w:rPr>
        <w:br w:type="page"/>
      </w:r>
    </w:p>
    <w:p w14:paraId="1E3C6380">
      <w:pPr>
        <w:numPr>
          <w:ilvl w:val="0"/>
          <w:numId w:val="0"/>
        </w:numPr>
        <w:spacing w:before="156" w:beforeLines="50" w:line="360" w:lineRule="auto"/>
        <w:jc w:val="center"/>
        <w:rPr>
          <w:rFonts w:hint="eastAsia" w:ascii="Times New Roman" w:hAnsi="Times New Roman" w:eastAsia="宋体" w:cs="Times New Roman"/>
          <w:color w:val="auto"/>
          <w:sz w:val="40"/>
          <w:szCs w:val="40"/>
          <w:highlight w:val="none"/>
          <w:lang w:eastAsia="zh-CN"/>
        </w:rPr>
      </w:pPr>
      <w:r>
        <w:rPr>
          <w:rStyle w:val="34"/>
          <w:rFonts w:hint="eastAsia" w:cs="Times New Roman"/>
          <w:color w:val="auto"/>
          <w:sz w:val="32"/>
          <w:szCs w:val="32"/>
          <w:highlight w:val="none"/>
          <w:lang w:eastAsia="zh-CN"/>
        </w:rPr>
        <w:t>广西创佳项目</w:t>
      </w:r>
      <w:r>
        <w:rPr>
          <w:rStyle w:val="34"/>
          <w:rFonts w:hint="eastAsia" w:ascii="Times New Roman" w:hAnsi="Times New Roman" w:eastAsia="宋体" w:cs="Times New Roman"/>
          <w:color w:val="auto"/>
          <w:sz w:val="32"/>
          <w:szCs w:val="32"/>
          <w:highlight w:val="none"/>
          <w:lang w:eastAsia="zh-CN"/>
        </w:rPr>
        <w:t>管理有限公司</w:t>
      </w:r>
      <w:r>
        <w:rPr>
          <w:rStyle w:val="34"/>
          <w:rFonts w:hint="eastAsia" w:cs="Times New Roman"/>
          <w:color w:val="auto"/>
          <w:sz w:val="32"/>
          <w:szCs w:val="32"/>
          <w:highlight w:val="none"/>
          <w:lang w:eastAsia="zh-CN"/>
        </w:rPr>
        <w:t>关于</w:t>
      </w:r>
    </w:p>
    <w:p w14:paraId="2BE43CF1">
      <w:pPr>
        <w:spacing w:line="360" w:lineRule="auto"/>
        <w:jc w:val="center"/>
        <w:rPr>
          <w:rFonts w:hint="default" w:ascii="Times New Roman" w:hAnsi="Times New Roman" w:eastAsia="宋体" w:cs="Times New Roman"/>
          <w:b/>
          <w:bCs/>
          <w:color w:val="auto"/>
          <w:sz w:val="32"/>
          <w:highlight w:val="none"/>
          <w:lang w:eastAsia="zh-CN"/>
        </w:rPr>
      </w:pPr>
      <w:r>
        <w:rPr>
          <w:rFonts w:hint="eastAsia" w:cs="Times New Roman"/>
          <w:b/>
          <w:bCs/>
          <w:color w:val="auto"/>
          <w:sz w:val="32"/>
          <w:highlight w:val="none"/>
          <w:lang w:eastAsia="zh-CN"/>
        </w:rPr>
        <w:t>2025年桂平市特殊困难老年人家庭适老化改造项目</w:t>
      </w:r>
    </w:p>
    <w:p w14:paraId="3CFC5DF4">
      <w:pPr>
        <w:spacing w:line="360" w:lineRule="auto"/>
        <w:jc w:val="center"/>
        <w:rPr>
          <w:rFonts w:hint="default" w:ascii="Times New Roman" w:hAnsi="Times New Roman" w:eastAsia="宋体" w:cs="Times New Roman"/>
          <w:b/>
          <w:bCs/>
          <w:color w:val="auto"/>
          <w:sz w:val="32"/>
          <w:highlight w:val="none"/>
          <w:lang w:eastAsia="zh-CN"/>
        </w:rPr>
      </w:pPr>
      <w:bookmarkStart w:id="1" w:name="_Toc23282"/>
      <w:r>
        <w:rPr>
          <w:rFonts w:hint="default" w:ascii="Times New Roman" w:hAnsi="Times New Roman" w:eastAsia="宋体" w:cs="Times New Roman"/>
          <w:b/>
          <w:bCs/>
          <w:color w:val="auto"/>
          <w:sz w:val="32"/>
          <w:highlight w:val="none"/>
          <w:lang w:eastAsia="zh-CN"/>
        </w:rPr>
        <w:t>（</w:t>
      </w:r>
      <w:r>
        <w:rPr>
          <w:rFonts w:hint="eastAsia" w:cs="Times New Roman"/>
          <w:b/>
          <w:bCs/>
          <w:color w:val="auto"/>
          <w:sz w:val="32"/>
          <w:highlight w:val="none"/>
          <w:lang w:eastAsia="zh-CN"/>
        </w:rPr>
        <w:t>GGZC2025-C3-810219-GXCJ</w:t>
      </w:r>
      <w:r>
        <w:rPr>
          <w:rFonts w:hint="default" w:ascii="Times New Roman" w:hAnsi="Times New Roman" w:eastAsia="宋体" w:cs="Times New Roman"/>
          <w:b/>
          <w:bCs/>
          <w:color w:val="auto"/>
          <w:sz w:val="32"/>
          <w:highlight w:val="none"/>
          <w:lang w:eastAsia="zh-CN"/>
        </w:rPr>
        <w:t>）竞争性磋商公告</w:t>
      </w:r>
      <w:bookmarkEnd w:id="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116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noWrap w:val="0"/>
            <w:vAlign w:val="top"/>
          </w:tcPr>
          <w:p w14:paraId="53934DFC">
            <w:pPr>
              <w:spacing w:line="360" w:lineRule="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项目概况</w:t>
            </w:r>
          </w:p>
          <w:p w14:paraId="4114952B">
            <w:pPr>
              <w:spacing w:line="360" w:lineRule="auto"/>
              <w:ind w:firstLine="480" w:firstLineChars="200"/>
              <w:rPr>
                <w:rFonts w:hint="default"/>
                <w:color w:val="auto"/>
                <w:highlight w:val="none"/>
                <w:vertAlign w:val="baseline"/>
                <w:lang w:eastAsia="zh-CN"/>
              </w:rPr>
            </w:pPr>
            <w:r>
              <w:rPr>
                <w:rFonts w:hint="eastAsia" w:cs="Times New Roman"/>
                <w:color w:val="auto"/>
                <w:sz w:val="24"/>
                <w:szCs w:val="24"/>
                <w:highlight w:val="none"/>
                <w:u w:val="single"/>
                <w:lang w:eastAsia="zh-CN"/>
              </w:rPr>
              <w:t>2025年桂平市特殊困难老年人家庭适老化改造项目</w:t>
            </w:r>
            <w:r>
              <w:rPr>
                <w:rFonts w:hint="eastAsia" w:ascii="Times New Roman" w:hAnsi="Times New Roman" w:eastAsia="宋体" w:cs="Times New Roman"/>
                <w:color w:val="auto"/>
                <w:sz w:val="24"/>
                <w:szCs w:val="24"/>
                <w:highlight w:val="none"/>
                <w:u w:val="single"/>
                <w:lang w:val="en-US" w:eastAsia="zh-CN"/>
              </w:rPr>
              <w:t>采购</w:t>
            </w:r>
            <w:r>
              <w:rPr>
                <w:rFonts w:hint="eastAsia" w:ascii="Times New Roman" w:hAnsi="Times New Roman" w:eastAsia="宋体" w:cs="Times New Roman"/>
                <w:color w:val="auto"/>
                <w:sz w:val="24"/>
                <w:szCs w:val="24"/>
                <w:highlight w:val="none"/>
                <w:lang w:eastAsia="zh-CN"/>
              </w:rPr>
              <w:t>项目</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eastAsia="zh-CN"/>
              </w:rPr>
              <w:t>潜在供应商应在</w:t>
            </w:r>
            <w:r>
              <w:rPr>
                <w:rFonts w:hint="eastAsia" w:cs="Times New Roman"/>
                <w:color w:val="auto"/>
                <w:sz w:val="24"/>
                <w:szCs w:val="24"/>
                <w:highlight w:val="none"/>
                <w:u w:val="single"/>
                <w:lang w:eastAsia="zh-CN"/>
              </w:rPr>
              <w:t>广西政府采购云平台（https://www.gcy.zfcg.gxzf.gov.cn/）</w:t>
            </w:r>
            <w:r>
              <w:rPr>
                <w:rFonts w:hint="default" w:ascii="Times New Roman" w:hAnsi="Times New Roman" w:eastAsia="宋体" w:cs="Times New Roman"/>
                <w:color w:val="auto"/>
                <w:sz w:val="24"/>
                <w:szCs w:val="24"/>
                <w:highlight w:val="none"/>
                <w:lang w:eastAsia="zh-CN"/>
              </w:rPr>
              <w:t>获取采购文件，并于</w:t>
            </w:r>
            <w:r>
              <w:rPr>
                <w:rFonts w:hint="eastAsia" w:cs="Times New Roman"/>
                <w:color w:val="auto"/>
                <w:sz w:val="24"/>
                <w:szCs w:val="24"/>
                <w:highlight w:val="none"/>
                <w:lang w:val="en-US" w:eastAsia="zh-CN"/>
              </w:rPr>
              <w:t>2025年11月14日09：00</w:t>
            </w:r>
            <w:r>
              <w:rPr>
                <w:rFonts w:hint="default" w:ascii="Times New Roman" w:hAnsi="Times New Roman" w:eastAsia="宋体" w:cs="Times New Roman"/>
                <w:color w:val="auto"/>
                <w:sz w:val="24"/>
                <w:szCs w:val="24"/>
                <w:highlight w:val="none"/>
                <w:lang w:eastAsia="zh-CN"/>
              </w:rPr>
              <w:t>（北京时间）前提交响应文件。</w:t>
            </w:r>
          </w:p>
        </w:tc>
      </w:tr>
    </w:tbl>
    <w:p w14:paraId="06782C99">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一、项目基本情况：</w:t>
      </w:r>
    </w:p>
    <w:p w14:paraId="1E7C1F4C">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项目编号：</w:t>
      </w:r>
      <w:r>
        <w:rPr>
          <w:rFonts w:hint="eastAsia" w:cs="Times New Roman"/>
          <w:color w:val="auto"/>
          <w:sz w:val="24"/>
          <w:szCs w:val="24"/>
          <w:highlight w:val="none"/>
          <w:lang w:eastAsia="zh-CN"/>
        </w:rPr>
        <w:t>GGZC2025-C3-810219-GXCJ</w:t>
      </w:r>
    </w:p>
    <w:p w14:paraId="51A921FA">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项目名称：</w:t>
      </w:r>
      <w:r>
        <w:rPr>
          <w:rFonts w:hint="eastAsia" w:cs="Times New Roman"/>
          <w:color w:val="auto"/>
          <w:sz w:val="24"/>
          <w:szCs w:val="24"/>
          <w:highlight w:val="none"/>
          <w:lang w:eastAsia="zh-CN"/>
        </w:rPr>
        <w:t>2025年桂平市特殊困难老年人家庭适老化改造项目</w:t>
      </w:r>
    </w:p>
    <w:p w14:paraId="66B2658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采购方式：竞争性磋商</w:t>
      </w:r>
    </w:p>
    <w:p w14:paraId="086F0BB3">
      <w:pPr>
        <w:spacing w:line="360" w:lineRule="auto"/>
        <w:ind w:left="959" w:leftChars="228" w:hanging="480" w:hanging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预算</w:t>
      </w:r>
      <w:r>
        <w:rPr>
          <w:rFonts w:hint="default" w:ascii="Times New Roman" w:hAnsi="Times New Roman" w:eastAsia="宋体" w:cs="Times New Roman"/>
          <w:color w:val="auto"/>
          <w:sz w:val="24"/>
          <w:szCs w:val="24"/>
          <w:highlight w:val="none"/>
          <w:lang w:val="en-US" w:eastAsia="zh-CN"/>
        </w:rPr>
        <w:t>总</w:t>
      </w:r>
      <w:r>
        <w:rPr>
          <w:rFonts w:hint="default" w:ascii="Times New Roman" w:hAnsi="Times New Roman" w:eastAsia="宋体" w:cs="Times New Roman"/>
          <w:color w:val="auto"/>
          <w:sz w:val="24"/>
          <w:szCs w:val="24"/>
          <w:highlight w:val="none"/>
        </w:rPr>
        <w:t>金额</w:t>
      </w:r>
      <w:r>
        <w:rPr>
          <w:rFonts w:hint="default" w:ascii="Times New Roman" w:hAnsi="Times New Roman" w:eastAsia="宋体" w:cs="Times New Roman"/>
          <w:color w:val="auto"/>
          <w:sz w:val="24"/>
          <w:szCs w:val="24"/>
          <w:highlight w:val="none"/>
          <w:lang w:eastAsia="zh-CN"/>
        </w:rPr>
        <w:t>（元）</w:t>
      </w:r>
      <w:r>
        <w:rPr>
          <w:rFonts w:hint="default" w:ascii="Times New Roman" w:hAnsi="Times New Roman" w:eastAsia="宋体" w:cs="Times New Roman"/>
          <w:color w:val="auto"/>
          <w:sz w:val="24"/>
          <w:szCs w:val="24"/>
          <w:highlight w:val="none"/>
        </w:rPr>
        <w:t>：</w:t>
      </w:r>
      <w:r>
        <w:rPr>
          <w:rFonts w:hint="eastAsia" w:cs="Times New Roman"/>
          <w:i w:val="0"/>
          <w:iCs w:val="0"/>
          <w:caps w:val="0"/>
          <w:color w:val="auto"/>
          <w:spacing w:val="0"/>
          <w:sz w:val="24"/>
          <w:szCs w:val="24"/>
          <w:highlight w:val="none"/>
          <w:lang w:val="en-US" w:eastAsia="zh-CN"/>
        </w:rPr>
        <w:t>1790000</w:t>
      </w:r>
    </w:p>
    <w:p w14:paraId="467132B8">
      <w:pPr>
        <w:spacing w:line="360" w:lineRule="auto"/>
        <w:ind w:left="959" w:leftChars="228" w:hanging="480" w:hanging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采购需求：</w:t>
      </w:r>
    </w:p>
    <w:p w14:paraId="4AA1600F">
      <w:pPr>
        <w:spacing w:line="360" w:lineRule="auto"/>
        <w:ind w:firstLine="482" w:firstLineChars="200"/>
        <w:rPr>
          <w:rFonts w:hint="default"/>
          <w:color w:val="auto"/>
          <w:highlight w:val="none"/>
          <w:lang w:val="en-US" w:eastAsia="zh-CN"/>
        </w:rPr>
      </w:pPr>
      <w:r>
        <w:rPr>
          <w:rFonts w:ascii="Arial" w:hAnsi="Arial" w:cs="Arial"/>
          <w:b/>
          <w:bCs/>
          <w:color w:val="auto"/>
          <w:sz w:val="24"/>
          <w:highlight w:val="none"/>
        </w:rPr>
        <w:t>标项一：</w:t>
      </w:r>
    </w:p>
    <w:p w14:paraId="3F09BC03">
      <w:pPr>
        <w:spacing w:line="360" w:lineRule="auto"/>
        <w:ind w:left="959" w:leftChars="228" w:hanging="480" w:hanging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标项名称：</w:t>
      </w:r>
      <w:r>
        <w:rPr>
          <w:rFonts w:hint="eastAsia" w:cs="Times New Roman"/>
          <w:color w:val="auto"/>
          <w:sz w:val="24"/>
          <w:szCs w:val="24"/>
          <w:highlight w:val="none"/>
          <w:lang w:eastAsia="zh-CN"/>
        </w:rPr>
        <w:t>2025年桂平市特殊困难老年人家庭适老化改造项目</w:t>
      </w:r>
      <w:r>
        <w:rPr>
          <w:rFonts w:hint="eastAsia" w:cs="Times New Roman"/>
          <w:color w:val="auto"/>
          <w:sz w:val="24"/>
          <w:szCs w:val="24"/>
          <w:highlight w:val="none"/>
          <w:lang w:val="en-US" w:eastAsia="zh-CN"/>
        </w:rPr>
        <w:t>-A分标</w:t>
      </w:r>
    </w:p>
    <w:p w14:paraId="7451A40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数量：</w:t>
      </w:r>
      <w:r>
        <w:rPr>
          <w:rFonts w:hint="default" w:ascii="Times New Roman" w:hAnsi="Times New Roman" w:eastAsia="宋体" w:cs="Times New Roman"/>
          <w:color w:val="auto"/>
          <w:sz w:val="24"/>
          <w:szCs w:val="24"/>
          <w:highlight w:val="none"/>
          <w:lang w:val="en-US" w:eastAsia="zh-CN"/>
        </w:rPr>
        <w:t>1</w:t>
      </w:r>
    </w:p>
    <w:p w14:paraId="42915264">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预算金额（元）：</w:t>
      </w:r>
      <w:r>
        <w:rPr>
          <w:rFonts w:hint="eastAsia" w:cs="Times New Roman"/>
          <w:i w:val="0"/>
          <w:iCs w:val="0"/>
          <w:caps w:val="0"/>
          <w:color w:val="auto"/>
          <w:spacing w:val="0"/>
          <w:sz w:val="24"/>
          <w:szCs w:val="24"/>
          <w:highlight w:val="none"/>
          <w:lang w:val="en-US" w:eastAsia="zh-CN"/>
        </w:rPr>
        <w:t>918000</w:t>
      </w:r>
    </w:p>
    <w:p w14:paraId="6334579B">
      <w:pPr>
        <w:spacing w:line="360" w:lineRule="auto"/>
        <w:ind w:left="479" w:leftChars="228"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简要规格描述或项目基本概况介绍、用途：</w:t>
      </w:r>
      <w:r>
        <w:rPr>
          <w:rFonts w:hint="eastAsia" w:ascii="Times New Roman" w:hAnsi="Times New Roman" w:eastAsia="宋体" w:cs="Times New Roman"/>
          <w:color w:val="auto"/>
          <w:sz w:val="24"/>
          <w:szCs w:val="24"/>
          <w:highlight w:val="none"/>
          <w:lang w:val="en-US" w:eastAsia="zh-CN"/>
        </w:rPr>
        <w:t>采购</w:t>
      </w:r>
      <w:r>
        <w:rPr>
          <w:rFonts w:hint="eastAsia" w:cs="Times New Roman"/>
          <w:color w:val="auto"/>
          <w:sz w:val="24"/>
          <w:szCs w:val="24"/>
          <w:highlight w:val="none"/>
          <w:lang w:val="en-US" w:eastAsia="zh-CN"/>
        </w:rPr>
        <w:t>2025年桂平市特殊困难老年人家庭适老化改造项目</w:t>
      </w:r>
      <w:r>
        <w:rPr>
          <w:rFonts w:hint="eastAsia" w:ascii="Times New Roman" w:hAnsi="Times New Roman" w:eastAsia="宋体" w:cs="Times New Roman"/>
          <w:color w:val="auto"/>
          <w:sz w:val="24"/>
          <w:szCs w:val="24"/>
          <w:highlight w:val="none"/>
          <w:lang w:val="en-US" w:eastAsia="zh-CN"/>
        </w:rPr>
        <w:t>，为桂平市户籍的特殊困难老年人家庭(包括:1.被纳入分散供养特困人员范围的高龄、失能、残疾老年人家庭。2.城乡低保对象中的高龄、失能、留守、空巢、残疾老年人家庭。3.计划生育特殊家庭)开展居家适老化改造工作，进一步夯实居家养老基础地位。改造内容根据《老年人居家适老化改造项目和老年用品配置推荐清单》，围绕施工改造、设施配备、老年用品配置等方面进行居家适老化改造。拟在木圭镇、木乐镇、石咀镇、马皮乡、油麻镇、社坡镇、寻旺乡、罗秀镇、麻垌镇、社步镇、下湾镇、罗播乡、木根镇、中沙镇等14个乡镇改造不少于600户，</w:t>
      </w:r>
      <w:r>
        <w:rPr>
          <w:rFonts w:hint="default" w:ascii="Times New Roman" w:hAnsi="Times New Roman" w:eastAsia="宋体" w:cs="Times New Roman"/>
          <w:color w:val="auto"/>
          <w:sz w:val="24"/>
          <w:szCs w:val="24"/>
          <w:highlight w:val="none"/>
          <w:lang w:eastAsia="zh-CN"/>
        </w:rPr>
        <w:t>如需进一步了解，详见竞争性磋商文件。</w:t>
      </w:r>
    </w:p>
    <w:p w14:paraId="5A48034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最高限价（</w:t>
      </w:r>
      <w:r>
        <w:rPr>
          <w:rFonts w:hint="default" w:ascii="Times New Roman" w:hAnsi="Times New Roman" w:eastAsia="宋体" w:cs="Times New Roman"/>
          <w:color w:val="auto"/>
          <w:sz w:val="24"/>
          <w:szCs w:val="24"/>
          <w:highlight w:val="none"/>
          <w:lang w:val="en-US" w:eastAsia="zh-CN"/>
        </w:rPr>
        <w:t>如有</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w:t>
      </w:r>
    </w:p>
    <w:p w14:paraId="599D33C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kern w:val="0"/>
          <w:sz w:val="24"/>
          <w:szCs w:val="24"/>
          <w:highlight w:val="none"/>
        </w:rPr>
        <w:t>服务期限</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签订合同之日起至2025年12月31日前，完成全部改造服务任务。</w:t>
      </w:r>
    </w:p>
    <w:p w14:paraId="4BBA07C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本项目（否）接受联合体</w:t>
      </w:r>
      <w:r>
        <w:rPr>
          <w:rFonts w:hint="default" w:ascii="Times New Roman" w:hAnsi="Times New Roman" w:eastAsia="宋体" w:cs="Times New Roman"/>
          <w:color w:val="auto"/>
          <w:sz w:val="24"/>
          <w:szCs w:val="24"/>
          <w:highlight w:val="none"/>
          <w:lang w:val="en-US" w:eastAsia="zh-CN"/>
        </w:rPr>
        <w:t>投标</w:t>
      </w:r>
    </w:p>
    <w:p w14:paraId="546ECA69">
      <w:pPr>
        <w:spacing w:line="360" w:lineRule="auto"/>
        <w:ind w:firstLine="480" w:firstLineChars="200"/>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备注</w:t>
      </w:r>
      <w:r>
        <w:rPr>
          <w:rFonts w:hint="eastAsia" w:cs="Times New Roman"/>
          <w:color w:val="auto"/>
          <w:sz w:val="24"/>
          <w:szCs w:val="24"/>
          <w:highlight w:val="none"/>
          <w:lang w:val="en-US" w:eastAsia="zh-CN"/>
        </w:rPr>
        <w:t>：</w:t>
      </w:r>
    </w:p>
    <w:p w14:paraId="2D9E104A">
      <w:pPr>
        <w:spacing w:line="360" w:lineRule="auto"/>
        <w:ind w:firstLine="482" w:firstLineChars="200"/>
        <w:rPr>
          <w:rFonts w:hint="default"/>
          <w:color w:val="auto"/>
          <w:highlight w:val="none"/>
          <w:lang w:val="en-US" w:eastAsia="zh-CN"/>
        </w:rPr>
      </w:pPr>
      <w:r>
        <w:rPr>
          <w:rFonts w:ascii="Arial" w:hAnsi="Arial" w:cs="Arial"/>
          <w:b/>
          <w:bCs/>
          <w:color w:val="auto"/>
          <w:sz w:val="24"/>
          <w:highlight w:val="none"/>
        </w:rPr>
        <w:t>标项</w:t>
      </w:r>
      <w:r>
        <w:rPr>
          <w:rFonts w:hint="eastAsia" w:ascii="Arial" w:hAnsi="Arial" w:cs="Arial"/>
          <w:b/>
          <w:bCs/>
          <w:color w:val="auto"/>
          <w:sz w:val="24"/>
          <w:highlight w:val="none"/>
          <w:lang w:val="en-US" w:eastAsia="zh-CN"/>
        </w:rPr>
        <w:t>二</w:t>
      </w:r>
      <w:r>
        <w:rPr>
          <w:rFonts w:ascii="Arial" w:hAnsi="Arial" w:cs="Arial"/>
          <w:b/>
          <w:bCs/>
          <w:color w:val="auto"/>
          <w:sz w:val="24"/>
          <w:highlight w:val="none"/>
        </w:rPr>
        <w:t>：</w:t>
      </w:r>
    </w:p>
    <w:p w14:paraId="6423B483">
      <w:pPr>
        <w:spacing w:line="360" w:lineRule="auto"/>
        <w:ind w:left="959" w:leftChars="228" w:hanging="480" w:hanging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标项名称：</w:t>
      </w:r>
      <w:r>
        <w:rPr>
          <w:rFonts w:hint="eastAsia" w:cs="Times New Roman"/>
          <w:color w:val="auto"/>
          <w:sz w:val="24"/>
          <w:szCs w:val="24"/>
          <w:highlight w:val="none"/>
          <w:lang w:eastAsia="zh-CN"/>
        </w:rPr>
        <w:t>2025年桂平市特殊困难老年人家庭适老化改造项目</w:t>
      </w:r>
      <w:r>
        <w:rPr>
          <w:rFonts w:hint="eastAsia" w:cs="Times New Roman"/>
          <w:color w:val="auto"/>
          <w:sz w:val="24"/>
          <w:szCs w:val="24"/>
          <w:highlight w:val="none"/>
          <w:lang w:val="en-US" w:eastAsia="zh-CN"/>
        </w:rPr>
        <w:t>-B分标</w:t>
      </w:r>
    </w:p>
    <w:p w14:paraId="7A94A39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数量：</w:t>
      </w:r>
      <w:r>
        <w:rPr>
          <w:rFonts w:hint="default" w:ascii="Times New Roman" w:hAnsi="Times New Roman" w:eastAsia="宋体" w:cs="Times New Roman"/>
          <w:color w:val="auto"/>
          <w:sz w:val="24"/>
          <w:szCs w:val="24"/>
          <w:highlight w:val="none"/>
          <w:lang w:val="en-US" w:eastAsia="zh-CN"/>
        </w:rPr>
        <w:t>1</w:t>
      </w:r>
    </w:p>
    <w:p w14:paraId="4C0E0900">
      <w:pPr>
        <w:spacing w:line="360" w:lineRule="auto"/>
        <w:ind w:firstLine="480" w:firstLineChars="200"/>
        <w:rPr>
          <w:rFonts w:hint="default" w:cs="Times New Roman"/>
          <w:i w:val="0"/>
          <w:iCs w:val="0"/>
          <w:caps w:val="0"/>
          <w:color w:val="auto"/>
          <w:spacing w:val="0"/>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预算金额（元）：</w:t>
      </w:r>
      <w:r>
        <w:rPr>
          <w:rFonts w:hint="eastAsia" w:cs="Times New Roman"/>
          <w:i w:val="0"/>
          <w:iCs w:val="0"/>
          <w:caps w:val="0"/>
          <w:color w:val="auto"/>
          <w:spacing w:val="0"/>
          <w:sz w:val="24"/>
          <w:szCs w:val="24"/>
          <w:highlight w:val="none"/>
          <w:lang w:val="en-US" w:eastAsia="zh-CN"/>
        </w:rPr>
        <w:t>872000</w:t>
      </w:r>
    </w:p>
    <w:p w14:paraId="05B493FA">
      <w:pPr>
        <w:spacing w:line="360" w:lineRule="auto"/>
        <w:ind w:left="479" w:leftChars="228"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简要规格描述或项目基本概况介绍、用途：</w:t>
      </w:r>
      <w:r>
        <w:rPr>
          <w:rFonts w:hint="eastAsia" w:ascii="Times New Roman" w:hAnsi="Times New Roman" w:eastAsia="宋体" w:cs="Times New Roman"/>
          <w:color w:val="auto"/>
          <w:sz w:val="24"/>
          <w:szCs w:val="24"/>
          <w:highlight w:val="none"/>
          <w:lang w:val="en-US" w:eastAsia="zh-CN"/>
        </w:rPr>
        <w:t>采购</w:t>
      </w:r>
      <w:r>
        <w:rPr>
          <w:rFonts w:hint="eastAsia" w:cs="Times New Roman"/>
          <w:color w:val="auto"/>
          <w:sz w:val="24"/>
          <w:szCs w:val="24"/>
          <w:highlight w:val="none"/>
          <w:lang w:val="en-US" w:eastAsia="zh-CN"/>
        </w:rPr>
        <w:t>2025年桂平市特殊困难老年人家庭适老化改造项目</w:t>
      </w:r>
      <w:r>
        <w:rPr>
          <w:rFonts w:hint="eastAsia" w:ascii="Times New Roman" w:hAnsi="Times New Roman" w:eastAsia="宋体" w:cs="Times New Roman"/>
          <w:color w:val="auto"/>
          <w:sz w:val="24"/>
          <w:szCs w:val="24"/>
          <w:highlight w:val="none"/>
          <w:lang w:val="en-US" w:eastAsia="zh-CN"/>
        </w:rPr>
        <w:t>，为桂平市户籍的特殊困难老年人家庭(包括:1.被纳入分散供养特困人员范围的高龄、失能、残疾老年人家庭。2.城乡低保对象中的高龄、失能、留守、空巢、残疾老年人家庭。3.计划生育特殊家庭)开展居家适老化改造工作，进一步夯实居家养老基础地位。改造内容根据《老年人居家适老化改造项目和老年用品配置推荐清单》，围绕施工改造、设施配备、老年用品配置等方面进行居家适老化改造。拟在大湾镇、大洋镇、白沙镇、厚禄乡、石龙镇、蒙圩镇、西山镇、南木镇、金田镇、江口镇、紫荆镇、垌心乡等12个乡镇改造不少于570户。</w:t>
      </w:r>
      <w:r>
        <w:rPr>
          <w:rFonts w:hint="default" w:ascii="Times New Roman" w:hAnsi="Times New Roman" w:eastAsia="宋体" w:cs="Times New Roman"/>
          <w:color w:val="auto"/>
          <w:sz w:val="24"/>
          <w:szCs w:val="24"/>
          <w:highlight w:val="none"/>
          <w:lang w:eastAsia="zh-CN"/>
        </w:rPr>
        <w:t>如需进一步了解，详见竞争性磋商文件。</w:t>
      </w:r>
    </w:p>
    <w:p w14:paraId="4BF137C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最高限价（</w:t>
      </w:r>
      <w:r>
        <w:rPr>
          <w:rFonts w:hint="default" w:ascii="Times New Roman" w:hAnsi="Times New Roman" w:eastAsia="宋体" w:cs="Times New Roman"/>
          <w:color w:val="auto"/>
          <w:sz w:val="24"/>
          <w:szCs w:val="24"/>
          <w:highlight w:val="none"/>
          <w:lang w:val="en-US" w:eastAsia="zh-CN"/>
        </w:rPr>
        <w:t>如有</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w:t>
      </w:r>
    </w:p>
    <w:p w14:paraId="6E36DC8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kern w:val="0"/>
          <w:sz w:val="24"/>
          <w:szCs w:val="24"/>
          <w:highlight w:val="none"/>
        </w:rPr>
        <w:t>服务期限</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签订合同之日起至2025年12月31日前，完成全部改造服务任务。</w:t>
      </w:r>
    </w:p>
    <w:p w14:paraId="7CADD21C">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本项目（否）接受联合体</w:t>
      </w:r>
      <w:r>
        <w:rPr>
          <w:rFonts w:hint="default" w:ascii="Times New Roman" w:hAnsi="Times New Roman" w:eastAsia="宋体" w:cs="Times New Roman"/>
          <w:color w:val="auto"/>
          <w:sz w:val="24"/>
          <w:szCs w:val="24"/>
          <w:highlight w:val="none"/>
          <w:lang w:val="en-US" w:eastAsia="zh-CN"/>
        </w:rPr>
        <w:t>投标</w:t>
      </w:r>
    </w:p>
    <w:p w14:paraId="24F5F941">
      <w:pPr>
        <w:spacing w:line="360" w:lineRule="auto"/>
        <w:ind w:firstLine="480" w:firstLineChars="200"/>
        <w:rPr>
          <w:rFonts w:hint="eastAsia" w:ascii="仿宋" w:hAnsi="仿宋" w:eastAsia="仿宋" w:cs="仿宋"/>
          <w:b/>
          <w:bCs/>
          <w:color w:val="auto"/>
          <w:kern w:val="0"/>
          <w:sz w:val="24"/>
          <w:szCs w:val="24"/>
          <w:highlight w:val="none"/>
          <w:vertAlign w:val="baseline"/>
          <w:lang w:val="en-US" w:eastAsia="zh-CN" w:bidi="ar"/>
        </w:rPr>
      </w:pPr>
      <w:r>
        <w:rPr>
          <w:rFonts w:hint="default" w:ascii="Times New Roman" w:hAnsi="Times New Roman" w:eastAsia="宋体" w:cs="Times New Roman"/>
          <w:color w:val="auto"/>
          <w:sz w:val="24"/>
          <w:szCs w:val="24"/>
          <w:highlight w:val="none"/>
          <w:lang w:val="en-US" w:eastAsia="zh-CN"/>
        </w:rPr>
        <w:t>备注</w:t>
      </w:r>
      <w:r>
        <w:rPr>
          <w:rFonts w:hint="eastAsia" w:cs="Times New Roman"/>
          <w:color w:val="auto"/>
          <w:sz w:val="24"/>
          <w:szCs w:val="24"/>
          <w:highlight w:val="none"/>
          <w:lang w:val="en-US" w:eastAsia="zh-CN"/>
        </w:rPr>
        <w:t>：</w:t>
      </w:r>
    </w:p>
    <w:p w14:paraId="27259924">
      <w:pPr>
        <w:spacing w:line="360" w:lineRule="auto"/>
        <w:rPr>
          <w:rFonts w:hint="default"/>
          <w:b/>
          <w:bCs/>
          <w:color w:val="auto"/>
          <w:highlight w:val="none"/>
          <w:lang w:val="en-US" w:eastAsia="zh-CN"/>
        </w:rPr>
      </w:pPr>
    </w:p>
    <w:p w14:paraId="7E681B16">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二、申请人的资格要求：</w:t>
      </w:r>
    </w:p>
    <w:p w14:paraId="3022AA6D">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F8964B2">
      <w:pPr>
        <w:spacing w:line="360" w:lineRule="auto"/>
        <w:ind w:firstLine="480" w:firstLineChars="200"/>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2.落实政府采购政策需满足的资格要求：</w:t>
      </w:r>
      <w:r>
        <w:rPr>
          <w:rFonts w:hint="eastAsia" w:cs="Times New Roman"/>
          <w:color w:val="auto"/>
          <w:sz w:val="24"/>
          <w:szCs w:val="24"/>
          <w:highlight w:val="none"/>
          <w:lang w:val="en-US" w:eastAsia="zh-CN"/>
        </w:rPr>
        <w:t>无</w:t>
      </w:r>
    </w:p>
    <w:p w14:paraId="7CBBADBC">
      <w:pPr>
        <w:keepNext w:val="0"/>
        <w:keepLines w:val="0"/>
        <w:pageBreakBefore w:val="0"/>
        <w:kinsoku/>
        <w:wordWrap/>
        <w:overflowPunct/>
        <w:topLinePunct w:val="0"/>
        <w:autoSpaceDE/>
        <w:autoSpaceDN/>
        <w:bidi w:val="0"/>
        <w:adjustRightInd/>
        <w:spacing w:line="288"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3.本项目的特定资格要求：</w:t>
      </w:r>
      <w:r>
        <w:rPr>
          <w:rFonts w:hint="eastAsia"/>
          <w:b w:val="0"/>
          <w:bCs w:val="0"/>
          <w:color w:val="auto"/>
          <w:sz w:val="24"/>
          <w:highlight w:val="none"/>
        </w:rPr>
        <w:t>标项</w:t>
      </w:r>
      <w:r>
        <w:rPr>
          <w:rFonts w:hint="eastAsia"/>
          <w:b w:val="0"/>
          <w:bCs w:val="0"/>
          <w:color w:val="auto"/>
          <w:sz w:val="24"/>
          <w:highlight w:val="none"/>
          <w:lang w:val="en-US" w:eastAsia="zh-CN"/>
        </w:rPr>
        <w:t>1</w:t>
      </w:r>
      <w:r>
        <w:rPr>
          <w:rFonts w:hint="eastAsia"/>
          <w:b w:val="0"/>
          <w:bCs w:val="0"/>
          <w:color w:val="auto"/>
          <w:sz w:val="24"/>
          <w:highlight w:val="none"/>
        </w:rPr>
        <w:t>、</w:t>
      </w:r>
      <w:r>
        <w:rPr>
          <w:rFonts w:hint="eastAsia"/>
          <w:b w:val="0"/>
          <w:bCs w:val="0"/>
          <w:color w:val="auto"/>
          <w:sz w:val="24"/>
          <w:highlight w:val="none"/>
          <w:lang w:val="en-US" w:eastAsia="zh-CN"/>
        </w:rPr>
        <w:t>2</w:t>
      </w:r>
      <w:r>
        <w:rPr>
          <w:rFonts w:hint="eastAsia"/>
          <w:b w:val="0"/>
          <w:bCs w:val="0"/>
          <w:color w:val="auto"/>
          <w:sz w:val="24"/>
          <w:highlight w:val="none"/>
          <w:lang w:eastAsia="zh-CN"/>
        </w:rPr>
        <w:t>：</w:t>
      </w:r>
      <w:r>
        <w:rPr>
          <w:rFonts w:hint="eastAsia" w:cs="Times New Roman"/>
          <w:color w:val="auto"/>
          <w:sz w:val="24"/>
          <w:szCs w:val="24"/>
          <w:highlight w:val="none"/>
          <w:lang w:eastAsia="zh-CN"/>
        </w:rPr>
        <w:t>无</w:t>
      </w:r>
    </w:p>
    <w:p w14:paraId="7B55D147">
      <w:pPr>
        <w:spacing w:line="360" w:lineRule="auto"/>
        <w:rPr>
          <w:rFonts w:hint="default" w:ascii="Times New Roman" w:hAnsi="Times New Roman" w:eastAsia="宋体" w:cs="Times New Roman"/>
          <w:b/>
          <w:bCs/>
          <w:color w:val="auto"/>
          <w:sz w:val="24"/>
          <w:szCs w:val="24"/>
          <w:highlight w:val="none"/>
          <w:lang w:eastAsia="zh-CN"/>
        </w:rPr>
      </w:pPr>
      <w:bookmarkStart w:id="2" w:name="_Toc35393800"/>
      <w:bookmarkStart w:id="3" w:name="_Toc35393631"/>
      <w:r>
        <w:rPr>
          <w:rFonts w:hint="default" w:ascii="Times New Roman" w:hAnsi="Times New Roman" w:eastAsia="宋体" w:cs="Times New Roman"/>
          <w:b/>
          <w:bCs/>
          <w:color w:val="auto"/>
          <w:sz w:val="24"/>
          <w:szCs w:val="24"/>
          <w:highlight w:val="none"/>
          <w:lang w:eastAsia="zh-CN"/>
        </w:rPr>
        <w:t>三、获取采购文件</w:t>
      </w:r>
      <w:bookmarkEnd w:id="2"/>
      <w:bookmarkEnd w:id="3"/>
    </w:p>
    <w:p w14:paraId="0978DDE0">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时间：</w:t>
      </w:r>
      <w:r>
        <w:rPr>
          <w:rFonts w:hint="eastAsia" w:cs="Times New Roman"/>
          <w:color w:val="auto"/>
          <w:sz w:val="24"/>
          <w:szCs w:val="24"/>
          <w:highlight w:val="none"/>
          <w:lang w:eastAsia="zh-CN"/>
        </w:rPr>
        <w:t>2025年</w:t>
      </w:r>
      <w:r>
        <w:rPr>
          <w:rFonts w:hint="eastAsia" w:cs="Times New Roman"/>
          <w:color w:val="auto"/>
          <w:sz w:val="24"/>
          <w:szCs w:val="24"/>
          <w:highlight w:val="none"/>
          <w:lang w:val="en-US" w:eastAsia="zh-CN"/>
        </w:rPr>
        <w:t>11</w:t>
      </w:r>
      <w:r>
        <w:rPr>
          <w:rFonts w:hint="eastAsia" w:cs="Times New Roman"/>
          <w:color w:val="auto"/>
          <w:sz w:val="24"/>
          <w:szCs w:val="24"/>
          <w:highlight w:val="none"/>
          <w:lang w:eastAsia="zh-CN"/>
        </w:rPr>
        <w:t>月</w:t>
      </w:r>
      <w:r>
        <w:rPr>
          <w:rFonts w:hint="eastAsia" w:cs="Times New Roman"/>
          <w:color w:val="auto"/>
          <w:sz w:val="24"/>
          <w:szCs w:val="24"/>
          <w:highlight w:val="none"/>
          <w:lang w:val="en-US" w:eastAsia="zh-CN"/>
        </w:rPr>
        <w:t>3日</w:t>
      </w:r>
      <w:r>
        <w:rPr>
          <w:rFonts w:hint="default" w:ascii="Times New Roman" w:hAnsi="Times New Roman" w:eastAsia="宋体" w:cs="Times New Roman"/>
          <w:color w:val="auto"/>
          <w:sz w:val="24"/>
          <w:szCs w:val="24"/>
          <w:highlight w:val="none"/>
          <w:lang w:eastAsia="zh-CN"/>
        </w:rPr>
        <w:t>至响应文件</w:t>
      </w:r>
      <w:r>
        <w:rPr>
          <w:rFonts w:hint="eastAsia" w:ascii="Times New Roman" w:hAnsi="Times New Roman" w:eastAsia="宋体" w:cs="Times New Roman"/>
          <w:color w:val="auto"/>
          <w:sz w:val="24"/>
          <w:szCs w:val="24"/>
          <w:highlight w:val="none"/>
          <w:lang w:eastAsia="zh-CN"/>
        </w:rPr>
        <w:t>提交</w:t>
      </w:r>
      <w:r>
        <w:rPr>
          <w:rFonts w:hint="default" w:ascii="Times New Roman" w:hAnsi="Times New Roman" w:eastAsia="宋体" w:cs="Times New Roman"/>
          <w:color w:val="auto"/>
          <w:sz w:val="24"/>
          <w:szCs w:val="24"/>
          <w:highlight w:val="none"/>
          <w:lang w:eastAsia="zh-CN"/>
        </w:rPr>
        <w:t>的截止时间止</w:t>
      </w:r>
      <w:r>
        <w:rPr>
          <w:rFonts w:hint="eastAsia" w:ascii="Times New Roman" w:hAnsi="Times New Roman" w:eastAsia="宋体" w:cs="Times New Roman"/>
          <w:color w:val="auto"/>
          <w:sz w:val="24"/>
          <w:szCs w:val="24"/>
          <w:highlight w:val="none"/>
          <w:lang w:eastAsia="zh-CN"/>
        </w:rPr>
        <w:t>。</w:t>
      </w:r>
    </w:p>
    <w:p w14:paraId="244509BE">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地点（</w:t>
      </w:r>
      <w:r>
        <w:rPr>
          <w:rFonts w:hint="default" w:ascii="Times New Roman" w:hAnsi="Times New Roman" w:eastAsia="宋体" w:cs="Times New Roman"/>
          <w:color w:val="auto"/>
          <w:sz w:val="24"/>
          <w:szCs w:val="24"/>
          <w:highlight w:val="none"/>
          <w:lang w:val="en-US" w:eastAsia="zh-CN"/>
        </w:rPr>
        <w:t>网址</w:t>
      </w:r>
      <w:r>
        <w:rPr>
          <w:rFonts w:hint="default" w:ascii="Times New Roman" w:hAnsi="Times New Roman" w:eastAsia="宋体" w:cs="Times New Roman"/>
          <w:color w:val="auto"/>
          <w:sz w:val="24"/>
          <w:szCs w:val="24"/>
          <w:highlight w:val="none"/>
          <w:lang w:eastAsia="zh-CN"/>
        </w:rPr>
        <w:t>）：</w:t>
      </w:r>
      <w:r>
        <w:rPr>
          <w:rFonts w:hint="eastAsia" w:cs="Times New Roman"/>
          <w:b w:val="0"/>
          <w:bCs/>
          <w:color w:val="auto"/>
          <w:sz w:val="24"/>
          <w:szCs w:val="24"/>
          <w:highlight w:val="none"/>
          <w:lang w:val="en-US" w:eastAsia="zh-CN"/>
        </w:rPr>
        <w:t>广西政府采购云平台（https://www.gcy.zfcg.gxzf.gov.cn/）</w:t>
      </w:r>
    </w:p>
    <w:p w14:paraId="2A7FBD4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eastAsia="zh-CN"/>
        </w:rPr>
      </w:pPr>
      <w:bookmarkStart w:id="4" w:name="_Toc35393801"/>
      <w:bookmarkStart w:id="5" w:name="_Toc35393632"/>
      <w:bookmarkStart w:id="6" w:name="_Toc28359015"/>
      <w:bookmarkStart w:id="7" w:name="_Toc28359092"/>
      <w:r>
        <w:rPr>
          <w:color w:val="auto"/>
          <w:sz w:val="24"/>
          <w:highlight w:val="none"/>
        </w:rPr>
        <w:t>方式：</w:t>
      </w:r>
      <w:r>
        <w:rPr>
          <w:rFonts w:hint="eastAsia"/>
          <w:bCs/>
          <w:color w:val="auto"/>
          <w:sz w:val="24"/>
          <w:highlight w:val="none"/>
          <w:lang w:eastAsia="zh-CN"/>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如在操作过程中遇到问题或需技术支持，请致电广西政府采购云平台客服热线：95763。</w:t>
      </w:r>
      <w:r>
        <w:rPr>
          <w:rFonts w:hint="default" w:ascii="Times New Roman" w:hAnsi="Times New Roman" w:eastAsia="宋体" w:cs="Times New Roman"/>
          <w:color w:val="auto"/>
          <w:sz w:val="24"/>
          <w:szCs w:val="24"/>
          <w:highlight w:val="none"/>
          <w:lang w:eastAsia="zh-CN"/>
        </w:rPr>
        <w:t> </w:t>
      </w:r>
    </w:p>
    <w:p w14:paraId="63A40149">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售价（</w:t>
      </w:r>
      <w:r>
        <w:rPr>
          <w:rFonts w:hint="default"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lang w:eastAsia="zh-CN"/>
        </w:rPr>
        <w:t>）：0</w:t>
      </w:r>
    </w:p>
    <w:p w14:paraId="3E65F0F9">
      <w:pPr>
        <w:spacing w:line="360" w:lineRule="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四、响应文件提交</w:t>
      </w:r>
      <w:bookmarkEnd w:id="4"/>
      <w:bookmarkEnd w:id="5"/>
      <w:bookmarkEnd w:id="6"/>
      <w:bookmarkEnd w:id="7"/>
    </w:p>
    <w:p w14:paraId="033901C9">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截止时间：</w:t>
      </w:r>
      <w:r>
        <w:rPr>
          <w:rFonts w:hint="eastAsia" w:cs="Times New Roman"/>
          <w:color w:val="auto"/>
          <w:sz w:val="24"/>
          <w:szCs w:val="24"/>
          <w:highlight w:val="none"/>
          <w:lang w:val="en-US" w:eastAsia="zh-CN"/>
        </w:rPr>
        <w:t>2025年11月14日09：00</w:t>
      </w:r>
      <w:r>
        <w:rPr>
          <w:rFonts w:hint="default" w:ascii="Times New Roman" w:hAnsi="Times New Roman" w:eastAsia="宋体" w:cs="Times New Roman"/>
          <w:color w:val="auto"/>
          <w:sz w:val="24"/>
          <w:szCs w:val="24"/>
          <w:highlight w:val="none"/>
          <w:lang w:eastAsia="zh-CN"/>
        </w:rPr>
        <w:t>（北京时间）</w:t>
      </w:r>
    </w:p>
    <w:p w14:paraId="5CB8766A">
      <w:pPr>
        <w:spacing w:line="360" w:lineRule="auto"/>
        <w:ind w:firstLine="240" w:firstLineChars="100"/>
        <w:rPr>
          <w:rFonts w:hint="eastAsia"/>
          <w:color w:val="auto"/>
          <w:sz w:val="24"/>
          <w:highlight w:val="none"/>
        </w:rPr>
      </w:pPr>
      <w:r>
        <w:rPr>
          <w:rFonts w:hint="eastAsia"/>
          <w:color w:val="auto"/>
          <w:sz w:val="24"/>
          <w:highlight w:val="none"/>
        </w:rPr>
        <w:t>地点（网址）：广西政府采购云平台（https://www.gcy.zfcg.gxzf.gov.cn/）</w:t>
      </w:r>
    </w:p>
    <w:p w14:paraId="0C449422">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color w:val="auto"/>
          <w:sz w:val="24"/>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default" w:ascii="Times New Roman" w:hAnsi="Times New Roman" w:eastAsia="宋体" w:cs="Times New Roman"/>
          <w:color w:val="auto"/>
          <w:sz w:val="24"/>
          <w:szCs w:val="24"/>
          <w:highlight w:val="none"/>
          <w:lang w:eastAsia="zh-CN"/>
        </w:rPr>
        <w:t xml:space="preserve"> </w:t>
      </w:r>
    </w:p>
    <w:p w14:paraId="1087DDD6">
      <w:pPr>
        <w:spacing w:line="360" w:lineRule="auto"/>
        <w:rPr>
          <w:rFonts w:hint="default" w:ascii="Times New Roman" w:hAnsi="Times New Roman" w:eastAsia="宋体" w:cs="Times New Roman"/>
          <w:b/>
          <w:bCs/>
          <w:color w:val="auto"/>
          <w:sz w:val="24"/>
          <w:szCs w:val="24"/>
          <w:highlight w:val="none"/>
          <w:lang w:eastAsia="zh-CN"/>
        </w:rPr>
      </w:pPr>
      <w:bookmarkStart w:id="8" w:name="_Toc35393802"/>
      <w:bookmarkStart w:id="9" w:name="_Toc28359093"/>
      <w:bookmarkStart w:id="10" w:name="_Toc35393633"/>
      <w:bookmarkStart w:id="11" w:name="_Toc28359016"/>
      <w:r>
        <w:rPr>
          <w:rFonts w:hint="default" w:ascii="Times New Roman" w:hAnsi="Times New Roman" w:eastAsia="宋体" w:cs="Times New Roman"/>
          <w:b/>
          <w:bCs/>
          <w:color w:val="auto"/>
          <w:sz w:val="24"/>
          <w:szCs w:val="24"/>
          <w:highlight w:val="none"/>
          <w:lang w:eastAsia="zh-CN"/>
        </w:rPr>
        <w:t>五、</w:t>
      </w:r>
      <w:r>
        <w:rPr>
          <w:rFonts w:hint="default" w:ascii="Times New Roman" w:hAnsi="Times New Roman" w:eastAsia="宋体" w:cs="Times New Roman"/>
          <w:b/>
          <w:bCs/>
          <w:color w:val="auto"/>
          <w:sz w:val="24"/>
          <w:szCs w:val="24"/>
          <w:highlight w:val="none"/>
          <w:lang w:val="en-US" w:eastAsia="zh-CN"/>
        </w:rPr>
        <w:t>响应文件</w:t>
      </w:r>
      <w:r>
        <w:rPr>
          <w:rFonts w:hint="default" w:ascii="Times New Roman" w:hAnsi="Times New Roman" w:eastAsia="宋体" w:cs="Times New Roman"/>
          <w:b/>
          <w:bCs/>
          <w:color w:val="auto"/>
          <w:sz w:val="24"/>
          <w:szCs w:val="24"/>
          <w:highlight w:val="none"/>
          <w:lang w:eastAsia="zh-CN"/>
        </w:rPr>
        <w:t>开启</w:t>
      </w:r>
      <w:bookmarkEnd w:id="8"/>
      <w:bookmarkEnd w:id="9"/>
      <w:bookmarkEnd w:id="10"/>
      <w:bookmarkEnd w:id="11"/>
    </w:p>
    <w:p w14:paraId="1649FBCF">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开启</w:t>
      </w:r>
      <w:r>
        <w:rPr>
          <w:rFonts w:hint="default" w:ascii="Times New Roman" w:hAnsi="Times New Roman" w:eastAsia="宋体" w:cs="Times New Roman"/>
          <w:color w:val="auto"/>
          <w:sz w:val="24"/>
          <w:szCs w:val="24"/>
          <w:highlight w:val="none"/>
          <w:lang w:eastAsia="zh-CN"/>
        </w:rPr>
        <w:t>时间：</w:t>
      </w:r>
      <w:r>
        <w:rPr>
          <w:rFonts w:hint="eastAsia" w:cs="Times New Roman"/>
          <w:color w:val="auto"/>
          <w:sz w:val="24"/>
          <w:szCs w:val="24"/>
          <w:highlight w:val="none"/>
          <w:lang w:val="en-US" w:eastAsia="zh-CN"/>
        </w:rPr>
        <w:t>2025年11月14日09：00</w:t>
      </w:r>
      <w:r>
        <w:rPr>
          <w:rFonts w:hint="default" w:ascii="Times New Roman" w:hAnsi="Times New Roman" w:eastAsia="宋体" w:cs="Times New Roman"/>
          <w:color w:val="auto"/>
          <w:sz w:val="24"/>
          <w:szCs w:val="24"/>
          <w:highlight w:val="none"/>
          <w:lang w:eastAsia="zh-CN"/>
        </w:rPr>
        <w:t>（北京时间）</w:t>
      </w:r>
    </w:p>
    <w:p w14:paraId="39CD5870">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地点：广西政府采购云平台（https://www.gcy.zfcg.gxzf.gov.cn/）</w:t>
      </w:r>
    </w:p>
    <w:p w14:paraId="54A98704">
      <w:pPr>
        <w:spacing w:line="360" w:lineRule="auto"/>
        <w:rPr>
          <w:rFonts w:hint="default" w:ascii="Times New Roman" w:hAnsi="Times New Roman" w:eastAsia="宋体" w:cs="Times New Roman"/>
          <w:b/>
          <w:bCs/>
          <w:color w:val="auto"/>
          <w:sz w:val="24"/>
          <w:szCs w:val="24"/>
          <w:highlight w:val="none"/>
          <w:lang w:eastAsia="zh-CN"/>
        </w:rPr>
      </w:pPr>
      <w:bookmarkStart w:id="12" w:name="_Toc28359094"/>
      <w:bookmarkStart w:id="13" w:name="_Toc35393803"/>
      <w:bookmarkStart w:id="14" w:name="_Toc28359017"/>
      <w:bookmarkStart w:id="15" w:name="_Toc35393634"/>
      <w:r>
        <w:rPr>
          <w:rFonts w:hint="default" w:ascii="Times New Roman" w:hAnsi="Times New Roman" w:eastAsia="宋体" w:cs="Times New Roman"/>
          <w:b/>
          <w:bCs/>
          <w:color w:val="auto"/>
          <w:sz w:val="24"/>
          <w:szCs w:val="24"/>
          <w:highlight w:val="none"/>
          <w:lang w:eastAsia="zh-CN"/>
        </w:rPr>
        <w:t>六、公告期限</w:t>
      </w:r>
      <w:bookmarkEnd w:id="12"/>
      <w:bookmarkEnd w:id="13"/>
      <w:bookmarkEnd w:id="14"/>
      <w:bookmarkEnd w:id="15"/>
    </w:p>
    <w:p w14:paraId="2E089AD3">
      <w:pPr>
        <w:spacing w:line="360" w:lineRule="auto"/>
        <w:ind w:firstLine="480" w:firstLineChars="200"/>
        <w:rPr>
          <w:rFonts w:hint="default" w:ascii="Times New Roman" w:hAnsi="Times New Roman" w:eastAsia="宋体" w:cs="Times New Roman"/>
          <w:color w:val="auto"/>
          <w:sz w:val="24"/>
          <w:szCs w:val="24"/>
          <w:highlight w:val="none"/>
          <w:lang w:eastAsia="zh-CN"/>
        </w:rPr>
      </w:pPr>
      <w:bookmarkStart w:id="16" w:name="_Toc35393804"/>
      <w:bookmarkStart w:id="17" w:name="_Toc35393635"/>
      <w:r>
        <w:rPr>
          <w:rFonts w:hint="default" w:ascii="Times New Roman" w:hAnsi="Times New Roman" w:eastAsia="宋体" w:cs="Times New Roman"/>
          <w:color w:val="auto"/>
          <w:sz w:val="24"/>
          <w:szCs w:val="24"/>
          <w:highlight w:val="none"/>
          <w:lang w:eastAsia="zh-CN"/>
        </w:rPr>
        <w:t>自本公告发布之日起</w:t>
      </w:r>
      <w:r>
        <w:rPr>
          <w:rFonts w:hint="eastAsia" w:ascii="Times New Roman" w:hAnsi="Times New Roman" w:eastAsia="宋体" w:cs="Times New Roman"/>
          <w:color w:val="auto"/>
          <w:sz w:val="24"/>
          <w:szCs w:val="24"/>
          <w:highlight w:val="none"/>
          <w:lang w:val="en-US" w:eastAsia="zh-CN"/>
        </w:rPr>
        <w:t>5个工作日</w:t>
      </w:r>
      <w:r>
        <w:rPr>
          <w:rFonts w:hint="default" w:ascii="Times New Roman" w:hAnsi="Times New Roman" w:eastAsia="宋体" w:cs="Times New Roman"/>
          <w:color w:val="auto"/>
          <w:sz w:val="24"/>
          <w:szCs w:val="24"/>
          <w:highlight w:val="none"/>
          <w:lang w:eastAsia="zh-CN"/>
        </w:rPr>
        <w:t>。</w:t>
      </w:r>
    </w:p>
    <w:p w14:paraId="7C7E2964">
      <w:pPr>
        <w:numPr>
          <w:ilvl w:val="0"/>
          <w:numId w:val="1"/>
        </w:numPr>
        <w:spacing w:line="360" w:lineRule="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其他补充事宜</w:t>
      </w:r>
      <w:bookmarkEnd w:id="16"/>
      <w:bookmarkEnd w:id="17"/>
    </w:p>
    <w:p w14:paraId="5D357CFD">
      <w:pPr>
        <w:spacing w:line="360" w:lineRule="auto"/>
        <w:ind w:firstLine="480" w:firstLineChars="200"/>
        <w:textAlignment w:val="baseline"/>
        <w:rPr>
          <w:rFonts w:hint="default" w:ascii="Times New Roman" w:hAnsi="Times New Roman" w:cs="Times New Roman"/>
          <w:color w:val="auto"/>
          <w:highlight w:val="none"/>
          <w:lang w:eastAsia="zh-CN"/>
        </w:rPr>
      </w:pP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一</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kern w:val="0"/>
          <w:sz w:val="24"/>
          <w:highlight w:val="none"/>
        </w:rPr>
        <w:t>本项目不收取</w:t>
      </w:r>
      <w:r>
        <w:rPr>
          <w:rFonts w:hint="eastAsia" w:ascii="Times New Roman" w:hAnsi="Times New Roman" w:eastAsia="宋体" w:cs="Times New Roman"/>
          <w:color w:val="auto"/>
          <w:kern w:val="0"/>
          <w:sz w:val="24"/>
          <w:highlight w:val="none"/>
          <w:lang w:eastAsia="zh-CN"/>
        </w:rPr>
        <w:t>磋商保证金</w:t>
      </w:r>
      <w:r>
        <w:rPr>
          <w:rFonts w:hint="default" w:ascii="Times New Roman" w:hAnsi="Times New Roman" w:eastAsia="宋体" w:cs="Times New Roman"/>
          <w:color w:val="auto"/>
          <w:kern w:val="0"/>
          <w:sz w:val="24"/>
          <w:highlight w:val="none"/>
        </w:rPr>
        <w:t>；</w:t>
      </w:r>
    </w:p>
    <w:p w14:paraId="535517D3">
      <w:pPr>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二</w:t>
      </w:r>
      <w:r>
        <w:rPr>
          <w:rFonts w:hint="default" w:ascii="Times New Roman" w:hAnsi="Times New Roman" w:eastAsia="宋体" w:cs="Times New Roman"/>
          <w:b w:val="0"/>
          <w:bCs w:val="0"/>
          <w:color w:val="auto"/>
          <w:sz w:val="24"/>
          <w:szCs w:val="24"/>
          <w:highlight w:val="none"/>
        </w:rPr>
        <w:t>）本项目需要落实的政府采购政策</w:t>
      </w:r>
      <w:r>
        <w:rPr>
          <w:rFonts w:hint="default" w:ascii="Times New Roman" w:hAnsi="Times New Roman" w:eastAsia="宋体" w:cs="Times New Roman"/>
          <w:b w:val="0"/>
          <w:bCs w:val="0"/>
          <w:color w:val="auto"/>
          <w:sz w:val="24"/>
          <w:szCs w:val="24"/>
          <w:highlight w:val="none"/>
          <w:lang w:eastAsia="zh-CN"/>
        </w:rPr>
        <w:t>：</w:t>
      </w:r>
    </w:p>
    <w:p w14:paraId="5323C73F">
      <w:pPr>
        <w:spacing w:line="360" w:lineRule="auto"/>
        <w:ind w:firstLine="720" w:firstLineChars="3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.政府采购促进中小企业发展</w:t>
      </w:r>
      <w:r>
        <w:rPr>
          <w:rFonts w:hint="default" w:ascii="Times New Roman" w:hAnsi="Times New Roman" w:eastAsia="宋体" w:cs="Times New Roman"/>
          <w:color w:val="auto"/>
          <w:sz w:val="24"/>
          <w:szCs w:val="24"/>
          <w:highlight w:val="none"/>
          <w:lang w:eastAsia="zh-CN"/>
        </w:rPr>
        <w:t>：</w:t>
      </w:r>
    </w:p>
    <w:p w14:paraId="5BDC5143">
      <w:pPr>
        <w:spacing w:line="360" w:lineRule="auto"/>
        <w:ind w:firstLine="720" w:firstLineChars="3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.政府采购支持采用本国产品的政策。</w:t>
      </w:r>
    </w:p>
    <w:p w14:paraId="1C94D69C">
      <w:pPr>
        <w:spacing w:line="360" w:lineRule="auto"/>
        <w:ind w:firstLine="720" w:firstLineChars="3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.强制采购、优先采购环境标志产品、节能产品。</w:t>
      </w:r>
    </w:p>
    <w:p w14:paraId="41056ED3">
      <w:pPr>
        <w:spacing w:line="360" w:lineRule="auto"/>
        <w:ind w:firstLine="720" w:firstLineChars="3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.政府采购促进残疾人就业政策。</w:t>
      </w:r>
    </w:p>
    <w:p w14:paraId="28BA100C">
      <w:pPr>
        <w:spacing w:line="360" w:lineRule="auto"/>
        <w:ind w:firstLine="720" w:firstLineChars="3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.政府采购支持监狱企业发展。</w:t>
      </w:r>
    </w:p>
    <w:p w14:paraId="64136BC2">
      <w:pPr>
        <w:spacing w:line="360" w:lineRule="auto"/>
        <w:ind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.扶持不发达地区和少数民族地区政策等政府采购相关政策。</w:t>
      </w:r>
    </w:p>
    <w:p w14:paraId="586D56CE">
      <w:pPr>
        <w:pStyle w:val="15"/>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（三）其他要求</w:t>
      </w:r>
    </w:p>
    <w:p w14:paraId="1C9FBA63">
      <w:pPr>
        <w:spacing w:line="360" w:lineRule="auto"/>
        <w:ind w:firstLine="480" w:firstLineChars="200"/>
        <w:textAlignment w:val="baseline"/>
        <w:rPr>
          <w:rFonts w:ascii="Times New Roman" w:hAnsi="Times New Roman" w:eastAsia="宋体" w:cs="Times New Roman"/>
          <w:color w:val="auto"/>
          <w:sz w:val="24"/>
          <w:highlight w:val="none"/>
        </w:rPr>
      </w:pPr>
      <w:r>
        <w:rPr>
          <w:rFonts w:hint="eastAsia" w:cs="Times New Roman"/>
          <w:color w:val="auto"/>
          <w:sz w:val="24"/>
          <w:highlight w:val="none"/>
          <w:lang w:val="en-US" w:eastAsia="zh-CN"/>
        </w:rPr>
        <w:t>1</w:t>
      </w:r>
      <w:r>
        <w:rPr>
          <w:rFonts w:ascii="Times New Roman" w:hAnsi="Times New Roman" w:eastAsia="宋体" w:cs="Times New Roman"/>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BF65C23">
      <w:pPr>
        <w:spacing w:line="360" w:lineRule="auto"/>
        <w:ind w:firstLine="480" w:firstLineChars="200"/>
        <w:textAlignment w:val="baseline"/>
        <w:rPr>
          <w:rFonts w:ascii="Times New Roman" w:hAnsi="Times New Roman" w:eastAsia="宋体" w:cs="Times New Roman"/>
          <w:color w:val="auto"/>
          <w:sz w:val="24"/>
          <w:highlight w:val="none"/>
        </w:rPr>
      </w:pPr>
      <w:r>
        <w:rPr>
          <w:rFonts w:hint="eastAsia" w:cs="Times New Roman"/>
          <w:color w:val="auto"/>
          <w:sz w:val="24"/>
          <w:highlight w:val="none"/>
          <w:lang w:val="en-US" w:eastAsia="zh-CN"/>
        </w:rPr>
        <w:t>2</w:t>
      </w:r>
      <w:r>
        <w:rPr>
          <w:rFonts w:ascii="Times New Roman" w:hAnsi="Times New Roman" w:eastAsia="宋体" w:cs="Times New Roman"/>
          <w:color w:val="auto"/>
          <w:sz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6F2090D">
      <w:pPr>
        <w:spacing w:line="360" w:lineRule="auto"/>
        <w:ind w:firstLine="480" w:firstLineChars="200"/>
        <w:textAlignment w:val="baseline"/>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3</w:t>
      </w:r>
      <w:r>
        <w:rPr>
          <w:rFonts w:ascii="Times New Roman" w:hAnsi="Times New Roman" w:eastAsia="宋体" w:cs="Times New Roman"/>
          <w:color w:val="auto"/>
          <w:sz w:val="24"/>
          <w:highlight w:val="none"/>
        </w:rPr>
        <w:t>本项目不接受未完成网上下载采购文件的供应商</w:t>
      </w:r>
      <w:r>
        <w:rPr>
          <w:rFonts w:hint="eastAsia" w:ascii="Times New Roman" w:hAnsi="Times New Roman" w:eastAsia="宋体" w:cs="Times New Roman"/>
          <w:color w:val="auto"/>
          <w:sz w:val="24"/>
          <w:highlight w:val="none"/>
        </w:rPr>
        <w:t>参加</w:t>
      </w:r>
      <w:r>
        <w:rPr>
          <w:rFonts w:ascii="Times New Roman" w:hAnsi="Times New Roman" w:eastAsia="宋体" w:cs="Times New Roman"/>
          <w:color w:val="auto"/>
          <w:sz w:val="24"/>
          <w:highlight w:val="none"/>
        </w:rPr>
        <w:t>磋商。</w:t>
      </w:r>
    </w:p>
    <w:p w14:paraId="67BCBBF0">
      <w:pPr>
        <w:spacing w:line="360" w:lineRule="auto"/>
        <w:ind w:firstLine="480" w:firstLineChars="200"/>
        <w:textAlignment w:val="baseline"/>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四）、公告网址：http://www.ccgp.gov.cn（中国政府采购网）、http://zfcg.gxzf.gov.cn/（广西壮族自治区政府采购网）、http://ggzy.jgswj.gxzf.gov.cn/ggggzy/全国公共资源交易平台（广西·贵港）、http://zfcg.czj.gxgg.gov.cn（贵港市政府采购网）</w:t>
      </w:r>
    </w:p>
    <w:p w14:paraId="05803887">
      <w:pPr>
        <w:spacing w:line="360" w:lineRule="auto"/>
        <w:ind w:firstLine="480" w:firstLineChars="200"/>
        <w:textAlignment w:val="baseline"/>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（五）、在线投标响应（电子投标）说明</w:t>
      </w:r>
    </w:p>
    <w:p w14:paraId="75D9B2C3">
      <w:pPr>
        <w:spacing w:line="360" w:lineRule="auto"/>
        <w:ind w:firstLine="480" w:firstLineChars="20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1.响应文件提交方式：本项目为全流程电子化项目，通过“广西政府采购云平台”（https://www.gcy.zfcg.gxzf.gov.cn/）实行在线电子响应，各供应商通过新平台参与政府采购项目磋商需下载使用新版客户端，新版客户端下载路径： （广西政府采购云平台新版客户端下载地址： https://sitecdn.zcycdn.com/zcy-client/bidding-client-new/official/guangxi/GuangXiSetup.exe） —办事服务—下载专区。原在广西政府采购云平台注册的临时供应商需在新平台启用后重新注册登记，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 </w:t>
      </w:r>
    </w:p>
    <w:p w14:paraId="47A3D8DA">
      <w:pPr>
        <w:spacing w:line="360" w:lineRule="auto"/>
        <w:ind w:firstLine="480" w:firstLineChars="20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2.未进行网上注册并办理数字证书（CA 认证）的供应商将无法参与本项目政府采购活动，潜在供应商应当在首次响应文件提交截止时间前，完成电子交易平台上的 CA 数字证书办理及响应文件的提交。 </w:t>
      </w:r>
    </w:p>
    <w:p w14:paraId="27CC00E0">
      <w:pPr>
        <w:spacing w:line="360" w:lineRule="auto"/>
        <w:ind w:firstLine="480" w:firstLineChars="200"/>
        <w:textAlignment w:val="baseline"/>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3.为确保网上操作合法、有效和安全，请供应商确保在电子响应过程中能够对相关数据电文进行加密和使用电子签章，妥善保管 CA 数字证书并使用有效的 CA 数字证书参与整个采购活动。 </w:t>
      </w:r>
    </w:p>
    <w:p w14:paraId="03398E00">
      <w:pPr>
        <w:spacing w:line="360" w:lineRule="auto"/>
        <w:ind w:firstLine="480" w:firstLineChars="200"/>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 </w:t>
      </w:r>
    </w:p>
    <w:p w14:paraId="19C8176B">
      <w:pPr>
        <w:spacing w:line="360" w:lineRule="auto"/>
        <w:ind w:firstLine="480" w:firstLineChars="200"/>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4.CA 证书在线解密：首次响应文件开启时，需要供应商携带制作响应文件时用来加密的有效数字证书（CA 认证）登录“广西政府采购云平台”电子开标大厅现场按规定时间对加密的响应文件进行解密。 </w:t>
      </w:r>
    </w:p>
    <w:p w14:paraId="69680A11">
      <w:pPr>
        <w:spacing w:line="360" w:lineRule="auto"/>
        <w:ind w:firstLine="480" w:firstLineChars="200"/>
        <w:textAlignment w:val="baseline"/>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5.供应商需要在具备有摄像头及语音功能且互联网网络状况良好的电脑登录“广西政府采购云平台”远程开标大厅参与本次磋商，否则后果自负。 </w:t>
      </w:r>
    </w:p>
    <w:p w14:paraId="0361E967">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6.若 对 项 目 采 购 电 子 交 易 系 统 操 作 有 疑 问 ， 可 登 录 “ 广 西 政 府 采 购 云 平 台 ” （https://www.gcy.zfcg.gxzf.gov.cn/），点击右侧咨询小采，获取采小蜜智能服务管家帮助，或拨打广西政府采购云平台服务热线95763获取热线服务帮助 。</w:t>
      </w:r>
    </w:p>
    <w:p w14:paraId="1E386856">
      <w:pPr>
        <w:spacing w:line="360" w:lineRule="auto"/>
        <w:ind w:firstLine="480" w:firstLineChars="200"/>
        <w:rPr>
          <w:rFonts w:hint="eastAsia" w:eastAsia="宋体"/>
          <w:color w:val="auto"/>
          <w:sz w:val="24"/>
          <w:highlight w:val="none"/>
          <w:lang w:eastAsia="zh-CN"/>
        </w:rPr>
      </w:pPr>
      <w:r>
        <w:rPr>
          <w:rFonts w:hint="eastAsia"/>
          <w:b w:val="0"/>
          <w:bCs w:val="0"/>
          <w:color w:val="auto"/>
          <w:sz w:val="24"/>
          <w:highlight w:val="none"/>
          <w:lang w:eastAsia="zh-CN"/>
        </w:rPr>
        <w:t>（</w:t>
      </w:r>
      <w:r>
        <w:rPr>
          <w:rFonts w:hint="eastAsia"/>
          <w:b w:val="0"/>
          <w:bCs w:val="0"/>
          <w:color w:val="auto"/>
          <w:sz w:val="24"/>
          <w:highlight w:val="none"/>
          <w:lang w:val="en-US" w:eastAsia="zh-CN"/>
        </w:rPr>
        <w:t>六</w:t>
      </w:r>
      <w:r>
        <w:rPr>
          <w:rFonts w:hint="eastAsia"/>
          <w:b w:val="0"/>
          <w:bCs w:val="0"/>
          <w:color w:val="auto"/>
          <w:sz w:val="24"/>
          <w:highlight w:val="none"/>
          <w:lang w:eastAsia="zh-CN"/>
        </w:rPr>
        <w:t>）</w:t>
      </w:r>
      <w:r>
        <w:rPr>
          <w:b w:val="0"/>
          <w:bCs w:val="0"/>
          <w:color w:val="auto"/>
          <w:sz w:val="24"/>
          <w:highlight w:val="none"/>
        </w:rPr>
        <w:t>政府采购监督部门：</w:t>
      </w:r>
      <w:r>
        <w:rPr>
          <w:rFonts w:hint="eastAsia"/>
          <w:color w:val="auto"/>
          <w:sz w:val="24"/>
          <w:highlight w:val="none"/>
          <w:lang w:eastAsia="zh-CN"/>
        </w:rPr>
        <w:t>桂平市财政局政府采购监督管理股 0775-3380263</w:t>
      </w:r>
    </w:p>
    <w:p w14:paraId="40EE11B3">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rPr>
        <w:t>、凡对本次采购提出询问，请按以下方式联系：</w:t>
      </w:r>
    </w:p>
    <w:p w14:paraId="11057D30">
      <w:pPr>
        <w:spacing w:line="360" w:lineRule="auto"/>
        <w:ind w:firstLine="480" w:firstLineChars="200"/>
        <w:rPr>
          <w:color w:val="auto"/>
          <w:sz w:val="24"/>
          <w:highlight w:val="none"/>
        </w:rPr>
      </w:pPr>
      <w:bookmarkStart w:id="18" w:name="_Toc28359019"/>
      <w:bookmarkStart w:id="19" w:name="_Toc35393637"/>
      <w:bookmarkStart w:id="20" w:name="_Toc35393806"/>
      <w:bookmarkStart w:id="21" w:name="_Toc28359096"/>
      <w:bookmarkStart w:id="22" w:name="_Toc28359097"/>
      <w:bookmarkStart w:id="23" w:name="_Toc28359020"/>
      <w:bookmarkStart w:id="24" w:name="_Toc35393638"/>
      <w:bookmarkStart w:id="25" w:name="_Toc35393807"/>
      <w:r>
        <w:rPr>
          <w:color w:val="auto"/>
          <w:sz w:val="24"/>
          <w:highlight w:val="none"/>
        </w:rPr>
        <w:t>1.采购人信息</w:t>
      </w:r>
      <w:bookmarkEnd w:id="18"/>
      <w:bookmarkEnd w:id="19"/>
      <w:bookmarkEnd w:id="20"/>
      <w:bookmarkEnd w:id="21"/>
    </w:p>
    <w:p w14:paraId="06557C93">
      <w:pPr>
        <w:spacing w:line="360" w:lineRule="auto"/>
        <w:ind w:firstLine="480" w:firstLineChars="200"/>
        <w:rPr>
          <w:color w:val="auto"/>
          <w:sz w:val="24"/>
          <w:highlight w:val="none"/>
        </w:rPr>
      </w:pPr>
      <w:r>
        <w:rPr>
          <w:color w:val="auto"/>
          <w:sz w:val="24"/>
          <w:highlight w:val="none"/>
        </w:rPr>
        <w:t>名    称：</w:t>
      </w:r>
      <w:r>
        <w:rPr>
          <w:rFonts w:hint="eastAsia"/>
          <w:color w:val="auto"/>
          <w:sz w:val="24"/>
          <w:highlight w:val="none"/>
          <w:lang w:eastAsia="zh-CN"/>
        </w:rPr>
        <w:t>桂平市民政局</w:t>
      </w:r>
      <w:r>
        <w:rPr>
          <w:color w:val="auto"/>
          <w:sz w:val="24"/>
          <w:highlight w:val="none"/>
        </w:rPr>
        <w:t xml:space="preserve"> 　</w:t>
      </w:r>
    </w:p>
    <w:p w14:paraId="64788C45">
      <w:pPr>
        <w:spacing w:line="360" w:lineRule="auto"/>
        <w:ind w:firstLine="480" w:firstLineChars="200"/>
        <w:rPr>
          <w:color w:val="auto"/>
          <w:sz w:val="24"/>
          <w:highlight w:val="none"/>
        </w:rPr>
      </w:pPr>
      <w:r>
        <w:rPr>
          <w:color w:val="auto"/>
          <w:sz w:val="24"/>
          <w:highlight w:val="none"/>
        </w:rPr>
        <w:t>地    址：</w:t>
      </w:r>
      <w:r>
        <w:rPr>
          <w:rFonts w:hint="eastAsia"/>
          <w:color w:val="auto"/>
          <w:sz w:val="24"/>
          <w:highlight w:val="none"/>
        </w:rPr>
        <w:t>桂平市西山镇郁江东路84号</w:t>
      </w:r>
    </w:p>
    <w:p w14:paraId="13F089E2">
      <w:pPr>
        <w:spacing w:line="360" w:lineRule="auto"/>
        <w:ind w:firstLine="480" w:firstLineChars="200"/>
        <w:rPr>
          <w:color w:val="auto"/>
          <w:sz w:val="24"/>
          <w:highlight w:val="none"/>
        </w:rPr>
      </w:pPr>
      <w:r>
        <w:rPr>
          <w:color w:val="auto"/>
          <w:sz w:val="24"/>
          <w:highlight w:val="none"/>
        </w:rPr>
        <w:t>项目联系人：</w:t>
      </w:r>
      <w:r>
        <w:rPr>
          <w:rFonts w:hint="eastAsia"/>
          <w:color w:val="auto"/>
          <w:sz w:val="24"/>
          <w:highlight w:val="none"/>
          <w:lang w:val="en-US" w:eastAsia="zh-CN"/>
        </w:rPr>
        <w:t>梁主任</w:t>
      </w:r>
      <w:r>
        <w:rPr>
          <w:color w:val="auto"/>
          <w:sz w:val="24"/>
          <w:highlight w:val="none"/>
        </w:rPr>
        <w:t>　</w:t>
      </w:r>
    </w:p>
    <w:p w14:paraId="133544DA">
      <w:pPr>
        <w:spacing w:line="360" w:lineRule="auto"/>
        <w:ind w:firstLine="480" w:firstLineChars="200"/>
        <w:rPr>
          <w:rFonts w:hint="eastAsia" w:ascii="Times New Roman" w:hAnsi="Times New Roman" w:cs="Times New Roman"/>
          <w:color w:val="auto"/>
          <w:sz w:val="24"/>
          <w:highlight w:val="none"/>
          <w:lang w:eastAsia="zh-CN"/>
        </w:rPr>
      </w:pPr>
      <w:r>
        <w:rPr>
          <w:color w:val="auto"/>
          <w:sz w:val="24"/>
          <w:highlight w:val="none"/>
        </w:rPr>
        <w:t>项目联系方式：</w:t>
      </w:r>
      <w:r>
        <w:rPr>
          <w:rFonts w:hint="eastAsia" w:ascii="Times New Roman" w:hAnsi="Times New Roman" w:cs="Times New Roman"/>
          <w:color w:val="auto"/>
          <w:sz w:val="24"/>
          <w:highlight w:val="none"/>
          <w:lang w:eastAsia="zh-CN"/>
        </w:rPr>
        <w:t>0775-3328935</w:t>
      </w:r>
    </w:p>
    <w:p w14:paraId="7D03C41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2.采购代理机构信息</w:t>
      </w:r>
      <w:bookmarkEnd w:id="22"/>
      <w:bookmarkEnd w:id="23"/>
      <w:bookmarkEnd w:id="24"/>
      <w:bookmarkEnd w:id="25"/>
    </w:p>
    <w:p w14:paraId="656C139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    称：</w:t>
      </w:r>
      <w:r>
        <w:rPr>
          <w:rFonts w:hint="eastAsia" w:cs="Times New Roman"/>
          <w:color w:val="auto"/>
          <w:sz w:val="24"/>
          <w:szCs w:val="24"/>
          <w:highlight w:val="none"/>
          <w:lang w:eastAsia="zh-CN"/>
        </w:rPr>
        <w:t>广西创佳项目</w:t>
      </w:r>
      <w:r>
        <w:rPr>
          <w:rFonts w:hint="eastAsia" w:ascii="Times New Roman" w:hAnsi="Times New Roman" w:eastAsia="宋体" w:cs="Times New Roman"/>
          <w:color w:val="auto"/>
          <w:sz w:val="24"/>
          <w:szCs w:val="24"/>
          <w:highlight w:val="none"/>
          <w:lang w:eastAsia="zh-CN"/>
        </w:rPr>
        <w:t>管理有限公司</w:t>
      </w:r>
      <w:r>
        <w:rPr>
          <w:rFonts w:hint="default" w:ascii="Times New Roman" w:hAnsi="Times New Roman" w:eastAsia="宋体" w:cs="Times New Roman"/>
          <w:color w:val="auto"/>
          <w:sz w:val="24"/>
          <w:szCs w:val="24"/>
          <w:highlight w:val="none"/>
        </w:rPr>
        <w:t>　</w:t>
      </w:r>
    </w:p>
    <w:p w14:paraId="3B39C8AF">
      <w:pPr>
        <w:spacing w:line="500" w:lineRule="exact"/>
        <w:ind w:firstLine="480" w:firstLineChars="200"/>
        <w:jc w:val="left"/>
        <w:rPr>
          <w:rFonts w:ascii="Times New Roman" w:hAnsi="Times New Roman" w:eastAsia="宋体" w:cs="Times New Roman"/>
          <w:color w:val="auto"/>
          <w:sz w:val="24"/>
          <w:highlight w:val="none"/>
        </w:rPr>
      </w:pPr>
      <w:bookmarkStart w:id="26" w:name="_Toc28359098"/>
      <w:bookmarkStart w:id="27" w:name="_Toc35393808"/>
      <w:bookmarkStart w:id="28" w:name="_Toc28359021"/>
      <w:bookmarkStart w:id="29" w:name="_Toc35393639"/>
      <w:r>
        <w:rPr>
          <w:rFonts w:ascii="Times New Roman" w:hAnsi="Times New Roman" w:eastAsia="宋体" w:cs="Times New Roman"/>
          <w:color w:val="auto"/>
          <w:sz w:val="24"/>
          <w:highlight w:val="none"/>
        </w:rPr>
        <w:t>地　　址：</w:t>
      </w:r>
      <w:r>
        <w:rPr>
          <w:rFonts w:hint="eastAsia" w:ascii="Times New Roman" w:hAnsi="Times New Roman" w:eastAsia="宋体" w:cs="Times New Roman"/>
          <w:color w:val="auto"/>
          <w:sz w:val="24"/>
          <w:highlight w:val="none"/>
        </w:rPr>
        <w:t>桂平市政务服务中心后面</w:t>
      </w:r>
    </w:p>
    <w:p w14:paraId="7AEE95AE">
      <w:pPr>
        <w:spacing w:line="500" w:lineRule="exact"/>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项目联系人：</w:t>
      </w:r>
      <w:r>
        <w:rPr>
          <w:rFonts w:hint="eastAsia" w:ascii="Times New Roman" w:hAnsi="Times New Roman" w:eastAsia="宋体" w:cs="Times New Roman"/>
          <w:color w:val="auto"/>
          <w:sz w:val="24"/>
          <w:highlight w:val="none"/>
        </w:rPr>
        <w:t>覃骞稼、唐维平</w:t>
      </w:r>
      <w:r>
        <w:rPr>
          <w:rFonts w:ascii="Times New Roman" w:hAnsi="Times New Roman" w:eastAsia="宋体" w:cs="Times New Roman"/>
          <w:color w:val="auto"/>
          <w:sz w:val="24"/>
          <w:highlight w:val="none"/>
        </w:rPr>
        <w:t>　</w:t>
      </w:r>
      <w:r>
        <w:rPr>
          <w:rFonts w:hint="eastAsia" w:ascii="Times New Roman" w:hAnsi="Times New Roman" w:eastAsia="宋体" w:cs="Times New Roman"/>
          <w:color w:val="auto"/>
          <w:sz w:val="24"/>
          <w:highlight w:val="none"/>
        </w:rPr>
        <w:t xml:space="preserve">    </w:t>
      </w:r>
    </w:p>
    <w:p w14:paraId="780630F1">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highlight w:val="none"/>
        </w:rPr>
        <w:t>项目联系方式：</w:t>
      </w:r>
      <w:r>
        <w:rPr>
          <w:rFonts w:hint="eastAsia" w:ascii="Times New Roman" w:hAnsi="Times New Roman" w:eastAsia="宋体" w:cs="Times New Roman"/>
          <w:color w:val="auto"/>
          <w:sz w:val="24"/>
          <w:highlight w:val="none"/>
        </w:rPr>
        <w:t>0775-33601</w:t>
      </w:r>
      <w:r>
        <w:rPr>
          <w:rFonts w:hint="eastAsia" w:ascii="Times New Roman" w:hAnsi="Times New Roman" w:cs="Times New Roman"/>
          <w:color w:val="auto"/>
          <w:sz w:val="24"/>
          <w:highlight w:val="none"/>
          <w:lang w:val="en-US" w:eastAsia="zh-CN"/>
        </w:rPr>
        <w:t>11</w:t>
      </w:r>
    </w:p>
    <w:bookmarkEnd w:id="26"/>
    <w:bookmarkEnd w:id="27"/>
    <w:bookmarkEnd w:id="28"/>
    <w:bookmarkEnd w:id="29"/>
    <w:p w14:paraId="433643C3">
      <w:pPr>
        <w:pStyle w:val="2"/>
        <w:bidi w:val="0"/>
        <w:jc w:val="center"/>
        <w:rPr>
          <w:rFonts w:hint="default" w:ascii="Times New Roman" w:hAnsi="Times New Roman" w:eastAsia="宋体" w:cs="Times New Roman"/>
          <w:color w:val="auto"/>
          <w:highlight w:val="none"/>
        </w:rPr>
      </w:pPr>
      <w:bookmarkStart w:id="30" w:name="_Toc14007"/>
      <w:bookmarkStart w:id="31" w:name="_Toc517173113"/>
      <w:bookmarkStart w:id="32" w:name="_Toc517172622"/>
      <w:r>
        <w:rPr>
          <w:rFonts w:hint="default" w:ascii="Times New Roman" w:hAnsi="Times New Roman" w:eastAsia="宋体" w:cs="Times New Roman"/>
          <w:color w:val="auto"/>
          <w:highlight w:val="none"/>
        </w:rPr>
        <w:br w:type="page"/>
      </w:r>
      <w:bookmarkStart w:id="33" w:name="_Toc1213"/>
      <w:r>
        <w:rPr>
          <w:rFonts w:hint="default" w:ascii="Times New Roman" w:hAnsi="Times New Roman" w:eastAsia="宋体" w:cs="Times New Roman"/>
          <w:color w:val="auto"/>
          <w:highlight w:val="none"/>
        </w:rPr>
        <w:t>第</w:t>
      </w:r>
      <w:r>
        <w:rPr>
          <w:rFonts w:hint="default" w:ascii="Times New Roman" w:hAnsi="Times New Roman" w:cs="Times New Roman"/>
          <w:color w:val="auto"/>
          <w:highlight w:val="none"/>
          <w:lang w:val="en-US" w:eastAsia="zh-CN"/>
        </w:rPr>
        <w:t>二</w:t>
      </w:r>
      <w:r>
        <w:rPr>
          <w:rFonts w:hint="default" w:ascii="Times New Roman" w:hAnsi="Times New Roman" w:eastAsia="宋体" w:cs="Times New Roman"/>
          <w:color w:val="auto"/>
          <w:highlight w:val="none"/>
        </w:rPr>
        <w:t>章  磋商须知及前附表</w:t>
      </w:r>
      <w:bookmarkEnd w:id="30"/>
      <w:bookmarkEnd w:id="31"/>
      <w:bookmarkEnd w:id="32"/>
      <w:bookmarkEnd w:id="33"/>
    </w:p>
    <w:p w14:paraId="2461D6AC">
      <w:pPr>
        <w:jc w:val="center"/>
        <w:rPr>
          <w:rFonts w:hint="default" w:ascii="Times New Roman" w:hAnsi="Times New Roman" w:eastAsia="宋体" w:cs="Times New Roman"/>
          <w:color w:val="auto"/>
          <w:szCs w:val="21"/>
          <w:highlight w:val="none"/>
        </w:rPr>
      </w:pPr>
      <w:bookmarkStart w:id="34" w:name="_Toc398217949"/>
      <w:r>
        <w:rPr>
          <w:rFonts w:hint="default" w:ascii="Times New Roman" w:hAnsi="Times New Roman" w:eastAsia="宋体" w:cs="Times New Roman"/>
          <w:b/>
          <w:color w:val="auto"/>
          <w:sz w:val="28"/>
          <w:szCs w:val="28"/>
          <w:highlight w:val="none"/>
        </w:rPr>
        <w:t xml:space="preserve">      前附表</w:t>
      </w:r>
      <w:bookmarkEnd w:id="34"/>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862"/>
      </w:tblGrid>
      <w:tr w14:paraId="6BAE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6" w:type="dxa"/>
            <w:noWrap w:val="0"/>
            <w:vAlign w:val="center"/>
          </w:tcPr>
          <w:p w14:paraId="6E32414C">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945" w:type="dxa"/>
            <w:noWrap w:val="0"/>
            <w:vAlign w:val="center"/>
          </w:tcPr>
          <w:p w14:paraId="28E969FD">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条款号</w:t>
            </w:r>
          </w:p>
        </w:tc>
        <w:tc>
          <w:tcPr>
            <w:tcW w:w="7862" w:type="dxa"/>
            <w:noWrap w:val="0"/>
            <w:vAlign w:val="center"/>
          </w:tcPr>
          <w:p w14:paraId="60246E92">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内    容</w:t>
            </w:r>
          </w:p>
        </w:tc>
      </w:tr>
      <w:tr w14:paraId="77E1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0"/>
            <w:vAlign w:val="center"/>
          </w:tcPr>
          <w:p w14:paraId="5A69DE6B">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945" w:type="dxa"/>
            <w:noWrap w:val="0"/>
            <w:vAlign w:val="center"/>
          </w:tcPr>
          <w:p w14:paraId="1B89202D">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b/>
                <w:color w:val="auto"/>
                <w:sz w:val="24"/>
                <w:highlight w:val="none"/>
              </w:rPr>
            </w:pPr>
          </w:p>
        </w:tc>
        <w:tc>
          <w:tcPr>
            <w:tcW w:w="7862" w:type="dxa"/>
            <w:noWrap w:val="0"/>
            <w:vAlign w:val="center"/>
          </w:tcPr>
          <w:p w14:paraId="1F61B52F">
            <w:pPr>
              <w:keepNext w:val="0"/>
              <w:keepLines w:val="0"/>
              <w:pageBreakBefore w:val="0"/>
              <w:kinsoku/>
              <w:wordWrap/>
              <w:overflowPunct/>
              <w:topLinePunct w:val="0"/>
              <w:autoSpaceDE/>
              <w:autoSpaceDN/>
              <w:bidi w:val="0"/>
              <w:snapToGrid/>
              <w:spacing w:line="440" w:lineRule="exact"/>
              <w:ind w:left="1205" w:hanging="1205" w:hangingChars="500"/>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rPr>
              <w:t>项目名称：</w:t>
            </w:r>
            <w:r>
              <w:rPr>
                <w:rFonts w:hint="eastAsia" w:cs="Times New Roman"/>
                <w:b w:val="0"/>
                <w:bCs/>
                <w:color w:val="auto"/>
                <w:sz w:val="24"/>
                <w:highlight w:val="none"/>
                <w:lang w:eastAsia="zh-CN"/>
              </w:rPr>
              <w:t>2025年桂平市特殊困难老年人家庭适老化改造项目</w:t>
            </w:r>
          </w:p>
          <w:p w14:paraId="5E8D173A">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rPr>
              <w:t>项目编号：</w:t>
            </w:r>
            <w:r>
              <w:rPr>
                <w:rFonts w:hint="eastAsia" w:cs="Times New Roman"/>
                <w:b w:val="0"/>
                <w:bCs/>
                <w:color w:val="auto"/>
                <w:sz w:val="24"/>
                <w:highlight w:val="none"/>
                <w:lang w:eastAsia="zh-CN"/>
              </w:rPr>
              <w:t>GGZC2025-C3-810219-GXCJ</w:t>
            </w:r>
          </w:p>
        </w:tc>
      </w:tr>
      <w:tr w14:paraId="3F8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4" w:hRule="atLeast"/>
          <w:jc w:val="center"/>
        </w:trPr>
        <w:tc>
          <w:tcPr>
            <w:tcW w:w="726" w:type="dxa"/>
            <w:noWrap w:val="0"/>
            <w:vAlign w:val="center"/>
          </w:tcPr>
          <w:p w14:paraId="677AAEEA">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945" w:type="dxa"/>
            <w:noWrap w:val="0"/>
            <w:vAlign w:val="center"/>
          </w:tcPr>
          <w:p w14:paraId="41200E9D">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w:t>
            </w:r>
          </w:p>
        </w:tc>
        <w:tc>
          <w:tcPr>
            <w:tcW w:w="7862" w:type="dxa"/>
            <w:noWrap w:val="0"/>
            <w:vAlign w:val="center"/>
          </w:tcPr>
          <w:p w14:paraId="5CEE4F06">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供应商资格：</w:t>
            </w:r>
          </w:p>
          <w:p w14:paraId="46077958">
            <w:pPr>
              <w:keepNext w:val="0"/>
              <w:keepLines w:val="0"/>
              <w:pageBreakBefore w:val="0"/>
              <w:kinsoku/>
              <w:wordWrap/>
              <w:overflowPunct/>
              <w:topLinePunct w:val="0"/>
              <w:autoSpaceDE/>
              <w:autoSpaceDN/>
              <w:bidi w:val="0"/>
              <w:snapToGrid/>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119E8229">
            <w:pPr>
              <w:keepNext w:val="0"/>
              <w:keepLines w:val="0"/>
              <w:pageBreakBefore w:val="0"/>
              <w:kinsoku/>
              <w:wordWrap/>
              <w:overflowPunct/>
              <w:topLinePunct w:val="0"/>
              <w:autoSpaceDE/>
              <w:autoSpaceDN/>
              <w:bidi w:val="0"/>
              <w:adjustRightInd/>
              <w:snapToGrid/>
              <w:spacing w:line="440" w:lineRule="exact"/>
              <w:ind w:left="479" w:leftChars="228" w:firstLine="0" w:firstLineChars="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2.落实政府采购政策需满足的资格要求：</w:t>
            </w:r>
            <w:r>
              <w:rPr>
                <w:rFonts w:hint="eastAsia" w:cs="Times New Roman"/>
                <w:color w:val="auto"/>
                <w:sz w:val="24"/>
                <w:szCs w:val="24"/>
                <w:highlight w:val="none"/>
                <w:lang w:val="en-US" w:eastAsia="zh-CN"/>
              </w:rPr>
              <w:t>无</w:t>
            </w:r>
          </w:p>
          <w:p w14:paraId="77BD2783">
            <w:pPr>
              <w:keepNext w:val="0"/>
              <w:keepLines w:val="0"/>
              <w:pageBreakBefore w:val="0"/>
              <w:kinsoku/>
              <w:wordWrap/>
              <w:overflowPunct/>
              <w:topLinePunct w:val="0"/>
              <w:autoSpaceDE/>
              <w:autoSpaceDN/>
              <w:bidi w:val="0"/>
              <w:adjustRightInd/>
              <w:snapToGrid/>
              <w:spacing w:line="440" w:lineRule="exact"/>
              <w:ind w:left="479" w:leftChars="228" w:firstLine="0" w:firstLineChars="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3.本项目的特定资格要求：</w:t>
            </w:r>
            <w:r>
              <w:rPr>
                <w:rFonts w:hint="eastAsia"/>
                <w:b w:val="0"/>
                <w:bCs w:val="0"/>
                <w:color w:val="auto"/>
                <w:sz w:val="24"/>
                <w:highlight w:val="none"/>
              </w:rPr>
              <w:t>标项</w:t>
            </w:r>
            <w:r>
              <w:rPr>
                <w:rFonts w:hint="eastAsia"/>
                <w:b w:val="0"/>
                <w:bCs w:val="0"/>
                <w:color w:val="auto"/>
                <w:sz w:val="24"/>
                <w:highlight w:val="none"/>
                <w:lang w:val="en-US" w:eastAsia="zh-CN"/>
              </w:rPr>
              <w:t>1</w:t>
            </w:r>
            <w:r>
              <w:rPr>
                <w:rFonts w:hint="eastAsia"/>
                <w:b w:val="0"/>
                <w:bCs w:val="0"/>
                <w:color w:val="auto"/>
                <w:sz w:val="24"/>
                <w:highlight w:val="none"/>
              </w:rPr>
              <w:t>、</w:t>
            </w:r>
            <w:r>
              <w:rPr>
                <w:rFonts w:hint="eastAsia"/>
                <w:b w:val="0"/>
                <w:bCs w:val="0"/>
                <w:color w:val="auto"/>
                <w:sz w:val="24"/>
                <w:highlight w:val="none"/>
                <w:lang w:val="en-US" w:eastAsia="zh-CN"/>
              </w:rPr>
              <w:t>2</w:t>
            </w:r>
            <w:r>
              <w:rPr>
                <w:rFonts w:hint="eastAsia"/>
                <w:b w:val="0"/>
                <w:bCs w:val="0"/>
                <w:color w:val="auto"/>
                <w:sz w:val="24"/>
                <w:highlight w:val="none"/>
                <w:lang w:eastAsia="zh-CN"/>
              </w:rPr>
              <w:t>：</w:t>
            </w:r>
            <w:r>
              <w:rPr>
                <w:rFonts w:hint="eastAsia" w:cs="Times New Roman"/>
                <w:color w:val="auto"/>
                <w:sz w:val="24"/>
                <w:szCs w:val="24"/>
                <w:highlight w:val="none"/>
                <w:lang w:eastAsia="zh-CN"/>
              </w:rPr>
              <w:t>无</w:t>
            </w:r>
          </w:p>
          <w:p w14:paraId="08EF47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4.其他要求：</w:t>
            </w:r>
          </w:p>
          <w:p w14:paraId="544FCAC8">
            <w:pPr>
              <w:keepNext w:val="0"/>
              <w:keepLines w:val="0"/>
              <w:pageBreakBefore w:val="0"/>
              <w:kinsoku/>
              <w:wordWrap/>
              <w:overflowPunct/>
              <w:topLinePunct w:val="0"/>
              <w:autoSpaceDE/>
              <w:autoSpaceDN/>
              <w:bidi w:val="0"/>
              <w:snapToGrid/>
              <w:spacing w:line="440" w:lineRule="exact"/>
              <w:ind w:firstLine="720" w:firstLineChars="3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default" w:ascii="Times New Roman" w:hAnsi="Times New Roman" w:eastAsia="宋体" w:cs="Times New Roman"/>
                <w:color w:val="auto"/>
                <w:sz w:val="24"/>
                <w:szCs w:val="24"/>
                <w:highlight w:val="none"/>
                <w:lang w:eastAsia="zh-CN"/>
              </w:rPr>
              <w:t>；</w:t>
            </w:r>
          </w:p>
          <w:p w14:paraId="77E35A33">
            <w:pPr>
              <w:keepNext w:val="0"/>
              <w:keepLines w:val="0"/>
              <w:pageBreakBefore w:val="0"/>
              <w:kinsoku/>
              <w:wordWrap/>
              <w:overflowPunct/>
              <w:topLinePunct w:val="0"/>
              <w:autoSpaceDE/>
              <w:autoSpaceDN/>
              <w:bidi w:val="0"/>
              <w:snapToGrid/>
              <w:spacing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Cs/>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AAF6A95">
            <w:pPr>
              <w:keepNext w:val="0"/>
              <w:keepLines w:val="0"/>
              <w:pageBreakBefore w:val="0"/>
              <w:kinsoku/>
              <w:wordWrap/>
              <w:overflowPunct/>
              <w:topLinePunct w:val="0"/>
              <w:autoSpaceDE/>
              <w:autoSpaceDN/>
              <w:bidi w:val="0"/>
              <w:snapToGrid/>
              <w:spacing w:line="440" w:lineRule="exact"/>
              <w:ind w:firstLine="720" w:firstLineChars="3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本项目不接受未完成网上下载采购文件的供应商</w:t>
            </w:r>
            <w:r>
              <w:rPr>
                <w:rFonts w:hint="eastAsia" w:ascii="Times New Roman" w:hAnsi="Times New Roman" w:eastAsia="宋体" w:cs="Times New Roman"/>
                <w:color w:val="auto"/>
                <w:sz w:val="24"/>
                <w:szCs w:val="24"/>
                <w:highlight w:val="none"/>
                <w:lang w:val="en-US" w:eastAsia="zh-CN"/>
              </w:rPr>
              <w:t>参加</w:t>
            </w:r>
            <w:r>
              <w:rPr>
                <w:rFonts w:hint="default" w:ascii="Times New Roman" w:hAnsi="Times New Roman" w:eastAsia="宋体" w:cs="Times New Roman"/>
                <w:color w:val="auto"/>
                <w:sz w:val="24"/>
                <w:szCs w:val="24"/>
                <w:highlight w:val="none"/>
                <w:lang w:val="en-US" w:eastAsia="zh-CN"/>
              </w:rPr>
              <w:t>磋商。</w:t>
            </w:r>
          </w:p>
        </w:tc>
      </w:tr>
      <w:tr w14:paraId="6063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6" w:type="dxa"/>
            <w:noWrap w:val="0"/>
            <w:vAlign w:val="center"/>
          </w:tcPr>
          <w:p w14:paraId="1EA6CACD">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3</w:t>
            </w:r>
          </w:p>
        </w:tc>
        <w:tc>
          <w:tcPr>
            <w:tcW w:w="945" w:type="dxa"/>
            <w:noWrap w:val="0"/>
            <w:vAlign w:val="center"/>
          </w:tcPr>
          <w:p w14:paraId="5FC54341">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7C723DB8">
            <w:pPr>
              <w:pStyle w:val="13"/>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磋商报价：</w:t>
            </w:r>
            <w:r>
              <w:rPr>
                <w:rFonts w:hint="default" w:ascii="Times New Roman" w:hAnsi="Times New Roman" w:eastAsia="宋体" w:cs="Times New Roman"/>
                <w:color w:val="auto"/>
                <w:sz w:val="24"/>
                <w:szCs w:val="24"/>
                <w:highlight w:val="none"/>
                <w:lang w:val="en-US" w:eastAsia="zh-CN"/>
              </w:rPr>
              <w:t>供应商须就</w:t>
            </w:r>
            <w:r>
              <w:rPr>
                <w:rFonts w:hint="default" w:ascii="Times New Roman" w:hAnsi="Times New Roman" w:eastAsia="宋体" w:cs="Times New Roman"/>
                <w:bCs/>
                <w:color w:val="auto"/>
                <w:sz w:val="24"/>
                <w:szCs w:val="24"/>
                <w:highlight w:val="none"/>
                <w:lang w:val="en-US" w:eastAsia="zh-CN"/>
              </w:rPr>
              <w:t>《项目采购需求》</w:t>
            </w:r>
            <w:r>
              <w:rPr>
                <w:rFonts w:hint="default" w:ascii="Times New Roman" w:hAnsi="Times New Roman" w:eastAsia="宋体" w:cs="Times New Roman"/>
                <w:color w:val="auto"/>
                <w:sz w:val="24"/>
                <w:szCs w:val="24"/>
                <w:highlight w:val="none"/>
                <w:lang w:val="en-US" w:eastAsia="zh-CN"/>
              </w:rPr>
              <w:t>中的全部</w:t>
            </w:r>
            <w:r>
              <w:rPr>
                <w:rFonts w:hint="default" w:ascii="Times New Roman" w:hAnsi="Times New Roman" w:eastAsia="宋体" w:cs="Times New Roman"/>
                <w:bCs/>
                <w:color w:val="auto"/>
                <w:sz w:val="24"/>
                <w:szCs w:val="24"/>
                <w:highlight w:val="none"/>
                <w:lang w:val="en-US" w:eastAsia="zh-CN"/>
              </w:rPr>
              <w:t>服务内容作完整唯一报价。</w:t>
            </w:r>
          </w:p>
        </w:tc>
      </w:tr>
      <w:tr w14:paraId="2AA0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6" w:type="dxa"/>
            <w:noWrap w:val="0"/>
            <w:vAlign w:val="center"/>
          </w:tcPr>
          <w:p w14:paraId="6A29EB36">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4</w:t>
            </w:r>
          </w:p>
        </w:tc>
        <w:tc>
          <w:tcPr>
            <w:tcW w:w="945" w:type="dxa"/>
            <w:noWrap w:val="0"/>
            <w:vAlign w:val="center"/>
          </w:tcPr>
          <w:p w14:paraId="173B438A">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4222FA38">
            <w:pPr>
              <w:pStyle w:val="13"/>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采购预算金额（人民币）：</w:t>
            </w:r>
            <w:r>
              <w:rPr>
                <w:rFonts w:ascii="Times New Roman" w:hAnsi="Times New Roman"/>
                <w:color w:val="auto"/>
                <w:sz w:val="24"/>
                <w:highlight w:val="none"/>
              </w:rPr>
              <w:t>本项目政府采购预算总金额（人民币）：</w:t>
            </w:r>
            <w:r>
              <w:rPr>
                <w:rFonts w:hint="eastAsia" w:ascii="Times New Roman" w:hAnsi="Times New Roman" w:cs="Times New Roman"/>
                <w:b w:val="0"/>
                <w:bCs/>
                <w:color w:val="auto"/>
                <w:sz w:val="24"/>
                <w:szCs w:val="24"/>
                <w:highlight w:val="none"/>
                <w:lang w:val="en-US" w:eastAsia="zh-CN"/>
              </w:rPr>
              <w:t>壹佰柒拾玖万</w:t>
            </w:r>
            <w:r>
              <w:rPr>
                <w:rFonts w:hint="eastAsia" w:ascii="Times New Roman" w:hAnsi="Times New Roman" w:eastAsia="宋体" w:cs="Times New Roman"/>
                <w:color w:val="auto"/>
                <w:sz w:val="24"/>
                <w:szCs w:val="24"/>
                <w:highlight w:val="none"/>
                <w:lang w:val="en-US" w:eastAsia="zh-CN"/>
              </w:rPr>
              <w:t>元整</w:t>
            </w:r>
            <w:r>
              <w:rPr>
                <w:rFonts w:hint="default" w:ascii="Times New Roman" w:hAnsi="Times New Roman" w:eastAsia="宋体" w:cs="Times New Roman"/>
                <w:bCs/>
                <w:color w:val="auto"/>
                <w:sz w:val="24"/>
                <w:szCs w:val="24"/>
                <w:highlight w:val="none"/>
                <w:lang w:val="en-US" w:eastAsia="zh-CN"/>
              </w:rPr>
              <w:t>（</w:t>
            </w:r>
            <w:r>
              <w:rPr>
                <w:rFonts w:hint="default" w:ascii="Arial" w:hAnsi="Arial" w:eastAsia="宋体" w:cs="Arial"/>
                <w:bCs/>
                <w:color w:val="auto"/>
                <w:sz w:val="24"/>
                <w:szCs w:val="24"/>
                <w:highlight w:val="none"/>
                <w:lang w:val="en-US" w:eastAsia="zh-CN"/>
              </w:rPr>
              <w:t>¥</w:t>
            </w:r>
            <w:r>
              <w:rPr>
                <w:rFonts w:hint="eastAsia" w:ascii="Times New Roman" w:hAnsi="Times New Roman" w:cs="Times New Roman"/>
                <w:bCs/>
                <w:color w:val="auto"/>
                <w:sz w:val="24"/>
                <w:szCs w:val="24"/>
                <w:highlight w:val="none"/>
                <w:lang w:val="en-US" w:eastAsia="zh-CN"/>
              </w:rPr>
              <w:t>1790000</w:t>
            </w:r>
            <w:r>
              <w:rPr>
                <w:rFonts w:hint="default" w:ascii="Times New Roman" w:hAnsi="Times New Roman" w:eastAsia="宋体" w:cs="Times New Roman"/>
                <w:bCs/>
                <w:color w:val="auto"/>
                <w:sz w:val="24"/>
                <w:szCs w:val="24"/>
                <w:highlight w:val="none"/>
                <w:lang w:val="en-US" w:eastAsia="zh-CN"/>
              </w:rPr>
              <w:t>元）</w:t>
            </w:r>
            <w:r>
              <w:rPr>
                <w:rFonts w:ascii="Times New Roman" w:hAnsi="Times New Roman"/>
                <w:color w:val="auto"/>
                <w:sz w:val="24"/>
                <w:highlight w:val="none"/>
              </w:rPr>
              <w:t>，</w:t>
            </w:r>
            <w:r>
              <w:rPr>
                <w:rFonts w:hint="eastAsia" w:ascii="Times New Roman" w:hAnsi="Times New Roman"/>
                <w:color w:val="auto"/>
                <w:sz w:val="24"/>
                <w:highlight w:val="none"/>
                <w:lang w:val="en-US" w:eastAsia="zh-CN"/>
              </w:rPr>
              <w:t>其中，</w:t>
            </w:r>
            <w:r>
              <w:rPr>
                <w:rFonts w:hint="default" w:ascii="Arial" w:hAnsi="Arial" w:eastAsia="宋体" w:cs="Arial"/>
                <w:color w:val="auto"/>
                <w:sz w:val="24"/>
                <w:szCs w:val="24"/>
                <w:highlight w:val="none"/>
                <w:lang w:val="en-US" w:eastAsia="zh-CN"/>
              </w:rPr>
              <w:t>A</w:t>
            </w:r>
            <w:r>
              <w:rPr>
                <w:rFonts w:hint="default" w:ascii="Arial" w:hAnsi="Arial" w:eastAsia="宋体" w:cs="Arial"/>
                <w:color w:val="auto"/>
                <w:sz w:val="24"/>
                <w:szCs w:val="24"/>
                <w:highlight w:val="none"/>
              </w:rPr>
              <w:t>分标：</w:t>
            </w:r>
            <w:r>
              <w:rPr>
                <w:rFonts w:hint="eastAsia" w:ascii="Arial" w:hAnsi="Arial" w:cs="Arial"/>
                <w:b w:val="0"/>
                <w:bCs w:val="0"/>
                <w:color w:val="auto"/>
                <w:sz w:val="24"/>
                <w:szCs w:val="24"/>
                <w:highlight w:val="none"/>
                <w:lang w:val="en-US" w:eastAsia="zh-CN"/>
              </w:rPr>
              <w:t>918000</w:t>
            </w:r>
            <w:r>
              <w:rPr>
                <w:rFonts w:hint="default" w:ascii="Arial" w:hAnsi="Arial" w:eastAsia="宋体" w:cs="Arial"/>
                <w:b w:val="0"/>
                <w:bCs w:val="0"/>
                <w:color w:val="auto"/>
                <w:sz w:val="24"/>
                <w:szCs w:val="24"/>
                <w:highlight w:val="none"/>
                <w:lang w:val="en-US"/>
              </w:rPr>
              <w:t>.00</w:t>
            </w:r>
            <w:r>
              <w:rPr>
                <w:rFonts w:hint="default" w:ascii="Arial" w:hAnsi="Arial" w:eastAsia="宋体" w:cs="Arial"/>
                <w:b w:val="0"/>
                <w:bCs w:val="0"/>
                <w:color w:val="auto"/>
                <w:sz w:val="24"/>
                <w:szCs w:val="24"/>
                <w:highlight w:val="none"/>
              </w:rPr>
              <w:t>元；</w:t>
            </w:r>
            <w:r>
              <w:rPr>
                <w:rFonts w:hint="default" w:ascii="Arial" w:hAnsi="Arial" w:eastAsia="宋体" w:cs="Arial"/>
                <w:b w:val="0"/>
                <w:bCs w:val="0"/>
                <w:color w:val="auto"/>
                <w:sz w:val="24"/>
                <w:szCs w:val="24"/>
                <w:highlight w:val="none"/>
                <w:lang w:val="en-US" w:eastAsia="zh-CN"/>
              </w:rPr>
              <w:t>B</w:t>
            </w:r>
            <w:r>
              <w:rPr>
                <w:rFonts w:hint="default" w:ascii="Arial" w:hAnsi="Arial" w:eastAsia="宋体" w:cs="Arial"/>
                <w:b w:val="0"/>
                <w:bCs w:val="0"/>
                <w:color w:val="auto"/>
                <w:sz w:val="24"/>
                <w:szCs w:val="24"/>
                <w:highlight w:val="none"/>
              </w:rPr>
              <w:t>分标：</w:t>
            </w:r>
            <w:r>
              <w:rPr>
                <w:rFonts w:hint="default" w:ascii="Arial" w:hAnsi="Arial" w:eastAsia="宋体" w:cs="Arial"/>
                <w:b w:val="0"/>
                <w:bCs w:val="0"/>
                <w:color w:val="auto"/>
                <w:sz w:val="24"/>
                <w:szCs w:val="24"/>
                <w:highlight w:val="none"/>
                <w:lang w:val="en-US" w:eastAsia="zh-CN"/>
              </w:rPr>
              <w:t>872</w:t>
            </w:r>
            <w:r>
              <w:rPr>
                <w:rFonts w:hint="eastAsia" w:ascii="Arial" w:hAnsi="Arial" w:cs="Arial"/>
                <w:b w:val="0"/>
                <w:bCs w:val="0"/>
                <w:color w:val="auto"/>
                <w:sz w:val="24"/>
                <w:szCs w:val="24"/>
                <w:highlight w:val="none"/>
                <w:lang w:val="en-US" w:eastAsia="zh-CN"/>
              </w:rPr>
              <w:t>0</w:t>
            </w:r>
            <w:r>
              <w:rPr>
                <w:rFonts w:hint="default" w:ascii="Arial" w:hAnsi="Arial" w:eastAsia="宋体" w:cs="Arial"/>
                <w:b w:val="0"/>
                <w:bCs w:val="0"/>
                <w:color w:val="auto"/>
                <w:sz w:val="24"/>
                <w:szCs w:val="24"/>
                <w:highlight w:val="none"/>
                <w:lang w:val="en-US" w:eastAsia="zh-CN"/>
              </w:rPr>
              <w:t>00</w:t>
            </w:r>
            <w:r>
              <w:rPr>
                <w:rFonts w:hint="default" w:ascii="Arial" w:hAnsi="Arial" w:eastAsia="宋体" w:cs="Arial"/>
                <w:b w:val="0"/>
                <w:bCs w:val="0"/>
                <w:color w:val="auto"/>
                <w:sz w:val="24"/>
                <w:szCs w:val="24"/>
                <w:highlight w:val="none"/>
              </w:rPr>
              <w:t>.00</w:t>
            </w:r>
            <w:r>
              <w:rPr>
                <w:rFonts w:hint="default" w:ascii="Arial" w:hAnsi="Arial" w:eastAsia="宋体" w:cs="Arial"/>
                <w:color w:val="auto"/>
                <w:sz w:val="24"/>
                <w:szCs w:val="24"/>
                <w:highlight w:val="none"/>
              </w:rPr>
              <w:t>元；</w:t>
            </w:r>
            <w:r>
              <w:rPr>
                <w:rFonts w:ascii="Times New Roman" w:hAnsi="Times New Roman"/>
                <w:color w:val="auto"/>
                <w:sz w:val="24"/>
                <w:highlight w:val="none"/>
              </w:rPr>
              <w:t>超出政府采购预算总金额的将被视为无效投标。</w:t>
            </w:r>
          </w:p>
        </w:tc>
      </w:tr>
      <w:tr w14:paraId="72FA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6" w:type="dxa"/>
            <w:noWrap w:val="0"/>
            <w:vAlign w:val="center"/>
          </w:tcPr>
          <w:p w14:paraId="5398B467">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5</w:t>
            </w:r>
          </w:p>
        </w:tc>
        <w:tc>
          <w:tcPr>
            <w:tcW w:w="945" w:type="dxa"/>
            <w:noWrap w:val="0"/>
            <w:vAlign w:val="center"/>
          </w:tcPr>
          <w:p w14:paraId="17BFAEA5">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68532555">
            <w:pPr>
              <w:pStyle w:val="13"/>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资金来源：</w:t>
            </w:r>
            <w:r>
              <w:rPr>
                <w:rFonts w:hint="eastAsia" w:ascii="Times New Roman" w:hAnsi="Times New Roman" w:cs="Times New Roman"/>
                <w:b/>
                <w:color w:val="auto"/>
                <w:sz w:val="24"/>
                <w:szCs w:val="24"/>
                <w:highlight w:val="none"/>
                <w:lang w:val="en-US" w:eastAsia="zh-CN"/>
              </w:rPr>
              <w:t>政府性基金预算资金</w:t>
            </w:r>
            <w:r>
              <w:rPr>
                <w:rFonts w:hint="default" w:ascii="Times New Roman" w:hAnsi="Times New Roman" w:eastAsia="宋体" w:cs="Times New Roman"/>
                <w:b/>
                <w:color w:val="auto"/>
                <w:sz w:val="24"/>
                <w:szCs w:val="24"/>
                <w:highlight w:val="none"/>
                <w:lang w:val="en-US" w:eastAsia="zh-CN"/>
              </w:rPr>
              <w:t>。</w:t>
            </w:r>
          </w:p>
        </w:tc>
      </w:tr>
      <w:tr w14:paraId="177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6" w:type="dxa"/>
            <w:noWrap w:val="0"/>
            <w:vAlign w:val="center"/>
          </w:tcPr>
          <w:p w14:paraId="6806DBB6">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6</w:t>
            </w:r>
          </w:p>
        </w:tc>
        <w:tc>
          <w:tcPr>
            <w:tcW w:w="945" w:type="dxa"/>
            <w:noWrap w:val="0"/>
            <w:vAlign w:val="center"/>
          </w:tcPr>
          <w:p w14:paraId="57AF67D3">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147B4857">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磋商有效期：</w:t>
            </w:r>
            <w:r>
              <w:rPr>
                <w:rFonts w:hint="default" w:ascii="Times New Roman" w:hAnsi="Times New Roman" w:eastAsia="宋体" w:cs="Times New Roman"/>
                <w:color w:val="auto"/>
                <w:sz w:val="24"/>
                <w:highlight w:val="none"/>
              </w:rPr>
              <w:t>磋商截止之日起</w:t>
            </w:r>
            <w:r>
              <w:rPr>
                <w:rFonts w:hint="eastAsia" w:ascii="Times New Roman" w:hAnsi="Times New Roman" w:eastAsia="宋体" w:cs="Times New Roman"/>
                <w:color w:val="auto"/>
                <w:sz w:val="24"/>
                <w:highlight w:val="none"/>
                <w:u w:val="single"/>
                <w:lang w:val="en-US" w:eastAsia="zh-CN"/>
              </w:rPr>
              <w:t>60</w:t>
            </w:r>
            <w:r>
              <w:rPr>
                <w:rFonts w:hint="default" w:ascii="Times New Roman" w:hAnsi="Times New Roman" w:eastAsia="宋体" w:cs="Times New Roman"/>
                <w:color w:val="auto"/>
                <w:sz w:val="24"/>
                <w:highlight w:val="none"/>
              </w:rPr>
              <w:t>天内。</w:t>
            </w:r>
          </w:p>
        </w:tc>
      </w:tr>
      <w:tr w14:paraId="44B8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0"/>
            <w:vAlign w:val="center"/>
          </w:tcPr>
          <w:p w14:paraId="4DD3AB35">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7</w:t>
            </w:r>
          </w:p>
        </w:tc>
        <w:tc>
          <w:tcPr>
            <w:tcW w:w="945" w:type="dxa"/>
            <w:noWrap w:val="0"/>
            <w:vAlign w:val="center"/>
          </w:tcPr>
          <w:p w14:paraId="58E94079">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12.2.2</w:t>
            </w:r>
          </w:p>
        </w:tc>
        <w:tc>
          <w:tcPr>
            <w:tcW w:w="7862" w:type="dxa"/>
            <w:noWrap w:val="0"/>
            <w:vAlign w:val="center"/>
          </w:tcPr>
          <w:p w14:paraId="335C0D33">
            <w:pPr>
              <w:pStyle w:val="13"/>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信用查询：</w:t>
            </w:r>
          </w:p>
          <w:p w14:paraId="03B6FD42">
            <w:pPr>
              <w:pStyle w:val="13"/>
              <w:keepNext w:val="0"/>
              <w:keepLines w:val="0"/>
              <w:pageBreakBefore w:val="0"/>
              <w:kinsoku/>
              <w:wordWrap/>
              <w:overflowPunct/>
              <w:topLinePunct w:val="0"/>
              <w:autoSpaceDE/>
              <w:autoSpaceDN/>
              <w:bidi w:val="0"/>
              <w:snapToGrid/>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采购人或代理机构对供应商资格审查时进行信用查询）；</w:t>
            </w:r>
          </w:p>
          <w:p w14:paraId="137C5596">
            <w:pPr>
              <w:pStyle w:val="13"/>
              <w:keepNext w:val="0"/>
              <w:keepLines w:val="0"/>
              <w:pageBreakBefore w:val="0"/>
              <w:kinsoku/>
              <w:wordWrap/>
              <w:overflowPunct/>
              <w:topLinePunct w:val="0"/>
              <w:autoSpaceDE/>
              <w:autoSpaceDN/>
              <w:bidi w:val="0"/>
              <w:snapToGrid/>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(1)查询渠道：“信用中国”网站(www.creditchina.gov.cn)、中国政府采购网(www.ccgp.gov.cn)等；</w:t>
            </w:r>
          </w:p>
          <w:p w14:paraId="19C03544">
            <w:pPr>
              <w:pStyle w:val="13"/>
              <w:keepNext w:val="0"/>
              <w:keepLines w:val="0"/>
              <w:pageBreakBefore w:val="0"/>
              <w:kinsoku/>
              <w:wordWrap/>
              <w:overflowPunct/>
              <w:topLinePunct w:val="0"/>
              <w:autoSpaceDE/>
              <w:autoSpaceDN/>
              <w:bidi w:val="0"/>
              <w:snapToGrid/>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(2)查询起止时间：投标截止时间前三年内。</w:t>
            </w:r>
          </w:p>
          <w:p w14:paraId="1D0605B1">
            <w:pPr>
              <w:pStyle w:val="13"/>
              <w:keepNext w:val="0"/>
              <w:keepLines w:val="0"/>
              <w:pageBreakBefore w:val="0"/>
              <w:kinsoku/>
              <w:wordWrap/>
              <w:overflowPunct/>
              <w:topLinePunct w:val="0"/>
              <w:autoSpaceDE/>
              <w:autoSpaceDN/>
              <w:bidi w:val="0"/>
              <w:snapToGrid/>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(3)查询记录和证据留存方式：由代理公司开标后在查询网站中直接打印查询记录，打印材料作为评审资料保存。</w:t>
            </w:r>
          </w:p>
          <w:p w14:paraId="73B59E66">
            <w:pPr>
              <w:pStyle w:val="13"/>
              <w:keepNext w:val="0"/>
              <w:keepLines w:val="0"/>
              <w:pageBreakBefore w:val="0"/>
              <w:kinsoku/>
              <w:wordWrap/>
              <w:overflowPunct/>
              <w:topLinePunct w:val="0"/>
              <w:autoSpaceDE/>
              <w:autoSpaceDN/>
              <w:bidi w:val="0"/>
              <w:snapToGrid/>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资格审查不通过，不得参与政府采购活动。</w:t>
            </w:r>
          </w:p>
        </w:tc>
      </w:tr>
      <w:tr w14:paraId="1071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26" w:type="dxa"/>
            <w:noWrap w:val="0"/>
            <w:vAlign w:val="center"/>
          </w:tcPr>
          <w:p w14:paraId="6E0A3160">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8</w:t>
            </w:r>
          </w:p>
        </w:tc>
        <w:tc>
          <w:tcPr>
            <w:tcW w:w="945" w:type="dxa"/>
            <w:noWrap w:val="0"/>
            <w:vAlign w:val="center"/>
          </w:tcPr>
          <w:p w14:paraId="128EFA19">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14.1</w:t>
            </w:r>
          </w:p>
        </w:tc>
        <w:tc>
          <w:tcPr>
            <w:tcW w:w="7862" w:type="dxa"/>
            <w:noWrap w:val="0"/>
            <w:vAlign w:val="center"/>
          </w:tcPr>
          <w:p w14:paraId="3E5BEF4F">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磋商文件份数为：电子版一份。</w:t>
            </w:r>
          </w:p>
        </w:tc>
      </w:tr>
      <w:tr w14:paraId="465B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0"/>
            <w:vAlign w:val="center"/>
          </w:tcPr>
          <w:p w14:paraId="2973B8D5">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9</w:t>
            </w:r>
          </w:p>
        </w:tc>
        <w:tc>
          <w:tcPr>
            <w:tcW w:w="945" w:type="dxa"/>
            <w:noWrap w:val="0"/>
            <w:vAlign w:val="center"/>
          </w:tcPr>
          <w:p w14:paraId="7089D637">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6E7363BE">
            <w:pPr>
              <w:keepNext w:val="0"/>
              <w:keepLines w:val="0"/>
              <w:pageBreakBefore w:val="0"/>
              <w:kinsoku/>
              <w:wordWrap/>
              <w:overflowPunct/>
              <w:topLinePunct w:val="0"/>
              <w:autoSpaceDE/>
              <w:autoSpaceDN/>
              <w:bidi w:val="0"/>
              <w:adjustRightInd w:val="0"/>
              <w:snapToGrid/>
              <w:spacing w:line="440" w:lineRule="exact"/>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磋商响应文件递交截止时间：</w:t>
            </w:r>
            <w:r>
              <w:rPr>
                <w:rFonts w:hint="eastAsia" w:cs="Times New Roman"/>
                <w:color w:val="auto"/>
                <w:sz w:val="24"/>
                <w:szCs w:val="24"/>
                <w:highlight w:val="none"/>
                <w:lang w:val="en-US" w:eastAsia="zh-CN"/>
              </w:rPr>
              <w:t xml:space="preserve">2025年11月14日09:00 </w:t>
            </w:r>
            <w:r>
              <w:rPr>
                <w:rFonts w:hint="default" w:ascii="Times New Roman" w:hAnsi="Times New Roman" w:eastAsia="宋体" w:cs="Times New Roman"/>
                <w:color w:val="auto"/>
                <w:kern w:val="0"/>
                <w:sz w:val="24"/>
                <w:szCs w:val="24"/>
                <w:highlight w:val="none"/>
              </w:rPr>
              <w:t>前将电子</w:t>
            </w:r>
            <w:r>
              <w:rPr>
                <w:rFonts w:hint="default" w:ascii="Times New Roman" w:hAnsi="Times New Roman" w:eastAsia="宋体" w:cs="Times New Roman"/>
                <w:color w:val="auto"/>
                <w:kern w:val="0"/>
                <w:sz w:val="24"/>
                <w:szCs w:val="24"/>
                <w:highlight w:val="none"/>
                <w:lang w:eastAsia="zh-CN"/>
              </w:rPr>
              <w:t>磋商</w:t>
            </w:r>
            <w:r>
              <w:rPr>
                <w:rFonts w:hint="default" w:ascii="Times New Roman" w:hAnsi="Times New Roman" w:eastAsia="宋体" w:cs="Times New Roman"/>
                <w:color w:val="auto"/>
                <w:kern w:val="0"/>
                <w:sz w:val="24"/>
                <w:szCs w:val="24"/>
                <w:highlight w:val="none"/>
              </w:rPr>
              <w:t>响应文件上传到</w:t>
            </w:r>
            <w:r>
              <w:rPr>
                <w:rFonts w:hint="eastAsia" w:cs="Times New Roman"/>
                <w:color w:val="auto"/>
                <w:kern w:val="0"/>
                <w:sz w:val="24"/>
                <w:szCs w:val="24"/>
                <w:highlight w:val="none"/>
                <w:lang w:eastAsia="zh-CN"/>
              </w:rPr>
              <w:t>广西政府采购云平台</w:t>
            </w:r>
            <w:r>
              <w:rPr>
                <w:rFonts w:hint="default" w:ascii="Times New Roman" w:hAnsi="Times New Roman" w:eastAsia="宋体" w:cs="Times New Roman"/>
                <w:color w:val="auto"/>
                <w:kern w:val="0"/>
                <w:sz w:val="24"/>
                <w:szCs w:val="24"/>
                <w:highlight w:val="none"/>
              </w:rPr>
              <w:t>。应按照本项目竞争性</w:t>
            </w:r>
            <w:r>
              <w:rPr>
                <w:rFonts w:hint="default" w:ascii="Times New Roman" w:hAnsi="Times New Roman" w:eastAsia="宋体" w:cs="Times New Roman"/>
                <w:color w:val="auto"/>
                <w:kern w:val="0"/>
                <w:sz w:val="24"/>
                <w:szCs w:val="24"/>
                <w:highlight w:val="none"/>
                <w:lang w:eastAsia="zh-CN"/>
              </w:rPr>
              <w:t>磋商采购</w:t>
            </w:r>
            <w:r>
              <w:rPr>
                <w:rFonts w:hint="default" w:ascii="Times New Roman" w:hAnsi="Times New Roman" w:eastAsia="宋体" w:cs="Times New Roman"/>
                <w:color w:val="auto"/>
                <w:kern w:val="0"/>
                <w:sz w:val="24"/>
                <w:szCs w:val="24"/>
                <w:highlight w:val="none"/>
              </w:rPr>
              <w:t>文件和</w:t>
            </w:r>
            <w:r>
              <w:rPr>
                <w:rFonts w:hint="eastAsia" w:cs="Times New Roman"/>
                <w:color w:val="auto"/>
                <w:kern w:val="0"/>
                <w:sz w:val="24"/>
                <w:szCs w:val="24"/>
                <w:highlight w:val="none"/>
                <w:lang w:eastAsia="zh-CN"/>
              </w:rPr>
              <w:t>广西政府采购云平台</w:t>
            </w:r>
            <w:r>
              <w:rPr>
                <w:rFonts w:hint="default" w:ascii="Times New Roman" w:hAnsi="Times New Roman" w:eastAsia="宋体" w:cs="Times New Roman"/>
                <w:color w:val="auto"/>
                <w:kern w:val="0"/>
                <w:sz w:val="24"/>
                <w:szCs w:val="24"/>
                <w:highlight w:val="none"/>
              </w:rPr>
              <w:t>的要求编制、加密传输</w:t>
            </w:r>
            <w:r>
              <w:rPr>
                <w:rFonts w:hint="default" w:ascii="Times New Roman" w:hAnsi="Times New Roman" w:eastAsia="宋体" w:cs="Times New Roman"/>
                <w:color w:val="auto"/>
                <w:kern w:val="0"/>
                <w:sz w:val="24"/>
                <w:szCs w:val="24"/>
                <w:highlight w:val="none"/>
                <w:lang w:eastAsia="zh-CN"/>
              </w:rPr>
              <w:t>磋商</w:t>
            </w:r>
            <w:r>
              <w:rPr>
                <w:rFonts w:hint="default" w:ascii="Times New Roman" w:hAnsi="Times New Roman" w:eastAsia="宋体" w:cs="Times New Roman"/>
                <w:color w:val="auto"/>
                <w:kern w:val="0"/>
                <w:sz w:val="24"/>
                <w:szCs w:val="24"/>
                <w:highlight w:val="none"/>
              </w:rPr>
              <w:t>响应文件。供应商在使用系统进行投标的过程中遇到涉及平台使用的任何问题，可致电</w:t>
            </w:r>
            <w:r>
              <w:rPr>
                <w:rFonts w:hint="eastAsia" w:cs="Times New Roman"/>
                <w:color w:val="auto"/>
                <w:kern w:val="0"/>
                <w:sz w:val="24"/>
                <w:szCs w:val="24"/>
                <w:highlight w:val="none"/>
                <w:lang w:eastAsia="zh-CN"/>
              </w:rPr>
              <w:t>广西政府采购云平台</w:t>
            </w:r>
            <w:r>
              <w:rPr>
                <w:rFonts w:hint="default" w:ascii="Times New Roman" w:hAnsi="Times New Roman" w:eastAsia="宋体" w:cs="Times New Roman"/>
                <w:color w:val="auto"/>
                <w:kern w:val="0"/>
                <w:sz w:val="24"/>
                <w:szCs w:val="24"/>
                <w:highlight w:val="none"/>
              </w:rPr>
              <w:t>技术支持热线咨询，联系方式：</w:t>
            </w:r>
            <w:r>
              <w:rPr>
                <w:rFonts w:hint="eastAsia" w:cs="Times New Roman"/>
                <w:color w:val="auto"/>
                <w:kern w:val="0"/>
                <w:sz w:val="24"/>
                <w:szCs w:val="24"/>
                <w:highlight w:val="none"/>
                <w:lang w:eastAsia="zh-CN"/>
              </w:rPr>
              <w:t>95763</w:t>
            </w:r>
            <w:r>
              <w:rPr>
                <w:rFonts w:hint="default" w:ascii="Times New Roman" w:hAnsi="Times New Roman" w:eastAsia="宋体" w:cs="Times New Roman"/>
                <w:color w:val="auto"/>
                <w:kern w:val="0"/>
                <w:sz w:val="24"/>
                <w:szCs w:val="24"/>
                <w:highlight w:val="none"/>
              </w:rPr>
              <w:t>。</w:t>
            </w:r>
          </w:p>
          <w:p w14:paraId="7508BC26">
            <w:pPr>
              <w:keepNext w:val="0"/>
              <w:keepLines w:val="0"/>
              <w:pageBreakBefore w:val="0"/>
              <w:kinsoku/>
              <w:wordWrap/>
              <w:overflowPunct/>
              <w:topLinePunct w:val="0"/>
              <w:autoSpaceDE/>
              <w:autoSpaceDN/>
              <w:bidi w:val="0"/>
              <w:adjustRightInd w:val="0"/>
              <w:snapToGrid/>
              <w:spacing w:line="440" w:lineRule="exact"/>
              <w:textAlignment w:val="baseline"/>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rPr>
              <w:t>磋商响应文件递交地点：通过</w:t>
            </w:r>
            <w:r>
              <w:rPr>
                <w:rFonts w:hint="eastAsia" w:cs="Times New Roman"/>
                <w:color w:val="auto"/>
                <w:kern w:val="0"/>
                <w:sz w:val="24"/>
                <w:highlight w:val="none"/>
                <w:lang w:eastAsia="zh-CN"/>
              </w:rPr>
              <w:t>广西政府采购云平台</w:t>
            </w:r>
            <w:r>
              <w:rPr>
                <w:rFonts w:hint="default" w:ascii="Times New Roman" w:hAnsi="Times New Roman" w:eastAsia="宋体" w:cs="Times New Roman"/>
                <w:color w:val="auto"/>
                <w:kern w:val="0"/>
                <w:sz w:val="24"/>
                <w:highlight w:val="none"/>
              </w:rPr>
              <w:t>实行在线投标响应（本项目不要求投标供应商到达开标现场，但供应商应派法定代表人或委托代理人准时在线出席电子开评标会议，随时关注开评标进度，如在开评标过程中有电子询标，应在规定的时间内对电子询标函进行澄清回复）。</w:t>
            </w:r>
          </w:p>
        </w:tc>
      </w:tr>
      <w:tr w14:paraId="3A67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6" w:type="dxa"/>
            <w:noWrap w:val="0"/>
            <w:vAlign w:val="center"/>
          </w:tcPr>
          <w:p w14:paraId="35969E3D">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0</w:t>
            </w:r>
          </w:p>
        </w:tc>
        <w:tc>
          <w:tcPr>
            <w:tcW w:w="945" w:type="dxa"/>
            <w:noWrap w:val="0"/>
            <w:vAlign w:val="center"/>
          </w:tcPr>
          <w:p w14:paraId="45F8E76A">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2FDB95C6">
            <w:pPr>
              <w:pStyle w:val="13"/>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磋商时间：</w:t>
            </w:r>
            <w:r>
              <w:rPr>
                <w:rFonts w:hint="eastAsia" w:cs="Times New Roman"/>
                <w:color w:val="auto"/>
                <w:sz w:val="24"/>
                <w:szCs w:val="24"/>
                <w:highlight w:val="none"/>
                <w:lang w:val="en-US" w:eastAsia="zh-CN"/>
              </w:rPr>
              <w:t>2025年11</w:t>
            </w:r>
            <w:r>
              <w:rPr>
                <w:rFonts w:hint="eastAsia" w:ascii="Times New Roman" w:hAnsi="Times New Roman" w:cs="Times New Roman"/>
                <w:color w:val="auto"/>
                <w:sz w:val="24"/>
                <w:szCs w:val="24"/>
                <w:highlight w:val="none"/>
                <w:lang w:val="en-US" w:eastAsia="zh-CN"/>
              </w:rPr>
              <w:t>月14日09:00</w:t>
            </w:r>
            <w:r>
              <w:rPr>
                <w:rFonts w:hint="default" w:ascii="Times New Roman" w:hAnsi="Times New Roman" w:eastAsia="宋体" w:cs="Times New Roman"/>
                <w:bCs/>
                <w:color w:val="auto"/>
                <w:sz w:val="24"/>
                <w:szCs w:val="24"/>
                <w:highlight w:val="none"/>
                <w:lang w:val="en-US" w:eastAsia="zh-CN"/>
              </w:rPr>
              <w:t>；</w:t>
            </w:r>
          </w:p>
          <w:p w14:paraId="7E32EDA4">
            <w:pPr>
              <w:pStyle w:val="13"/>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磋商地点：通过</w:t>
            </w:r>
            <w:r>
              <w:rPr>
                <w:rFonts w:hint="eastAsia" w:ascii="Times New Roman" w:hAnsi="Times New Roman" w:cs="Times New Roman"/>
                <w:bCs/>
                <w:color w:val="auto"/>
                <w:sz w:val="24"/>
                <w:szCs w:val="24"/>
                <w:highlight w:val="none"/>
                <w:lang w:val="en-US" w:eastAsia="zh-CN"/>
              </w:rPr>
              <w:t>广西政府采购云平台</w:t>
            </w:r>
            <w:r>
              <w:rPr>
                <w:rFonts w:hint="default" w:ascii="Times New Roman" w:hAnsi="Times New Roman" w:eastAsia="宋体" w:cs="Times New Roman"/>
                <w:bCs/>
                <w:color w:val="auto"/>
                <w:sz w:val="24"/>
                <w:szCs w:val="24"/>
                <w:highlight w:val="none"/>
                <w:lang w:val="en-US" w:eastAsia="zh-CN"/>
              </w:rPr>
              <w:t>实行在线解密开启。</w:t>
            </w:r>
          </w:p>
        </w:tc>
      </w:tr>
      <w:tr w14:paraId="7575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noWrap w:val="0"/>
            <w:vAlign w:val="center"/>
          </w:tcPr>
          <w:p w14:paraId="53BD0B6E">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1</w:t>
            </w:r>
          </w:p>
        </w:tc>
        <w:tc>
          <w:tcPr>
            <w:tcW w:w="945" w:type="dxa"/>
            <w:noWrap w:val="0"/>
            <w:vAlign w:val="center"/>
          </w:tcPr>
          <w:p w14:paraId="044AD60F">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33.1</w:t>
            </w:r>
          </w:p>
        </w:tc>
        <w:tc>
          <w:tcPr>
            <w:tcW w:w="7862" w:type="dxa"/>
            <w:noWrap w:val="0"/>
            <w:vAlign w:val="center"/>
          </w:tcPr>
          <w:p w14:paraId="3332A0B5">
            <w:pPr>
              <w:keepNext w:val="0"/>
              <w:keepLines w:val="0"/>
              <w:pageBreakBefore w:val="0"/>
              <w:kinsoku/>
              <w:wordWrap/>
              <w:overflowPunct/>
              <w:topLinePunct w:val="0"/>
              <w:autoSpaceDE/>
              <w:autoSpaceDN/>
              <w:bidi w:val="0"/>
              <w:adjustRightInd w:val="0"/>
              <w:snapToGrid/>
              <w:spacing w:line="440" w:lineRule="exact"/>
              <w:textAlignment w:val="baseline"/>
              <w:rPr>
                <w:rFonts w:hint="default" w:ascii="Times New Roman" w:hAnsi="Times New Roman" w:eastAsia="宋体" w:cs="Times New Roman"/>
                <w:color w:val="auto"/>
                <w:kern w:val="0"/>
                <w:sz w:val="24"/>
                <w:highlight w:val="none"/>
              </w:rPr>
            </w:pPr>
            <w:r>
              <w:rPr>
                <w:rFonts w:hint="eastAsia" w:ascii="Times New Roman" w:hAnsi="Times New Roman" w:eastAsia="宋体" w:cs="Times New Roman"/>
                <w:b/>
                <w:bCs/>
                <w:color w:val="auto"/>
                <w:kern w:val="0"/>
                <w:sz w:val="24"/>
                <w:highlight w:val="none"/>
                <w:lang w:eastAsia="zh-CN"/>
              </w:rPr>
              <w:t>招标代理服务费</w:t>
            </w:r>
            <w:r>
              <w:rPr>
                <w:rFonts w:hint="default" w:ascii="Times New Roman" w:hAnsi="Times New Roman" w:eastAsia="宋体" w:cs="Times New Roman"/>
                <w:b/>
                <w:bCs/>
                <w:color w:val="auto"/>
                <w:kern w:val="0"/>
                <w:sz w:val="24"/>
                <w:highlight w:val="none"/>
              </w:rPr>
              <w:t>：</w:t>
            </w:r>
          </w:p>
          <w:p w14:paraId="59461516">
            <w:pPr>
              <w:spacing w:line="360" w:lineRule="auto"/>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rPr>
              <w:t>将由招标代理机构按国家发展改革委《关于进一步放开建设项目专业服务价格的通知》发改价格〔2015〕299 号文</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服务类</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执行。领取成交通知书前，成交人应向采购代理机构一次性付清</w:t>
            </w:r>
            <w:r>
              <w:rPr>
                <w:rFonts w:hint="eastAsia" w:ascii="Times New Roman" w:hAnsi="Times New Roman" w:eastAsia="宋体" w:cs="Times New Roman"/>
                <w:color w:val="auto"/>
                <w:kern w:val="0"/>
                <w:sz w:val="24"/>
                <w:highlight w:val="none"/>
                <w:lang w:eastAsia="zh-CN"/>
              </w:rPr>
              <w:t>招标代理服务费</w:t>
            </w:r>
            <w:r>
              <w:rPr>
                <w:rFonts w:hint="default" w:ascii="Times New Roman" w:hAnsi="Times New Roman" w:eastAsia="宋体" w:cs="Times New Roman"/>
                <w:color w:val="auto"/>
                <w:kern w:val="0"/>
                <w:sz w:val="24"/>
                <w:highlight w:val="none"/>
                <w:lang w:eastAsia="zh-CN"/>
              </w:rPr>
              <w:t>：</w:t>
            </w:r>
          </w:p>
          <w:p w14:paraId="570CBCA5">
            <w:pPr>
              <w:spacing w:line="360" w:lineRule="auto"/>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A分标代理服务费为人民币</w:t>
            </w:r>
            <w:r>
              <w:rPr>
                <w:rFonts w:hint="eastAsia" w:ascii="Arial" w:hAnsi="Arial" w:cs="Arial"/>
                <w:color w:val="auto"/>
                <w:kern w:val="2"/>
                <w:sz w:val="24"/>
                <w:szCs w:val="24"/>
                <w:highlight w:val="none"/>
                <w:lang w:val="en-US" w:eastAsia="zh-CN" w:bidi="ar-SA"/>
              </w:rPr>
              <w:t>壹万叁仟柒佰柒拾</w:t>
            </w:r>
            <w:r>
              <w:rPr>
                <w:rFonts w:hint="default" w:ascii="Arial" w:hAnsi="Arial" w:eastAsia="宋体" w:cs="Arial"/>
                <w:color w:val="auto"/>
                <w:kern w:val="2"/>
                <w:sz w:val="24"/>
                <w:szCs w:val="24"/>
                <w:highlight w:val="none"/>
                <w:lang w:val="en-US" w:eastAsia="zh-CN" w:bidi="ar-SA"/>
              </w:rPr>
              <w:t>元整（￥13770.00</w:t>
            </w:r>
            <w:r>
              <w:rPr>
                <w:rFonts w:hint="eastAsia" w:ascii="Arial" w:hAnsi="Arial" w:eastAsia="宋体" w:cs="Arial"/>
                <w:color w:val="auto"/>
                <w:kern w:val="2"/>
                <w:sz w:val="24"/>
                <w:szCs w:val="24"/>
                <w:highlight w:val="none"/>
                <w:lang w:val="en-US" w:eastAsia="zh-CN" w:bidi="ar-SA"/>
              </w:rPr>
              <w:t>元</w:t>
            </w:r>
            <w:r>
              <w:rPr>
                <w:rFonts w:hint="default" w:ascii="Arial" w:hAnsi="Arial" w:eastAsia="宋体" w:cs="Arial"/>
                <w:color w:val="auto"/>
                <w:kern w:val="2"/>
                <w:sz w:val="24"/>
                <w:szCs w:val="24"/>
                <w:highlight w:val="none"/>
                <w:lang w:val="en-US" w:eastAsia="zh-CN" w:bidi="ar-SA"/>
              </w:rPr>
              <w:t>）</w:t>
            </w:r>
            <w:r>
              <w:rPr>
                <w:rFonts w:hint="eastAsia" w:ascii="Arial" w:hAnsi="Arial" w:eastAsia="宋体" w:cs="Arial"/>
                <w:color w:val="auto"/>
                <w:kern w:val="2"/>
                <w:sz w:val="24"/>
                <w:szCs w:val="24"/>
                <w:highlight w:val="none"/>
                <w:lang w:val="en-US" w:eastAsia="zh-CN" w:bidi="ar-SA"/>
              </w:rPr>
              <w:t>,</w:t>
            </w:r>
          </w:p>
          <w:p w14:paraId="6AC01D47">
            <w:pPr>
              <w:pStyle w:val="5"/>
              <w:jc w:val="both"/>
              <w:rPr>
                <w:rFonts w:hint="eastAsia" w:ascii="Times New Roman" w:hAnsi="Times New Roman" w:eastAsia="宋体" w:cs="Times New Roman"/>
                <w:color w:val="auto"/>
                <w:kern w:val="0"/>
                <w:sz w:val="24"/>
                <w:highlight w:val="none"/>
                <w:lang w:eastAsia="zh-CN"/>
              </w:rPr>
            </w:pPr>
            <w:r>
              <w:rPr>
                <w:rFonts w:hint="eastAsia" w:ascii="Arial" w:hAnsi="Arial" w:eastAsia="宋体" w:cs="Arial"/>
                <w:color w:val="auto"/>
                <w:kern w:val="2"/>
                <w:sz w:val="24"/>
                <w:szCs w:val="24"/>
                <w:highlight w:val="none"/>
                <w:lang w:val="en-US" w:eastAsia="zh-CN" w:bidi="ar-SA"/>
              </w:rPr>
              <w:t>B</w:t>
            </w:r>
            <w:r>
              <w:rPr>
                <w:rFonts w:hint="default" w:ascii="Arial" w:hAnsi="Arial" w:eastAsia="宋体" w:cs="Arial"/>
                <w:color w:val="auto"/>
                <w:kern w:val="2"/>
                <w:sz w:val="24"/>
                <w:szCs w:val="24"/>
                <w:highlight w:val="none"/>
                <w:lang w:val="en-US" w:eastAsia="zh-CN" w:bidi="ar-SA"/>
              </w:rPr>
              <w:t>分标代理服务费为人民币</w:t>
            </w:r>
            <w:r>
              <w:rPr>
                <w:rFonts w:hint="eastAsia" w:eastAsia="宋体" w:cs="Arial"/>
                <w:color w:val="auto"/>
                <w:kern w:val="2"/>
                <w:sz w:val="24"/>
                <w:szCs w:val="24"/>
                <w:highlight w:val="none"/>
                <w:lang w:val="en-US" w:eastAsia="zh-CN" w:bidi="ar-SA"/>
              </w:rPr>
              <w:t>壹万叁仟零捌拾</w:t>
            </w:r>
            <w:r>
              <w:rPr>
                <w:rFonts w:hint="default" w:ascii="Arial" w:hAnsi="Arial" w:eastAsia="宋体" w:cs="Arial"/>
                <w:color w:val="auto"/>
                <w:kern w:val="2"/>
                <w:sz w:val="24"/>
                <w:szCs w:val="24"/>
                <w:highlight w:val="none"/>
                <w:lang w:val="en-US" w:eastAsia="zh-CN" w:bidi="ar-SA"/>
              </w:rPr>
              <w:t>元整（￥1308</w:t>
            </w:r>
            <w:r>
              <w:rPr>
                <w:rFonts w:hint="eastAsia" w:eastAsia="宋体" w:cs="Arial"/>
                <w:color w:val="auto"/>
                <w:kern w:val="2"/>
                <w:sz w:val="24"/>
                <w:szCs w:val="24"/>
                <w:highlight w:val="none"/>
                <w:lang w:val="en-US" w:eastAsia="zh-CN" w:bidi="ar-SA"/>
              </w:rPr>
              <w:t>0</w:t>
            </w:r>
            <w:r>
              <w:rPr>
                <w:rFonts w:hint="default" w:ascii="Arial" w:hAnsi="Arial" w:eastAsia="宋体" w:cs="Arial"/>
                <w:color w:val="auto"/>
                <w:kern w:val="2"/>
                <w:sz w:val="24"/>
                <w:szCs w:val="24"/>
                <w:highlight w:val="none"/>
                <w:lang w:val="en-US" w:eastAsia="zh-CN" w:bidi="ar-SA"/>
              </w:rPr>
              <w:t>.00</w:t>
            </w:r>
            <w:r>
              <w:rPr>
                <w:rFonts w:hint="eastAsia" w:ascii="Arial" w:hAnsi="Arial" w:eastAsia="宋体" w:cs="Arial"/>
                <w:color w:val="auto"/>
                <w:kern w:val="2"/>
                <w:sz w:val="24"/>
                <w:szCs w:val="24"/>
                <w:highlight w:val="none"/>
                <w:lang w:val="en-US" w:eastAsia="zh-CN" w:bidi="ar-SA"/>
              </w:rPr>
              <w:t>元</w:t>
            </w:r>
            <w:r>
              <w:rPr>
                <w:rFonts w:hint="default" w:ascii="Arial" w:hAnsi="Arial" w:eastAsia="宋体" w:cs="Arial"/>
                <w:color w:val="auto"/>
                <w:kern w:val="2"/>
                <w:sz w:val="24"/>
                <w:szCs w:val="24"/>
                <w:highlight w:val="none"/>
                <w:lang w:val="en-US" w:eastAsia="zh-CN" w:bidi="ar-SA"/>
              </w:rPr>
              <w:t>）</w:t>
            </w:r>
            <w:r>
              <w:rPr>
                <w:rFonts w:hint="eastAsia" w:eastAsia="宋体" w:cs="Arial"/>
                <w:color w:val="auto"/>
                <w:kern w:val="2"/>
                <w:sz w:val="24"/>
                <w:szCs w:val="24"/>
                <w:highlight w:val="none"/>
                <w:lang w:val="en-US" w:eastAsia="zh-CN" w:bidi="ar-SA"/>
              </w:rPr>
              <w:t>。</w:t>
            </w:r>
          </w:p>
          <w:p w14:paraId="2524020F">
            <w:pPr>
              <w:keepNext w:val="0"/>
              <w:keepLines w:val="0"/>
              <w:pageBreakBefore w:val="0"/>
              <w:kinsoku/>
              <w:wordWrap/>
              <w:overflowPunct/>
              <w:topLinePunct w:val="0"/>
              <w:autoSpaceDE/>
              <w:autoSpaceDN/>
              <w:bidi w:val="0"/>
              <w:adjustRightInd w:val="0"/>
              <w:snapToGrid/>
              <w:spacing w:line="440" w:lineRule="exact"/>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招标代理服务费专用帐户：</w:t>
            </w:r>
          </w:p>
          <w:p w14:paraId="4942CCC1">
            <w:pPr>
              <w:adjustRightInd w:val="0"/>
              <w:spacing w:line="440" w:lineRule="exact"/>
              <w:textAlignment w:val="baseline"/>
              <w:rPr>
                <w:rFonts w:hint="eastAsia" w:eastAsia="宋体"/>
                <w:color w:val="auto"/>
                <w:kern w:val="0"/>
                <w:sz w:val="24"/>
                <w:highlight w:val="none"/>
                <w:lang w:eastAsia="zh-CN"/>
              </w:rPr>
            </w:pPr>
            <w:r>
              <w:rPr>
                <w:rFonts w:hint="eastAsia"/>
                <w:color w:val="auto"/>
                <w:kern w:val="0"/>
                <w:sz w:val="24"/>
                <w:highlight w:val="none"/>
              </w:rPr>
              <w:t>开户名称：</w:t>
            </w:r>
            <w:r>
              <w:rPr>
                <w:rFonts w:hint="eastAsia"/>
                <w:color w:val="auto"/>
                <w:kern w:val="0"/>
                <w:sz w:val="24"/>
                <w:highlight w:val="none"/>
                <w:lang w:eastAsia="zh-CN"/>
              </w:rPr>
              <w:t>广西创佳项目管理有限公司</w:t>
            </w:r>
          </w:p>
          <w:p w14:paraId="7AC8E031">
            <w:pPr>
              <w:adjustRightInd w:val="0"/>
              <w:spacing w:line="440" w:lineRule="exact"/>
              <w:textAlignment w:val="baseline"/>
              <w:rPr>
                <w:color w:val="auto"/>
                <w:kern w:val="0"/>
                <w:sz w:val="24"/>
                <w:highlight w:val="none"/>
              </w:rPr>
            </w:pPr>
            <w:r>
              <w:rPr>
                <w:rFonts w:hint="eastAsia"/>
                <w:color w:val="auto"/>
                <w:kern w:val="0"/>
                <w:sz w:val="24"/>
                <w:highlight w:val="none"/>
              </w:rPr>
              <w:t>开户银行：中国工商银行股份有限公司桂平市新区支行</w:t>
            </w:r>
          </w:p>
          <w:p w14:paraId="12699E88">
            <w:pPr>
              <w:keepNext w:val="0"/>
              <w:keepLines w:val="0"/>
              <w:pageBreakBefore w:val="0"/>
              <w:kinsoku/>
              <w:wordWrap/>
              <w:overflowPunct/>
              <w:topLinePunct w:val="0"/>
              <w:autoSpaceDE/>
              <w:autoSpaceDN/>
              <w:bidi w:val="0"/>
              <w:adjustRightInd w:val="0"/>
              <w:snapToGrid/>
              <w:spacing w:line="440" w:lineRule="exact"/>
              <w:textAlignment w:val="baseline"/>
              <w:rPr>
                <w:rFonts w:hint="default" w:ascii="Times New Roman" w:hAnsi="Times New Roman" w:eastAsia="宋体" w:cs="Times New Roman"/>
                <w:color w:val="auto"/>
                <w:kern w:val="0"/>
                <w:sz w:val="24"/>
                <w:highlight w:val="none"/>
              </w:rPr>
            </w:pPr>
            <w:r>
              <w:rPr>
                <w:rFonts w:hint="eastAsia"/>
                <w:color w:val="auto"/>
                <w:kern w:val="0"/>
                <w:sz w:val="24"/>
                <w:highlight w:val="none"/>
              </w:rPr>
              <w:t>银行账号：2116006809100057549</w:t>
            </w:r>
          </w:p>
        </w:tc>
      </w:tr>
      <w:tr w14:paraId="2A07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6" w:type="dxa"/>
            <w:noWrap w:val="0"/>
            <w:vAlign w:val="center"/>
          </w:tcPr>
          <w:p w14:paraId="0A45D9AF">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2</w:t>
            </w:r>
          </w:p>
        </w:tc>
        <w:tc>
          <w:tcPr>
            <w:tcW w:w="945" w:type="dxa"/>
            <w:noWrap w:val="0"/>
            <w:vAlign w:val="center"/>
          </w:tcPr>
          <w:p w14:paraId="0DD1C764">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3B802293">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履约保证金的收取：</w:t>
            </w:r>
            <w:r>
              <w:rPr>
                <w:rFonts w:hint="default" w:ascii="Times New Roman" w:hAnsi="Times New Roman" w:eastAsia="宋体" w:cs="Times New Roman"/>
                <w:color w:val="auto"/>
                <w:sz w:val="24"/>
                <w:highlight w:val="none"/>
                <w:lang w:val="en-US" w:eastAsia="zh-CN"/>
              </w:rPr>
              <w:t>无</w:t>
            </w:r>
          </w:p>
        </w:tc>
      </w:tr>
      <w:tr w14:paraId="0A8B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noWrap w:val="0"/>
            <w:vAlign w:val="center"/>
          </w:tcPr>
          <w:p w14:paraId="131773E7">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3</w:t>
            </w:r>
          </w:p>
        </w:tc>
        <w:tc>
          <w:tcPr>
            <w:tcW w:w="945" w:type="dxa"/>
            <w:noWrap w:val="0"/>
            <w:vAlign w:val="center"/>
          </w:tcPr>
          <w:p w14:paraId="02FE57FF">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6C1F0961">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评标结果公示：</w:t>
            </w:r>
            <w:r>
              <w:rPr>
                <w:rFonts w:hint="default" w:ascii="Times New Roman" w:hAnsi="Times New Roman" w:eastAsia="宋体" w:cs="Times New Roman"/>
                <w:color w:val="auto"/>
                <w:sz w:val="24"/>
                <w:highlight w:val="none"/>
                <w:lang w:eastAsia="zh-CN"/>
              </w:rPr>
              <w:t>http://www.ccgp.gov.cn（中国政府采购网）、http://zfcg.gxzf.gov.cn/（广西壮族自治区政府采购网）、http://ggzy.jgswj.gxzf.gov.cn/ggggzy/全国公共资源交易平台（广西·贵港）、http://zfcg.czj.gxgg.gov.cn（贵港市政府采购网）</w:t>
            </w:r>
          </w:p>
        </w:tc>
      </w:tr>
      <w:tr w14:paraId="3DF3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noWrap w:val="0"/>
            <w:vAlign w:val="center"/>
          </w:tcPr>
          <w:p w14:paraId="758EB4BF">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4</w:t>
            </w:r>
          </w:p>
        </w:tc>
        <w:tc>
          <w:tcPr>
            <w:tcW w:w="945" w:type="dxa"/>
            <w:noWrap w:val="0"/>
            <w:vAlign w:val="center"/>
          </w:tcPr>
          <w:p w14:paraId="006F668E">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29</w:t>
            </w:r>
          </w:p>
        </w:tc>
        <w:tc>
          <w:tcPr>
            <w:tcW w:w="7862" w:type="dxa"/>
            <w:noWrap w:val="0"/>
            <w:vAlign w:val="center"/>
          </w:tcPr>
          <w:p w14:paraId="34BB73F5">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签订合同时间：发出成交通知书后</w:t>
            </w:r>
            <w:r>
              <w:rPr>
                <w:rFonts w:hint="eastAsia" w:ascii="Times New Roman" w:hAnsi="Times New Roman" w:eastAsia="宋体" w:cs="Times New Roman"/>
                <w:color w:val="auto"/>
                <w:kern w:val="0"/>
                <w:sz w:val="24"/>
                <w:highlight w:val="none"/>
                <w:lang w:val="en-US" w:eastAsia="zh-CN"/>
              </w:rPr>
              <w:t>20</w:t>
            </w:r>
            <w:r>
              <w:rPr>
                <w:rFonts w:hint="default" w:ascii="Times New Roman" w:hAnsi="Times New Roman" w:eastAsia="宋体" w:cs="Times New Roman"/>
                <w:color w:val="auto"/>
                <w:kern w:val="0"/>
                <w:sz w:val="24"/>
                <w:highlight w:val="none"/>
              </w:rPr>
              <w:t>日内签订合同。</w:t>
            </w:r>
          </w:p>
        </w:tc>
      </w:tr>
      <w:tr w14:paraId="4643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noWrap w:val="0"/>
            <w:vAlign w:val="center"/>
          </w:tcPr>
          <w:p w14:paraId="1A986773">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15</w:t>
            </w:r>
          </w:p>
        </w:tc>
        <w:tc>
          <w:tcPr>
            <w:tcW w:w="945" w:type="dxa"/>
            <w:noWrap w:val="0"/>
            <w:vAlign w:val="center"/>
          </w:tcPr>
          <w:p w14:paraId="2CC01484">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成交供应商的确定</w:t>
            </w:r>
          </w:p>
        </w:tc>
        <w:tc>
          <w:tcPr>
            <w:tcW w:w="7862" w:type="dxa"/>
            <w:noWrap w:val="0"/>
            <w:vAlign w:val="top"/>
          </w:tcPr>
          <w:p w14:paraId="20AE273C">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rPr>
              <w:t>一个</w:t>
            </w:r>
            <w:r>
              <w:rPr>
                <w:rFonts w:hint="eastAsia" w:ascii="Times New Roman" w:hAnsi="Times New Roman" w:eastAsia="宋体" w:cs="Times New Roman"/>
                <w:color w:val="auto"/>
                <w:kern w:val="0"/>
                <w:sz w:val="24"/>
                <w:highlight w:val="none"/>
                <w:lang w:eastAsia="zh-CN"/>
              </w:rPr>
              <w:t>供应商</w:t>
            </w:r>
            <w:r>
              <w:rPr>
                <w:rFonts w:hint="eastAsia" w:ascii="Times New Roman" w:hAnsi="Times New Roman" w:eastAsia="宋体" w:cs="Times New Roman"/>
                <w:color w:val="auto"/>
                <w:kern w:val="0"/>
                <w:sz w:val="24"/>
                <w:highlight w:val="none"/>
              </w:rPr>
              <w:t>可以对所有分标进行投标。为保证项目进度，优先评选分标顺序A→B，</w:t>
            </w:r>
            <w:r>
              <w:rPr>
                <w:rFonts w:hint="eastAsia" w:ascii="Times New Roman" w:hAnsi="Times New Roman" w:eastAsia="宋体" w:cs="Times New Roman"/>
                <w:color w:val="auto"/>
                <w:kern w:val="0"/>
                <w:sz w:val="24"/>
                <w:highlight w:val="none"/>
                <w:lang w:eastAsia="zh-CN"/>
              </w:rPr>
              <w:t>供应商</w:t>
            </w:r>
            <w:r>
              <w:rPr>
                <w:rFonts w:hint="eastAsia" w:ascii="Times New Roman" w:hAnsi="Times New Roman" w:eastAsia="宋体" w:cs="Times New Roman"/>
                <w:color w:val="auto"/>
                <w:kern w:val="0"/>
                <w:sz w:val="24"/>
                <w:highlight w:val="none"/>
              </w:rPr>
              <w:t>只能中其中一个分标，若某</w:t>
            </w:r>
            <w:r>
              <w:rPr>
                <w:rFonts w:hint="eastAsia" w:ascii="Times New Roman" w:hAnsi="Times New Roman" w:eastAsia="宋体" w:cs="Times New Roman"/>
                <w:color w:val="auto"/>
                <w:kern w:val="0"/>
                <w:sz w:val="24"/>
                <w:highlight w:val="none"/>
                <w:lang w:eastAsia="zh-CN"/>
              </w:rPr>
              <w:t>供应商</w:t>
            </w:r>
            <w:r>
              <w:rPr>
                <w:rFonts w:hint="eastAsia" w:ascii="Times New Roman" w:hAnsi="Times New Roman" w:eastAsia="宋体" w:cs="Times New Roman"/>
                <w:color w:val="auto"/>
                <w:kern w:val="0"/>
                <w:sz w:val="24"/>
                <w:highlight w:val="none"/>
              </w:rPr>
              <w:t>有多个分标综合评分最高，则按A分标顺序</w:t>
            </w:r>
            <w:r>
              <w:rPr>
                <w:rFonts w:hint="eastAsia" w:ascii="Times New Roman" w:hAnsi="Times New Roman" w:eastAsia="宋体" w:cs="Times New Roman"/>
                <w:color w:val="auto"/>
                <w:kern w:val="0"/>
                <w:sz w:val="24"/>
                <w:highlight w:val="none"/>
                <w:lang w:eastAsia="zh-CN"/>
              </w:rPr>
              <w:t>成交</w:t>
            </w:r>
            <w:r>
              <w:rPr>
                <w:rFonts w:hint="eastAsia" w:ascii="Times New Roman" w:hAnsi="Times New Roman" w:eastAsia="宋体" w:cs="Times New Roman"/>
                <w:color w:val="auto"/>
                <w:kern w:val="0"/>
                <w:sz w:val="24"/>
                <w:highlight w:val="none"/>
              </w:rPr>
              <w:t>，并放弃</w:t>
            </w:r>
            <w:r>
              <w:rPr>
                <w:rFonts w:hint="default" w:ascii="Times New Roman" w:hAnsi="Times New Roman" w:eastAsia="宋体" w:cs="Times New Roman"/>
                <w:color w:val="auto"/>
                <w:kern w:val="0"/>
                <w:sz w:val="24"/>
                <w:highlight w:val="none"/>
              </w:rPr>
              <w:t>B</w:t>
            </w:r>
            <w:r>
              <w:rPr>
                <w:rFonts w:hint="eastAsia" w:ascii="Times New Roman" w:hAnsi="Times New Roman" w:eastAsia="宋体" w:cs="Times New Roman"/>
                <w:color w:val="auto"/>
                <w:kern w:val="0"/>
                <w:sz w:val="24"/>
                <w:highlight w:val="none"/>
              </w:rPr>
              <w:t>分标</w:t>
            </w:r>
            <w:r>
              <w:rPr>
                <w:rFonts w:hint="eastAsia" w:ascii="Times New Roman" w:hAnsi="Times New Roman" w:eastAsia="宋体" w:cs="Times New Roman"/>
                <w:color w:val="auto"/>
                <w:kern w:val="0"/>
                <w:sz w:val="24"/>
                <w:highlight w:val="none"/>
                <w:lang w:eastAsia="zh-CN"/>
              </w:rPr>
              <w:t>成交</w:t>
            </w:r>
            <w:r>
              <w:rPr>
                <w:rFonts w:hint="eastAsia" w:ascii="Times New Roman" w:hAnsi="Times New Roman" w:eastAsia="宋体" w:cs="Times New Roman"/>
                <w:color w:val="auto"/>
                <w:kern w:val="0"/>
                <w:sz w:val="24"/>
                <w:highlight w:val="none"/>
              </w:rPr>
              <w:t>资格，最终按排名顺序先后确定</w:t>
            </w:r>
            <w:r>
              <w:rPr>
                <w:rFonts w:hint="eastAsia" w:ascii="Times New Roman" w:hAnsi="Times New Roman" w:eastAsia="宋体" w:cs="Times New Roman"/>
                <w:color w:val="auto"/>
                <w:kern w:val="0"/>
                <w:sz w:val="24"/>
                <w:highlight w:val="none"/>
                <w:lang w:eastAsia="zh-CN"/>
              </w:rPr>
              <w:t>成交人</w:t>
            </w:r>
            <w:r>
              <w:rPr>
                <w:rFonts w:hint="eastAsia" w:ascii="Times New Roman" w:hAnsi="Times New Roman" w:eastAsia="宋体" w:cs="Times New Roman"/>
                <w:color w:val="auto"/>
                <w:kern w:val="0"/>
                <w:sz w:val="24"/>
                <w:highlight w:val="none"/>
              </w:rPr>
              <w:t>；所有</w:t>
            </w:r>
            <w:r>
              <w:rPr>
                <w:rFonts w:hint="eastAsia" w:ascii="Times New Roman" w:hAnsi="Times New Roman" w:eastAsia="宋体" w:cs="Times New Roman"/>
                <w:color w:val="auto"/>
                <w:kern w:val="0"/>
                <w:sz w:val="24"/>
                <w:highlight w:val="none"/>
                <w:lang w:eastAsia="zh-CN"/>
              </w:rPr>
              <w:t>供应商</w:t>
            </w:r>
            <w:r>
              <w:rPr>
                <w:rFonts w:hint="eastAsia" w:ascii="Times New Roman" w:hAnsi="Times New Roman" w:eastAsia="宋体" w:cs="Times New Roman"/>
                <w:color w:val="auto"/>
                <w:kern w:val="0"/>
                <w:sz w:val="24"/>
                <w:highlight w:val="none"/>
              </w:rPr>
              <w:t>都可以对</w:t>
            </w:r>
            <w:r>
              <w:rPr>
                <w:rFonts w:hint="default" w:ascii="Times New Roman" w:hAnsi="Times New Roman" w:eastAsia="宋体" w:cs="Times New Roman"/>
                <w:color w:val="auto"/>
                <w:kern w:val="0"/>
                <w:sz w:val="24"/>
                <w:highlight w:val="none"/>
              </w:rPr>
              <w:t>A</w:t>
            </w:r>
            <w:r>
              <w:rPr>
                <w:rFonts w:hint="eastAsia" w:ascii="Times New Roman" w:hAnsi="Times New Roman" w:eastAsia="宋体" w:cs="Times New Roman"/>
                <w:color w:val="auto"/>
                <w:kern w:val="0"/>
                <w:sz w:val="24"/>
                <w:highlight w:val="none"/>
              </w:rPr>
              <w:t>、</w:t>
            </w:r>
            <w:r>
              <w:rPr>
                <w:rFonts w:hint="default" w:ascii="Times New Roman" w:hAnsi="Times New Roman" w:eastAsia="宋体" w:cs="Times New Roman"/>
                <w:color w:val="auto"/>
                <w:kern w:val="0"/>
                <w:sz w:val="24"/>
                <w:highlight w:val="none"/>
              </w:rPr>
              <w:t>B</w:t>
            </w:r>
            <w:r>
              <w:rPr>
                <w:rFonts w:hint="eastAsia" w:ascii="Times New Roman" w:hAnsi="Times New Roman" w:eastAsia="宋体" w:cs="Times New Roman"/>
                <w:color w:val="auto"/>
                <w:kern w:val="0"/>
                <w:sz w:val="24"/>
                <w:highlight w:val="none"/>
              </w:rPr>
              <w:t>分标进行投标。</w:t>
            </w:r>
          </w:p>
        </w:tc>
      </w:tr>
      <w:tr w14:paraId="71EC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noWrap w:val="0"/>
            <w:vAlign w:val="center"/>
          </w:tcPr>
          <w:p w14:paraId="191CAE53">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16</w:t>
            </w:r>
          </w:p>
        </w:tc>
        <w:tc>
          <w:tcPr>
            <w:tcW w:w="945" w:type="dxa"/>
            <w:noWrap w:val="0"/>
            <w:vAlign w:val="center"/>
          </w:tcPr>
          <w:p w14:paraId="2CED43F1">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71FBB097">
            <w:pPr>
              <w:pStyle w:val="35"/>
              <w:keepNext w:val="0"/>
              <w:keepLines w:val="0"/>
              <w:pageBreakBefore w:val="0"/>
              <w:kinsoku/>
              <w:wordWrap/>
              <w:overflowPunct/>
              <w:topLinePunct w:val="0"/>
              <w:autoSpaceDE/>
              <w:autoSpaceDN/>
              <w:bidi w:val="0"/>
              <w:snapToGrid/>
              <w:spacing w:before="78" w:line="440" w:lineRule="exact"/>
              <w:rPr>
                <w:rFonts w:hint="default" w:ascii="Times New Roman" w:hAnsi="Times New Roman" w:eastAsia="宋体" w:cs="Times New Roman"/>
                <w:bCs/>
                <w:color w:val="auto"/>
                <w:sz w:val="24"/>
                <w:highlight w:val="none"/>
                <w:lang w:val="en-US" w:bidi="ar-SA"/>
              </w:rPr>
            </w:pPr>
            <w:r>
              <w:rPr>
                <w:rFonts w:hint="default" w:ascii="Times New Roman" w:hAnsi="Times New Roman" w:eastAsia="宋体" w:cs="Times New Roman"/>
                <w:bCs/>
                <w:color w:val="auto"/>
                <w:sz w:val="24"/>
                <w:highlight w:val="none"/>
                <w:lang w:val="en-US" w:bidi="ar-SA"/>
              </w:rPr>
              <w:t>其他说明：</w:t>
            </w:r>
          </w:p>
          <w:p w14:paraId="6619BF38">
            <w:pPr>
              <w:pStyle w:val="35"/>
              <w:spacing w:before="78" w:line="440" w:lineRule="exact"/>
              <w:rPr>
                <w:bCs/>
                <w:color w:val="auto"/>
                <w:sz w:val="24"/>
                <w:highlight w:val="none"/>
                <w:lang w:val="en-US" w:bidi="ar-SA"/>
              </w:rPr>
            </w:pPr>
            <w:r>
              <w:rPr>
                <w:rFonts w:hint="eastAsia"/>
                <w:bCs/>
                <w:color w:val="auto"/>
                <w:sz w:val="24"/>
                <w:highlight w:val="none"/>
                <w:lang w:val="en-US" w:bidi="ar-SA"/>
              </w:rPr>
              <w:t>1、本文件中描述磋商供应商的“公章”是指根据我国对公章的管理规定，用磋商供应商法定主体行为名称制作的印章，除本文件有特殊规定外，磋商供应商的财务章、部门章、分公司章、工会章、合同章、投标专用章、业务专用章及银行的转账章、现金收讫章、现金付讫章等其它形式印章均不能代替公章。</w:t>
            </w:r>
          </w:p>
          <w:p w14:paraId="3383AA8D">
            <w:pPr>
              <w:pStyle w:val="35"/>
              <w:keepNext w:val="0"/>
              <w:keepLines w:val="0"/>
              <w:pageBreakBefore w:val="0"/>
              <w:numPr>
                <w:ilvl w:val="0"/>
                <w:numId w:val="0"/>
              </w:numPr>
              <w:kinsoku/>
              <w:wordWrap/>
              <w:overflowPunct/>
              <w:topLinePunct w:val="0"/>
              <w:autoSpaceDE/>
              <w:autoSpaceDN/>
              <w:bidi w:val="0"/>
              <w:snapToGrid/>
              <w:spacing w:before="90" w:line="440" w:lineRule="exact"/>
              <w:ind w:right="89" w:rightChars="0"/>
              <w:rPr>
                <w:rFonts w:hint="default" w:ascii="Times New Roman" w:hAnsi="Times New Roman" w:eastAsia="宋体" w:cs="Times New Roman"/>
                <w:bCs/>
                <w:color w:val="auto"/>
                <w:sz w:val="24"/>
                <w:highlight w:val="none"/>
                <w:lang w:val="en-US" w:bidi="ar-SA"/>
              </w:rPr>
            </w:pPr>
            <w:r>
              <w:rPr>
                <w:rFonts w:hint="eastAsia" w:ascii="宋体" w:hAnsi="宋体" w:cs="宋体"/>
                <w:bCs/>
                <w:color w:val="auto"/>
                <w:sz w:val="24"/>
                <w:highlight w:val="none"/>
              </w:rPr>
              <w:t>2、本磋商文件所称的“电子签章”、“电子签名”，是指经“广西政府采购云平台”平台认可的CA认证的电子签名数据为表现形式的印章，可用于签署电子响应文件，电子印章与实物印章具有同等法律效力，不因其采用电子化表现形式而否定其法律效力。</w:t>
            </w:r>
          </w:p>
        </w:tc>
      </w:tr>
      <w:tr w14:paraId="68B1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noWrap w:val="0"/>
            <w:vAlign w:val="center"/>
          </w:tcPr>
          <w:p w14:paraId="3E4F3D50">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17</w:t>
            </w:r>
          </w:p>
        </w:tc>
        <w:tc>
          <w:tcPr>
            <w:tcW w:w="945" w:type="dxa"/>
            <w:noWrap w:val="0"/>
            <w:vAlign w:val="center"/>
          </w:tcPr>
          <w:p w14:paraId="52BAD7CE">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rPr>
            </w:pPr>
          </w:p>
        </w:tc>
        <w:tc>
          <w:tcPr>
            <w:tcW w:w="7862" w:type="dxa"/>
            <w:noWrap w:val="0"/>
            <w:vAlign w:val="center"/>
          </w:tcPr>
          <w:p w14:paraId="7A5BEB02">
            <w:pPr>
              <w:pStyle w:val="36"/>
              <w:keepNext w:val="0"/>
              <w:keepLines w:val="0"/>
              <w:pageBreakBefore w:val="0"/>
              <w:widowControl w:val="0"/>
              <w:kinsoku/>
              <w:wordWrap/>
              <w:overflowPunct/>
              <w:topLinePunct w:val="0"/>
              <w:autoSpaceDE/>
              <w:autoSpaceDN/>
              <w:bidi w:val="0"/>
              <w:adjustRightInd/>
              <w:snapToGrid/>
              <w:spacing w:line="44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bCs/>
                <w:color w:val="auto"/>
                <w:sz w:val="24"/>
                <w:szCs w:val="24"/>
                <w:highlight w:val="none"/>
              </w:rPr>
              <w:t>前准备：</w:t>
            </w:r>
          </w:p>
          <w:p w14:paraId="5715D53F">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bCs/>
                <w:color w:val="auto"/>
                <w:sz w:val="24"/>
                <w:highlight w:val="none"/>
              </w:rPr>
              <w:t>、本项目实行网上</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，采用电子</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响应文件。若供应商参与</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，自行承担</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一切费用。</w:t>
            </w:r>
          </w:p>
          <w:p w14:paraId="29275980">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2、各供应商应在截标前应确保成为</w:t>
            </w:r>
            <w:r>
              <w:rPr>
                <w:rFonts w:hint="eastAsia" w:cs="Times New Roman"/>
                <w:bCs/>
                <w:color w:val="auto"/>
                <w:sz w:val="24"/>
                <w:highlight w:val="none"/>
                <w:lang w:eastAsia="zh-CN"/>
              </w:rPr>
              <w:t>广西政府采购云平台</w:t>
            </w:r>
            <w:r>
              <w:rPr>
                <w:rFonts w:hint="default" w:ascii="Times New Roman" w:hAnsi="Times New Roman" w:eastAsia="宋体" w:cs="Times New Roman"/>
                <w:bCs/>
                <w:color w:val="auto"/>
                <w:sz w:val="24"/>
                <w:highlight w:val="none"/>
              </w:rPr>
              <w:t>正式注册入库供应商，并完成CA数字证书申领。因未注册入库、未办理CA数字证书等原因造成无法</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或</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失败等后果由供应商自行承担。</w:t>
            </w:r>
          </w:p>
          <w:p w14:paraId="3EC10A78">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3、供应商将</w:t>
            </w:r>
            <w:r>
              <w:rPr>
                <w:rFonts w:hint="eastAsia" w:cs="Times New Roman"/>
                <w:bCs/>
                <w:color w:val="auto"/>
                <w:sz w:val="24"/>
                <w:highlight w:val="none"/>
                <w:lang w:eastAsia="zh-CN"/>
              </w:rPr>
              <w:t>广西政府采购云平台</w:t>
            </w:r>
            <w:r>
              <w:rPr>
                <w:rFonts w:hint="default" w:ascii="Times New Roman" w:hAnsi="Times New Roman" w:eastAsia="宋体" w:cs="Times New Roman"/>
                <w:bCs/>
                <w:color w:val="auto"/>
                <w:sz w:val="24"/>
                <w:highlight w:val="none"/>
              </w:rPr>
              <w:t>电子交易客户端下载、安装完成后，可通过账号密码或CA登录客户端进行响应文件制作。客户端请至网站下载专区查看，如有问题可拨打</w:t>
            </w:r>
            <w:r>
              <w:rPr>
                <w:rFonts w:hint="eastAsia" w:cs="Times New Roman"/>
                <w:bCs/>
                <w:color w:val="auto"/>
                <w:sz w:val="24"/>
                <w:highlight w:val="none"/>
                <w:lang w:eastAsia="zh-CN"/>
              </w:rPr>
              <w:t>广西政府采购云平台</w:t>
            </w:r>
            <w:r>
              <w:rPr>
                <w:rFonts w:hint="default" w:ascii="Times New Roman" w:hAnsi="Times New Roman" w:eastAsia="宋体" w:cs="Times New Roman"/>
                <w:bCs/>
                <w:color w:val="auto"/>
                <w:sz w:val="24"/>
                <w:highlight w:val="none"/>
              </w:rPr>
              <w:t>客户服务热线</w:t>
            </w:r>
            <w:r>
              <w:rPr>
                <w:rFonts w:hint="eastAsia" w:cs="Times New Roman"/>
                <w:bCs/>
                <w:color w:val="auto"/>
                <w:sz w:val="24"/>
                <w:highlight w:val="none"/>
                <w:lang w:eastAsia="zh-CN"/>
              </w:rPr>
              <w:t>95763</w:t>
            </w:r>
            <w:r>
              <w:rPr>
                <w:rFonts w:hint="default" w:ascii="Times New Roman" w:hAnsi="Times New Roman" w:eastAsia="宋体" w:cs="Times New Roman"/>
                <w:bCs/>
                <w:color w:val="auto"/>
                <w:sz w:val="24"/>
                <w:highlight w:val="none"/>
              </w:rPr>
              <w:t>进行咨询。</w:t>
            </w:r>
          </w:p>
          <w:p w14:paraId="48EA705D">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sz w:val="24"/>
                <w:highlight w:val="none"/>
                <w:lang w:eastAsia="zh-CN"/>
              </w:rPr>
              <w:t>磋商</w:t>
            </w:r>
            <w:r>
              <w:rPr>
                <w:rFonts w:hint="default" w:ascii="Times New Roman" w:hAnsi="Times New Roman" w:eastAsia="宋体" w:cs="Times New Roman"/>
                <w:b/>
                <w:bCs w:val="0"/>
                <w:color w:val="auto"/>
                <w:sz w:val="24"/>
                <w:highlight w:val="none"/>
              </w:rPr>
              <w:t>响应文件解密时间：</w:t>
            </w:r>
          </w:p>
          <w:p w14:paraId="3C602C4A">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highlight w:val="none"/>
                <w:lang w:val="en-US" w:bidi="ar-SA"/>
              </w:rPr>
            </w:pPr>
            <w:r>
              <w:rPr>
                <w:rFonts w:hint="default" w:ascii="Times New Roman" w:hAnsi="Times New Roman" w:eastAsia="宋体" w:cs="Times New Roman"/>
                <w:bCs/>
                <w:color w:val="auto"/>
                <w:sz w:val="24"/>
                <w:highlight w:val="none"/>
              </w:rPr>
              <w:t>截标时间后30分钟内</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供应商可以登录</w:t>
            </w:r>
            <w:r>
              <w:rPr>
                <w:rFonts w:hint="eastAsia" w:cs="Times New Roman"/>
                <w:bCs/>
                <w:color w:val="auto"/>
                <w:sz w:val="24"/>
                <w:highlight w:val="none"/>
                <w:lang w:eastAsia="zh-CN"/>
              </w:rPr>
              <w:t>广西政府采购云平台</w:t>
            </w:r>
            <w:r>
              <w:rPr>
                <w:rFonts w:hint="default" w:ascii="Times New Roman" w:hAnsi="Times New Roman" w:eastAsia="宋体" w:cs="Times New Roman"/>
                <w:bCs/>
                <w:color w:val="auto"/>
                <w:sz w:val="24"/>
                <w:highlight w:val="none"/>
              </w:rPr>
              <w:t>，用</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项目采购-开标评标</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功能进行解密</w:t>
            </w:r>
            <w:r>
              <w:rPr>
                <w:rFonts w:hint="default" w:ascii="Times New Roman" w:hAnsi="Times New Roman" w:eastAsia="宋体" w:cs="Times New Roman"/>
                <w:bCs/>
                <w:color w:val="auto"/>
                <w:sz w:val="24"/>
                <w:highlight w:val="none"/>
                <w:lang w:eastAsia="zh-CN"/>
              </w:rPr>
              <w:t>磋商</w:t>
            </w:r>
            <w:r>
              <w:rPr>
                <w:rFonts w:hint="default" w:ascii="Times New Roman" w:hAnsi="Times New Roman" w:eastAsia="宋体" w:cs="Times New Roman"/>
                <w:bCs/>
                <w:color w:val="auto"/>
                <w:sz w:val="24"/>
                <w:highlight w:val="none"/>
              </w:rPr>
              <w:t>响应文件。</w:t>
            </w:r>
          </w:p>
        </w:tc>
      </w:tr>
      <w:tr w14:paraId="193E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6" w:type="dxa"/>
            <w:noWrap w:val="0"/>
            <w:vAlign w:val="center"/>
          </w:tcPr>
          <w:p w14:paraId="440F4092">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18</w:t>
            </w:r>
          </w:p>
        </w:tc>
        <w:tc>
          <w:tcPr>
            <w:tcW w:w="945" w:type="dxa"/>
            <w:noWrap w:val="0"/>
            <w:vAlign w:val="center"/>
          </w:tcPr>
          <w:p w14:paraId="04E5F453">
            <w:pPr>
              <w:keepNext w:val="0"/>
              <w:keepLines w:val="0"/>
              <w:pageBreakBefore w:val="0"/>
              <w:kinsoku/>
              <w:wordWrap/>
              <w:overflowPunct/>
              <w:topLinePunct w:val="0"/>
              <w:autoSpaceDE/>
              <w:autoSpaceDN/>
              <w:bidi w:val="0"/>
              <w:snapToGrid/>
              <w:spacing w:line="440" w:lineRule="exact"/>
              <w:jc w:val="center"/>
              <w:rPr>
                <w:rFonts w:hint="default" w:ascii="Times New Roman" w:hAnsi="Times New Roman" w:eastAsia="宋体" w:cs="Times New Roman"/>
                <w:color w:val="auto"/>
                <w:sz w:val="24"/>
                <w:highlight w:val="none"/>
                <w:lang w:val="en-US" w:eastAsia="zh-CN"/>
              </w:rPr>
            </w:pPr>
          </w:p>
        </w:tc>
        <w:tc>
          <w:tcPr>
            <w:tcW w:w="7862" w:type="dxa"/>
            <w:noWrap w:val="0"/>
            <w:vAlign w:val="center"/>
          </w:tcPr>
          <w:p w14:paraId="61091694">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监督部门</w:t>
            </w:r>
            <w:r>
              <w:rPr>
                <w:rFonts w:hint="default" w:ascii="Times New Roman" w:hAnsi="Times New Roman" w:eastAsia="宋体" w:cs="Times New Roman"/>
                <w:bCs/>
                <w:color w:val="auto"/>
                <w:sz w:val="24"/>
                <w:highlight w:val="none"/>
                <w:lang w:eastAsia="zh-CN"/>
              </w:rPr>
              <w:t>：</w:t>
            </w:r>
          </w:p>
          <w:p w14:paraId="37CD976B">
            <w:pPr>
              <w:keepNext w:val="0"/>
              <w:keepLines w:val="0"/>
              <w:pageBreakBefore w:val="0"/>
              <w:kinsoku/>
              <w:wordWrap/>
              <w:overflowPunct/>
              <w:topLinePunct w:val="0"/>
              <w:autoSpaceDE/>
              <w:autoSpaceDN/>
              <w:bidi w:val="0"/>
              <w:snapToGrid/>
              <w:spacing w:line="440" w:lineRule="exact"/>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eastAsia="zh-CN"/>
              </w:rPr>
              <w:t>桂平市财政局政府采购监督管理股</w:t>
            </w:r>
            <w:r>
              <w:rPr>
                <w:rFonts w:hint="default" w:ascii="Times New Roman" w:hAnsi="Times New Roman" w:eastAsia="宋体"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lang w:eastAsia="zh-CN"/>
              </w:rPr>
              <w:t>0775-3380263</w:t>
            </w:r>
          </w:p>
        </w:tc>
      </w:tr>
    </w:tbl>
    <w:p w14:paraId="1802A2AA">
      <w:pPr>
        <w:spacing w:line="360" w:lineRule="auto"/>
        <w:jc w:val="center"/>
        <w:rPr>
          <w:rFonts w:hint="default" w:ascii="Times New Roman" w:hAnsi="Times New Roman" w:eastAsia="宋体" w:cs="Times New Roman"/>
          <w:b/>
          <w:color w:val="auto"/>
          <w:sz w:val="32"/>
          <w:highlight w:val="none"/>
        </w:rPr>
      </w:pPr>
    </w:p>
    <w:p w14:paraId="57F7F483">
      <w:pPr>
        <w:spacing w:line="360" w:lineRule="auto"/>
        <w:jc w:val="center"/>
        <w:rPr>
          <w:rFonts w:hint="default" w:ascii="Times New Roman" w:hAnsi="Times New Roman" w:eastAsia="宋体" w:cs="Times New Roman"/>
          <w:b/>
          <w:color w:val="auto"/>
          <w:sz w:val="32"/>
          <w:highlight w:val="none"/>
        </w:rPr>
      </w:pPr>
    </w:p>
    <w:p w14:paraId="7AD65D53">
      <w:pPr>
        <w:spacing w:line="360" w:lineRule="auto"/>
        <w:jc w:val="center"/>
        <w:rPr>
          <w:rFonts w:hint="default" w:ascii="Times New Roman" w:hAnsi="Times New Roman" w:eastAsia="宋体" w:cs="Times New Roman"/>
          <w:b/>
          <w:color w:val="auto"/>
          <w:sz w:val="32"/>
          <w:highlight w:val="none"/>
        </w:rPr>
      </w:pPr>
    </w:p>
    <w:p w14:paraId="79814DE9">
      <w:pPr>
        <w:pStyle w:val="6"/>
        <w:rPr>
          <w:rFonts w:hint="default" w:ascii="Times New Roman" w:hAnsi="Times New Roman" w:eastAsia="宋体" w:cs="Times New Roman"/>
          <w:b w:val="0"/>
          <w:color w:val="auto"/>
          <w:sz w:val="32"/>
          <w:highlight w:val="none"/>
        </w:rPr>
      </w:pPr>
    </w:p>
    <w:p w14:paraId="7E0F209B">
      <w:pPr>
        <w:spacing w:line="360" w:lineRule="auto"/>
        <w:jc w:val="both"/>
        <w:rPr>
          <w:rFonts w:hint="default" w:ascii="Times New Roman" w:hAnsi="Times New Roman" w:eastAsia="宋体" w:cs="Times New Roman"/>
          <w:b/>
          <w:color w:val="auto"/>
          <w:sz w:val="32"/>
          <w:highlight w:val="none"/>
        </w:rPr>
      </w:pPr>
    </w:p>
    <w:p w14:paraId="093E382E">
      <w:pPr>
        <w:spacing w:line="360" w:lineRule="auto"/>
        <w:jc w:val="center"/>
        <w:rPr>
          <w:rFonts w:hint="default" w:ascii="Times New Roman" w:hAnsi="Times New Roman" w:eastAsia="宋体" w:cs="Times New Roman"/>
          <w:b/>
          <w:color w:val="auto"/>
          <w:sz w:val="32"/>
          <w:highlight w:val="none"/>
        </w:rPr>
      </w:pPr>
    </w:p>
    <w:p w14:paraId="52654774">
      <w:pPr>
        <w:spacing w:line="360" w:lineRule="auto"/>
        <w:jc w:val="center"/>
        <w:rPr>
          <w:rFonts w:hint="default" w:ascii="Times New Roman" w:hAnsi="Times New Roman" w:eastAsia="宋体" w:cs="Times New Roman"/>
          <w:b/>
          <w:color w:val="auto"/>
          <w:sz w:val="32"/>
          <w:highlight w:val="none"/>
        </w:rPr>
      </w:pPr>
    </w:p>
    <w:p w14:paraId="7BC7998E">
      <w:pPr>
        <w:spacing w:line="360" w:lineRule="auto"/>
        <w:jc w:val="center"/>
        <w:rPr>
          <w:rFonts w:hint="default" w:ascii="Times New Roman" w:hAnsi="Times New Roman" w:eastAsia="宋体" w:cs="Times New Roman"/>
          <w:b/>
          <w:color w:val="auto"/>
          <w:sz w:val="32"/>
          <w:highlight w:val="none"/>
        </w:rPr>
      </w:pPr>
    </w:p>
    <w:p w14:paraId="2B3D0AE4">
      <w:pPr>
        <w:spacing w:line="360" w:lineRule="auto"/>
        <w:jc w:val="center"/>
        <w:rPr>
          <w:rFonts w:hint="default" w:ascii="Times New Roman" w:hAnsi="Times New Roman" w:eastAsia="宋体" w:cs="Times New Roman"/>
          <w:b/>
          <w:color w:val="auto"/>
          <w:sz w:val="32"/>
          <w:highlight w:val="none"/>
        </w:rPr>
      </w:pPr>
    </w:p>
    <w:p w14:paraId="1C481BA5">
      <w:pPr>
        <w:spacing w:line="360" w:lineRule="auto"/>
        <w:jc w:val="center"/>
        <w:rPr>
          <w:rFonts w:hint="default" w:ascii="Times New Roman" w:hAnsi="Times New Roman" w:eastAsia="宋体" w:cs="Times New Roman"/>
          <w:b/>
          <w:color w:val="auto"/>
          <w:sz w:val="32"/>
          <w:highlight w:val="none"/>
        </w:rPr>
      </w:pPr>
    </w:p>
    <w:p w14:paraId="75ABBFBB">
      <w:pPr>
        <w:spacing w:line="360" w:lineRule="auto"/>
        <w:jc w:val="center"/>
        <w:rPr>
          <w:rFonts w:hint="default" w:ascii="Times New Roman" w:hAnsi="Times New Roman" w:eastAsia="宋体" w:cs="Times New Roman"/>
          <w:b/>
          <w:color w:val="auto"/>
          <w:sz w:val="32"/>
          <w:highlight w:val="none"/>
        </w:rPr>
      </w:pPr>
    </w:p>
    <w:p w14:paraId="47A0FBAF">
      <w:pPr>
        <w:spacing w:line="360" w:lineRule="auto"/>
        <w:jc w:val="center"/>
        <w:rPr>
          <w:rFonts w:hint="default" w:ascii="Times New Roman" w:hAnsi="Times New Roman" w:eastAsia="宋体" w:cs="Times New Roman"/>
          <w:b/>
          <w:color w:val="auto"/>
          <w:sz w:val="32"/>
          <w:highlight w:val="none"/>
        </w:rPr>
      </w:pPr>
    </w:p>
    <w:p w14:paraId="1FBCCDEC">
      <w:pPr>
        <w:spacing w:line="360" w:lineRule="auto"/>
        <w:jc w:val="center"/>
        <w:rPr>
          <w:rFonts w:hint="default" w:ascii="Times New Roman" w:hAnsi="Times New Roman" w:eastAsia="宋体" w:cs="Times New Roman"/>
          <w:b/>
          <w:color w:val="auto"/>
          <w:sz w:val="32"/>
          <w:highlight w:val="none"/>
        </w:rPr>
      </w:pPr>
    </w:p>
    <w:p w14:paraId="6E24630B">
      <w:pPr>
        <w:spacing w:line="360" w:lineRule="auto"/>
        <w:jc w:val="center"/>
        <w:rPr>
          <w:rFonts w:hint="default" w:ascii="Times New Roman" w:hAnsi="Times New Roman" w:eastAsia="宋体" w:cs="Times New Roman"/>
          <w:b/>
          <w:color w:val="auto"/>
          <w:sz w:val="32"/>
          <w:highlight w:val="none"/>
        </w:rPr>
      </w:pPr>
    </w:p>
    <w:p w14:paraId="6E2AC4BF">
      <w:pPr>
        <w:spacing w:line="360" w:lineRule="auto"/>
        <w:jc w:val="center"/>
        <w:rPr>
          <w:rFonts w:hint="default" w:ascii="Times New Roman" w:hAnsi="Times New Roman" w:eastAsia="宋体" w:cs="Times New Roman"/>
          <w:b/>
          <w:color w:val="auto"/>
          <w:sz w:val="32"/>
          <w:highlight w:val="none"/>
        </w:rPr>
      </w:pPr>
    </w:p>
    <w:p w14:paraId="6E160D40">
      <w:pPr>
        <w:spacing w:line="360" w:lineRule="auto"/>
        <w:jc w:val="center"/>
        <w:rPr>
          <w:rFonts w:hint="default" w:ascii="Times New Roman" w:hAnsi="Times New Roman" w:eastAsia="宋体" w:cs="Times New Roman"/>
          <w:b/>
          <w:color w:val="auto"/>
          <w:sz w:val="32"/>
          <w:highlight w:val="none"/>
        </w:rPr>
      </w:pPr>
    </w:p>
    <w:p w14:paraId="6E4FBE49">
      <w:pPr>
        <w:spacing w:line="360" w:lineRule="auto"/>
        <w:jc w:val="center"/>
        <w:rPr>
          <w:rFonts w:hint="default" w:ascii="Times New Roman" w:hAnsi="Times New Roman" w:eastAsia="宋体" w:cs="Times New Roman"/>
          <w:b/>
          <w:color w:val="auto"/>
          <w:sz w:val="32"/>
          <w:highlight w:val="none"/>
        </w:rPr>
      </w:pPr>
    </w:p>
    <w:p w14:paraId="5E9EF009">
      <w:pPr>
        <w:spacing w:line="360" w:lineRule="auto"/>
        <w:jc w:val="center"/>
        <w:rPr>
          <w:rFonts w:hint="default" w:ascii="Times New Roman" w:hAnsi="Times New Roman" w:eastAsia="宋体" w:cs="Times New Roman"/>
          <w:b/>
          <w:color w:val="auto"/>
          <w:sz w:val="32"/>
          <w:highlight w:val="none"/>
        </w:rPr>
      </w:pPr>
    </w:p>
    <w:p w14:paraId="34F4A37F">
      <w:pPr>
        <w:spacing w:line="360" w:lineRule="auto"/>
        <w:jc w:val="center"/>
        <w:rPr>
          <w:rFonts w:hint="default" w:ascii="Times New Roman" w:hAnsi="Times New Roman" w:eastAsia="宋体" w:cs="Times New Roman"/>
          <w:b/>
          <w:color w:val="auto"/>
          <w:sz w:val="32"/>
          <w:highlight w:val="none"/>
        </w:rPr>
      </w:pPr>
    </w:p>
    <w:p w14:paraId="68E784DB">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宋体" w:cs="Times New Roman"/>
          <w:b/>
          <w:color w:val="auto"/>
          <w:sz w:val="32"/>
          <w:highlight w:val="none"/>
        </w:rPr>
      </w:pPr>
    </w:p>
    <w:p w14:paraId="061C013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rPr>
        <w:t>磋商须知</w:t>
      </w:r>
    </w:p>
    <w:p w14:paraId="013C6DEA">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p>
    <w:p w14:paraId="0DFAB5D9">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一、总　则</w:t>
      </w:r>
    </w:p>
    <w:p w14:paraId="44D471C1">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 适用范围</w:t>
      </w:r>
    </w:p>
    <w:p w14:paraId="055C51C6">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 本文件仅适用于本文件中所叙述的工程、货物和服务类采购项目。</w:t>
      </w:r>
    </w:p>
    <w:p w14:paraId="3DBB78E4">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 定义</w:t>
      </w:r>
    </w:p>
    <w:p w14:paraId="26B8B161">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2.1“采购人”是指：</w:t>
      </w:r>
      <w:r>
        <w:rPr>
          <w:rFonts w:hint="eastAsia" w:ascii="Times New Roman" w:hAnsi="Times New Roman" w:eastAsia="宋体" w:cs="Times New Roman"/>
          <w:color w:val="auto"/>
          <w:sz w:val="24"/>
          <w:highlight w:val="none"/>
          <w:lang w:eastAsia="zh-CN"/>
        </w:rPr>
        <w:t>桂平市民政局</w:t>
      </w:r>
      <w:r>
        <w:rPr>
          <w:rFonts w:hint="default" w:ascii="Times New Roman" w:hAnsi="Times New Roman" w:eastAsia="宋体" w:cs="Times New Roman"/>
          <w:color w:val="auto"/>
          <w:sz w:val="24"/>
          <w:highlight w:val="none"/>
        </w:rPr>
        <w:t>。</w:t>
      </w:r>
    </w:p>
    <w:p w14:paraId="6F60729D">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2.2“采购代理机构”是指：</w:t>
      </w:r>
      <w:r>
        <w:rPr>
          <w:rFonts w:hint="eastAsia" w:cs="Times New Roman"/>
          <w:color w:val="auto"/>
          <w:sz w:val="24"/>
          <w:highlight w:val="none"/>
          <w:lang w:eastAsia="zh-CN"/>
        </w:rPr>
        <w:t>广西创佳项目</w:t>
      </w:r>
      <w:r>
        <w:rPr>
          <w:rFonts w:hint="eastAsia" w:ascii="Times New Roman" w:hAnsi="Times New Roman" w:eastAsia="宋体" w:cs="Times New Roman"/>
          <w:color w:val="auto"/>
          <w:sz w:val="24"/>
          <w:highlight w:val="none"/>
          <w:lang w:eastAsia="zh-CN"/>
        </w:rPr>
        <w:t>管理有限公司</w:t>
      </w:r>
      <w:r>
        <w:rPr>
          <w:rFonts w:hint="default" w:ascii="Times New Roman" w:hAnsi="Times New Roman" w:eastAsia="宋体" w:cs="Times New Roman"/>
          <w:color w:val="auto"/>
          <w:sz w:val="24"/>
          <w:highlight w:val="none"/>
        </w:rPr>
        <w:t>。</w:t>
      </w:r>
    </w:p>
    <w:p w14:paraId="46A341E9">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2.3“供应商”是指响应本文件要求，参加磋商的法人或者其他组织。如果该供应商在本次磋商中成交，即成为“成交供应商”。</w:t>
      </w:r>
    </w:p>
    <w:p w14:paraId="059C3FA7">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2.4“货物”是指各种形态和种类的物品，包括原材料、燃料、设备、产品等。</w:t>
      </w:r>
    </w:p>
    <w:p w14:paraId="634E61A8">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2.5“服务”是指除货物和工程以外的其他采购对象。</w:t>
      </w:r>
    </w:p>
    <w:p w14:paraId="5A39F2C3">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2.6“响应文件”是指：供应商根据本文件要求，编制包含报价、技术和服务等所有内容的响应文件。</w:t>
      </w:r>
    </w:p>
    <w:p w14:paraId="2F72A5F0">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 供应商的基本条件</w:t>
      </w:r>
    </w:p>
    <w:p w14:paraId="39CA0CD8">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 供应商资格：详见</w:t>
      </w:r>
      <w:r>
        <w:rPr>
          <w:rFonts w:hint="default" w:ascii="Times New Roman" w:hAnsi="Times New Roman" w:eastAsia="宋体" w:cs="Times New Roman"/>
          <w:color w:val="auto"/>
          <w:sz w:val="24"/>
          <w:highlight w:val="none"/>
          <w:lang w:eastAsia="zh-CN"/>
        </w:rPr>
        <w:t>前附表第</w:t>
      </w:r>
      <w:r>
        <w:rPr>
          <w:rFonts w:hint="default" w:ascii="Times New Roman" w:hAnsi="Times New Roman" w:eastAsia="宋体" w:cs="Times New Roman"/>
          <w:color w:val="auto"/>
          <w:sz w:val="24"/>
          <w:highlight w:val="none"/>
          <w:lang w:val="en-US" w:eastAsia="zh-CN"/>
        </w:rPr>
        <w:t>2项要求</w:t>
      </w:r>
      <w:r>
        <w:rPr>
          <w:rFonts w:hint="default" w:ascii="Times New Roman" w:hAnsi="Times New Roman" w:eastAsia="宋体" w:cs="Times New Roman"/>
          <w:color w:val="auto"/>
          <w:sz w:val="24"/>
          <w:highlight w:val="none"/>
        </w:rPr>
        <w:t>。</w:t>
      </w:r>
    </w:p>
    <w:p w14:paraId="60CF538F">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 联合体</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：本项目不接受联合体参加。</w:t>
      </w:r>
    </w:p>
    <w:p w14:paraId="47A975DF">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 磋商费用</w:t>
      </w:r>
    </w:p>
    <w:p w14:paraId="18848EF4">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4.1不论磋商结果如何，供应商应自行承担所有与编写和提交响应文件有关的费用，采购人和采购代理机构在任何情况下无义务和责任承担此类费用。</w:t>
      </w:r>
    </w:p>
    <w:p w14:paraId="3D76C9D1">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4.2本项目代理服务费：见本须知前附表。</w:t>
      </w:r>
    </w:p>
    <w:p w14:paraId="1ECA09C0">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二、磋商文件</w:t>
      </w:r>
    </w:p>
    <w:p w14:paraId="0072EA8E">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5.磋商文件的组成</w:t>
      </w:r>
    </w:p>
    <w:p w14:paraId="705999C2">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（1）竞争性磋商公告；</w:t>
      </w:r>
    </w:p>
    <w:p w14:paraId="0BA681B1">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（2）磋商须知及前附表；</w:t>
      </w:r>
    </w:p>
    <w:p w14:paraId="108C679F">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项目采购需求</w:t>
      </w:r>
      <w:r>
        <w:rPr>
          <w:rFonts w:hint="default" w:ascii="Times New Roman" w:hAnsi="Times New Roman" w:eastAsia="宋体" w:cs="Times New Roman"/>
          <w:color w:val="auto"/>
          <w:sz w:val="24"/>
          <w:highlight w:val="none"/>
        </w:rPr>
        <w:t>；</w:t>
      </w:r>
    </w:p>
    <w:p w14:paraId="433A362F">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（4）竞争性磋商响应文件格式；</w:t>
      </w:r>
    </w:p>
    <w:p w14:paraId="5B8CB38F">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（5）合同主要条款（格式）；</w:t>
      </w:r>
    </w:p>
    <w:p w14:paraId="30174C87">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w:t>
      </w:r>
      <w:r>
        <w:rPr>
          <w:rFonts w:hint="default" w:ascii="Times New Roman" w:hAnsi="Times New Roman" w:eastAsia="宋体" w:cs="Times New Roman"/>
          <w:color w:val="auto"/>
          <w:sz w:val="24"/>
          <w:highlight w:val="none"/>
          <w:lang w:eastAsia="zh-CN"/>
        </w:rPr>
        <w:t>评标</w:t>
      </w:r>
      <w:r>
        <w:rPr>
          <w:rFonts w:hint="eastAsia" w:ascii="Times New Roman" w:hAnsi="Times New Roman" w:eastAsia="宋体" w:cs="Times New Roman"/>
          <w:color w:val="auto"/>
          <w:sz w:val="24"/>
          <w:highlight w:val="none"/>
          <w:lang w:eastAsia="zh-CN"/>
        </w:rPr>
        <w:t>方法</w:t>
      </w:r>
      <w:r>
        <w:rPr>
          <w:rFonts w:hint="default" w:ascii="Times New Roman" w:hAnsi="Times New Roman" w:eastAsia="宋体" w:cs="Times New Roman"/>
          <w:color w:val="auto"/>
          <w:sz w:val="24"/>
          <w:highlight w:val="none"/>
        </w:rPr>
        <w:t>；</w:t>
      </w:r>
    </w:p>
    <w:p w14:paraId="39820D1D">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lang w:eastAsia="zh-CN"/>
        </w:rPr>
        <w:t>）质疑书及投诉书格式</w:t>
      </w:r>
      <w:r>
        <w:rPr>
          <w:rFonts w:hint="default" w:ascii="Times New Roman" w:hAnsi="Times New Roman" w:eastAsia="宋体" w:cs="Times New Roman"/>
          <w:color w:val="auto"/>
          <w:sz w:val="24"/>
          <w:highlight w:val="none"/>
        </w:rPr>
        <w:t>；</w:t>
      </w:r>
    </w:p>
    <w:p w14:paraId="096C9B7A">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6.磋商文件的澄清或修改</w:t>
      </w:r>
    </w:p>
    <w:p w14:paraId="7EC78A81">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w:t>
      </w:r>
      <w:r>
        <w:rPr>
          <w:rFonts w:hint="default" w:ascii="Times New Roman" w:hAnsi="Times New Roman" w:eastAsia="宋体" w:cs="Times New Roman"/>
          <w:bCs/>
          <w:color w:val="auto"/>
          <w:sz w:val="24"/>
          <w:highlight w:val="none"/>
        </w:rPr>
        <w:t>采购代理机构应当在提交首次响应文件递交截止时间5日前在本项目竞争性磋商公告发布的同一媒体上发布更正公告，供应商自行登录竞争性磋商公告发布的相关网站查询，不足5日的，应当顺延首次响应文件递交截止时间。</w:t>
      </w:r>
    </w:p>
    <w:p w14:paraId="4949ECAE">
      <w:pPr>
        <w:keepNext w:val="0"/>
        <w:keepLines w:val="0"/>
        <w:pageBreakBefore w:val="0"/>
        <w:numPr>
          <w:ilvl w:val="0"/>
          <w:numId w:val="0"/>
        </w:numPr>
        <w:kinsoku/>
        <w:wordWrap/>
        <w:overflowPunct/>
        <w:topLinePunct w:val="0"/>
        <w:autoSpaceDE/>
        <w:autoSpaceDN/>
        <w:bidi w:val="0"/>
        <w:spacing w:line="440" w:lineRule="exact"/>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现场考察或答疑会</w:t>
      </w:r>
    </w:p>
    <w:p w14:paraId="302EE1E9">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不组织。</w:t>
      </w:r>
    </w:p>
    <w:p w14:paraId="218B3E62">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三、响应文件</w:t>
      </w:r>
    </w:p>
    <w:p w14:paraId="3A500F8C">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8.响应文件的组成</w:t>
      </w:r>
    </w:p>
    <w:p w14:paraId="12E7FBB7">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响应文件应分为资格审查文件</w:t>
      </w:r>
      <w:r>
        <w:rPr>
          <w:rFonts w:hint="default" w:ascii="Times New Roman" w:hAnsi="Times New Roman" w:eastAsia="宋体" w:cs="Times New Roman"/>
          <w:color w:val="auto"/>
          <w:sz w:val="24"/>
          <w:highlight w:val="none"/>
          <w:lang w:eastAsia="zh-CN"/>
        </w:rPr>
        <w:t>、报价</w:t>
      </w:r>
      <w:r>
        <w:rPr>
          <w:rFonts w:hint="default" w:ascii="Times New Roman" w:hAnsi="Times New Roman" w:eastAsia="宋体" w:cs="Times New Roman"/>
          <w:color w:val="auto"/>
          <w:sz w:val="24"/>
          <w:highlight w:val="none"/>
        </w:rPr>
        <w:t>文件</w:t>
      </w:r>
      <w:r>
        <w:rPr>
          <w:rFonts w:hint="default" w:ascii="Times New Roman" w:hAnsi="Times New Roman" w:eastAsia="宋体" w:cs="Times New Roman"/>
          <w:color w:val="auto"/>
          <w:sz w:val="24"/>
          <w:highlight w:val="none"/>
          <w:lang w:val="en-US" w:eastAsia="zh-CN"/>
        </w:rPr>
        <w:t>和</w:t>
      </w:r>
      <w:r>
        <w:rPr>
          <w:rFonts w:hint="default" w:ascii="Times New Roman" w:hAnsi="Times New Roman" w:eastAsia="宋体" w:cs="Times New Roman"/>
          <w:color w:val="auto"/>
          <w:sz w:val="24"/>
          <w:highlight w:val="none"/>
        </w:rPr>
        <w:t>商务技术文件三个部分组成。</w:t>
      </w:r>
      <w:r>
        <w:rPr>
          <w:rFonts w:hint="default" w:ascii="Times New Roman" w:hAnsi="Times New Roman" w:eastAsia="宋体" w:cs="Times New Roman"/>
          <w:b/>
          <w:color w:val="auto"/>
          <w:sz w:val="24"/>
          <w:highlight w:val="none"/>
        </w:rPr>
        <w:t>（下列文件均须加盖</w:t>
      </w:r>
      <w:r>
        <w:rPr>
          <w:rFonts w:hint="eastAsia" w:ascii="Times New Roman" w:hAnsi="Times New Roman" w:eastAsia="宋体" w:cs="Times New Roman"/>
          <w:b/>
          <w:color w:val="auto"/>
          <w:sz w:val="24"/>
          <w:highlight w:val="none"/>
          <w:lang w:eastAsia="zh-CN"/>
        </w:rPr>
        <w:t>磋商供应商</w:t>
      </w:r>
      <w:r>
        <w:rPr>
          <w:rFonts w:hint="default" w:ascii="Times New Roman" w:hAnsi="Times New Roman" w:eastAsia="宋体" w:cs="Times New Roman"/>
          <w:b/>
          <w:color w:val="auto"/>
          <w:sz w:val="24"/>
          <w:highlight w:val="none"/>
        </w:rPr>
        <w:t>单位公章；应该有的必须提供，如未提供，磋商小组有权拒绝其响应文件）</w:t>
      </w:r>
    </w:p>
    <w:p w14:paraId="587D7CE2">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8.</w:t>
      </w: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rPr>
        <w:t xml:space="preserve"> 资格审查文件</w:t>
      </w:r>
      <w:r>
        <w:rPr>
          <w:rFonts w:hint="eastAsia" w:cs="Times New Roman"/>
          <w:b/>
          <w:bCs/>
          <w:color w:val="auto"/>
          <w:sz w:val="24"/>
          <w:highlight w:val="none"/>
          <w:lang w:eastAsia="zh-CN"/>
        </w:rPr>
        <w:t>（</w:t>
      </w:r>
      <w:r>
        <w:rPr>
          <w:rFonts w:hint="eastAsia" w:cs="Times New Roman"/>
          <w:b/>
          <w:bCs/>
          <w:color w:val="auto"/>
          <w:sz w:val="24"/>
          <w:highlight w:val="none"/>
          <w:lang w:val="en-US" w:eastAsia="zh-CN"/>
        </w:rPr>
        <w:t>A分标、B分标适用</w:t>
      </w:r>
      <w:r>
        <w:rPr>
          <w:rFonts w:hint="eastAsia" w:cs="Times New Roman"/>
          <w:b/>
          <w:bCs/>
          <w:color w:val="auto"/>
          <w:sz w:val="24"/>
          <w:highlight w:val="none"/>
          <w:lang w:eastAsia="zh-CN"/>
        </w:rPr>
        <w:t>）</w:t>
      </w:r>
      <w:r>
        <w:rPr>
          <w:rFonts w:hint="default" w:ascii="Times New Roman" w:hAnsi="Times New Roman" w:eastAsia="宋体" w:cs="Times New Roman"/>
          <w:b/>
          <w:bCs/>
          <w:color w:val="auto"/>
          <w:sz w:val="24"/>
          <w:highlight w:val="none"/>
        </w:rPr>
        <w:t>：</w:t>
      </w:r>
    </w:p>
    <w:p w14:paraId="7359F5BD">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法人或者其他组织的营业执照等证明文件（如营业执照或事业单位法人证书或执业许可证等）；</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b/>
          <w:bCs/>
          <w:color w:val="auto"/>
          <w:kern w:val="0"/>
          <w:sz w:val="24"/>
          <w:highlight w:val="none"/>
          <w:lang w:eastAsia="zh-CN"/>
        </w:rPr>
        <w:t>必须提供，否则磋商响应无效</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sz w:val="24"/>
          <w:highlight w:val="none"/>
        </w:rPr>
        <w:t>；</w:t>
      </w:r>
    </w:p>
    <w:p w14:paraId="6870FC29">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2、供应商相应的法定代表人身份证明书及身份证正反面复印件（</w:t>
      </w:r>
      <w:r>
        <w:rPr>
          <w:rFonts w:hint="default" w:ascii="Times New Roman" w:hAnsi="Times New Roman" w:eastAsia="宋体" w:cs="Times New Roman"/>
          <w:b/>
          <w:bCs/>
          <w:color w:val="auto"/>
          <w:sz w:val="24"/>
          <w:highlight w:val="none"/>
        </w:rPr>
        <w:t>必须提供，否则磋商响应无效</w:t>
      </w:r>
      <w:r>
        <w:rPr>
          <w:rFonts w:hint="default" w:ascii="Times New Roman" w:hAnsi="Times New Roman" w:eastAsia="宋体" w:cs="Times New Roman"/>
          <w:color w:val="auto"/>
          <w:sz w:val="24"/>
          <w:highlight w:val="none"/>
        </w:rPr>
        <w:t>）；</w:t>
      </w:r>
    </w:p>
    <w:p w14:paraId="086AA51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3、委托代理时须提供法定代表人授权委托书原件及被授权人身份证复印件（</w:t>
      </w:r>
      <w:r>
        <w:rPr>
          <w:rFonts w:hint="default" w:ascii="Times New Roman" w:hAnsi="Times New Roman" w:eastAsia="宋体" w:cs="Times New Roman"/>
          <w:b/>
          <w:bCs/>
          <w:color w:val="auto"/>
          <w:sz w:val="24"/>
          <w:highlight w:val="none"/>
        </w:rPr>
        <w:t>委托代理时必须提供，否则磋商响应无效</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w:t>
      </w:r>
    </w:p>
    <w:p w14:paraId="29F743A5">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kern w:val="2"/>
          <w:sz w:val="24"/>
          <w:szCs w:val="20"/>
          <w:highlight w:val="none"/>
          <w:lang w:val="en-US" w:eastAsia="zh-CN" w:bidi="ar-SA"/>
        </w:rPr>
      </w:pP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bCs/>
          <w:color w:val="auto"/>
          <w:kern w:val="2"/>
          <w:sz w:val="24"/>
          <w:szCs w:val="20"/>
          <w:highlight w:val="none"/>
          <w:lang w:val="en-US" w:eastAsia="zh-CN" w:bidi="ar-SA"/>
        </w:rPr>
        <w:t>桂平市政府采购项目投标资格承诺函</w:t>
      </w:r>
      <w:r>
        <w:rPr>
          <w:rFonts w:hint="default" w:ascii="Times New Roman" w:hAnsi="Times New Roman" w:eastAsia="宋体" w:cs="Times New Roman"/>
          <w:bCs/>
          <w:color w:val="auto"/>
          <w:kern w:val="2"/>
          <w:sz w:val="24"/>
          <w:szCs w:val="20"/>
          <w:highlight w:val="none"/>
          <w:lang w:val="en-US" w:eastAsia="zh-CN" w:bidi="ar-SA"/>
        </w:rPr>
        <w:t>（</w:t>
      </w:r>
      <w:r>
        <w:rPr>
          <w:rFonts w:hint="default" w:ascii="Times New Roman" w:hAnsi="Times New Roman" w:eastAsia="宋体" w:cs="Times New Roman"/>
          <w:b/>
          <w:bCs w:val="0"/>
          <w:color w:val="auto"/>
          <w:kern w:val="2"/>
          <w:sz w:val="24"/>
          <w:szCs w:val="20"/>
          <w:highlight w:val="none"/>
          <w:lang w:val="en-US" w:eastAsia="zh-CN" w:bidi="ar-SA"/>
        </w:rPr>
        <w:t>必须提供，加盖供应商单位公章</w:t>
      </w:r>
      <w:r>
        <w:rPr>
          <w:rFonts w:hint="default" w:ascii="Times New Roman" w:hAnsi="Times New Roman" w:eastAsia="宋体" w:cs="Times New Roman"/>
          <w:bCs/>
          <w:color w:val="auto"/>
          <w:kern w:val="2"/>
          <w:sz w:val="24"/>
          <w:szCs w:val="20"/>
          <w:highlight w:val="none"/>
          <w:lang w:val="en-US" w:eastAsia="zh-CN" w:bidi="ar-SA"/>
        </w:rPr>
        <w:t>）；</w:t>
      </w:r>
    </w:p>
    <w:p w14:paraId="2C782CCA">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kern w:val="2"/>
          <w:sz w:val="24"/>
          <w:szCs w:val="20"/>
          <w:highlight w:val="none"/>
          <w:lang w:val="en-US" w:eastAsia="zh-CN" w:bidi="ar-SA"/>
        </w:rPr>
      </w:pPr>
      <w:r>
        <w:rPr>
          <w:rFonts w:hint="eastAsia" w:cs="Times New Roman"/>
          <w:bCs/>
          <w:color w:val="auto"/>
          <w:kern w:val="2"/>
          <w:sz w:val="24"/>
          <w:szCs w:val="20"/>
          <w:highlight w:val="none"/>
          <w:lang w:val="en-US" w:eastAsia="zh-CN" w:bidi="ar-SA"/>
        </w:rPr>
        <w:t>5</w:t>
      </w:r>
      <w:r>
        <w:rPr>
          <w:rFonts w:hint="default" w:ascii="Times New Roman" w:hAnsi="Times New Roman" w:eastAsia="宋体" w:cs="Times New Roman"/>
          <w:bCs/>
          <w:color w:val="auto"/>
          <w:kern w:val="2"/>
          <w:sz w:val="24"/>
          <w:szCs w:val="20"/>
          <w:highlight w:val="none"/>
          <w:lang w:val="en-US" w:eastAsia="zh-CN" w:bidi="ar-SA"/>
        </w:rPr>
        <w:t>、供应商参加政府采购活动前3年内在经营活动中没有重大违法记录及有关信用信息的书面声明</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b/>
          <w:bCs/>
          <w:color w:val="auto"/>
          <w:kern w:val="0"/>
          <w:sz w:val="24"/>
          <w:highlight w:val="none"/>
          <w:lang w:eastAsia="zh-CN"/>
        </w:rPr>
        <w:t>必须提供，否则磋商响应无效</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bCs/>
          <w:color w:val="auto"/>
          <w:kern w:val="2"/>
          <w:sz w:val="24"/>
          <w:szCs w:val="20"/>
          <w:highlight w:val="none"/>
          <w:lang w:val="en-US" w:eastAsia="zh-CN" w:bidi="ar-SA"/>
        </w:rPr>
        <w:t>；</w:t>
      </w:r>
    </w:p>
    <w:p w14:paraId="12A7DFC6">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highlight w:val="none"/>
        </w:rPr>
      </w:pPr>
      <w:r>
        <w:rPr>
          <w:rFonts w:hint="eastAsia" w:cs="Times New Roman"/>
          <w:bCs/>
          <w:color w:val="auto"/>
          <w:kern w:val="2"/>
          <w:sz w:val="24"/>
          <w:szCs w:val="20"/>
          <w:highlight w:val="none"/>
          <w:lang w:val="en-US" w:eastAsia="zh-CN" w:bidi="ar-SA"/>
        </w:rPr>
        <w:t>6</w:t>
      </w:r>
      <w:r>
        <w:rPr>
          <w:rFonts w:hint="default" w:ascii="Times New Roman" w:hAnsi="Times New Roman" w:eastAsia="宋体" w:cs="Times New Roman"/>
          <w:bCs/>
          <w:color w:val="auto"/>
          <w:kern w:val="2"/>
          <w:sz w:val="24"/>
          <w:szCs w:val="20"/>
          <w:highlight w:val="none"/>
          <w:lang w:val="en-US" w:eastAsia="zh-CN" w:bidi="ar-SA"/>
        </w:rPr>
        <w:t>、供应商认为需要提供的其他证明材料</w:t>
      </w:r>
      <w:r>
        <w:rPr>
          <w:rFonts w:hint="default" w:ascii="Times New Roman" w:hAnsi="Times New Roman" w:eastAsia="宋体" w:cs="Times New Roman"/>
          <w:b w:val="0"/>
          <w:bCs/>
          <w:color w:val="auto"/>
          <w:sz w:val="24"/>
          <w:highlight w:val="none"/>
          <w:lang w:val="en-US" w:eastAsia="zh-CN"/>
        </w:rPr>
        <w:t>（如有请提供）</w:t>
      </w:r>
      <w:r>
        <w:rPr>
          <w:rFonts w:hint="default" w:ascii="Times New Roman" w:hAnsi="Times New Roman" w:eastAsia="宋体" w:cs="Times New Roman"/>
          <w:b w:val="0"/>
          <w:bCs/>
          <w:color w:val="auto"/>
          <w:kern w:val="2"/>
          <w:sz w:val="24"/>
          <w:szCs w:val="20"/>
          <w:highlight w:val="none"/>
          <w:lang w:val="en-US" w:eastAsia="zh-CN" w:bidi="ar-SA"/>
        </w:rPr>
        <w:t>。</w:t>
      </w:r>
    </w:p>
    <w:p w14:paraId="3AF9425A">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8.</w:t>
      </w:r>
      <w:r>
        <w:rPr>
          <w:rFonts w:hint="default"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eastAsia="zh-CN"/>
        </w:rPr>
        <w:t>报价</w:t>
      </w:r>
      <w:r>
        <w:rPr>
          <w:rFonts w:hint="default" w:ascii="Times New Roman" w:hAnsi="Times New Roman" w:eastAsia="宋体" w:cs="Times New Roman"/>
          <w:b/>
          <w:bCs/>
          <w:color w:val="auto"/>
          <w:sz w:val="24"/>
          <w:highlight w:val="none"/>
        </w:rPr>
        <w:t>文件</w:t>
      </w:r>
      <w:r>
        <w:rPr>
          <w:rFonts w:hint="default" w:ascii="Times New Roman" w:hAnsi="Times New Roman" w:eastAsia="宋体" w:cs="Times New Roman"/>
          <w:color w:val="auto"/>
          <w:sz w:val="24"/>
          <w:highlight w:val="none"/>
        </w:rPr>
        <w:t>：</w:t>
      </w:r>
      <w:r>
        <w:rPr>
          <w:rFonts w:hint="eastAsia" w:cs="Times New Roman"/>
          <w:b/>
          <w:bCs/>
          <w:color w:val="auto"/>
          <w:sz w:val="24"/>
          <w:highlight w:val="none"/>
          <w:lang w:eastAsia="zh-CN"/>
        </w:rPr>
        <w:t>（</w:t>
      </w:r>
      <w:r>
        <w:rPr>
          <w:rFonts w:hint="eastAsia" w:cs="Times New Roman"/>
          <w:b/>
          <w:bCs/>
          <w:color w:val="auto"/>
          <w:sz w:val="24"/>
          <w:highlight w:val="none"/>
          <w:lang w:val="en-US" w:eastAsia="zh-CN"/>
        </w:rPr>
        <w:t>A分标、B分标适用</w:t>
      </w:r>
      <w:r>
        <w:rPr>
          <w:rFonts w:hint="eastAsia" w:cs="Times New Roman"/>
          <w:b/>
          <w:bCs/>
          <w:color w:val="auto"/>
          <w:sz w:val="24"/>
          <w:highlight w:val="none"/>
          <w:lang w:eastAsia="zh-CN"/>
        </w:rPr>
        <w:t>）</w:t>
      </w:r>
    </w:p>
    <w:p w14:paraId="41CD1155">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1、磋商书（</w:t>
      </w:r>
      <w:r>
        <w:rPr>
          <w:rFonts w:hint="default" w:ascii="Times New Roman" w:hAnsi="Times New Roman" w:eastAsia="宋体" w:cs="Times New Roman"/>
          <w:b/>
          <w:bCs/>
          <w:color w:val="auto"/>
          <w:sz w:val="24"/>
          <w:highlight w:val="none"/>
        </w:rPr>
        <w:t>必须提供，否则磋商响应无效</w:t>
      </w:r>
      <w:r>
        <w:rPr>
          <w:rFonts w:hint="default" w:ascii="Times New Roman" w:hAnsi="Times New Roman" w:eastAsia="宋体" w:cs="Times New Roman"/>
          <w:color w:val="auto"/>
          <w:sz w:val="24"/>
          <w:highlight w:val="none"/>
        </w:rPr>
        <w:t>）；</w:t>
      </w:r>
    </w:p>
    <w:p w14:paraId="5197393E">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2、磋商报价表（</w:t>
      </w:r>
      <w:r>
        <w:rPr>
          <w:rFonts w:hint="default" w:ascii="Times New Roman" w:hAnsi="Times New Roman" w:eastAsia="宋体" w:cs="Times New Roman"/>
          <w:b/>
          <w:bCs/>
          <w:color w:val="auto"/>
          <w:sz w:val="24"/>
          <w:highlight w:val="none"/>
        </w:rPr>
        <w:t>必须提供，同时由法定代表人或委托代理人签名并加盖单位公章，否则磋商响应无效</w:t>
      </w:r>
      <w:r>
        <w:rPr>
          <w:rFonts w:hint="default" w:ascii="Times New Roman" w:hAnsi="Times New Roman" w:eastAsia="宋体" w:cs="Times New Roman"/>
          <w:color w:val="auto"/>
          <w:sz w:val="24"/>
          <w:highlight w:val="none"/>
        </w:rPr>
        <w:t>）；</w:t>
      </w:r>
    </w:p>
    <w:p w14:paraId="4A2B35BF">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3、磋商声明书（</w:t>
      </w:r>
      <w:r>
        <w:rPr>
          <w:rFonts w:hint="default" w:ascii="Times New Roman" w:hAnsi="Times New Roman" w:eastAsia="宋体" w:cs="Times New Roman"/>
          <w:b/>
          <w:bCs/>
          <w:color w:val="auto"/>
          <w:sz w:val="24"/>
          <w:highlight w:val="none"/>
        </w:rPr>
        <w:t>必须提供，否则磋商响应无效</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w:t>
      </w:r>
    </w:p>
    <w:p w14:paraId="7B4AED9D">
      <w:pPr>
        <w:spacing w:line="360" w:lineRule="auto"/>
        <w:ind w:firstLine="480" w:firstLineChars="200"/>
        <w:rPr>
          <w:rFonts w:hint="default" w:ascii="Times New Roman" w:hAnsi="Times New Roman" w:eastAsia="宋体" w:cs="Times New Roman"/>
          <w:color w:val="auto"/>
          <w:kern w:val="0"/>
          <w:sz w:val="24"/>
          <w:szCs w:val="20"/>
          <w:highlight w:val="none"/>
          <w:lang w:val="en-US" w:eastAsia="zh-CN" w:bidi="ar-SA"/>
        </w:rPr>
      </w:pPr>
      <w:r>
        <w:rPr>
          <w:rFonts w:hint="eastAsia" w:ascii="Arial" w:hAnsi="Arial" w:cs="Arial"/>
          <w:bCs/>
          <w:color w:val="auto"/>
          <w:sz w:val="24"/>
          <w:highlight w:val="none"/>
          <w:lang w:val="en-US" w:eastAsia="zh-CN"/>
        </w:rPr>
        <w:t>4、</w:t>
      </w:r>
      <w:r>
        <w:rPr>
          <w:rFonts w:hint="eastAsia" w:ascii="Arial" w:hAnsi="Arial" w:eastAsia="宋体" w:cs="Arial"/>
          <w:bCs/>
          <w:color w:val="auto"/>
          <w:sz w:val="24"/>
          <w:highlight w:val="none"/>
          <w:lang w:eastAsia="zh-CN"/>
        </w:rPr>
        <w:t>中小企业声明函或者残疾人福利性单位声明函或者供应商属于监狱企业的需提供由省级以上监狱管理局、戒毒管理局（含新疆生产建设兵团）出具的属于监狱企业的证明文件</w:t>
      </w:r>
      <w:r>
        <w:rPr>
          <w:rFonts w:hint="default" w:ascii="Arial" w:hAnsi="Arial" w:eastAsia="宋体" w:cs="Arial"/>
          <w:b/>
          <w:bCs/>
          <w:color w:val="auto"/>
          <w:kern w:val="2"/>
          <w:sz w:val="24"/>
          <w:szCs w:val="24"/>
          <w:highlight w:val="none"/>
          <w:lang w:val="en-US" w:eastAsia="zh-CN" w:bidi="ar-SA"/>
        </w:rPr>
        <w:t>（</w:t>
      </w:r>
      <w:r>
        <w:rPr>
          <w:rFonts w:hint="eastAsia" w:ascii="Arial" w:hAnsi="Arial" w:cs="Arial"/>
          <w:b/>
          <w:bCs/>
          <w:color w:val="auto"/>
          <w:kern w:val="2"/>
          <w:sz w:val="24"/>
          <w:szCs w:val="24"/>
          <w:highlight w:val="none"/>
          <w:lang w:val="en-US" w:eastAsia="zh-CN" w:bidi="ar-SA"/>
        </w:rPr>
        <w:t>如有请提供</w:t>
      </w:r>
      <w:r>
        <w:rPr>
          <w:rFonts w:hint="default" w:ascii="Arial" w:hAnsi="Arial" w:eastAsia="宋体" w:cs="Arial"/>
          <w:b/>
          <w:bCs/>
          <w:color w:val="auto"/>
          <w:kern w:val="2"/>
          <w:sz w:val="24"/>
          <w:szCs w:val="24"/>
          <w:highlight w:val="none"/>
          <w:lang w:val="en-US" w:eastAsia="zh-CN" w:bidi="ar-SA"/>
        </w:rPr>
        <w:t>）</w:t>
      </w:r>
      <w:r>
        <w:rPr>
          <w:color w:val="auto"/>
          <w:sz w:val="24"/>
          <w:highlight w:val="none"/>
        </w:rPr>
        <w:t>；</w:t>
      </w:r>
    </w:p>
    <w:p w14:paraId="61A9578E">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highlight w:val="none"/>
        </w:rPr>
      </w:pPr>
      <w:r>
        <w:rPr>
          <w:rFonts w:hint="eastAsia" w:cs="Times New Roman"/>
          <w:bCs/>
          <w:color w:val="auto"/>
          <w:kern w:val="2"/>
          <w:sz w:val="24"/>
          <w:szCs w:val="24"/>
          <w:highlight w:val="none"/>
          <w:lang w:val="en-US" w:eastAsia="zh-CN" w:bidi="ar-SA"/>
        </w:rPr>
        <w:t>5</w:t>
      </w:r>
      <w:r>
        <w:rPr>
          <w:rFonts w:hint="default" w:ascii="Times New Roman" w:hAnsi="Times New Roman" w:eastAsia="宋体" w:cs="Times New Roman"/>
          <w:bCs/>
          <w:color w:val="auto"/>
          <w:kern w:val="2"/>
          <w:sz w:val="24"/>
          <w:szCs w:val="24"/>
          <w:highlight w:val="none"/>
          <w:lang w:val="en-US" w:eastAsia="zh-CN" w:bidi="ar-SA"/>
        </w:rPr>
        <w:t>、除磋商文件规定必须提供以外，</w:t>
      </w:r>
      <w:r>
        <w:rPr>
          <w:rFonts w:hint="eastAsia" w:cs="Times New Roman"/>
          <w:bCs/>
          <w:color w:val="auto"/>
          <w:kern w:val="2"/>
          <w:sz w:val="24"/>
          <w:szCs w:val="24"/>
          <w:highlight w:val="none"/>
          <w:lang w:val="en-US" w:eastAsia="zh-CN" w:bidi="ar-SA"/>
        </w:rPr>
        <w:t>供应商</w:t>
      </w:r>
      <w:r>
        <w:rPr>
          <w:rFonts w:hint="default" w:ascii="Times New Roman" w:hAnsi="Times New Roman" w:eastAsia="宋体" w:cs="Times New Roman"/>
          <w:bCs/>
          <w:color w:val="auto"/>
          <w:kern w:val="2"/>
          <w:sz w:val="24"/>
          <w:szCs w:val="24"/>
          <w:highlight w:val="none"/>
          <w:lang w:val="en-US" w:eastAsia="zh-CN" w:bidi="ar-SA"/>
        </w:rPr>
        <w:t>认为需要提供的其他证明材料</w:t>
      </w:r>
      <w:r>
        <w:rPr>
          <w:rFonts w:hint="default" w:ascii="Times New Roman" w:hAnsi="Times New Roman" w:eastAsia="宋体" w:cs="Times New Roman"/>
          <w:b w:val="0"/>
          <w:bCs/>
          <w:color w:val="auto"/>
          <w:sz w:val="24"/>
          <w:highlight w:val="none"/>
          <w:lang w:val="en-US" w:eastAsia="zh-CN"/>
        </w:rPr>
        <w:t>（如有请提供）</w:t>
      </w:r>
      <w:r>
        <w:rPr>
          <w:rFonts w:hint="default" w:ascii="Times New Roman" w:hAnsi="Times New Roman" w:eastAsia="宋体" w:cs="Times New Roman"/>
          <w:b w:val="0"/>
          <w:bCs/>
          <w:color w:val="auto"/>
          <w:kern w:val="2"/>
          <w:sz w:val="24"/>
          <w:szCs w:val="24"/>
          <w:highlight w:val="none"/>
          <w:lang w:val="en-US" w:eastAsia="zh-CN" w:bidi="ar-SA"/>
        </w:rPr>
        <w:t>。</w:t>
      </w:r>
    </w:p>
    <w:p w14:paraId="6C08569D">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8.</w:t>
      </w: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 xml:space="preserve"> 商务技术文件</w:t>
      </w:r>
      <w:r>
        <w:rPr>
          <w:rFonts w:hint="default" w:ascii="Times New Roman" w:hAnsi="Times New Roman" w:eastAsia="宋体" w:cs="Times New Roman"/>
          <w:color w:val="auto"/>
          <w:sz w:val="24"/>
          <w:highlight w:val="none"/>
        </w:rPr>
        <w:t>：</w:t>
      </w:r>
      <w:r>
        <w:rPr>
          <w:rFonts w:hint="eastAsia" w:cs="Times New Roman"/>
          <w:b/>
          <w:bCs/>
          <w:color w:val="auto"/>
          <w:sz w:val="24"/>
          <w:highlight w:val="none"/>
          <w:lang w:eastAsia="zh-CN"/>
        </w:rPr>
        <w:t>（</w:t>
      </w:r>
      <w:r>
        <w:rPr>
          <w:rFonts w:hint="eastAsia" w:cs="Times New Roman"/>
          <w:b/>
          <w:bCs/>
          <w:color w:val="auto"/>
          <w:sz w:val="24"/>
          <w:highlight w:val="none"/>
          <w:lang w:val="en-US" w:eastAsia="zh-CN"/>
        </w:rPr>
        <w:t>A分标、B分标适用</w:t>
      </w:r>
      <w:r>
        <w:rPr>
          <w:rFonts w:hint="eastAsia" w:cs="Times New Roman"/>
          <w:b/>
          <w:bCs/>
          <w:color w:val="auto"/>
          <w:sz w:val="24"/>
          <w:highlight w:val="none"/>
          <w:lang w:eastAsia="zh-CN"/>
        </w:rPr>
        <w:t>）</w:t>
      </w:r>
    </w:p>
    <w:p w14:paraId="1BD1C197">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lang w:val="en-US" w:eastAsia="zh-CN"/>
        </w:rPr>
        <w:t>、服务响应偏离表（</w:t>
      </w:r>
      <w:r>
        <w:rPr>
          <w:rFonts w:hint="default" w:ascii="Times New Roman" w:hAnsi="Times New Roman" w:eastAsia="宋体" w:cs="Times New Roman"/>
          <w:b/>
          <w:bCs w:val="0"/>
          <w:color w:val="auto"/>
          <w:sz w:val="24"/>
          <w:highlight w:val="none"/>
          <w:lang w:val="en-US" w:eastAsia="zh-CN"/>
        </w:rPr>
        <w:t>必须提供，否则磋商响应无效</w:t>
      </w:r>
      <w:r>
        <w:rPr>
          <w:rFonts w:hint="default" w:ascii="Times New Roman" w:hAnsi="Times New Roman" w:eastAsia="宋体" w:cs="Times New Roman"/>
          <w:bCs/>
          <w:color w:val="auto"/>
          <w:sz w:val="24"/>
          <w:highlight w:val="none"/>
          <w:lang w:val="en-US" w:eastAsia="zh-CN"/>
        </w:rPr>
        <w:t>）；</w:t>
      </w:r>
    </w:p>
    <w:p w14:paraId="7C1C199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kern w:val="2"/>
          <w:sz w:val="24"/>
          <w:szCs w:val="24"/>
          <w:highlight w:val="none"/>
          <w:lang w:val="en-US" w:eastAsia="zh-CN" w:bidi="ar-SA"/>
        </w:rPr>
        <w:t>项目实施服务方案</w:t>
      </w:r>
      <w:r>
        <w:rPr>
          <w:rFonts w:hint="default" w:ascii="Times New Roman" w:hAnsi="Times New Roman" w:eastAsia="宋体" w:cs="Times New Roman"/>
          <w:b/>
          <w:bCs w:val="0"/>
          <w:color w:val="auto"/>
          <w:sz w:val="24"/>
          <w:highlight w:val="none"/>
        </w:rPr>
        <w:t>（必须提供，格式自拟</w:t>
      </w:r>
      <w:r>
        <w:rPr>
          <w:rFonts w:hint="default" w:ascii="Times New Roman" w:hAnsi="Times New Roman" w:eastAsia="宋体" w:cs="Times New Roman"/>
          <w:b w:val="0"/>
          <w:bCs/>
          <w:color w:val="auto"/>
          <w:sz w:val="24"/>
          <w:highlight w:val="none"/>
        </w:rPr>
        <w:t>）</w:t>
      </w:r>
      <w:r>
        <w:rPr>
          <w:rFonts w:hint="default" w:ascii="Times New Roman" w:hAnsi="Times New Roman" w:eastAsia="宋体" w:cs="Times New Roman"/>
          <w:b w:val="0"/>
          <w:bCs/>
          <w:color w:val="auto"/>
          <w:sz w:val="24"/>
          <w:highlight w:val="none"/>
          <w:lang w:eastAsia="zh-CN"/>
        </w:rPr>
        <w:t>；</w:t>
      </w:r>
    </w:p>
    <w:p w14:paraId="369DCEA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lang w:eastAsia="zh-CN"/>
        </w:rPr>
        <w:t>、</w:t>
      </w:r>
      <w:r>
        <w:rPr>
          <w:rFonts w:hint="eastAsia" w:cs="Times New Roman"/>
          <w:bCs/>
          <w:color w:val="auto"/>
          <w:sz w:val="24"/>
          <w:highlight w:val="none"/>
          <w:lang w:val="en-US" w:eastAsia="zh-CN"/>
        </w:rPr>
        <w:t>项目实施人员一览表</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
          <w:bCs w:val="0"/>
          <w:color w:val="auto"/>
          <w:sz w:val="24"/>
          <w:highlight w:val="none"/>
          <w:lang w:eastAsia="zh-CN"/>
        </w:rPr>
        <w:t>如有请提供，格式自拟</w:t>
      </w:r>
      <w:r>
        <w:rPr>
          <w:rFonts w:hint="default" w:ascii="Times New Roman" w:hAnsi="Times New Roman" w:eastAsia="宋体" w:cs="Times New Roman"/>
          <w:bCs/>
          <w:color w:val="auto"/>
          <w:sz w:val="24"/>
          <w:highlight w:val="none"/>
          <w:lang w:eastAsia="zh-CN"/>
        </w:rPr>
        <w:t>）；</w:t>
      </w:r>
    </w:p>
    <w:p w14:paraId="1D9A32B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4</w:t>
      </w:r>
      <w:r>
        <w:rPr>
          <w:rFonts w:hint="default" w:ascii="Times New Roman" w:hAnsi="Times New Roman" w:eastAsia="宋体" w:cs="Times New Roman"/>
          <w:bCs/>
          <w:color w:val="auto"/>
          <w:sz w:val="24"/>
          <w:highlight w:val="none"/>
          <w:lang w:eastAsia="zh-CN"/>
        </w:rPr>
        <w:t>、服务承诺方案（</w:t>
      </w:r>
      <w:r>
        <w:rPr>
          <w:rFonts w:hint="default" w:ascii="Times New Roman" w:hAnsi="Times New Roman" w:eastAsia="宋体" w:cs="Times New Roman"/>
          <w:b/>
          <w:bCs w:val="0"/>
          <w:color w:val="auto"/>
          <w:sz w:val="24"/>
          <w:highlight w:val="none"/>
          <w:lang w:eastAsia="zh-CN"/>
        </w:rPr>
        <w:t>必须提供，否则磋商响应无效</w:t>
      </w:r>
      <w:r>
        <w:rPr>
          <w:rFonts w:hint="default" w:ascii="Times New Roman" w:hAnsi="Times New Roman" w:eastAsia="宋体" w:cs="Times New Roman"/>
          <w:bCs/>
          <w:color w:val="auto"/>
          <w:sz w:val="24"/>
          <w:highlight w:val="none"/>
          <w:lang w:eastAsia="zh-CN"/>
        </w:rPr>
        <w:t>）；</w:t>
      </w:r>
    </w:p>
    <w:p w14:paraId="4DE7C798">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5</w:t>
      </w:r>
      <w:r>
        <w:rPr>
          <w:rFonts w:hint="default" w:ascii="Times New Roman" w:hAnsi="Times New Roman" w:eastAsia="宋体" w:cs="Times New Roman"/>
          <w:bCs/>
          <w:color w:val="auto"/>
          <w:sz w:val="24"/>
          <w:highlight w:val="none"/>
          <w:lang w:val="en-US" w:eastAsia="zh-CN"/>
        </w:rPr>
        <w:t>、供应商认为需要提供的有关资料（如有请提供）。</w:t>
      </w:r>
    </w:p>
    <w:p w14:paraId="2CA6AC1D">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Cs/>
          <w:color w:val="auto"/>
          <w:sz w:val="24"/>
          <w:highlight w:val="none"/>
        </w:rPr>
        <w:t>备注：</w:t>
      </w:r>
      <w:r>
        <w:rPr>
          <w:rFonts w:hint="default" w:ascii="Times New Roman" w:hAnsi="Times New Roman" w:eastAsia="宋体" w:cs="Times New Roman"/>
          <w:color w:val="auto"/>
          <w:sz w:val="24"/>
          <w:szCs w:val="24"/>
          <w:highlight w:val="none"/>
        </w:rPr>
        <w:t>▲特别说明：</w:t>
      </w:r>
      <w:r>
        <w:rPr>
          <w:rFonts w:hint="default" w:ascii="Times New Roman" w:hAnsi="Times New Roman" w:eastAsia="宋体" w:cs="Times New Roman"/>
          <w:b/>
          <w:color w:val="auto"/>
          <w:sz w:val="24"/>
          <w:szCs w:val="24"/>
          <w:highlight w:val="none"/>
        </w:rPr>
        <w:t>（1）响应文件中所须加盖公章部分均采用CA签章。若竞争性</w:t>
      </w:r>
      <w:r>
        <w:rPr>
          <w:rFonts w:hint="default" w:ascii="Times New Roman" w:hAnsi="Times New Roman" w:eastAsia="宋体" w:cs="Times New Roman"/>
          <w:b/>
          <w:color w:val="auto"/>
          <w:sz w:val="24"/>
          <w:szCs w:val="24"/>
          <w:highlight w:val="none"/>
          <w:lang w:eastAsia="zh-CN"/>
        </w:rPr>
        <w:t>磋商采购</w:t>
      </w:r>
      <w:r>
        <w:rPr>
          <w:rFonts w:hint="default" w:ascii="Times New Roman" w:hAnsi="Times New Roman" w:eastAsia="宋体" w:cs="Times New Roman"/>
          <w:b/>
          <w:color w:val="auto"/>
          <w:sz w:val="24"/>
          <w:szCs w:val="24"/>
          <w:highlight w:val="none"/>
        </w:rPr>
        <w:t>文件中有专门标注的某关联点，并要求供应商在电子投标系统中作出</w:t>
      </w: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color w:val="auto"/>
          <w:sz w:val="24"/>
          <w:szCs w:val="24"/>
          <w:highlight w:val="none"/>
        </w:rPr>
        <w:t>响应的，如供应商未对关联点进行响应或者在响应文件其它内容进行描述，造成电子评审不能查询的责任由供应商自行承担。</w:t>
      </w:r>
    </w:p>
    <w:p w14:paraId="0FCD81B9">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（2）竞争性</w:t>
      </w:r>
      <w:r>
        <w:rPr>
          <w:rFonts w:hint="default" w:ascii="Times New Roman" w:hAnsi="Times New Roman" w:eastAsia="宋体" w:cs="Times New Roman"/>
          <w:b/>
          <w:color w:val="auto"/>
          <w:sz w:val="24"/>
          <w:szCs w:val="24"/>
          <w:highlight w:val="none"/>
          <w:lang w:eastAsia="zh-CN"/>
        </w:rPr>
        <w:t>磋商采购</w:t>
      </w:r>
      <w:r>
        <w:rPr>
          <w:rFonts w:hint="default" w:ascii="Times New Roman" w:hAnsi="Times New Roman" w:eastAsia="宋体" w:cs="Times New Roman"/>
          <w:b/>
          <w:color w:val="auto"/>
          <w:sz w:val="24"/>
          <w:szCs w:val="24"/>
          <w:highlight w:val="none"/>
        </w:rPr>
        <w:t>文件要求提供的的各种复印件，须加盖</w:t>
      </w: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color w:val="auto"/>
          <w:sz w:val="24"/>
          <w:szCs w:val="24"/>
          <w:highlight w:val="none"/>
        </w:rPr>
        <w:t>供应商CA签章，否则其</w:t>
      </w: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color w:val="auto"/>
          <w:sz w:val="24"/>
          <w:szCs w:val="24"/>
          <w:highlight w:val="none"/>
        </w:rPr>
        <w:t>无效。</w:t>
      </w:r>
    </w:p>
    <w:p w14:paraId="629911CA">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（3）竞争性</w:t>
      </w:r>
      <w:r>
        <w:rPr>
          <w:rFonts w:hint="default" w:ascii="Times New Roman" w:hAnsi="Times New Roman" w:eastAsia="宋体" w:cs="Times New Roman"/>
          <w:b/>
          <w:color w:val="auto"/>
          <w:sz w:val="24"/>
          <w:szCs w:val="24"/>
          <w:highlight w:val="none"/>
          <w:lang w:eastAsia="zh-CN"/>
        </w:rPr>
        <w:t>磋商采购</w:t>
      </w:r>
      <w:r>
        <w:rPr>
          <w:rFonts w:hint="default" w:ascii="Times New Roman" w:hAnsi="Times New Roman" w:eastAsia="宋体" w:cs="Times New Roman"/>
          <w:b/>
          <w:color w:val="auto"/>
          <w:sz w:val="24"/>
          <w:szCs w:val="24"/>
          <w:highlight w:val="none"/>
        </w:rPr>
        <w:t>文件要求</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必须提供</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的证明等材料，</w:t>
      </w: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color w:val="auto"/>
          <w:sz w:val="24"/>
          <w:szCs w:val="24"/>
          <w:highlight w:val="none"/>
        </w:rPr>
        <w:t>供应商必须全部提供，缺一不可，否则</w:t>
      </w: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color w:val="auto"/>
          <w:sz w:val="24"/>
          <w:szCs w:val="24"/>
          <w:highlight w:val="none"/>
        </w:rPr>
        <w:t>无效。</w:t>
      </w:r>
    </w:p>
    <w:p w14:paraId="6D575847">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4"/>
          <w:highlight w:val="none"/>
        </w:rPr>
        <w:t>（4）竞争性</w:t>
      </w:r>
      <w:r>
        <w:rPr>
          <w:rFonts w:hint="default" w:ascii="Times New Roman" w:hAnsi="Times New Roman" w:eastAsia="宋体" w:cs="Times New Roman"/>
          <w:b/>
          <w:color w:val="auto"/>
          <w:sz w:val="24"/>
          <w:szCs w:val="24"/>
          <w:highlight w:val="none"/>
          <w:lang w:eastAsia="zh-CN"/>
        </w:rPr>
        <w:t>磋商采购</w:t>
      </w:r>
      <w:r>
        <w:rPr>
          <w:rFonts w:hint="default" w:ascii="Times New Roman" w:hAnsi="Times New Roman" w:eastAsia="宋体" w:cs="Times New Roman"/>
          <w:b/>
          <w:color w:val="auto"/>
          <w:sz w:val="24"/>
          <w:szCs w:val="24"/>
          <w:highlight w:val="none"/>
        </w:rPr>
        <w:t>文件要求法定代表人（负责人）或委托代理人签字的部分</w:t>
      </w:r>
      <w:r>
        <w:rPr>
          <w:rFonts w:hint="eastAsia"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可以签字然后扫描或者拍照做成pdf格式上传，如已经办理有法定代表人签字电子章的，也可以直接签章</w:t>
      </w:r>
      <w:r>
        <w:rPr>
          <w:rFonts w:hint="eastAsia" w:ascii="Times New Roman" w:hAnsi="Times New Roman" w:eastAsia="宋体" w:cs="Times New Roman"/>
          <w:b/>
          <w:bCs/>
          <w:color w:val="auto"/>
          <w:sz w:val="24"/>
          <w:highlight w:val="none"/>
          <w:lang w:eastAsia="zh-CN"/>
        </w:rPr>
        <w:t>，</w:t>
      </w:r>
      <w:r>
        <w:rPr>
          <w:rFonts w:hint="default" w:ascii="Times New Roman" w:hAnsi="Times New Roman" w:eastAsia="宋体" w:cs="Times New Roman"/>
          <w:b/>
          <w:color w:val="auto"/>
          <w:sz w:val="24"/>
          <w:szCs w:val="24"/>
          <w:highlight w:val="none"/>
        </w:rPr>
        <w:t>无签字（</w:t>
      </w:r>
      <w:r>
        <w:rPr>
          <w:rFonts w:hint="eastAsia" w:ascii="Times New Roman" w:hAnsi="Times New Roman" w:eastAsia="宋体" w:cs="Times New Roman"/>
          <w:b/>
          <w:color w:val="auto"/>
          <w:sz w:val="24"/>
          <w:szCs w:val="24"/>
          <w:highlight w:val="none"/>
          <w:lang w:eastAsia="zh-CN"/>
        </w:rPr>
        <w:t>或</w:t>
      </w:r>
      <w:r>
        <w:rPr>
          <w:rFonts w:hint="default" w:ascii="Times New Roman" w:hAnsi="Times New Roman" w:eastAsia="宋体" w:cs="Times New Roman"/>
          <w:b/>
          <w:color w:val="auto"/>
          <w:sz w:val="24"/>
          <w:szCs w:val="24"/>
          <w:highlight w:val="none"/>
        </w:rPr>
        <w:t>签章）</w:t>
      </w:r>
      <w:r>
        <w:rPr>
          <w:rFonts w:hint="eastAsia" w:ascii="Times New Roman" w:hAnsi="Times New Roman" w:eastAsia="宋体" w:cs="Times New Roman"/>
          <w:b/>
          <w:bCs/>
          <w:color w:val="auto"/>
          <w:sz w:val="24"/>
          <w:highlight w:val="none"/>
          <w:lang w:eastAsia="zh-CN"/>
        </w:rPr>
        <w:t>视为</w:t>
      </w:r>
      <w:r>
        <w:rPr>
          <w:rFonts w:hint="default" w:ascii="Times New Roman" w:hAnsi="Times New Roman" w:eastAsia="宋体" w:cs="Times New Roman"/>
          <w:b/>
          <w:color w:val="auto"/>
          <w:sz w:val="24"/>
          <w:szCs w:val="24"/>
          <w:highlight w:val="none"/>
          <w:lang w:eastAsia="zh-CN"/>
        </w:rPr>
        <w:t>磋商</w:t>
      </w:r>
      <w:r>
        <w:rPr>
          <w:rFonts w:hint="default" w:ascii="Times New Roman" w:hAnsi="Times New Roman" w:eastAsia="宋体" w:cs="Times New Roman"/>
          <w:b/>
          <w:color w:val="auto"/>
          <w:sz w:val="24"/>
          <w:szCs w:val="24"/>
          <w:highlight w:val="none"/>
        </w:rPr>
        <w:t>无效</w:t>
      </w:r>
      <w:r>
        <w:rPr>
          <w:rFonts w:hint="default" w:ascii="Times New Roman" w:hAnsi="Times New Roman" w:eastAsia="宋体" w:cs="Times New Roman"/>
          <w:b/>
          <w:bCs/>
          <w:color w:val="auto"/>
          <w:sz w:val="24"/>
          <w:szCs w:val="24"/>
          <w:highlight w:val="none"/>
        </w:rPr>
        <w:t>。</w:t>
      </w:r>
    </w:p>
    <w:p w14:paraId="78C9641F">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 响应文件编制要求</w:t>
      </w:r>
    </w:p>
    <w:p w14:paraId="3A47D623">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val="0"/>
          <w:bCs/>
          <w:color w:val="auto"/>
          <w:sz w:val="24"/>
          <w:highlight w:val="none"/>
          <w:lang w:val="en-US" w:eastAsia="zh-CN"/>
        </w:rPr>
        <w:t>9.1本项目实行电子投标，供应商应准备电子磋商响应文件；</w:t>
      </w:r>
    </w:p>
    <w:p w14:paraId="246CB7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.1.1电子响应文件按</w:t>
      </w:r>
      <w:r>
        <w:rPr>
          <w:rFonts w:hint="eastAsia" w:cs="Times New Roman"/>
          <w:color w:val="auto"/>
          <w:sz w:val="24"/>
          <w:szCs w:val="24"/>
          <w:highlight w:val="none"/>
          <w:lang w:eastAsia="zh-CN"/>
        </w:rPr>
        <w:t>广西政府采购云平台</w:t>
      </w:r>
      <w:r>
        <w:rPr>
          <w:rFonts w:hint="default" w:ascii="Times New Roman" w:hAnsi="Times New Roman" w:eastAsia="宋体" w:cs="Times New Roman"/>
          <w:color w:val="auto"/>
          <w:sz w:val="24"/>
          <w:szCs w:val="24"/>
          <w:highlight w:val="none"/>
        </w:rPr>
        <w:t>要求及本竞争性</w:t>
      </w:r>
      <w:r>
        <w:rPr>
          <w:rFonts w:hint="default"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文件要求制作、加密并递交。具体操作流程可参考《政府采购项目电子交易管理操作指南-供应商》，指南可在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http://www.ccgp-guangxi.gov.cn/PurchaseAdvisory/ImportantNotice/2866753.html</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下载。</w:t>
      </w:r>
    </w:p>
    <w:p w14:paraId="439C04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w:t>
      </w:r>
    </w:p>
    <w:p w14:paraId="60A9F161">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9.2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35BF09F8">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9.3供应商应认真阅读、并充分理解本文件的全部内容（包括所有的补充、修改内容），承诺并履行本文件中各项条款规定及要求。</w:t>
      </w:r>
    </w:p>
    <w:p w14:paraId="17F00C5E">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9.4响应文件必须按本文件的全部内容，包括所有的补充通知及附件进行编制。</w:t>
      </w:r>
    </w:p>
    <w:p w14:paraId="41C0FC71">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9.5如因供应商只填写和提供了本文件要求的部分内容和附件，而给评审造成困难，其可能导致的结果和责任由供应商自行承担。</w:t>
      </w:r>
    </w:p>
    <w:p w14:paraId="1E8CD9B5">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 计量单位</w:t>
      </w:r>
    </w:p>
    <w:p w14:paraId="3C61C1CA">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10.1除技术要求中另有规定外，本文件所要求使用的计量单位均应采用国家法定计量单位。</w:t>
      </w:r>
    </w:p>
    <w:p w14:paraId="6EF0F649">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11.响应文件有效期</w:t>
      </w:r>
    </w:p>
    <w:p w14:paraId="6F2B75C7">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11.1响应文件有效期按须知前附表规定的期限，有效期不足的响应文件按无效处理。</w:t>
      </w:r>
    </w:p>
    <w:p w14:paraId="69D314FB">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bookmarkStart w:id="35" w:name="_Toc254970681"/>
      <w:bookmarkStart w:id="36" w:name="_Toc254970540"/>
      <w:r>
        <w:rPr>
          <w:rFonts w:hint="default" w:ascii="Times New Roman" w:hAnsi="Times New Roman" w:eastAsia="宋体" w:cs="Times New Roman"/>
          <w:color w:val="auto"/>
          <w:sz w:val="24"/>
          <w:highlight w:val="none"/>
        </w:rPr>
        <w:t>11.2未成交的响应文件有效期内均应保持有效。</w:t>
      </w:r>
      <w:bookmarkEnd w:id="35"/>
      <w:bookmarkEnd w:id="36"/>
    </w:p>
    <w:p w14:paraId="678D6867">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11.3成交供应商的响应文件自响应文件递交截止之日起至合同履行完毕止均应保持有效。</w:t>
      </w:r>
    </w:p>
    <w:p w14:paraId="281C9CC7">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12.供应商信用查询</w:t>
      </w:r>
    </w:p>
    <w:p w14:paraId="62998CF5">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12.1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113FA808">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12.2.1查询渠道：《国家企业信用信息公示系统》（网址：http://www.gsxt.gov.cn/index.html）、《中国政府采购网》(网址：www.ccgp.gov.cn)。</w:t>
      </w:r>
    </w:p>
    <w:p w14:paraId="76DF9BEF">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12.2.2审查流程：</w:t>
      </w:r>
    </w:p>
    <w:p w14:paraId="02DD1DFA">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(1)查询渠道：“信用中国”网站(www.creditchina.gov.cn)、中国政府采购网(www.ccgp.gov.cn)等；</w:t>
      </w:r>
    </w:p>
    <w:p w14:paraId="2585A4FA">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(2)查询起止时间：投标截止时间前三年内。</w:t>
      </w:r>
    </w:p>
    <w:p w14:paraId="02D25EBA">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(3)查询记录和证据留存方式：由代理公司开标后在查询网站中直接打印查询记录，打印材料作为评审资料保存。</w:t>
      </w:r>
    </w:p>
    <w:p w14:paraId="1A047300">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资格审查不通过，不得参与政府采购活动。</w:t>
      </w:r>
    </w:p>
    <w:p w14:paraId="225C5B67">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lang w:val="en-US" w:eastAsia="zh-CN"/>
        </w:rPr>
        <w:t>12.2.3磋商小组也可在开评标环节资格审查的同时查看供应商的信用情况。</w:t>
      </w:r>
    </w:p>
    <w:p w14:paraId="3E79AADD">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13.磋商报价要求</w:t>
      </w:r>
    </w:p>
    <w:p w14:paraId="10995B06">
      <w:pPr>
        <w:keepNext w:val="0"/>
        <w:keepLines w:val="0"/>
        <w:pageBreakBefore w:val="0"/>
        <w:tabs>
          <w:tab w:val="left" w:pos="1305"/>
        </w:tabs>
        <w:kinsoku/>
        <w:wordWrap/>
        <w:overflowPunct/>
        <w:topLinePunct w:val="0"/>
        <w:autoSpaceDE/>
        <w:autoSpaceDN/>
        <w:bidi w:val="0"/>
        <w:spacing w:line="440" w:lineRule="exact"/>
        <w:ind w:firstLine="480" w:firstLineChars="200"/>
        <w:textAlignment w:val="auto"/>
        <w:rPr>
          <w:rFonts w:hint="default" w:ascii="Times New Roman" w:hAnsi="Times New Roman" w:eastAsia="新宋体" w:cs="Times New Roman"/>
          <w:color w:val="auto"/>
          <w:sz w:val="24"/>
          <w:highlight w:val="none"/>
        </w:rPr>
      </w:pPr>
      <w:r>
        <w:rPr>
          <w:rFonts w:hint="default" w:ascii="Times New Roman" w:hAnsi="Times New Roman" w:eastAsia="宋体" w:cs="Times New Roman"/>
          <w:color w:val="auto"/>
          <w:sz w:val="24"/>
          <w:highlight w:val="none"/>
        </w:rPr>
        <w:t>13.1</w:t>
      </w:r>
      <w:r>
        <w:rPr>
          <w:rFonts w:hint="default" w:ascii="Times New Roman" w:hAnsi="Times New Roman" w:eastAsia="宋体" w:cs="Times New Roman"/>
          <w:color w:val="auto"/>
          <w:kern w:val="0"/>
          <w:sz w:val="24"/>
          <w:szCs w:val="24"/>
          <w:highlight w:val="none"/>
          <w:lang w:val="en-US" w:eastAsia="zh-CN" w:bidi="ar-SA"/>
        </w:rPr>
        <w:t>本次报价须为人民币报价，只要填报了一个确定数额的总价，无论分项价格是否全部填报了相应的金额，报价应包括人员工资、节假日补贴、保险、劳保防护用品、工具费、服务预利润和税金等政策性文件规定及合同包含的所有风险、责任等完成本项目的各项应有费用等全部费用，供应商综合考虑在报价中。</w:t>
      </w:r>
    </w:p>
    <w:p w14:paraId="1D98C506">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对于本文件中未列明，而供应商认为必需的费用也需列入总报价。在合同实施时，采购人将不予支付成交供应商没有列入的项目费用，并认为此项目的费用已包括在总报价中。</w:t>
      </w:r>
    </w:p>
    <w:p w14:paraId="5CCD4BE8">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14.</w:t>
      </w:r>
      <w:r>
        <w:rPr>
          <w:rFonts w:hint="default" w:ascii="Times New Roman" w:hAnsi="Times New Roman" w:eastAsia="宋体" w:cs="Times New Roman"/>
          <w:b/>
          <w:color w:val="auto"/>
          <w:sz w:val="24"/>
          <w:highlight w:val="none"/>
        </w:rPr>
        <w:t>磋商响应文件的份数和签署</w:t>
      </w:r>
    </w:p>
    <w:p w14:paraId="252D8DE9">
      <w:pPr>
        <w:keepNext w:val="0"/>
        <w:keepLines w:val="0"/>
        <w:pageBreakBefore w:val="0"/>
        <w:tabs>
          <w:tab w:val="left" w:pos="1305"/>
        </w:tabs>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竞争性磋商响应文件份数：电子版一份</w:t>
      </w:r>
      <w:r>
        <w:rPr>
          <w:rFonts w:hint="default" w:ascii="Times New Roman" w:hAnsi="Times New Roman" w:eastAsia="宋体" w:cs="Times New Roman"/>
          <w:color w:val="auto"/>
          <w:sz w:val="24"/>
          <w:highlight w:val="none"/>
          <w:lang w:eastAsia="zh-CN"/>
        </w:rPr>
        <w:t>。</w:t>
      </w:r>
    </w:p>
    <w:p w14:paraId="3F4AA7B9">
      <w:pPr>
        <w:keepNext w:val="0"/>
        <w:keepLines w:val="0"/>
        <w:pageBreakBefore w:val="0"/>
        <w:tabs>
          <w:tab w:val="left" w:pos="1305"/>
        </w:tabs>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14.2供应商进行电子投标应安装客户端软件，并按照竞争性磋商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1813E6AB">
      <w:pPr>
        <w:keepNext w:val="0"/>
        <w:keepLines w:val="0"/>
        <w:pageBreakBefore w:val="0"/>
        <w:tabs>
          <w:tab w:val="left" w:pos="1305"/>
        </w:tabs>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14.3电子磋商响应文件中须加盖供应商公章部分均采用CA签章，并根据“政府采购项目电子交易管理操作指南-供应商”及本竞争性磋商采购文件规定的格式和顺序编制电子磋商响应文件并进行关联定位，以便磋商小组在评标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竞争性磋商文件规定的部位查找不到相关内容的，由供应商自行承担。</w:t>
      </w:r>
    </w:p>
    <w:p w14:paraId="09773112">
      <w:pPr>
        <w:keepNext w:val="0"/>
        <w:keepLines w:val="0"/>
        <w:pageBreakBefore w:val="0"/>
        <w:tabs>
          <w:tab w:val="left" w:pos="1305"/>
        </w:tabs>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color w:val="auto"/>
          <w:sz w:val="24"/>
          <w:highlight w:val="none"/>
          <w:lang w:val="en-US" w:eastAsia="zh-CN"/>
        </w:rPr>
        <w:t>14.</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lang w:val="en-US" w:eastAsia="zh-CN"/>
        </w:rPr>
        <w:t xml:space="preserve"> 磋商响应文件不得涂改，若有修改错漏处，须法定代表人（负责人）或授权委托人签字</w:t>
      </w:r>
      <w:r>
        <w:rPr>
          <w:rFonts w:hint="eastAsia" w:ascii="Arial" w:hAnsi="Arial" w:cs="Arial"/>
          <w:color w:val="auto"/>
          <w:sz w:val="24"/>
          <w:szCs w:val="24"/>
          <w:highlight w:val="none"/>
          <w:lang w:eastAsia="zh-CN"/>
        </w:rPr>
        <w:t>（或电子签章）</w:t>
      </w:r>
      <w:r>
        <w:rPr>
          <w:rFonts w:hint="default" w:ascii="Times New Roman" w:hAnsi="Times New Roman" w:eastAsia="宋体" w:cs="Times New Roman"/>
          <w:color w:val="auto"/>
          <w:sz w:val="24"/>
          <w:highlight w:val="none"/>
          <w:lang w:val="en-US" w:eastAsia="zh-CN"/>
        </w:rPr>
        <w:t>。磋商响应文件因字迹潦草或表达不清所引起的后果由供应商负责。</w:t>
      </w:r>
    </w:p>
    <w:p w14:paraId="4A331D43">
      <w:pPr>
        <w:keepNext w:val="0"/>
        <w:keepLines w:val="0"/>
        <w:pageBreakBefore w:val="0"/>
        <w:kinsoku/>
        <w:wordWrap/>
        <w:overflowPunct/>
        <w:topLinePunct w:val="0"/>
        <w:autoSpaceDE/>
        <w:autoSpaceDN/>
        <w:bidi w:val="0"/>
        <w:snapToGrid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15. 响应文件的递交</w:t>
      </w:r>
    </w:p>
    <w:p w14:paraId="64ED9959">
      <w:pPr>
        <w:keepNext w:val="0"/>
        <w:keepLines w:val="0"/>
        <w:pageBreakBefore w:val="0"/>
        <w:kinsoku/>
        <w:wordWrap/>
        <w:overflowPunct/>
        <w:topLinePunct w:val="0"/>
        <w:autoSpaceDE/>
        <w:autoSpaceDN/>
        <w:bidi w:val="0"/>
        <w:snapToGrid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15.1所有竞争性</w:t>
      </w:r>
      <w:r>
        <w:rPr>
          <w:rFonts w:hint="default"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响应文件应于竞争性</w:t>
      </w:r>
      <w:r>
        <w:rPr>
          <w:rFonts w:hint="default" w:ascii="Times New Roman" w:hAnsi="Times New Roman" w:eastAsia="宋体" w:cs="Times New Roman"/>
          <w:color w:val="auto"/>
          <w:sz w:val="24"/>
          <w:highlight w:val="none"/>
          <w:lang w:eastAsia="zh-CN"/>
        </w:rPr>
        <w:t>磋商采购</w:t>
      </w:r>
      <w:r>
        <w:rPr>
          <w:rFonts w:hint="default" w:ascii="Times New Roman" w:hAnsi="Times New Roman" w:eastAsia="宋体" w:cs="Times New Roman"/>
          <w:color w:val="auto"/>
          <w:sz w:val="24"/>
          <w:highlight w:val="none"/>
        </w:rPr>
        <w:t>文件中规定的时间前上传递交至</w:t>
      </w:r>
      <w:r>
        <w:rPr>
          <w:rFonts w:hint="eastAsia" w:cs="Times New Roman"/>
          <w:color w:val="auto"/>
          <w:sz w:val="24"/>
          <w:highlight w:val="none"/>
          <w:lang w:eastAsia="zh-CN"/>
        </w:rPr>
        <w:t>广西政府采购云平台</w:t>
      </w:r>
      <w:r>
        <w:rPr>
          <w:rFonts w:hint="default" w:ascii="Times New Roman" w:hAnsi="Times New Roman" w:eastAsia="宋体" w:cs="Times New Roman"/>
          <w:color w:val="auto"/>
          <w:sz w:val="24"/>
          <w:highlight w:val="none"/>
        </w:rPr>
        <w:t>。凡逾期上传的磋商响应文件将被作为无效的磋商响应文件处理。在递交响应文件截止期以后上传的磋商响应文件将予以拒绝。</w:t>
      </w:r>
    </w:p>
    <w:p w14:paraId="2395F8F1">
      <w:pPr>
        <w:keepNext w:val="0"/>
        <w:keepLines w:val="0"/>
        <w:pageBreakBefore w:val="0"/>
        <w:kinsoku/>
        <w:wordWrap/>
        <w:overflowPunct/>
        <w:topLinePunct w:val="0"/>
        <w:autoSpaceDE/>
        <w:autoSpaceDN/>
        <w:bidi w:val="0"/>
        <w:snapToGrid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15.2竞争性</w:t>
      </w:r>
      <w:r>
        <w:rPr>
          <w:rFonts w:hint="default"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响应文件从响应文件递交截止日期后</w:t>
      </w:r>
      <w:r>
        <w:rPr>
          <w:rFonts w:hint="eastAsia" w:ascii="Times New Roman" w:hAnsi="Times New Roman" w:eastAsia="宋体" w:cs="Times New Roman"/>
          <w:color w:val="auto"/>
          <w:sz w:val="24"/>
          <w:highlight w:val="none"/>
          <w:lang w:val="en-US" w:eastAsia="zh-CN"/>
        </w:rPr>
        <w:t>60</w:t>
      </w:r>
      <w:r>
        <w:rPr>
          <w:rFonts w:hint="default" w:ascii="Times New Roman" w:hAnsi="Times New Roman" w:eastAsia="宋体" w:cs="Times New Roman"/>
          <w:color w:val="auto"/>
          <w:sz w:val="24"/>
          <w:highlight w:val="none"/>
        </w:rPr>
        <w:t>日内有效。</w:t>
      </w:r>
    </w:p>
    <w:p w14:paraId="17C5CB82">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16.响应文件的补充、修改</w:t>
      </w:r>
    </w:p>
    <w:p w14:paraId="16A74D0C">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6FE6A6C3">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17.迟交的响应文件</w:t>
      </w:r>
    </w:p>
    <w:p w14:paraId="3434C30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按《中华人民共和国政府采购法》的规定，</w:t>
      </w:r>
      <w:r>
        <w:rPr>
          <w:rFonts w:hint="default" w:ascii="Times New Roman" w:hAnsi="Times New Roman" w:eastAsia="宋体" w:cs="Times New Roman"/>
          <w:color w:val="auto"/>
          <w:sz w:val="24"/>
          <w:highlight w:val="none"/>
          <w:lang w:eastAsia="zh-CN"/>
        </w:rPr>
        <w:t>采购代理机构</w:t>
      </w:r>
      <w:r>
        <w:rPr>
          <w:rFonts w:hint="default" w:ascii="Times New Roman" w:hAnsi="Times New Roman" w:eastAsia="宋体" w:cs="Times New Roman"/>
          <w:color w:val="auto"/>
          <w:sz w:val="24"/>
          <w:highlight w:val="none"/>
        </w:rPr>
        <w:t>将拒绝或原封退回在规定的递交竞争性磋商响应文件截止时间之后收到的任何竞争性磋商响应文件。</w:t>
      </w:r>
    </w:p>
    <w:p w14:paraId="269D1CC7">
      <w:pPr>
        <w:keepNext w:val="0"/>
        <w:keepLines w:val="0"/>
        <w:pageBreakBefore w:val="0"/>
        <w:kinsoku/>
        <w:wordWrap/>
        <w:overflowPunct/>
        <w:topLinePunct w:val="0"/>
        <w:autoSpaceDE/>
        <w:autoSpaceDN/>
        <w:bidi w:val="0"/>
        <w:snapToGrid w:val="0"/>
        <w:spacing w:line="440" w:lineRule="exact"/>
        <w:ind w:firstLine="484" w:firstLineChars="201"/>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18.电子响应文件的相关说明</w:t>
      </w:r>
    </w:p>
    <w:p w14:paraId="3C4EECBE">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18.1如有特殊情况，采购代理机构延长截止时间和开标时间，采购代理机构和供应商的权利和义务将受到新的截止时间和开标时间的约束。</w:t>
      </w:r>
    </w:p>
    <w:p w14:paraId="2FB5A069">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18.2供应商在首次电子响应文件提交截止时间后向采购人、采购代理机构书面申请撤回电子响应文件的，除此之外采购人和采购代理机构对已开启的电子响应文件概不退回。</w:t>
      </w:r>
    </w:p>
    <w:p w14:paraId="409701C8">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18.3网上开标、电子评标：</w:t>
      </w:r>
    </w:p>
    <w:p w14:paraId="1349EA32">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供应商根据竞争性磋商文件要求，登录</w:t>
      </w:r>
      <w:r>
        <w:rPr>
          <w:rFonts w:hint="eastAsia" w:cs="Times New Roman"/>
          <w:color w:val="auto"/>
          <w:kern w:val="2"/>
          <w:sz w:val="24"/>
          <w:szCs w:val="24"/>
          <w:highlight w:val="none"/>
          <w:lang w:val="en-US" w:eastAsia="zh-CN" w:bidi="ar-SA"/>
        </w:rPr>
        <w:t>"广西政府采购云平台"</w:t>
      </w:r>
      <w:r>
        <w:rPr>
          <w:rFonts w:hint="default" w:ascii="Times New Roman" w:hAnsi="Times New Roman" w:eastAsia="宋体" w:cs="Times New Roman"/>
          <w:color w:val="auto"/>
          <w:kern w:val="2"/>
          <w:sz w:val="24"/>
          <w:szCs w:val="24"/>
          <w:highlight w:val="none"/>
          <w:lang w:val="en-US" w:eastAsia="zh-CN" w:bidi="ar-SA"/>
        </w:rPr>
        <w:t>，在指定时间内将电子响应文件通过CA加密后上传完成投标。开标实行网上不见面开标。到达开标时间后，采购代理机构工作人员在</w:t>
      </w:r>
      <w:r>
        <w:rPr>
          <w:rFonts w:hint="eastAsia" w:cs="Times New Roman"/>
          <w:color w:val="auto"/>
          <w:kern w:val="2"/>
          <w:sz w:val="24"/>
          <w:szCs w:val="24"/>
          <w:highlight w:val="none"/>
          <w:lang w:val="en-US" w:eastAsia="zh-CN" w:bidi="ar-SA"/>
        </w:rPr>
        <w:t>"广西政府采购云平台"</w:t>
      </w:r>
      <w:r>
        <w:rPr>
          <w:rFonts w:hint="default" w:ascii="Times New Roman" w:hAnsi="Times New Roman" w:eastAsia="宋体" w:cs="Times New Roman"/>
          <w:color w:val="auto"/>
          <w:kern w:val="2"/>
          <w:sz w:val="24"/>
          <w:szCs w:val="24"/>
          <w:highlight w:val="none"/>
          <w:lang w:val="en-US" w:eastAsia="zh-CN" w:bidi="ar-SA"/>
        </w:rPr>
        <w:t>开始网上开标，供应商在竞争性磋商文件指定解密时间内各自远程登录</w:t>
      </w:r>
      <w:r>
        <w:rPr>
          <w:rFonts w:hint="eastAsia" w:cs="Times New Roman"/>
          <w:color w:val="auto"/>
          <w:kern w:val="2"/>
          <w:sz w:val="24"/>
          <w:szCs w:val="24"/>
          <w:highlight w:val="none"/>
          <w:lang w:val="en-US" w:eastAsia="zh-CN" w:bidi="ar-SA"/>
        </w:rPr>
        <w:t>"广西政府采购云平台"</w:t>
      </w:r>
      <w:r>
        <w:rPr>
          <w:rFonts w:hint="default" w:ascii="Times New Roman" w:hAnsi="Times New Roman" w:eastAsia="宋体" w:cs="Times New Roman"/>
          <w:color w:val="auto"/>
          <w:kern w:val="2"/>
          <w:sz w:val="24"/>
          <w:szCs w:val="24"/>
          <w:highlight w:val="none"/>
          <w:lang w:val="en-US" w:eastAsia="zh-CN" w:bidi="ar-SA"/>
        </w:rPr>
        <w:t>进行响应文件解密，供应商全部解密完成或解密时间结束后由采购代理机构工作人员开启唱标及评标程序，供应商可在个人电脑上查看到唱标信息，并等待专家评委评审，评审结束后系统中将显示评标结果。</w:t>
      </w:r>
    </w:p>
    <w:p w14:paraId="2258EEE5">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四、响应文件评审程序</w:t>
      </w:r>
    </w:p>
    <w:p w14:paraId="3E17F0F7">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1</w:t>
      </w:r>
      <w:r>
        <w:rPr>
          <w:rFonts w:hint="default" w:ascii="Times New Roman" w:hAnsi="Times New Roman" w:eastAsia="宋体" w:cs="Times New Roman"/>
          <w:b/>
          <w:color w:val="auto"/>
          <w:kern w:val="0"/>
          <w:sz w:val="24"/>
          <w:highlight w:val="none"/>
          <w:lang w:val="en-US" w:eastAsia="zh-CN"/>
        </w:rPr>
        <w:t>9</w:t>
      </w:r>
      <w:r>
        <w:rPr>
          <w:rFonts w:hint="default" w:ascii="Times New Roman" w:hAnsi="Times New Roman" w:eastAsia="宋体" w:cs="Times New Roman"/>
          <w:b/>
          <w:color w:val="auto"/>
          <w:kern w:val="0"/>
          <w:sz w:val="24"/>
          <w:highlight w:val="none"/>
        </w:rPr>
        <w:t>.磋商小组组建</w:t>
      </w:r>
    </w:p>
    <w:p w14:paraId="123874EC">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rPr>
        <w:t>.1磋商小组由采购人代表和评审专家共3人以上单数组成，其中评审专家人数不得少于磋商小组成员总数的2/3。</w:t>
      </w:r>
    </w:p>
    <w:p w14:paraId="084EA516">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rPr>
        <w:t>.2评审专家应当从</w:t>
      </w:r>
      <w:r>
        <w:rPr>
          <w:rFonts w:hint="default" w:ascii="Times New Roman" w:hAnsi="Times New Roman" w:eastAsia="宋体" w:cs="Times New Roman"/>
          <w:color w:val="auto"/>
          <w:sz w:val="24"/>
          <w:highlight w:val="none"/>
          <w:lang w:eastAsia="zh-CN"/>
        </w:rPr>
        <w:t>广西壮族自治区政府采购云平台中</w:t>
      </w:r>
      <w:r>
        <w:rPr>
          <w:rFonts w:hint="default" w:ascii="Times New Roman" w:hAnsi="Times New Roman" w:eastAsia="宋体" w:cs="Times New Roman"/>
          <w:color w:val="auto"/>
          <w:sz w:val="24"/>
          <w:highlight w:val="none"/>
        </w:rPr>
        <w:t>相关专业的专家名单中随机抽取。属于市场竞争不充分的科研项目，或需要扶持的科技成果转化项目，或情况特殊、通过随机方式难以确定合适的评审专家的项目，经主管预算单位同意，可以自行选定评审专家。技术复杂、专业性强的采购项目，评审专家中应当包含1名法律专家。</w:t>
      </w:r>
    </w:p>
    <w:p w14:paraId="034CA958">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lang w:val="en-US" w:eastAsia="zh-CN"/>
        </w:rPr>
        <w:t>20</w:t>
      </w:r>
      <w:r>
        <w:rPr>
          <w:rFonts w:hint="default" w:ascii="Times New Roman" w:hAnsi="Times New Roman" w:eastAsia="宋体" w:cs="Times New Roman"/>
          <w:b/>
          <w:color w:val="auto"/>
          <w:kern w:val="0"/>
          <w:sz w:val="24"/>
          <w:highlight w:val="none"/>
        </w:rPr>
        <w:t>.评审程序</w:t>
      </w:r>
    </w:p>
    <w:p w14:paraId="6083C578">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lang w:val="en-US" w:eastAsia="zh-CN"/>
        </w:rPr>
        <w:t>20</w:t>
      </w: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color w:val="auto"/>
          <w:sz w:val="24"/>
          <w:highlight w:val="none"/>
        </w:rPr>
        <w:t>磋商会议程序</w:t>
      </w:r>
    </w:p>
    <w:p w14:paraId="0F993578">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（1）采购代理机构主持人宣布会议开始；</w:t>
      </w:r>
    </w:p>
    <w:p w14:paraId="3A7F3FF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（2）介绍参加会议人员名单；</w:t>
      </w:r>
    </w:p>
    <w:p w14:paraId="7BF7AE24">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投标（响应）文件签收、解密</w:t>
      </w:r>
      <w:r>
        <w:rPr>
          <w:rFonts w:hint="default" w:ascii="Times New Roman" w:hAnsi="Times New Roman" w:eastAsia="宋体" w:cs="Times New Roman"/>
          <w:color w:val="auto"/>
          <w:sz w:val="24"/>
          <w:highlight w:val="none"/>
        </w:rPr>
        <w:t>；</w:t>
      </w:r>
    </w:p>
    <w:p w14:paraId="0C3A404F">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（4）采购代理机构宣读资格参加磋商的磋商供应商及采购人认为需要宣布的其他内容；</w:t>
      </w:r>
    </w:p>
    <w:p w14:paraId="7E655F7C">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）宣布磋商与评审期间的有关事项；</w:t>
      </w:r>
    </w:p>
    <w:p w14:paraId="07027A8D">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）会议结束；</w:t>
      </w:r>
    </w:p>
    <w:p w14:paraId="2E4802B8">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）会议结束后即开始评审与磋商工作。</w:t>
      </w:r>
    </w:p>
    <w:p w14:paraId="4ACBBC69">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20</w:t>
      </w:r>
      <w:r>
        <w:rPr>
          <w:rFonts w:hint="default" w:ascii="Times New Roman" w:hAnsi="Times New Roman" w:eastAsia="宋体" w:cs="Times New Roman"/>
          <w:b/>
          <w:color w:val="auto"/>
          <w:sz w:val="24"/>
          <w:highlight w:val="none"/>
        </w:rPr>
        <w:t>.2磋商小组评审响应文件</w:t>
      </w:r>
    </w:p>
    <w:p w14:paraId="13CC4A7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color w:val="auto"/>
          <w:sz w:val="24"/>
          <w:szCs w:val="24"/>
          <w:highlight w:val="none"/>
        </w:rPr>
        <w:t>响应文件</w:t>
      </w:r>
      <w:r>
        <w:rPr>
          <w:rFonts w:hint="default" w:ascii="Times New Roman" w:hAnsi="Times New Roman" w:eastAsia="宋体" w:cs="Times New Roman"/>
          <w:color w:val="auto"/>
          <w:sz w:val="24"/>
          <w:szCs w:val="24"/>
          <w:highlight w:val="none"/>
          <w:lang w:eastAsia="zh-CN"/>
        </w:rPr>
        <w:t>解密</w:t>
      </w:r>
      <w:r>
        <w:rPr>
          <w:rFonts w:hint="default" w:ascii="Times New Roman" w:hAnsi="Times New Roman" w:eastAsia="宋体" w:cs="Times New Roman"/>
          <w:color w:val="auto"/>
          <w:sz w:val="24"/>
          <w:szCs w:val="24"/>
          <w:highlight w:val="none"/>
        </w:rPr>
        <w:t>后，磋商小组依法对供应商的资格文件进行审查，其中信用查询详见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供应商须知前附表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highlight w:val="none"/>
        </w:rPr>
        <w:t>参加本次磋商的供应商均要通过资格审查后才能获得竞争性磋商资格。</w:t>
      </w:r>
    </w:p>
    <w:p w14:paraId="7A206E2A">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20</w:t>
      </w:r>
      <w:r>
        <w:rPr>
          <w:rFonts w:hint="default" w:ascii="Times New Roman" w:hAnsi="Times New Roman" w:eastAsia="宋体" w:cs="Times New Roman"/>
          <w:b/>
          <w:color w:val="auto"/>
          <w:sz w:val="24"/>
          <w:highlight w:val="none"/>
        </w:rPr>
        <w:t>.3澄清</w:t>
      </w:r>
    </w:p>
    <w:p w14:paraId="26CE695C">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3F773E">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为了有助于磋商响应文件的审查、评价和比较，磋商小组可以个别地要求磋商供应商澄清其磋商响应文件。澄清文件必须以PDF格式上传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供应商在澄清截止时间前，进行澄清</w:t>
      </w:r>
      <w:r>
        <w:rPr>
          <w:rFonts w:hint="default" w:ascii="Times New Roman" w:hAnsi="Times New Roman" w:eastAsia="宋体" w:cs="Times New Roman"/>
          <w:color w:val="auto"/>
          <w:sz w:val="24"/>
          <w:highlight w:val="none"/>
          <w:lang w:eastAsia="zh-CN"/>
        </w:rPr>
        <w:t>。</w:t>
      </w:r>
    </w:p>
    <w:p w14:paraId="6AC7FBC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磋商小组评审中需要供应商对</w:t>
      </w:r>
      <w:r>
        <w:rPr>
          <w:rFonts w:hint="default"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响应文件作出澄清、说明或者补正的，</w:t>
      </w:r>
      <w:r>
        <w:rPr>
          <w:rFonts w:hint="default"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小组和供应商应当通过</w:t>
      </w:r>
      <w:r>
        <w:rPr>
          <w:rFonts w:hint="eastAsia" w:cs="Times New Roman"/>
          <w:color w:val="auto"/>
          <w:sz w:val="24"/>
          <w:highlight w:val="none"/>
          <w:lang w:eastAsia="zh-CN"/>
        </w:rPr>
        <w:t>广西政府采购云平台</w:t>
      </w:r>
      <w:r>
        <w:rPr>
          <w:rFonts w:hint="default" w:ascii="Times New Roman" w:hAnsi="Times New Roman" w:eastAsia="宋体" w:cs="Times New Roman"/>
          <w:color w:val="auto"/>
          <w:sz w:val="24"/>
          <w:highlight w:val="none"/>
        </w:rPr>
        <w:t>交换数据电文。给予供应商提交澄清说明或补正的时间不少于半小时，供应商已经明确表示澄清说明或补正完毕的除外。</w:t>
      </w:r>
    </w:p>
    <w:p w14:paraId="3C0853A9">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供应商通过</w:t>
      </w:r>
      <w:r>
        <w:rPr>
          <w:rFonts w:hint="eastAsia" w:cs="Times New Roman"/>
          <w:color w:val="auto"/>
          <w:sz w:val="24"/>
          <w:highlight w:val="none"/>
          <w:lang w:eastAsia="zh-CN"/>
        </w:rPr>
        <w:t>广西政府采购云平台</w:t>
      </w:r>
      <w:r>
        <w:rPr>
          <w:rFonts w:hint="default" w:ascii="Times New Roman" w:hAnsi="Times New Roman" w:eastAsia="宋体" w:cs="Times New Roman"/>
          <w:color w:val="auto"/>
          <w:sz w:val="24"/>
          <w:highlight w:val="none"/>
        </w:rPr>
        <w:t>交换的数据电文必须进行电子签章。</w:t>
      </w:r>
    </w:p>
    <w:p w14:paraId="4BCF9390">
      <w:pPr>
        <w:keepNext w:val="0"/>
        <w:keepLines w:val="0"/>
        <w:pageBreakBefore w:val="0"/>
        <w:widowControl/>
        <w:tabs>
          <w:tab w:val="left" w:pos="540"/>
        </w:tabs>
        <w:kinsoku/>
        <w:wordWrap/>
        <w:overflowPunct/>
        <w:topLinePunct w:val="0"/>
        <w:autoSpaceDE/>
        <w:autoSpaceDN/>
        <w:bidi w:val="0"/>
        <w:spacing w:line="440" w:lineRule="exact"/>
        <w:ind w:firstLine="484" w:firstLineChars="201"/>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20</w:t>
      </w:r>
      <w:r>
        <w:rPr>
          <w:rFonts w:hint="default" w:ascii="Times New Roman" w:hAnsi="Times New Roman" w:eastAsia="宋体" w:cs="Times New Roman"/>
          <w:b/>
          <w:color w:val="auto"/>
          <w:sz w:val="24"/>
          <w:highlight w:val="none"/>
        </w:rPr>
        <w:t>.4磋商</w:t>
      </w:r>
    </w:p>
    <w:p w14:paraId="4ACE4751">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.4.1磋商时间及地点：按须知前附表规定。</w:t>
      </w:r>
    </w:p>
    <w:p w14:paraId="1E20BBB1">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.4.2供应商参加需要携带的材料：按须知前附表规定。</w:t>
      </w:r>
    </w:p>
    <w:p w14:paraId="173DF012">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.4.3磋商小组按须知前附表规定的磋商顺序，集中与单一供应商分别进行磋商，并给予所有参加磋商的供应商平等的磋商机会。</w:t>
      </w:r>
    </w:p>
    <w:p w14:paraId="73CB764B">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0B9B1633">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对磋商文件作出的实质性变动是磋商文件的有效组成部分，磋商小组应当及时以书面形式同时通知所有参加磋商的供应商。</w:t>
      </w:r>
    </w:p>
    <w:p w14:paraId="5DCB1DD3">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供应商应当按照磋商文件的变动情况和磋商小组的要求重新提交响应文件，并由其法定代表人或授权代表签字或者加盖公章。由授权代表签字的，应当附法定代表人授权书。</w:t>
      </w:r>
    </w:p>
    <w:p w14:paraId="2F252EED">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磋商中，磋商的任何一方不得透露与磋商有关的其他供应商的技术资料、价格和其他信息。</w:t>
      </w:r>
    </w:p>
    <w:p w14:paraId="16DA32EA">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采购代理机构对磋商过程和重要磋商内容进行记录，磋商双方在记录上签字确认。</w:t>
      </w:r>
    </w:p>
    <w:p w14:paraId="786FFD24">
      <w:pPr>
        <w:keepNext w:val="0"/>
        <w:keepLines w:val="0"/>
        <w:pageBreakBefore w:val="0"/>
        <w:widowControl/>
        <w:tabs>
          <w:tab w:val="left" w:pos="540"/>
        </w:tabs>
        <w:kinsoku/>
        <w:wordWrap/>
        <w:overflowPunct/>
        <w:topLinePunct w:val="0"/>
        <w:autoSpaceDE/>
        <w:autoSpaceDN/>
        <w:bidi w:val="0"/>
        <w:spacing w:line="440" w:lineRule="exact"/>
        <w:ind w:firstLine="484" w:firstLineChars="201"/>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20</w:t>
      </w:r>
      <w:r>
        <w:rPr>
          <w:rFonts w:hint="default" w:ascii="Times New Roman" w:hAnsi="Times New Roman" w:eastAsia="宋体" w:cs="Times New Roman"/>
          <w:b/>
          <w:color w:val="auto"/>
          <w:sz w:val="24"/>
          <w:highlight w:val="none"/>
        </w:rPr>
        <w:t>.5最后报价</w:t>
      </w:r>
    </w:p>
    <w:p w14:paraId="2C90A186">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.5.1磋商文件能够详细列明采购标的的技术、服务要求的，磋商结束后，磋商供应商作最后报价，在报价页面填写最终报价、项目负责人等信息，生成报价文件。生成报价文件后，供应商需报价文件进行CA签章</w:t>
      </w:r>
      <w:r>
        <w:rPr>
          <w:rFonts w:hint="default" w:ascii="Times New Roman" w:hAnsi="Times New Roman" w:eastAsia="宋体" w:cs="Times New Roman"/>
          <w:color w:val="auto"/>
          <w:sz w:val="24"/>
          <w:highlight w:val="none"/>
          <w:lang w:eastAsia="zh-CN"/>
        </w:rPr>
        <w:t>。供应商确认报价文件无误后，在电脑上插入CA锁，对报价文件进行签章。确认报价文件后，提交报价文件。</w:t>
      </w:r>
      <w:r>
        <w:rPr>
          <w:rFonts w:hint="default" w:ascii="Times New Roman" w:hAnsi="Times New Roman" w:eastAsia="宋体" w:cs="Times New Roman"/>
          <w:color w:val="auto"/>
          <w:sz w:val="24"/>
          <w:highlight w:val="none"/>
        </w:rPr>
        <w:t>经磋商确定最终采购需求和提交最后报价的供应商后，由磋商小组采用综合评分法对提交最后报价的供应商的响应文件和最后报价进行综合评分。磋商小组按综合评分从高到低排序，推荐成交候选人顺序，形成评标报告。</w:t>
      </w:r>
    </w:p>
    <w:p w14:paraId="1AA2EBCA">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密封提交最后报价。</w:t>
      </w:r>
    </w:p>
    <w:p w14:paraId="04B09D21">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.5.3属于市场竞争不充分的科研项目，以及需要扶持的科技成果转化项目，提交最后报价的供应商可以为2家。</w:t>
      </w:r>
    </w:p>
    <w:p w14:paraId="4FB5409E">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5.4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ADF50B6">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.5.5最后报价是供应商响应文件的有效组成部分。</w:t>
      </w:r>
    </w:p>
    <w:p w14:paraId="11899787">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.5.6已经提交响应文件的供应商，在提交最后报价之前，可以根据磋商情况退出磋商。</w:t>
      </w:r>
    </w:p>
    <w:p w14:paraId="14245569">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.5.7响应供应商的报价均超过了采购预算，采购人不能支付的，磋商活动终止。</w:t>
      </w:r>
    </w:p>
    <w:p w14:paraId="13CEEFFD">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.5.8</w:t>
      </w:r>
      <w:r>
        <w:rPr>
          <w:rFonts w:hint="default" w:ascii="Times New Roman" w:hAnsi="Times New Roman" w:eastAsia="宋体" w:cs="Times New Roman"/>
          <w:i w:val="0"/>
          <w:caps w:val="0"/>
          <w:color w:val="auto"/>
          <w:spacing w:val="0"/>
          <w:sz w:val="24"/>
          <w:szCs w:val="24"/>
          <w:highlight w:val="none"/>
          <w:shd w:val="clear" w:color="auto" w:fill="FFFFFF"/>
        </w:rPr>
        <w:t>评标委员会认为</w:t>
      </w:r>
      <w:r>
        <w:rPr>
          <w:rFonts w:hint="eastAsia" w:ascii="Times New Roman" w:hAnsi="Times New Roman" w:eastAsia="宋体" w:cs="Times New Roman"/>
          <w:i w:val="0"/>
          <w:caps w:val="0"/>
          <w:color w:val="auto"/>
          <w:spacing w:val="0"/>
          <w:sz w:val="24"/>
          <w:szCs w:val="24"/>
          <w:highlight w:val="none"/>
          <w:shd w:val="clear" w:color="auto" w:fill="FFFFFF"/>
          <w:lang w:eastAsia="zh-CN"/>
        </w:rPr>
        <w:t>供应商</w:t>
      </w:r>
      <w:r>
        <w:rPr>
          <w:rFonts w:hint="default" w:ascii="Times New Roman" w:hAnsi="Times New Roman" w:eastAsia="宋体" w:cs="Times New Roman"/>
          <w:i w:val="0"/>
          <w:caps w:val="0"/>
          <w:color w:val="auto"/>
          <w:spacing w:val="0"/>
          <w:sz w:val="24"/>
          <w:szCs w:val="24"/>
          <w:highlight w:val="none"/>
          <w:shd w:val="clear" w:color="auto" w:fill="FFFFFF"/>
        </w:rPr>
        <w:t>的报价明显低于其他通过符合性审查</w:t>
      </w:r>
      <w:r>
        <w:rPr>
          <w:rFonts w:hint="eastAsia" w:ascii="Times New Roman" w:hAnsi="Times New Roman" w:eastAsia="宋体" w:cs="Times New Roman"/>
          <w:i w:val="0"/>
          <w:caps w:val="0"/>
          <w:color w:val="auto"/>
          <w:spacing w:val="0"/>
          <w:sz w:val="24"/>
          <w:szCs w:val="24"/>
          <w:highlight w:val="none"/>
          <w:shd w:val="clear" w:color="auto" w:fill="FFFFFF"/>
          <w:lang w:eastAsia="zh-CN"/>
        </w:rPr>
        <w:t>供应商</w:t>
      </w:r>
      <w:r>
        <w:rPr>
          <w:rFonts w:hint="default" w:ascii="Times New Roman" w:hAnsi="Times New Roman" w:eastAsia="宋体" w:cs="Times New Roman"/>
          <w:i w:val="0"/>
          <w:caps w:val="0"/>
          <w:color w:val="auto"/>
          <w:spacing w:val="0"/>
          <w:sz w:val="24"/>
          <w:szCs w:val="24"/>
          <w:highlight w:val="none"/>
          <w:shd w:val="clear" w:color="auto" w:fill="FFFFFF"/>
        </w:rPr>
        <w:t>的报价，有可能影响产品质量或者不能诚信履约的，应当要求其在评标现场合理的时间内提供书面说明，必要时提交相关证明材料；</w:t>
      </w:r>
      <w:r>
        <w:rPr>
          <w:rFonts w:hint="eastAsia" w:ascii="Times New Roman" w:hAnsi="Times New Roman" w:eastAsia="宋体" w:cs="Times New Roman"/>
          <w:i w:val="0"/>
          <w:caps w:val="0"/>
          <w:color w:val="auto"/>
          <w:spacing w:val="0"/>
          <w:sz w:val="24"/>
          <w:szCs w:val="24"/>
          <w:highlight w:val="none"/>
          <w:shd w:val="clear" w:color="auto" w:fill="FFFFFF"/>
          <w:lang w:eastAsia="zh-CN"/>
        </w:rPr>
        <w:t>供应商</w:t>
      </w:r>
      <w:r>
        <w:rPr>
          <w:rFonts w:hint="default" w:ascii="Times New Roman" w:hAnsi="Times New Roman" w:eastAsia="宋体" w:cs="Times New Roman"/>
          <w:i w:val="0"/>
          <w:caps w:val="0"/>
          <w:color w:val="auto"/>
          <w:spacing w:val="0"/>
          <w:sz w:val="24"/>
          <w:szCs w:val="24"/>
          <w:highlight w:val="none"/>
          <w:shd w:val="clear" w:color="auto" w:fill="FFFFFF"/>
        </w:rPr>
        <w:t>不能证明其报价合理性的，评标委员会应当将其作为无效投标处理。</w:t>
      </w:r>
    </w:p>
    <w:p w14:paraId="500BF52C">
      <w:pPr>
        <w:keepNext w:val="0"/>
        <w:keepLines w:val="0"/>
        <w:pageBreakBefore w:val="0"/>
        <w:widowControl/>
        <w:tabs>
          <w:tab w:val="left" w:pos="540"/>
        </w:tabs>
        <w:kinsoku/>
        <w:wordWrap/>
        <w:overflowPunct/>
        <w:topLinePunct w:val="0"/>
        <w:autoSpaceDE/>
        <w:autoSpaceDN/>
        <w:bidi w:val="0"/>
        <w:spacing w:line="440" w:lineRule="exact"/>
        <w:ind w:firstLine="484" w:firstLineChars="201"/>
        <w:jc w:val="left"/>
        <w:textAlignment w:val="auto"/>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.最终磋商结束后，磋商小组不得再与供应商进行任何形式的商谈</w:t>
      </w:r>
      <w:r>
        <w:rPr>
          <w:rFonts w:hint="default" w:ascii="Times New Roman" w:hAnsi="Times New Roman" w:eastAsia="宋体" w:cs="Times New Roman"/>
          <w:b/>
          <w:color w:val="auto"/>
          <w:sz w:val="24"/>
          <w:highlight w:val="none"/>
          <w:lang w:eastAsia="zh-CN"/>
        </w:rPr>
        <w:t>。</w:t>
      </w:r>
    </w:p>
    <w:p w14:paraId="76D07CB7">
      <w:pPr>
        <w:keepNext w:val="0"/>
        <w:keepLines w:val="0"/>
        <w:pageBreakBefore w:val="0"/>
        <w:widowControl/>
        <w:tabs>
          <w:tab w:val="left" w:pos="540"/>
        </w:tabs>
        <w:kinsoku/>
        <w:wordWrap/>
        <w:overflowPunct/>
        <w:topLinePunct w:val="0"/>
        <w:autoSpaceDE/>
        <w:autoSpaceDN/>
        <w:bidi w:val="0"/>
        <w:spacing w:line="440" w:lineRule="exact"/>
        <w:ind w:firstLine="484" w:firstLineChars="201"/>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.评审与比较</w:t>
      </w:r>
    </w:p>
    <w:p w14:paraId="232A15D8">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.1经磋商确定最终采购需求和提交最后报价的供应商后，由磋商小组采用综合评分法对提交最后报价的供应商的响应文件和最后报价进行综合评分。</w:t>
      </w:r>
    </w:p>
    <w:p w14:paraId="46D05ED5">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.2评审原则。磋商小组必须公平、公正、客观，不带任何倾向性和启发性；不得向外界透露任何与评审有关的内容；任何单位和个人不得干扰、影响评审的正常进行。</w:t>
      </w:r>
    </w:p>
    <w:p w14:paraId="730CDC6E">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.3评标办法及标准详见第</w:t>
      </w:r>
      <w:r>
        <w:rPr>
          <w:rFonts w:hint="default" w:ascii="Times New Roman" w:hAnsi="Times New Roman" w:eastAsia="宋体" w:cs="Times New Roman"/>
          <w:color w:val="auto"/>
          <w:sz w:val="24"/>
          <w:highlight w:val="none"/>
          <w:lang w:eastAsia="zh-CN"/>
        </w:rPr>
        <w:t>六</w:t>
      </w:r>
      <w:r>
        <w:rPr>
          <w:rFonts w:hint="default" w:ascii="Times New Roman" w:hAnsi="Times New Roman" w:eastAsia="宋体" w:cs="Times New Roman"/>
          <w:color w:val="auto"/>
          <w:sz w:val="24"/>
          <w:highlight w:val="none"/>
        </w:rPr>
        <w:t>章。</w:t>
      </w:r>
    </w:p>
    <w:p w14:paraId="66DF3577">
      <w:pPr>
        <w:keepNext w:val="0"/>
        <w:keepLines w:val="0"/>
        <w:pageBreakBefore w:val="0"/>
        <w:widowControl/>
        <w:tabs>
          <w:tab w:val="left" w:pos="540"/>
        </w:tabs>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
          <w:bCs/>
          <w:color w:val="auto"/>
          <w:sz w:val="24"/>
          <w:highlight w:val="none"/>
        </w:rPr>
        <w:t>在评标过程中出现法律法规和磋商文件均没有明确规定的情形时，由磋商小组现场协商解决。</w:t>
      </w:r>
    </w:p>
    <w:p w14:paraId="5B33AAC2">
      <w:pPr>
        <w:keepNext w:val="0"/>
        <w:keepLines w:val="0"/>
        <w:pageBreakBefore w:val="0"/>
        <w:widowControl/>
        <w:tabs>
          <w:tab w:val="left" w:pos="540"/>
        </w:tabs>
        <w:kinsoku/>
        <w:wordWrap/>
        <w:overflowPunct/>
        <w:topLinePunct w:val="0"/>
        <w:autoSpaceDE/>
        <w:autoSpaceDN/>
        <w:bidi w:val="0"/>
        <w:spacing w:line="440" w:lineRule="exact"/>
        <w:ind w:firstLine="484" w:firstLineChars="201"/>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4"/>
          <w:highlight w:val="none"/>
        </w:rPr>
        <w:t>2</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color w:val="auto"/>
          <w:sz w:val="24"/>
          <w:highlight w:val="none"/>
        </w:rPr>
        <w:t>特别说明：</w:t>
      </w:r>
    </w:p>
    <w:p w14:paraId="4AC01A25">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.1出现下列情形之一的，在评审过程中，取其中通过资格审查、符合性审查且报价最低的参加评审；当报价相同时，则由采购人自主选择确定一个参加评审的供应商，其他响应无效：</w:t>
      </w:r>
    </w:p>
    <w:p w14:paraId="306822F4">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（1）提供相同品牌产品的不同供应商参加单一产品的同一合同项下的政府采购活动的。</w:t>
      </w:r>
    </w:p>
    <w:p w14:paraId="7B7164B7">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（2）非单一产品采购项目中，多家供应商提供的核心产品品牌相同的。核心产品的名称应当在采购文件中载明。</w:t>
      </w:r>
    </w:p>
    <w:p w14:paraId="3F76517E">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.2供应商</w:t>
      </w:r>
      <w:r>
        <w:rPr>
          <w:rFonts w:hint="eastAsia" w:ascii="Times New Roman" w:hAnsi="Times New Roman" w:eastAsia="宋体" w:cs="Times New Roman"/>
          <w:color w:val="auto"/>
          <w:sz w:val="24"/>
          <w:highlight w:val="none"/>
          <w:lang w:eastAsia="zh-CN"/>
        </w:rPr>
        <w:t>参加磋商</w:t>
      </w:r>
      <w:r>
        <w:rPr>
          <w:rFonts w:hint="default" w:ascii="Times New Roman" w:hAnsi="Times New Roman" w:eastAsia="宋体" w:cs="Times New Roman"/>
          <w:color w:val="auto"/>
          <w:sz w:val="24"/>
          <w:highlight w:val="none"/>
        </w:rPr>
        <w:t>所使用的资格、信誉、荣誉、业绩与企业认证必须为本法人所拥有。供应商</w:t>
      </w:r>
      <w:r>
        <w:rPr>
          <w:rFonts w:hint="eastAsia" w:ascii="Times New Roman" w:hAnsi="Times New Roman" w:eastAsia="宋体" w:cs="Times New Roman"/>
          <w:color w:val="auto"/>
          <w:sz w:val="24"/>
          <w:highlight w:val="none"/>
          <w:lang w:eastAsia="zh-CN"/>
        </w:rPr>
        <w:t>参加磋商</w:t>
      </w:r>
      <w:r>
        <w:rPr>
          <w:rFonts w:hint="default" w:ascii="Times New Roman" w:hAnsi="Times New Roman" w:eastAsia="宋体" w:cs="Times New Roman"/>
          <w:color w:val="auto"/>
          <w:sz w:val="24"/>
          <w:highlight w:val="none"/>
        </w:rPr>
        <w:t>所使用的采购项目实施人员必须为本法人员工（或必须为本法人或控股公司正式员工）。</w:t>
      </w:r>
    </w:p>
    <w:p w14:paraId="375D84D5">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.3供应商应仔细阅读竞争性磋商文件的所有内容，按照竞争性磋商文件的要求提交响应文件，并对所提供的全部资料的真实性承担法律责任。</w:t>
      </w:r>
    </w:p>
    <w:p w14:paraId="134ECE68">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.4供应商在</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活动中提供任何虚假材料，其</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无效，并报监管部门查处；</w:t>
      </w:r>
      <w:r>
        <w:rPr>
          <w:rFonts w:hint="eastAsia" w:ascii="Times New Roman" w:hAnsi="Times New Roman" w:eastAsia="宋体" w:cs="Times New Roman"/>
          <w:color w:val="auto"/>
          <w:sz w:val="24"/>
          <w:highlight w:val="none"/>
          <w:lang w:eastAsia="zh-CN"/>
        </w:rPr>
        <w:t>成交</w:t>
      </w:r>
      <w:r>
        <w:rPr>
          <w:rFonts w:hint="default" w:ascii="Times New Roman" w:hAnsi="Times New Roman" w:eastAsia="宋体" w:cs="Times New Roman"/>
          <w:color w:val="auto"/>
          <w:sz w:val="24"/>
          <w:highlight w:val="none"/>
        </w:rPr>
        <w:t>后发现的，成交供应商须依照《中华人民共和国消费者权益保护法》第49条之规定双倍赔偿采购人，且民事赔偿并不免除违法供应商的行政与刑事责任。</w:t>
      </w:r>
    </w:p>
    <w:p w14:paraId="58E06F1E">
      <w:pPr>
        <w:pStyle w:val="13"/>
        <w:keepNext w:val="0"/>
        <w:keepLines w:val="0"/>
        <w:pageBreakBefore w:val="0"/>
        <w:kinsoku/>
        <w:wordWrap/>
        <w:overflowPunct/>
        <w:topLinePunct w:val="0"/>
        <w:autoSpaceDE/>
        <w:autoSpaceDN/>
        <w:bidi w:val="0"/>
        <w:snapToGrid w:val="0"/>
        <w:spacing w:line="440" w:lineRule="exact"/>
        <w:ind w:left="2" w:leftChars="1"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.5有下列情形之一的视为供应商相互串通投标，响应文件将被视为无效：</w:t>
      </w:r>
    </w:p>
    <w:p w14:paraId="283714D3">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（1）不同供应商的响应文件由同一单位或者个人编制；或不同供应商报名的IP地址一致的；</w:t>
      </w:r>
    </w:p>
    <w:p w14:paraId="7EA736A7">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（2）不同供应商委托同一单位或者个人办理</w:t>
      </w:r>
      <w:r>
        <w:rPr>
          <w:rFonts w:hint="eastAsia"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事宜；</w:t>
      </w:r>
    </w:p>
    <w:p w14:paraId="746CAD4C">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（3）不同的供应商的响应文件载明的项目管理员为同一个人；</w:t>
      </w:r>
    </w:p>
    <w:p w14:paraId="2C23B0FF">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（4）不同供应商的响应文件异常一致或报价呈规律性差异；</w:t>
      </w:r>
    </w:p>
    <w:p w14:paraId="678BAC6D">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（5）不同供应商的响应文件相互混装；</w:t>
      </w:r>
    </w:p>
    <w:p w14:paraId="198D78A2">
      <w:pPr>
        <w:pStyle w:val="13"/>
        <w:keepNext w:val="0"/>
        <w:keepLines w:val="0"/>
        <w:pageBreakBefore w:val="0"/>
        <w:kinsoku/>
        <w:wordWrap/>
        <w:overflowPunct/>
        <w:topLinePunct w:val="0"/>
        <w:autoSpaceDE/>
        <w:autoSpaceDN/>
        <w:bidi w:val="0"/>
        <w:snapToGrid w:val="0"/>
        <w:spacing w:line="440" w:lineRule="exact"/>
        <w:ind w:left="2" w:leftChars="1"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.6供应商有下列情形之一的，属于恶意串通行为：</w:t>
      </w:r>
    </w:p>
    <w:p w14:paraId="355796AF">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（1）供应商直接或者间接从采购人或者采购代理机构处获得其他供应商的相关信息并修改其响应文件：</w:t>
      </w:r>
    </w:p>
    <w:p w14:paraId="649B63FD">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（2）供应商按照采购人或者采购代理机构的授意撤换、修改响应文件；</w:t>
      </w:r>
    </w:p>
    <w:p w14:paraId="70EC7F30">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（3）供应商之间协商报价、技术方案等响应文件的实质性内容；</w:t>
      </w:r>
    </w:p>
    <w:p w14:paraId="733F6BB8">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（4）属于同一集团、协会、商会等组织成员的供应商按照该组织要求协同参加政府采购活动；</w:t>
      </w:r>
    </w:p>
    <w:p w14:paraId="6BBE3D43">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（5）供应商之间事先约定一致抬高或者压低报价</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或者在采购项目中事先约定轮流以高价位或者低价位成交</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或者事先约定由某一特定供应商成交</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然后再参加</w:t>
      </w:r>
      <w:r>
        <w:rPr>
          <w:rFonts w:hint="eastAsia"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w:t>
      </w:r>
    </w:p>
    <w:p w14:paraId="21B6FA5F">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（6）供应商之间商定部分供应商放弃参加政府采购活动或者放弃成交；</w:t>
      </w:r>
    </w:p>
    <w:p w14:paraId="011708C3">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（7）供应商与采购人或者采购代理机构之间、供应商相互之间，为谋求特定供应商成交或者排斥其他供应商的其他串通行为。</w:t>
      </w:r>
    </w:p>
    <w:p w14:paraId="61C36296">
      <w:pPr>
        <w:pStyle w:val="13"/>
        <w:keepNext w:val="0"/>
        <w:keepLines w:val="0"/>
        <w:pageBreakBefore w:val="0"/>
        <w:kinsoku/>
        <w:wordWrap/>
        <w:overflowPunct/>
        <w:topLinePunct w:val="0"/>
        <w:autoSpaceDE/>
        <w:autoSpaceDN/>
        <w:bidi w:val="0"/>
        <w:snapToGrid w:val="0"/>
        <w:spacing w:line="440" w:lineRule="exact"/>
        <w:ind w:left="2" w:leftChars="1"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w:t>
      </w: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.7关联供应商不得参加同一合同项下政府采购活动，否则响应文件将被视为无效：</w:t>
      </w:r>
    </w:p>
    <w:p w14:paraId="55506E76">
      <w:pPr>
        <w:pStyle w:val="13"/>
        <w:keepNext w:val="0"/>
        <w:keepLines w:val="0"/>
        <w:pageBreakBefore w:val="0"/>
        <w:kinsoku/>
        <w:wordWrap/>
        <w:overflowPunct/>
        <w:topLinePunct w:val="0"/>
        <w:autoSpaceDE/>
        <w:autoSpaceDN/>
        <w:bidi w:val="0"/>
        <w:snapToGrid w:val="0"/>
        <w:spacing w:line="440" w:lineRule="exact"/>
        <w:ind w:left="2" w:leftChars="1"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（1）单位负责人为同一人或者存在直接控股、管理关系的不同的供应商，不得参加同一合同项下的政府采购活动；</w:t>
      </w:r>
    </w:p>
    <w:p w14:paraId="5985349E">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（2）生产厂商授权给供应商后自己不得参加同一合同项下的政府采购活动；生产厂商对同一品牌同一型号的货物，仅能委托一个代理商参加</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w:t>
      </w:r>
    </w:p>
    <w:p w14:paraId="5EF0E361">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 出现下列情形之一的，采购人或者采购代理机构应当终止竞争性磋商采购活动，发布项目终止公告并说明原因，重新开展采购活动：</w:t>
      </w:r>
    </w:p>
    <w:p w14:paraId="1FDE1F02">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.1因情况变化，不再符合规定的竞争性磋商采购方式适用情形的；</w:t>
      </w:r>
    </w:p>
    <w:p w14:paraId="0E7861E9">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.2出现影响采购公正的违法、违规行为的；</w:t>
      </w:r>
    </w:p>
    <w:p w14:paraId="7AA7EF94">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.3除本须知</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.5.3、</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.5.4及法律法规规定的情形外，在采购过程中符合要求的供应商或者报价未超过采购预算的供应商不足3家的。</w:t>
      </w:r>
    </w:p>
    <w:p w14:paraId="0F519683">
      <w:pPr>
        <w:keepNext w:val="0"/>
        <w:keepLines w:val="0"/>
        <w:pageBreakBefore w:val="0"/>
        <w:widowControl/>
        <w:kinsoku/>
        <w:wordWrap/>
        <w:overflowPunct/>
        <w:topLinePunct w:val="0"/>
        <w:autoSpaceDE/>
        <w:autoSpaceDN/>
        <w:bidi w:val="0"/>
        <w:spacing w:line="440" w:lineRule="exact"/>
        <w:ind w:firstLine="482" w:firstLineChars="201"/>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.在采购活动中因重大变故，采购任务取消的，采购人或者采购代理机构应当终止采购活动，通知所有参加采购活动的供应商，并将项目实施情况和采购任务取消原因报送本级财政部门。</w:t>
      </w:r>
    </w:p>
    <w:p w14:paraId="5CBA8CC6">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五、确定成交供应商办法及结果公告</w:t>
      </w:r>
    </w:p>
    <w:p w14:paraId="25F75087">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highlight w:val="none"/>
        </w:rPr>
        <w:t>采购</w:t>
      </w:r>
      <w:r>
        <w:rPr>
          <w:rFonts w:hint="default" w:ascii="Times New Roman" w:hAnsi="Times New Roman" w:eastAsia="宋体" w:cs="Times New Roman"/>
          <w:color w:val="auto"/>
          <w:sz w:val="24"/>
          <w:highlight w:val="none"/>
        </w:rPr>
        <w:t>代理</w:t>
      </w:r>
      <w:r>
        <w:rPr>
          <w:rFonts w:hint="default" w:ascii="Times New Roman" w:hAnsi="Times New Roman" w:eastAsia="宋体" w:cs="Times New Roman"/>
          <w:color w:val="auto"/>
          <w:kern w:val="0"/>
          <w:sz w:val="24"/>
          <w:highlight w:val="none"/>
        </w:rPr>
        <w:t>机构应当在评审结束后2个工作日内将评审报告送采购人确认。采购人应当在收到评审报告后</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7BAFCFB">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p>
    <w:p w14:paraId="51F8385B">
      <w:pPr>
        <w:keepNext w:val="0"/>
        <w:keepLines w:val="0"/>
        <w:pageBreakBefore w:val="0"/>
        <w:kinsoku/>
        <w:wordWrap/>
        <w:overflowPunct/>
        <w:topLinePunct w:val="0"/>
        <w:autoSpaceDE/>
        <w:autoSpaceDN/>
        <w:bidi w:val="0"/>
        <w:spacing w:line="440" w:lineRule="exact"/>
        <w:ind w:firstLine="426"/>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排名第二的成交候选人因前款规定的同样原因被取消成交资格的，采购人可以确定排名第三的成交候选人为成交供应商。</w:t>
      </w:r>
    </w:p>
    <w:p w14:paraId="427103F2">
      <w:pPr>
        <w:keepNext w:val="0"/>
        <w:keepLines w:val="0"/>
        <w:pageBreakBefore w:val="0"/>
        <w:kinsoku/>
        <w:wordWrap/>
        <w:overflowPunct/>
        <w:topLinePunct w:val="0"/>
        <w:autoSpaceDE/>
        <w:autoSpaceDN/>
        <w:bidi w:val="0"/>
        <w:spacing w:line="440" w:lineRule="exact"/>
        <w:ind w:firstLine="426"/>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以上信息查询记录及相关证据与采购文件一并保存。</w:t>
      </w:r>
    </w:p>
    <w:p w14:paraId="2F2B376B">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六、履约保证金</w:t>
      </w:r>
    </w:p>
    <w:p w14:paraId="1342747A">
      <w:pPr>
        <w:keepNext w:val="0"/>
        <w:keepLines w:val="0"/>
        <w:pageBreakBefore w:val="0"/>
        <w:kinsoku/>
        <w:wordWrap/>
        <w:overflowPunct/>
        <w:topLinePunct w:val="0"/>
        <w:autoSpaceDE/>
        <w:autoSpaceDN/>
        <w:bidi w:val="0"/>
        <w:spacing w:line="440" w:lineRule="exact"/>
        <w:ind w:firstLine="960" w:firstLineChars="400"/>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无。</w:t>
      </w:r>
    </w:p>
    <w:p w14:paraId="2B59882B">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七、签订合同</w:t>
      </w:r>
    </w:p>
    <w:p w14:paraId="28C45E59">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29.签订合同时间：成交通知书发出之日起</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日内。成交供应商在收到成交通知书后，按规定与采购人签订采购合同。</w:t>
      </w:r>
    </w:p>
    <w:p w14:paraId="52DB6628">
      <w:pPr>
        <w:keepNext w:val="0"/>
        <w:keepLines w:val="0"/>
        <w:pageBreakBefore w:val="0"/>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30.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4E436BF6">
      <w:pPr>
        <w:pStyle w:val="13"/>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 政府采购合同公告</w:t>
      </w:r>
    </w:p>
    <w:p w14:paraId="50CF3ED4">
      <w:pPr>
        <w:pStyle w:val="13"/>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E0DF6C">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八、适用法律</w:t>
      </w:r>
    </w:p>
    <w:p w14:paraId="3574B391">
      <w:pPr>
        <w:keepNext w:val="0"/>
        <w:keepLines w:val="0"/>
        <w:pageBreakBefore w:val="0"/>
        <w:tabs>
          <w:tab w:val="left" w:pos="2835"/>
        </w:tabs>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32.采购当事人的一切活动均适用于《中华人民共和国政府采购法》、《政府采购竞争性磋商采购方式管理暂行办法》及相关规定。</w:t>
      </w:r>
    </w:p>
    <w:p w14:paraId="3A95FDEF">
      <w:pPr>
        <w:keepNext w:val="0"/>
        <w:keepLines w:val="0"/>
        <w:pageBreakBefore w:val="0"/>
        <w:kinsoku/>
        <w:wordWrap/>
        <w:overflowPunct/>
        <w:topLinePunct w:val="0"/>
        <w:autoSpaceDE/>
        <w:autoSpaceDN/>
        <w:bidi w:val="0"/>
        <w:spacing w:line="440" w:lineRule="exact"/>
        <w:ind w:firstLine="484" w:firstLineChars="201"/>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九、其它内容</w:t>
      </w:r>
    </w:p>
    <w:p w14:paraId="2F42212B">
      <w:pPr>
        <w:keepNext w:val="0"/>
        <w:keepLines w:val="0"/>
        <w:pageBreakBefore w:val="0"/>
        <w:tabs>
          <w:tab w:val="left" w:pos="2835"/>
        </w:tabs>
        <w:kinsoku/>
        <w:wordWrap/>
        <w:overflowPunct/>
        <w:topLinePunct w:val="0"/>
        <w:autoSpaceDE/>
        <w:autoSpaceDN/>
        <w:bidi w:val="0"/>
        <w:spacing w:line="440" w:lineRule="exact"/>
        <w:ind w:firstLine="482" w:firstLineChars="201"/>
        <w:textAlignment w:val="auto"/>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33.</w:t>
      </w:r>
      <w:r>
        <w:rPr>
          <w:rFonts w:hint="eastAsia" w:ascii="Times New Roman" w:hAnsi="Times New Roman" w:eastAsia="宋体" w:cs="Times New Roman"/>
          <w:color w:val="auto"/>
          <w:sz w:val="24"/>
          <w:highlight w:val="none"/>
          <w:lang w:eastAsia="zh-CN"/>
        </w:rPr>
        <w:t>招标代理服务费</w:t>
      </w:r>
    </w:p>
    <w:p w14:paraId="12BF40D0">
      <w:pPr>
        <w:keepNext w:val="0"/>
        <w:keepLines w:val="0"/>
        <w:pageBreakBefore w:val="0"/>
        <w:tabs>
          <w:tab w:val="left" w:pos="2835"/>
        </w:tabs>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33.1本项目代理服务费详见本须知前附表，由成交供应商在领取成交通知书前，一次性向采购代理机构支付。 </w:t>
      </w:r>
    </w:p>
    <w:p w14:paraId="0F007E32">
      <w:pPr>
        <w:keepNext w:val="0"/>
        <w:keepLines w:val="0"/>
        <w:pageBreakBefore w:val="0"/>
        <w:tabs>
          <w:tab w:val="left" w:pos="2835"/>
        </w:tabs>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34. 询问、质疑和投诉</w:t>
      </w:r>
    </w:p>
    <w:p w14:paraId="1510B173">
      <w:pPr>
        <w:keepNext w:val="0"/>
        <w:keepLines w:val="0"/>
        <w:pageBreakBefore w:val="0"/>
        <w:tabs>
          <w:tab w:val="left" w:pos="2835"/>
        </w:tabs>
        <w:kinsoku/>
        <w:wordWrap/>
        <w:overflowPunct/>
        <w:topLinePunct w:val="0"/>
        <w:autoSpaceDE/>
        <w:autoSpaceDN/>
        <w:bidi w:val="0"/>
        <w:spacing w:line="440" w:lineRule="exact"/>
        <w:ind w:firstLine="482" w:firstLineChars="201"/>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34.1供应商对政府采购活动事项有疑问的，可以向采购人、采购代理机构提出询问。</w:t>
      </w:r>
    </w:p>
    <w:p w14:paraId="11E1589E">
      <w:pPr>
        <w:pStyle w:val="13"/>
        <w:keepNext w:val="0"/>
        <w:keepLines w:val="0"/>
        <w:pageBreakBefore w:val="0"/>
        <w:kinsoku/>
        <w:wordWrap/>
        <w:overflowPunct/>
        <w:topLinePunct w:val="0"/>
        <w:autoSpaceDE/>
        <w:autoSpaceDN/>
        <w:bidi w:val="0"/>
        <w:spacing w:line="440" w:lineRule="exact"/>
        <w:ind w:left="2" w:leftChars="1" w:firstLine="480" w:firstLineChars="200"/>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34.2</w:t>
      </w: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bCs/>
          <w:color w:val="auto"/>
          <w:sz w:val="24"/>
          <w:szCs w:val="24"/>
          <w:highlight w:val="none"/>
        </w:rPr>
        <w:t>如认为</w:t>
      </w:r>
      <w:r>
        <w:rPr>
          <w:rFonts w:hint="default" w:ascii="Times New Roman" w:hAnsi="Times New Roman" w:eastAsia="宋体" w:cs="Times New Roman"/>
          <w:bCs/>
          <w:color w:val="auto"/>
          <w:sz w:val="24"/>
          <w:szCs w:val="24"/>
          <w:highlight w:val="none"/>
          <w:lang w:eastAsia="zh-CN"/>
        </w:rPr>
        <w:t>竞争性磋商</w:t>
      </w:r>
      <w:r>
        <w:rPr>
          <w:rFonts w:hint="default" w:ascii="Times New Roman" w:hAnsi="Times New Roman" w:eastAsia="宋体" w:cs="Times New Roman"/>
          <w:bCs/>
          <w:color w:val="auto"/>
          <w:sz w:val="24"/>
          <w:szCs w:val="24"/>
          <w:highlight w:val="none"/>
        </w:rPr>
        <w:t>文件使自己的权益受到损</w:t>
      </w:r>
      <w:r>
        <w:rPr>
          <w:rFonts w:hint="default" w:ascii="Times New Roman" w:hAnsi="Times New Roman" w:eastAsia="宋体" w:cs="Times New Roman"/>
          <w:color w:val="auto"/>
          <w:sz w:val="24"/>
          <w:szCs w:val="24"/>
          <w:highlight w:val="none"/>
        </w:rPr>
        <w:t>害的，可以在自</w:t>
      </w:r>
      <w:r>
        <w:rPr>
          <w:rFonts w:hint="default"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文件发布之日起七日内</w:t>
      </w:r>
      <w:r>
        <w:rPr>
          <w:rFonts w:hint="default" w:ascii="Times New Roman" w:hAnsi="Times New Roman" w:eastAsia="宋体" w:cs="Times New Roman"/>
          <w:bCs/>
          <w:color w:val="auto"/>
          <w:sz w:val="24"/>
          <w:szCs w:val="24"/>
          <w:highlight w:val="none"/>
        </w:rPr>
        <w:t>以书面形式向采购代理机构提出质疑；投标截止时间后，采购代理机构不再受理对</w:t>
      </w:r>
      <w:r>
        <w:rPr>
          <w:rFonts w:hint="default" w:ascii="Times New Roman" w:hAnsi="Times New Roman" w:eastAsia="宋体" w:cs="Times New Roman"/>
          <w:bCs/>
          <w:color w:val="auto"/>
          <w:sz w:val="24"/>
          <w:szCs w:val="24"/>
          <w:highlight w:val="none"/>
          <w:lang w:eastAsia="zh-CN"/>
        </w:rPr>
        <w:t>竞争性磋商</w:t>
      </w:r>
      <w:r>
        <w:rPr>
          <w:rFonts w:hint="default" w:ascii="Times New Roman" w:hAnsi="Times New Roman" w:eastAsia="宋体" w:cs="Times New Roman"/>
          <w:bCs/>
          <w:color w:val="auto"/>
          <w:sz w:val="24"/>
          <w:szCs w:val="24"/>
          <w:highlight w:val="none"/>
        </w:rPr>
        <w:t>文件的询问或质疑。</w:t>
      </w:r>
      <w:r>
        <w:rPr>
          <w:rFonts w:hint="eastAsia" w:ascii="Times New Roman" w:hAnsi="Times New Roman" w:eastAsia="宋体" w:cs="Times New Roman"/>
          <w:bCs/>
          <w:color w:val="auto"/>
          <w:sz w:val="24"/>
          <w:szCs w:val="24"/>
          <w:highlight w:val="none"/>
          <w:lang w:eastAsia="zh-CN"/>
        </w:rPr>
        <w:t>供应商</w:t>
      </w:r>
      <w:r>
        <w:rPr>
          <w:rFonts w:hint="default" w:ascii="Times New Roman" w:hAnsi="Times New Roman" w:eastAsia="宋体" w:cs="Times New Roman"/>
          <w:bCs/>
          <w:color w:val="auto"/>
          <w:sz w:val="24"/>
          <w:szCs w:val="24"/>
          <w:highlight w:val="none"/>
        </w:rPr>
        <w:t>认为</w:t>
      </w:r>
      <w:r>
        <w:rPr>
          <w:rFonts w:hint="default" w:ascii="Times New Roman" w:hAnsi="Times New Roman" w:eastAsia="宋体" w:cs="Times New Roman"/>
          <w:color w:val="auto"/>
          <w:sz w:val="24"/>
          <w:szCs w:val="24"/>
          <w:highlight w:val="none"/>
        </w:rPr>
        <w:t>采购过程和</w:t>
      </w:r>
      <w:r>
        <w:rPr>
          <w:rFonts w:hint="eastAsia" w:ascii="Times New Roman" w:hAnsi="Times New Roman" w:eastAsia="宋体" w:cs="Times New Roman"/>
          <w:color w:val="auto"/>
          <w:sz w:val="24"/>
          <w:szCs w:val="24"/>
          <w:highlight w:val="none"/>
          <w:lang w:eastAsia="zh-CN"/>
        </w:rPr>
        <w:t>成交结果</w:t>
      </w:r>
      <w:r>
        <w:rPr>
          <w:rFonts w:hint="default" w:ascii="Times New Roman" w:hAnsi="Times New Roman" w:eastAsia="宋体" w:cs="Times New Roman"/>
          <w:color w:val="auto"/>
          <w:sz w:val="24"/>
          <w:szCs w:val="24"/>
          <w:highlight w:val="none"/>
        </w:rPr>
        <w:t>使自己的权益受到损害的，可</w:t>
      </w:r>
      <w:r>
        <w:rPr>
          <w:rFonts w:hint="default" w:ascii="Times New Roman" w:hAnsi="Times New Roman" w:eastAsia="宋体" w:cs="Times New Roman"/>
          <w:bCs/>
          <w:color w:val="auto"/>
          <w:sz w:val="24"/>
          <w:szCs w:val="24"/>
          <w:highlight w:val="none"/>
        </w:rPr>
        <w:t>以</w:t>
      </w:r>
      <w:r>
        <w:rPr>
          <w:rFonts w:hint="default" w:ascii="Times New Roman" w:hAnsi="Times New Roman" w:eastAsia="宋体" w:cs="Times New Roman"/>
          <w:color w:val="auto"/>
          <w:sz w:val="24"/>
          <w:szCs w:val="24"/>
          <w:highlight w:val="none"/>
        </w:rPr>
        <w:t>在</w:t>
      </w:r>
      <w:r>
        <w:rPr>
          <w:rFonts w:hint="eastAsia" w:ascii="Times New Roman" w:hAnsi="Times New Roman" w:eastAsia="宋体" w:cs="Times New Roman"/>
          <w:color w:val="auto"/>
          <w:sz w:val="24"/>
          <w:szCs w:val="24"/>
          <w:highlight w:val="none"/>
          <w:lang w:eastAsia="zh-CN"/>
        </w:rPr>
        <w:t>成交结果</w:t>
      </w:r>
      <w:r>
        <w:rPr>
          <w:rFonts w:hint="default" w:ascii="Times New Roman" w:hAnsi="Times New Roman" w:eastAsia="宋体" w:cs="Times New Roman"/>
          <w:color w:val="auto"/>
          <w:sz w:val="24"/>
          <w:szCs w:val="24"/>
          <w:highlight w:val="none"/>
        </w:rPr>
        <w:t>公示之日起七个工作日内，以书面形式向采购人委托的采购代理机构质疑。质疑书的提交地点和质疑受理电话见</w:t>
      </w:r>
      <w:r>
        <w:rPr>
          <w:rFonts w:hint="eastAsia"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须知前附表。</w:t>
      </w:r>
    </w:p>
    <w:p w14:paraId="248CC10E">
      <w:pPr>
        <w:pStyle w:val="13"/>
        <w:keepNext w:val="0"/>
        <w:keepLines w:val="0"/>
        <w:pageBreakBefore w:val="0"/>
        <w:kinsoku/>
        <w:wordWrap/>
        <w:overflowPunct/>
        <w:topLinePunct w:val="0"/>
        <w:autoSpaceDE/>
        <w:autoSpaceDN/>
        <w:bidi w:val="0"/>
        <w:spacing w:line="440" w:lineRule="exact"/>
        <w:ind w:left="2" w:leftChars="1" w:firstLine="480" w:firstLineChars="200"/>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34.2.1 供应商质疑实行实名制，其质疑应当有具体的质疑事项及事实根据，不得进行虚假、恶意质疑。</w:t>
      </w:r>
    </w:p>
    <w:p w14:paraId="644A6EED">
      <w:pPr>
        <w:pStyle w:val="13"/>
        <w:keepNext w:val="0"/>
        <w:keepLines w:val="0"/>
        <w:pageBreakBefore w:val="0"/>
        <w:kinsoku/>
        <w:wordWrap/>
        <w:overflowPunct/>
        <w:topLinePunct w:val="0"/>
        <w:autoSpaceDE/>
        <w:autoSpaceDN/>
        <w:bidi w:val="0"/>
        <w:spacing w:line="440" w:lineRule="exact"/>
        <w:ind w:left="2" w:leftChars="1" w:firstLine="480" w:firstLineChars="200"/>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34.2.2 供应商质疑时，应当提交一性次质疑书原件，一性次质疑书应当包括下列主要内容：</w:t>
      </w:r>
    </w:p>
    <w:p w14:paraId="08F8403B">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（1）供应商的姓名或者名称、地址、邮编、联系人及联系电话；</w:t>
      </w:r>
    </w:p>
    <w:p w14:paraId="0A4226DA">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（2）质疑项目的名称、编号；</w:t>
      </w:r>
    </w:p>
    <w:p w14:paraId="48ABBF2C">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（3）具体、明确的质疑事项和与质疑事项相关的请求；</w:t>
      </w:r>
    </w:p>
    <w:p w14:paraId="79A23642">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（4）事实依据；</w:t>
      </w:r>
    </w:p>
    <w:p w14:paraId="0A34C542">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（5）必要的法律依据；</w:t>
      </w:r>
    </w:p>
    <w:p w14:paraId="6799E161">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（6）提出质疑的日期。</w:t>
      </w:r>
    </w:p>
    <w:p w14:paraId="07E1C9C6">
      <w:pPr>
        <w:pStyle w:val="13"/>
        <w:keepNext w:val="0"/>
        <w:keepLines w:val="0"/>
        <w:pageBreakBefore w:val="0"/>
        <w:widowControl w:val="0"/>
        <w:tabs>
          <w:tab w:val="left" w:pos="455"/>
        </w:tabs>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7）附件材料：（附营业执照复印件、法定代表人身份证复印件、代理人委托书原件及代理人身份证复印件及原件</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highlight w:val="none"/>
          <w:lang w:eastAsia="zh-CN"/>
        </w:rPr>
        <w:t>广西政府采购云平台</w:t>
      </w:r>
      <w:r>
        <w:rPr>
          <w:rFonts w:hint="default" w:ascii="Times New Roman" w:hAnsi="Times New Roman" w:cs="Times New Roman"/>
          <w:color w:val="auto"/>
          <w:sz w:val="24"/>
          <w:highlight w:val="none"/>
          <w:lang w:eastAsia="zh-CN"/>
        </w:rPr>
        <w:t>下载的报名回执函</w:t>
      </w:r>
      <w:r>
        <w:rPr>
          <w:rFonts w:hint="default" w:ascii="Times New Roman" w:hAnsi="Times New Roman" w:eastAsia="宋体" w:cs="Times New Roman"/>
          <w:color w:val="auto"/>
          <w:sz w:val="24"/>
          <w:szCs w:val="24"/>
          <w:highlight w:val="none"/>
        </w:rPr>
        <w:t>）。</w:t>
      </w:r>
    </w:p>
    <w:p w14:paraId="35DE40D9">
      <w:pPr>
        <w:pStyle w:val="13"/>
        <w:keepNext w:val="0"/>
        <w:keepLines w:val="0"/>
        <w:pageBreakBefore w:val="0"/>
        <w:kinsoku/>
        <w:wordWrap/>
        <w:overflowPunct/>
        <w:topLinePunct w:val="0"/>
        <w:autoSpaceDE/>
        <w:autoSpaceDN/>
        <w:bidi w:val="0"/>
        <w:spacing w:line="440" w:lineRule="exact"/>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质疑书应当署名。质疑供应商为法人或者其他组织的，应当由法定代表人或者主要负责人签字并加盖公章。</w:t>
      </w:r>
    </w:p>
    <w:p w14:paraId="46EF9834">
      <w:pPr>
        <w:pStyle w:val="13"/>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34.2.3 质疑供应商可以委托代理人办理质疑事务。委托代理人应为质疑供应商的正式员工并熟悉相关业务情况。代理人办理质疑事务时，除提交质疑书外，还应当提交质疑供应商的授权委托书，授权委托书应当载明委托代理的具体权限和事项；提交</w:t>
      </w:r>
      <w:r>
        <w:rPr>
          <w:rFonts w:hint="default" w:ascii="Times New Roman" w:hAnsi="Times New Roman" w:eastAsia="宋体" w:cs="Times New Roman"/>
          <w:color w:val="auto"/>
          <w:sz w:val="24"/>
          <w:szCs w:val="24"/>
          <w:highlight w:val="none"/>
        </w:rPr>
        <w:t>委托代理人身份证明复印件和近期三个月社保缴费证明复印件。</w:t>
      </w:r>
    </w:p>
    <w:p w14:paraId="25667886">
      <w:pPr>
        <w:pStyle w:val="13"/>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34.2.4 质疑供应商提起质疑应当符合下列条件：</w:t>
      </w:r>
    </w:p>
    <w:p w14:paraId="0CBC1D60">
      <w:pPr>
        <w:keepNext w:val="0"/>
        <w:keepLines w:val="0"/>
        <w:pageBreakBefore w:val="0"/>
        <w:kinsoku/>
        <w:wordWrap/>
        <w:overflowPunct/>
        <w:topLinePunct w:val="0"/>
        <w:autoSpaceDE/>
        <w:autoSpaceDN/>
        <w:bidi w:val="0"/>
        <w:spacing w:line="440" w:lineRule="exact"/>
        <w:ind w:firstLine="42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（1）质疑供应商是参与所质疑政府采购活动的供应商；</w:t>
      </w:r>
    </w:p>
    <w:p w14:paraId="73413268">
      <w:pPr>
        <w:keepNext w:val="0"/>
        <w:keepLines w:val="0"/>
        <w:pageBreakBefore w:val="0"/>
        <w:kinsoku/>
        <w:wordWrap/>
        <w:overflowPunct/>
        <w:topLinePunct w:val="0"/>
        <w:autoSpaceDE/>
        <w:autoSpaceDN/>
        <w:bidi w:val="0"/>
        <w:spacing w:line="440" w:lineRule="exact"/>
        <w:ind w:firstLine="42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（2）质疑书内容符合本章第</w:t>
      </w:r>
      <w:r>
        <w:rPr>
          <w:rFonts w:hint="default" w:ascii="Times New Roman" w:hAnsi="Times New Roman" w:eastAsia="宋体" w:cs="Times New Roman"/>
          <w:bCs/>
          <w:color w:val="auto"/>
          <w:sz w:val="24"/>
          <w:highlight w:val="none"/>
        </w:rPr>
        <w:t>34.2.2</w:t>
      </w:r>
      <w:r>
        <w:rPr>
          <w:rFonts w:hint="default" w:ascii="Times New Roman" w:hAnsi="Times New Roman" w:eastAsia="宋体" w:cs="Times New Roman"/>
          <w:color w:val="auto"/>
          <w:sz w:val="24"/>
          <w:highlight w:val="none"/>
        </w:rPr>
        <w:t>项的规定；</w:t>
      </w:r>
    </w:p>
    <w:p w14:paraId="61CAD78E">
      <w:pPr>
        <w:keepNext w:val="0"/>
        <w:keepLines w:val="0"/>
        <w:pageBreakBefore w:val="0"/>
        <w:kinsoku/>
        <w:wordWrap/>
        <w:overflowPunct/>
        <w:topLinePunct w:val="0"/>
        <w:autoSpaceDE/>
        <w:autoSpaceDN/>
        <w:bidi w:val="0"/>
        <w:spacing w:line="440" w:lineRule="exact"/>
        <w:ind w:firstLine="42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（3）在质疑有效期限内提起质疑；</w:t>
      </w:r>
    </w:p>
    <w:p w14:paraId="11C0BF32">
      <w:pPr>
        <w:keepNext w:val="0"/>
        <w:keepLines w:val="0"/>
        <w:pageBreakBefore w:val="0"/>
        <w:kinsoku/>
        <w:wordWrap/>
        <w:overflowPunct/>
        <w:topLinePunct w:val="0"/>
        <w:autoSpaceDE/>
        <w:autoSpaceDN/>
        <w:bidi w:val="0"/>
        <w:spacing w:line="440" w:lineRule="exact"/>
        <w:ind w:firstLine="42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（4）属于所质疑的采购人或采购人委托的采购代理机构组织的采购活动；</w:t>
      </w:r>
    </w:p>
    <w:p w14:paraId="6864314F">
      <w:pPr>
        <w:keepNext w:val="0"/>
        <w:keepLines w:val="0"/>
        <w:pageBreakBefore w:val="0"/>
        <w:kinsoku/>
        <w:wordWrap/>
        <w:overflowPunct/>
        <w:topLinePunct w:val="0"/>
        <w:autoSpaceDE/>
        <w:autoSpaceDN/>
        <w:bidi w:val="0"/>
        <w:spacing w:line="440" w:lineRule="exact"/>
        <w:ind w:firstLine="42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（5）同一质疑事项未经采购人或采购人委托的采购代理机构质疑处理；</w:t>
      </w:r>
    </w:p>
    <w:p w14:paraId="3D6C3C0D">
      <w:pPr>
        <w:keepNext w:val="0"/>
        <w:keepLines w:val="0"/>
        <w:pageBreakBefore w:val="0"/>
        <w:kinsoku/>
        <w:wordWrap/>
        <w:overflowPunct/>
        <w:topLinePunct w:val="0"/>
        <w:autoSpaceDE/>
        <w:autoSpaceDN/>
        <w:bidi w:val="0"/>
        <w:spacing w:line="440" w:lineRule="exact"/>
        <w:ind w:firstLine="42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（6）财政部门规定的其他条件。</w:t>
      </w:r>
    </w:p>
    <w:p w14:paraId="765A30B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34.2.5  采购人或采购人委托的采购代理机构自受理质疑之日起七个工作日内，对质疑事项作出答复，并以书面形式通知质疑供应商及其他有关供应商。</w:t>
      </w:r>
    </w:p>
    <w:p w14:paraId="033E05BF">
      <w:pPr>
        <w:pStyle w:val="13"/>
        <w:keepNext w:val="0"/>
        <w:keepLines w:val="0"/>
        <w:pageBreakBefore w:val="0"/>
        <w:kinsoku/>
        <w:wordWrap/>
        <w:overflowPunct/>
        <w:topLinePunct w:val="0"/>
        <w:autoSpaceDE/>
        <w:autoSpaceDN/>
        <w:bidi w:val="0"/>
        <w:spacing w:line="440" w:lineRule="exact"/>
        <w:ind w:left="1"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34.3  投诉</w:t>
      </w:r>
    </w:p>
    <w:p w14:paraId="16234E23">
      <w:pPr>
        <w:pStyle w:val="13"/>
        <w:keepNext w:val="0"/>
        <w:keepLines w:val="0"/>
        <w:pageBreakBefore w:val="0"/>
        <w:kinsoku/>
        <w:wordWrap/>
        <w:overflowPunct/>
        <w:topLinePunct w:val="0"/>
        <w:autoSpaceDE/>
        <w:autoSpaceDN/>
        <w:bidi w:val="0"/>
        <w:spacing w:line="440" w:lineRule="exact"/>
        <w:ind w:left="2" w:leftChars="1"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34.3.1 供应商认为采购文件、采购过程、中标和成交结果使自己的合法权益受到损害的，应当首先依法向采购人或采购人委托的采购代理机构</w:t>
      </w:r>
      <w:r>
        <w:rPr>
          <w:rFonts w:hint="default" w:ascii="Times New Roman" w:hAnsi="Times New Roman" w:eastAsia="宋体" w:cs="Times New Roman"/>
          <w:bCs/>
          <w:color w:val="auto"/>
          <w:sz w:val="24"/>
          <w:szCs w:val="24"/>
          <w:highlight w:val="none"/>
        </w:rPr>
        <w:t>提出质疑。对采购人、</w:t>
      </w:r>
      <w:r>
        <w:rPr>
          <w:rFonts w:hint="default" w:ascii="Times New Roman" w:hAnsi="Times New Roman" w:eastAsia="宋体" w:cs="Times New Roman"/>
          <w:color w:val="auto"/>
          <w:sz w:val="24"/>
          <w:szCs w:val="24"/>
          <w:highlight w:val="none"/>
        </w:rPr>
        <w:t>采购代理机构</w:t>
      </w:r>
      <w:r>
        <w:rPr>
          <w:rFonts w:hint="default" w:ascii="Times New Roman" w:hAnsi="Times New Roman" w:eastAsia="宋体" w:cs="Times New Roman"/>
          <w:bCs/>
          <w:color w:val="auto"/>
          <w:sz w:val="24"/>
          <w:szCs w:val="24"/>
          <w:highlight w:val="none"/>
        </w:rPr>
        <w:t>的答复不满意，或者采购人、</w:t>
      </w:r>
      <w:r>
        <w:rPr>
          <w:rFonts w:hint="default" w:ascii="Times New Roman" w:hAnsi="Times New Roman" w:eastAsia="宋体" w:cs="Times New Roman"/>
          <w:color w:val="auto"/>
          <w:sz w:val="24"/>
          <w:szCs w:val="24"/>
          <w:highlight w:val="none"/>
        </w:rPr>
        <w:t>采购代理机构</w:t>
      </w:r>
      <w:r>
        <w:rPr>
          <w:rFonts w:hint="default" w:ascii="Times New Roman" w:hAnsi="Times New Roman" w:eastAsia="宋体" w:cs="Times New Roman"/>
          <w:bCs/>
          <w:color w:val="auto"/>
          <w:sz w:val="24"/>
          <w:szCs w:val="24"/>
          <w:highlight w:val="none"/>
        </w:rPr>
        <w:t>未在规定期限内做出答复的，供应商可以在答复期满后十五个工作日内向</w:t>
      </w:r>
      <w:r>
        <w:rPr>
          <w:rFonts w:hint="default" w:ascii="Times New Roman" w:hAnsi="Times New Roman" w:eastAsia="宋体" w:cs="Times New Roman"/>
          <w:color w:val="auto"/>
          <w:sz w:val="24"/>
          <w:szCs w:val="24"/>
          <w:highlight w:val="none"/>
        </w:rPr>
        <w:t>政府采购监督部门提起投诉。</w:t>
      </w:r>
    </w:p>
    <w:p w14:paraId="0F3834DA">
      <w:pPr>
        <w:pStyle w:val="13"/>
        <w:keepNext w:val="0"/>
        <w:keepLines w:val="0"/>
        <w:pageBreakBefore w:val="0"/>
        <w:kinsoku/>
        <w:wordWrap/>
        <w:overflowPunct/>
        <w:topLinePunct w:val="0"/>
        <w:autoSpaceDE/>
        <w:autoSpaceDN/>
        <w:bidi w:val="0"/>
        <w:spacing w:line="440" w:lineRule="exact"/>
        <w:ind w:left="2" w:leftChars="1"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34.3.</w:t>
      </w:r>
      <w:r>
        <w:rPr>
          <w:rFonts w:hint="default" w:ascii="Times New Roman" w:hAnsi="Times New Roman" w:eastAsia="宋体" w:cs="Times New Roman"/>
          <w:color w:val="auto"/>
          <w:sz w:val="24"/>
          <w:szCs w:val="24"/>
          <w:highlight w:val="none"/>
        </w:rPr>
        <w:t>2在提出投诉时，应附送相关证明材料。如投诉书及证明材料为外文的，应同时提供其中文译本；中文与外文意思不一致，以中文为准。</w:t>
      </w:r>
    </w:p>
    <w:p w14:paraId="246D887E">
      <w:pPr>
        <w:pStyle w:val="13"/>
        <w:keepNext w:val="0"/>
        <w:keepLines w:val="0"/>
        <w:pageBreakBefore w:val="0"/>
        <w:numPr>
          <w:ilvl w:val="0"/>
          <w:numId w:val="2"/>
        </w:numPr>
        <w:kinsoku/>
        <w:wordWrap/>
        <w:overflowPunct/>
        <w:topLinePunct w:val="0"/>
        <w:autoSpaceDE/>
        <w:autoSpaceDN/>
        <w:bidi w:val="0"/>
        <w:snapToGrid w:val="0"/>
        <w:spacing w:line="44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解释权</w:t>
      </w:r>
      <w:r>
        <w:rPr>
          <w:rFonts w:hint="default" w:ascii="Times New Roman" w:hAnsi="Times New Roman" w:eastAsia="宋体" w:cs="Times New Roman"/>
          <w:color w:val="auto"/>
          <w:sz w:val="24"/>
          <w:szCs w:val="24"/>
          <w:highlight w:val="none"/>
        </w:rPr>
        <w:t>：本</w:t>
      </w:r>
      <w:r>
        <w:rPr>
          <w:rFonts w:hint="default" w:ascii="Times New Roman" w:hAnsi="Times New Roman" w:eastAsia="宋体" w:cs="Times New Roman"/>
          <w:color w:val="auto"/>
          <w:sz w:val="24"/>
          <w:szCs w:val="24"/>
          <w:highlight w:val="none"/>
          <w:lang w:eastAsia="zh-CN"/>
        </w:rPr>
        <w:t>采购文件</w:t>
      </w:r>
      <w:r>
        <w:rPr>
          <w:rFonts w:hint="default" w:ascii="Times New Roman" w:hAnsi="Times New Roman" w:eastAsia="宋体" w:cs="Times New Roman"/>
          <w:color w:val="auto"/>
          <w:sz w:val="24"/>
          <w:szCs w:val="24"/>
          <w:highlight w:val="none"/>
        </w:rPr>
        <w:t>是根据《中华人民共和国政府采购法》和政府采购管理有关规定编制，本</w:t>
      </w:r>
      <w:r>
        <w:rPr>
          <w:rFonts w:hint="default" w:ascii="Times New Roman" w:hAnsi="Times New Roman" w:eastAsia="宋体" w:cs="Times New Roman"/>
          <w:color w:val="auto"/>
          <w:sz w:val="24"/>
          <w:szCs w:val="24"/>
          <w:highlight w:val="none"/>
          <w:lang w:eastAsia="zh-CN"/>
        </w:rPr>
        <w:t>采购文件</w:t>
      </w:r>
      <w:r>
        <w:rPr>
          <w:rFonts w:hint="default" w:ascii="Times New Roman" w:hAnsi="Times New Roman" w:eastAsia="宋体" w:cs="Times New Roman"/>
          <w:color w:val="auto"/>
          <w:sz w:val="24"/>
          <w:szCs w:val="24"/>
          <w:highlight w:val="none"/>
        </w:rPr>
        <w:t>的解释权属于采购代理机构。</w:t>
      </w:r>
    </w:p>
    <w:p w14:paraId="2DD76E21">
      <w:pPr>
        <w:keepNext w:val="0"/>
        <w:keepLines w:val="0"/>
        <w:pageBreakBefore w:val="0"/>
        <w:kinsoku/>
        <w:wordWrap/>
        <w:overflowPunct/>
        <w:topLinePunct w:val="0"/>
        <w:autoSpaceDE/>
        <w:autoSpaceDN/>
        <w:bidi w:val="0"/>
        <w:spacing w:before="120" w:line="440" w:lineRule="exact"/>
        <w:ind w:left="2" w:leftChars="1" w:firstLine="482" w:firstLineChars="200"/>
        <w:textAlignment w:val="auto"/>
        <w:outlineLvl w:val="1"/>
        <w:rPr>
          <w:rFonts w:hint="default"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lang w:val="en-US" w:eastAsia="zh-CN"/>
        </w:rPr>
        <w:t>36、</w:t>
      </w:r>
      <w:r>
        <w:rPr>
          <w:rFonts w:hint="default" w:ascii="Times New Roman" w:hAnsi="Times New Roman" w:cs="Times New Roman"/>
          <w:b/>
          <w:bCs/>
          <w:color w:val="auto"/>
          <w:kern w:val="0"/>
          <w:sz w:val="24"/>
          <w:szCs w:val="24"/>
          <w:highlight w:val="none"/>
        </w:rPr>
        <w:t>促进中小企业发展政策</w:t>
      </w:r>
    </w:p>
    <w:p w14:paraId="376E9011">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.1本项目落实促进中小企业发展政策措施在前附表规定。依据促进中小企业发展政策获得政府采购合同的，小微企业不得将合同分包给大中型企业，中型企业不得将合同分包给大型企业。</w:t>
      </w:r>
    </w:p>
    <w:p w14:paraId="79D30108">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.2本项目如为专门面向中小企业预留采购份额采购项目，供应商必须满足采购文件资格要求中的落实政府采购政策需满足的资格要求。</w:t>
      </w:r>
    </w:p>
    <w:p w14:paraId="0946F2F4">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采购文件中如接受联合体，供应商以联合体形式参加采购活动，联合体中中小企业承担的部分达到30%以上，其中预留给小微企业的比例不低于60%。</w:t>
      </w:r>
    </w:p>
    <w:p w14:paraId="7C39AA9D">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采购文件中如接受分包，供应商将采购项目分包给一家或者多家中小企业的比例达到30%以上，其中预留给小微企业的比例不低于60%。</w:t>
      </w:r>
    </w:p>
    <w:p w14:paraId="112EA3E2">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注：专门面向中小企业预留采购份额采购项目不享受价格扣除政策。</w:t>
      </w:r>
    </w:p>
    <w:p w14:paraId="24752A5E">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.3本项目如为非专门面向中小企业预留采购份额采购项目，磋商小组应当对小微企业报价给予价格扣除，用扣除后的价格参加评审。</w:t>
      </w:r>
    </w:p>
    <w:p w14:paraId="542E34C5">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文件接受大中型企业与小微企业组成联合体或者允许大中型企业向一家或者多家小微企业分包时，对于联合协议或者分包意向协议约定小微企业的合同份额占合同总金额比例达到30%以上的，磋商小组应当对联合体或者大中型企业的报价给予价格扣除，用扣除后的价格参加评审。</w:t>
      </w:r>
    </w:p>
    <w:p w14:paraId="450639FF">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组成联合体或者接受分包的小微企业与联合体内其他企业、分包企业之间存在直接控股、管理关系的，不享受价格扣除优惠政策。</w:t>
      </w:r>
    </w:p>
    <w:p w14:paraId="15804453">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价格扣除比例在第</w:t>
      </w:r>
      <w:r>
        <w:rPr>
          <w:rFonts w:hint="eastAsia" w:ascii="Times New Roman" w:hAnsi="Times New Roman" w:cs="Times New Roman"/>
          <w:color w:val="auto"/>
          <w:sz w:val="24"/>
          <w:szCs w:val="24"/>
          <w:highlight w:val="none"/>
          <w:lang w:eastAsia="zh-CN"/>
        </w:rPr>
        <w:t>六</w:t>
      </w:r>
      <w:r>
        <w:rPr>
          <w:rFonts w:hint="default" w:ascii="Times New Roman" w:hAnsi="Times New Roman" w:cs="Times New Roman"/>
          <w:color w:val="auto"/>
          <w:sz w:val="24"/>
          <w:szCs w:val="24"/>
          <w:highlight w:val="none"/>
        </w:rPr>
        <w:t>章评审方法及标准中规定，对小型企业和微型企业同等对待，不作区分。</w:t>
      </w:r>
    </w:p>
    <w:p w14:paraId="5819A425">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.4中小企业定义</w:t>
      </w:r>
    </w:p>
    <w:p w14:paraId="0ACEE649">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.4.1中小企业是指在中华人民共和国境内依法设立，依据国务院批准的中小企业划分标准确定的中型企业、小型企业和微型企业，但与大企业的负责人为同一人，或者与大企业存在直接控股、管理关系的除外。</w:t>
      </w:r>
    </w:p>
    <w:p w14:paraId="38A0BF30">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.4.2供应商提供的货物、工程或者服务符合下列情形的，享受本款规定的促进中小企业发展政策：</w:t>
      </w:r>
    </w:p>
    <w:p w14:paraId="0D0AC6A4">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在货物采购项目中，货物由中小企业制造，即货物由中小企业生产且使用该中小企业商号或者注册商标；</w:t>
      </w:r>
    </w:p>
    <w:p w14:paraId="57852A27">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在工程采购项目中，工程由中小企业承建，即工程施工单位为中小企业；</w:t>
      </w:r>
    </w:p>
    <w:p w14:paraId="4E627471">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在服务采购项目中，服务由中小企业承接，即提供服务的人员为中小企业依照《中华人民共和国劳动</w:t>
      </w:r>
      <w:r>
        <w:rPr>
          <w:rFonts w:hint="eastAsia" w:ascii="Times New Roman" w:hAnsi="Times New Roman" w:cs="Times New Roman"/>
          <w:color w:val="auto"/>
          <w:sz w:val="24"/>
          <w:szCs w:val="24"/>
          <w:highlight w:val="none"/>
          <w:lang w:val="en-US" w:eastAsia="zh-CN"/>
        </w:rPr>
        <w:t>民</w:t>
      </w:r>
      <w:r>
        <w:rPr>
          <w:rFonts w:hint="default" w:ascii="Times New Roman" w:hAnsi="Times New Roman" w:cs="Times New Roman"/>
          <w:color w:val="auto"/>
          <w:sz w:val="24"/>
          <w:szCs w:val="24"/>
          <w:highlight w:val="none"/>
        </w:rPr>
        <w:t>法</w:t>
      </w:r>
      <w:r>
        <w:rPr>
          <w:rFonts w:hint="eastAsia" w:ascii="Times New Roman" w:hAnsi="Times New Roman" w:cs="Times New Roman"/>
          <w:color w:val="auto"/>
          <w:sz w:val="24"/>
          <w:szCs w:val="24"/>
          <w:highlight w:val="none"/>
          <w:lang w:val="en-US" w:eastAsia="zh-CN"/>
        </w:rPr>
        <w:t>典</w:t>
      </w:r>
      <w:r>
        <w:rPr>
          <w:rFonts w:hint="default" w:ascii="Times New Roman" w:hAnsi="Times New Roman" w:cs="Times New Roman"/>
          <w:color w:val="auto"/>
          <w:sz w:val="24"/>
          <w:szCs w:val="24"/>
          <w:highlight w:val="none"/>
        </w:rPr>
        <w:t>》订立劳动合同的从业人员。</w:t>
      </w:r>
    </w:p>
    <w:p w14:paraId="51655CC0">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在货物采购项目中，供应商提供的货物既有中小企业制造货物，也有大型企业制造货物的，不享受本款规定的促进中小企业发展政策。</w:t>
      </w:r>
    </w:p>
    <w:p w14:paraId="0855301D">
      <w:pPr>
        <w:keepNext w:val="0"/>
        <w:keepLines w:val="0"/>
        <w:pageBreakBefore w:val="0"/>
        <w:kinsoku/>
        <w:wordWrap/>
        <w:overflowPunct/>
        <w:topLinePunct w:val="0"/>
        <w:autoSpaceDE/>
        <w:autoSpaceDN/>
        <w:bidi w:val="0"/>
        <w:spacing w:before="120" w:line="440" w:lineRule="exact"/>
        <w:ind w:left="2" w:leftChars="1"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以联合体形式参加政府采购活动，联合体各方均为中小企业的，联合体视同中小企业。其中，联合体各方均为小微企业的，联合体视同小微企业。</w:t>
      </w:r>
    </w:p>
    <w:p w14:paraId="703B52A7">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lang w:val="en-US" w:eastAsia="zh-CN"/>
        </w:rPr>
        <w:t>.4.3本项目标的所属行业在第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lang w:val="en-US" w:eastAsia="zh-CN"/>
        </w:rPr>
        <w:t>章</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采购需求中规定。供应商根据中小企业划分标准（《关于印发中小企业划型标准规定的通知》（工信部联企业〔2011〕300号）判断是否为中小企业。</w:t>
      </w:r>
    </w:p>
    <w:p w14:paraId="3AFD4093">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符合条件的货物制造商、工程施工单位、服务承接单位为中小企业的，应按采购文件规定在响应文件中提供声明函。</w:t>
      </w:r>
    </w:p>
    <w:p w14:paraId="0672AFEC">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lang w:val="en-US" w:eastAsia="zh-CN"/>
        </w:rPr>
        <w:t>.4.4视同中小企业情形</w:t>
      </w:r>
    </w:p>
    <w:p w14:paraId="5BF3D9FF">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（1）符合中小企业划分标准的个体工商户，视同中小企业。</w:t>
      </w:r>
    </w:p>
    <w:p w14:paraId="0CB6712E">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（2）以联合体形式参加政府采购活动，联合体各方均为中小企业的，联合体视同中小企业。其中，联合体各方均为小微企业的，联合体视同小微企业。</w:t>
      </w:r>
    </w:p>
    <w:p w14:paraId="1DF34B3E">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C96479C">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符合条件的货物制造商、工程施工单位、服务承接单位为监狱企业或残疾人福利性单位的，应按采购文件规定在响应文件中提供相关证明文件。</w:t>
      </w:r>
    </w:p>
    <w:p w14:paraId="5D104F22">
      <w:pPr>
        <w:keepNext w:val="0"/>
        <w:keepLines w:val="0"/>
        <w:pageBreakBefore w:val="0"/>
        <w:kinsoku/>
        <w:wordWrap/>
        <w:overflowPunct/>
        <w:topLinePunct w:val="0"/>
        <w:autoSpaceDE/>
        <w:autoSpaceDN/>
        <w:bidi w:val="0"/>
        <w:spacing w:before="120" w:line="440" w:lineRule="exact"/>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37、</w:t>
      </w:r>
      <w:r>
        <w:rPr>
          <w:rFonts w:hint="default" w:ascii="Times New Roman" w:hAnsi="Times New Roman" w:eastAsia="宋体" w:cs="Times New Roman"/>
          <w:b/>
          <w:bCs/>
          <w:color w:val="auto"/>
          <w:kern w:val="0"/>
          <w:sz w:val="24"/>
          <w:szCs w:val="24"/>
          <w:highlight w:val="none"/>
          <w:lang w:val="en-US" w:eastAsia="zh-CN"/>
        </w:rPr>
        <w:t>监督部门：</w:t>
      </w:r>
    </w:p>
    <w:p w14:paraId="57A75314">
      <w:pPr>
        <w:keepNext w:val="0"/>
        <w:keepLines w:val="0"/>
        <w:pageBreakBefore w:val="0"/>
        <w:kinsoku/>
        <w:wordWrap/>
        <w:overflowPunct/>
        <w:topLinePunct w:val="0"/>
        <w:autoSpaceDE/>
        <w:autoSpaceDN/>
        <w:bidi w:val="0"/>
        <w:spacing w:before="120" w:line="44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桂平市财政局政府采购监督管理股  0775-3380263</w:t>
      </w:r>
    </w:p>
    <w:p w14:paraId="7E4CB3DC">
      <w:pPr>
        <w:keepNext w:val="0"/>
        <w:keepLines w:val="0"/>
        <w:pageBreakBefore w:val="0"/>
        <w:kinsoku/>
        <w:wordWrap/>
        <w:overflowPunct/>
        <w:topLinePunct w:val="0"/>
        <w:autoSpaceDE/>
        <w:autoSpaceDN/>
        <w:bidi w:val="0"/>
        <w:spacing w:before="120" w:line="440" w:lineRule="exact"/>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3</w:t>
      </w:r>
      <w:r>
        <w:rPr>
          <w:rFonts w:hint="eastAsia" w:ascii="Times New Roman" w:hAnsi="Times New Roman" w:eastAsia="宋体" w:cs="Times New Roman"/>
          <w:b/>
          <w:bCs/>
          <w:color w:val="auto"/>
          <w:kern w:val="0"/>
          <w:sz w:val="24"/>
          <w:szCs w:val="24"/>
          <w:highlight w:val="none"/>
          <w:lang w:val="en-US" w:eastAsia="zh-CN"/>
        </w:rPr>
        <w:t>8</w:t>
      </w:r>
      <w:r>
        <w:rPr>
          <w:rFonts w:hint="default" w:ascii="Times New Roman" w:hAnsi="Times New Roman" w:eastAsia="宋体" w:cs="Times New Roman"/>
          <w:b/>
          <w:bCs/>
          <w:color w:val="auto"/>
          <w:kern w:val="0"/>
          <w:sz w:val="24"/>
          <w:szCs w:val="24"/>
          <w:highlight w:val="none"/>
          <w:lang w:val="en-US" w:eastAsia="zh-CN"/>
        </w:rPr>
        <w:t>、所有与本条件书有关的函电请按下列通讯地址联系：</w:t>
      </w:r>
    </w:p>
    <w:p w14:paraId="72CC613B">
      <w:pPr>
        <w:keepNext w:val="0"/>
        <w:keepLines w:val="0"/>
        <w:pageBreakBefore w:val="0"/>
        <w:kinsoku/>
        <w:wordWrap/>
        <w:overflowPunct/>
        <w:topLinePunct w:val="0"/>
        <w:autoSpaceDE/>
        <w:autoSpaceDN/>
        <w:bidi w:val="0"/>
        <w:spacing w:before="120" w:line="44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采购代理机构：</w:t>
      </w:r>
      <w:r>
        <w:rPr>
          <w:rFonts w:hint="eastAsia" w:cs="Times New Roman"/>
          <w:color w:val="auto"/>
          <w:sz w:val="24"/>
          <w:szCs w:val="24"/>
          <w:highlight w:val="none"/>
          <w:lang w:val="en-US" w:eastAsia="zh-CN"/>
        </w:rPr>
        <w:t>广西创佳项目</w:t>
      </w:r>
      <w:r>
        <w:rPr>
          <w:rFonts w:hint="eastAsia" w:ascii="Times New Roman" w:hAnsi="Times New Roman" w:eastAsia="宋体" w:cs="Times New Roman"/>
          <w:color w:val="auto"/>
          <w:sz w:val="24"/>
          <w:szCs w:val="24"/>
          <w:highlight w:val="none"/>
          <w:lang w:val="en-US" w:eastAsia="zh-CN"/>
        </w:rPr>
        <w:t>管理有限公司</w:t>
      </w:r>
    </w:p>
    <w:p w14:paraId="5E687670">
      <w:pPr>
        <w:pStyle w:val="21"/>
        <w:spacing w:before="75" w:beforeAutospacing="0" w:after="75" w:afterAutospacing="0" w:line="300" w:lineRule="atLeast"/>
        <w:ind w:firstLine="480" w:firstLineChars="200"/>
        <w:rPr>
          <w:rFonts w:ascii="Times New Roman" w:hAnsi="Times New Roman"/>
          <w:color w:val="auto"/>
          <w:highlight w:val="none"/>
        </w:rPr>
      </w:pPr>
      <w:bookmarkStart w:id="37" w:name="_Toc775"/>
      <w:r>
        <w:rPr>
          <w:rFonts w:hint="eastAsia" w:ascii="Times New Roman" w:hAnsi="Times New Roman"/>
          <w:color w:val="auto"/>
          <w:highlight w:val="none"/>
          <w:lang w:val="en-US" w:eastAsia="zh-CN"/>
        </w:rPr>
        <w:t>招标代理</w:t>
      </w:r>
      <w:r>
        <w:rPr>
          <w:rFonts w:ascii="Times New Roman" w:hAnsi="Times New Roman"/>
          <w:color w:val="auto"/>
          <w:highlight w:val="none"/>
        </w:rPr>
        <w:t>：</w:t>
      </w:r>
      <w:r>
        <w:rPr>
          <w:rFonts w:hint="eastAsia" w:ascii="Times New Roman" w:hAnsi="Times New Roman"/>
          <w:color w:val="auto"/>
          <w:highlight w:val="none"/>
          <w:lang w:eastAsia="zh-CN"/>
        </w:rPr>
        <w:t>广西创佳项目管理有限公司</w:t>
      </w:r>
      <w:r>
        <w:rPr>
          <w:rFonts w:ascii="Times New Roman" w:hAnsi="Times New Roman"/>
          <w:color w:val="auto"/>
          <w:highlight w:val="none"/>
        </w:rPr>
        <w:t>　</w:t>
      </w:r>
    </w:p>
    <w:p w14:paraId="19864C9F">
      <w:pPr>
        <w:pStyle w:val="21"/>
        <w:spacing w:before="75" w:beforeAutospacing="0" w:after="75" w:afterAutospacing="0" w:line="300" w:lineRule="atLeast"/>
        <w:ind w:firstLine="480" w:firstLineChars="200"/>
        <w:rPr>
          <w:rFonts w:ascii="Times New Roman" w:hAnsi="Times New Roman"/>
          <w:color w:val="auto"/>
          <w:highlight w:val="none"/>
        </w:rPr>
      </w:pPr>
      <w:r>
        <w:rPr>
          <w:rFonts w:ascii="Times New Roman" w:hAnsi="Times New Roman"/>
          <w:color w:val="auto"/>
          <w:highlight w:val="none"/>
        </w:rPr>
        <w:t>地　　址：</w:t>
      </w:r>
      <w:r>
        <w:rPr>
          <w:rFonts w:hint="eastAsia" w:ascii="Times New Roman" w:hAnsi="Times New Roman"/>
          <w:color w:val="auto"/>
          <w:highlight w:val="none"/>
        </w:rPr>
        <w:t>桂平市政务服务中心后面</w:t>
      </w:r>
    </w:p>
    <w:p w14:paraId="4894A417">
      <w:pPr>
        <w:pStyle w:val="21"/>
        <w:spacing w:before="75" w:beforeAutospacing="0" w:after="75" w:afterAutospacing="0" w:line="300" w:lineRule="atLeast"/>
        <w:ind w:firstLine="480" w:firstLineChars="200"/>
        <w:rPr>
          <w:rFonts w:ascii="Times New Roman" w:hAnsi="Times New Roman"/>
          <w:color w:val="auto"/>
          <w:highlight w:val="none"/>
        </w:rPr>
      </w:pPr>
      <w:r>
        <w:rPr>
          <w:rFonts w:ascii="Times New Roman" w:hAnsi="Times New Roman"/>
          <w:color w:val="auto"/>
          <w:highlight w:val="none"/>
        </w:rPr>
        <w:t>项目联系人：</w:t>
      </w:r>
      <w:r>
        <w:rPr>
          <w:rFonts w:hint="eastAsia" w:ascii="Times New Roman" w:hAnsi="Times New Roman"/>
          <w:color w:val="auto"/>
          <w:highlight w:val="none"/>
        </w:rPr>
        <w:t>覃骞稼、唐维平</w:t>
      </w:r>
      <w:r>
        <w:rPr>
          <w:rFonts w:ascii="Times New Roman" w:hAnsi="Times New Roman"/>
          <w:color w:val="auto"/>
          <w:highlight w:val="none"/>
        </w:rPr>
        <w:t>　</w:t>
      </w:r>
      <w:r>
        <w:rPr>
          <w:rFonts w:hint="eastAsia" w:ascii="Times New Roman" w:hAnsi="Times New Roman"/>
          <w:color w:val="auto"/>
          <w:highlight w:val="none"/>
        </w:rPr>
        <w:t xml:space="preserve">    </w:t>
      </w:r>
    </w:p>
    <w:p w14:paraId="379CF142">
      <w:pPr>
        <w:pStyle w:val="21"/>
        <w:spacing w:before="75" w:beforeAutospacing="0" w:after="75" w:afterAutospacing="0" w:line="300" w:lineRule="atLeast"/>
        <w:ind w:firstLine="480" w:firstLineChars="200"/>
        <w:rPr>
          <w:rFonts w:ascii="Times New Roman" w:hAnsi="Times New Roman"/>
          <w:color w:val="auto"/>
          <w:highlight w:val="none"/>
        </w:rPr>
      </w:pPr>
      <w:r>
        <w:rPr>
          <w:rFonts w:ascii="Times New Roman" w:hAnsi="Times New Roman"/>
          <w:color w:val="auto"/>
          <w:highlight w:val="none"/>
        </w:rPr>
        <w:t>项目联系方式：</w:t>
      </w:r>
      <w:r>
        <w:rPr>
          <w:rFonts w:hint="eastAsia" w:ascii="Times New Roman" w:hAnsi="Times New Roman"/>
          <w:color w:val="auto"/>
          <w:highlight w:val="none"/>
        </w:rPr>
        <w:t>0775-3360111</w:t>
      </w:r>
    </w:p>
    <w:p w14:paraId="2055C9E8">
      <w:pPr>
        <w:pStyle w:val="2"/>
        <w:bidi w:val="0"/>
        <w:rPr>
          <w:rFonts w:hint="default" w:ascii="Times New Roman" w:hAnsi="Times New Roman" w:eastAsia="宋体" w:cs="Times New Roman"/>
          <w:color w:val="auto"/>
          <w:highlight w:val="none"/>
          <w:lang w:val="en-US" w:eastAsia="zh-CN"/>
        </w:rPr>
      </w:pPr>
    </w:p>
    <w:p w14:paraId="189A9024">
      <w:pPr>
        <w:pStyle w:val="2"/>
        <w:bidi w:val="0"/>
        <w:rPr>
          <w:rFonts w:hint="default" w:ascii="Times New Roman" w:hAnsi="Times New Roman" w:eastAsia="宋体" w:cs="Times New Roman"/>
          <w:color w:val="auto"/>
          <w:highlight w:val="none"/>
          <w:lang w:val="en-US" w:eastAsia="zh-CN"/>
        </w:rPr>
      </w:pPr>
    </w:p>
    <w:p w14:paraId="6A2BDDAC">
      <w:pPr>
        <w:pStyle w:val="2"/>
        <w:bidi w:val="0"/>
        <w:rPr>
          <w:rFonts w:hint="default" w:ascii="Times New Roman" w:hAnsi="Times New Roman" w:eastAsia="宋体" w:cs="Times New Roman"/>
          <w:color w:val="auto"/>
          <w:highlight w:val="none"/>
          <w:lang w:val="en-US" w:eastAsia="zh-CN"/>
        </w:rPr>
      </w:pPr>
    </w:p>
    <w:p w14:paraId="7FE3B408">
      <w:pPr>
        <w:pStyle w:val="2"/>
        <w:bidi w:val="0"/>
        <w:rPr>
          <w:rFonts w:hint="default" w:ascii="Times New Roman" w:hAnsi="Times New Roman" w:eastAsia="宋体" w:cs="Times New Roman"/>
          <w:color w:val="auto"/>
          <w:highlight w:val="none"/>
          <w:lang w:val="en-US" w:eastAsia="zh-CN"/>
        </w:rPr>
      </w:pPr>
    </w:p>
    <w:p w14:paraId="1E25D6E8">
      <w:pPr>
        <w:pStyle w:val="2"/>
        <w:bidi w:val="0"/>
        <w:rPr>
          <w:rFonts w:hint="default" w:ascii="Times New Roman" w:hAnsi="Times New Roman" w:eastAsia="宋体" w:cs="Times New Roman"/>
          <w:color w:val="auto"/>
          <w:highlight w:val="none"/>
          <w:lang w:val="en-US" w:eastAsia="zh-CN"/>
        </w:rPr>
      </w:pPr>
    </w:p>
    <w:p w14:paraId="073A55D8">
      <w:pPr>
        <w:rPr>
          <w:rFonts w:hint="default"/>
          <w:color w:val="auto"/>
          <w:highlight w:val="none"/>
          <w:lang w:val="en-US" w:eastAsia="zh-CN"/>
        </w:rPr>
      </w:pPr>
    </w:p>
    <w:p w14:paraId="7100A23C">
      <w:pPr>
        <w:pStyle w:val="2"/>
        <w:numPr>
          <w:ilvl w:val="0"/>
          <w:numId w:val="3"/>
        </w:numPr>
        <w:bidi w:val="0"/>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br w:type="page"/>
      </w:r>
      <w:bookmarkStart w:id="38" w:name="_Toc5234"/>
      <w:r>
        <w:rPr>
          <w:rFonts w:hint="default" w:ascii="Times New Roman" w:hAnsi="Times New Roman" w:eastAsia="宋体" w:cs="Times New Roman"/>
          <w:color w:val="auto"/>
          <w:highlight w:val="none"/>
          <w:lang w:eastAsia="zh-CN"/>
        </w:rPr>
        <w:t>项目采购需求</w:t>
      </w:r>
      <w:bookmarkEnd w:id="37"/>
      <w:bookmarkEnd w:id="38"/>
    </w:p>
    <w:p w14:paraId="2162B380">
      <w:pPr>
        <w:numPr>
          <w:ilvl w:val="0"/>
          <w:numId w:val="0"/>
        </w:numPr>
        <w:rPr>
          <w:rFonts w:hint="default"/>
          <w:color w:val="auto"/>
          <w:highlight w:val="none"/>
          <w:lang w:val="en-US" w:eastAsia="zh-CN"/>
        </w:rPr>
      </w:pPr>
      <w:r>
        <w:rPr>
          <w:rFonts w:hint="eastAsia"/>
          <w:color w:val="auto"/>
          <w:highlight w:val="none"/>
          <w:lang w:val="en-US" w:eastAsia="zh-CN"/>
        </w:rPr>
        <w:t xml:space="preserve">                                  </w:t>
      </w:r>
      <w:r>
        <w:rPr>
          <w:rFonts w:hint="eastAsia" w:cs="Times New Roman"/>
          <w:b/>
          <w:bCs/>
          <w:color w:val="auto"/>
          <w:sz w:val="24"/>
          <w:highlight w:val="none"/>
          <w:lang w:eastAsia="zh-CN"/>
        </w:rPr>
        <w:t>（</w:t>
      </w:r>
      <w:r>
        <w:rPr>
          <w:rFonts w:hint="eastAsia" w:cs="Times New Roman"/>
          <w:b/>
          <w:bCs/>
          <w:color w:val="auto"/>
          <w:sz w:val="24"/>
          <w:highlight w:val="none"/>
          <w:lang w:val="en-US" w:eastAsia="zh-CN"/>
        </w:rPr>
        <w:t>A分标、B分标适用</w:t>
      </w:r>
      <w:r>
        <w:rPr>
          <w:rFonts w:hint="eastAsia" w:cs="Times New Roman"/>
          <w:b/>
          <w:bCs/>
          <w:color w:val="auto"/>
          <w:sz w:val="24"/>
          <w:highlight w:val="none"/>
          <w:lang w:eastAsia="zh-CN"/>
        </w:rPr>
        <w:t>）</w:t>
      </w:r>
    </w:p>
    <w:p w14:paraId="68EC695F">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174F0D66">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1.政府采购政策的应用</w:t>
      </w:r>
    </w:p>
    <w:p w14:paraId="149E9E7A">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详见采购文件“评审方法及标准/政府采购政策应用说明”。</w:t>
      </w:r>
    </w:p>
    <w:p w14:paraId="288B2AA5">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2.采购需求要求未尽事宜由采购人与成交供应商在采购合同中约定。</w:t>
      </w:r>
    </w:p>
    <w:p w14:paraId="2989E3F3">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3.标注“▲”的条款或要求系指实质性条款或实质性要求，必须满足，如存在负偏离将导致响应被否决。</w:t>
      </w:r>
    </w:p>
    <w:tbl>
      <w:tblPr>
        <w:tblStyle w:val="24"/>
        <w:tblW w:w="93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7"/>
        <w:gridCol w:w="1300"/>
        <w:gridCol w:w="1015"/>
        <w:gridCol w:w="6099"/>
      </w:tblGrid>
      <w:tr w14:paraId="3C11C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51" w:type="dxa"/>
            <w:gridSpan w:val="4"/>
            <w:tcBorders>
              <w:top w:val="single" w:color="auto" w:sz="4" w:space="0"/>
              <w:left w:val="single" w:color="auto" w:sz="4" w:space="0"/>
              <w:bottom w:val="single" w:color="auto" w:sz="4" w:space="0"/>
              <w:right w:val="single" w:color="auto" w:sz="4" w:space="0"/>
            </w:tcBorders>
            <w:noWrap w:val="0"/>
            <w:vAlign w:val="center"/>
          </w:tcPr>
          <w:p w14:paraId="6E247EF7">
            <w:pPr>
              <w:wordWrap w:val="0"/>
              <w:spacing w:before="156" w:line="360" w:lineRule="exact"/>
              <w:rPr>
                <w:rFonts w:ascii="宋体" w:hAnsi="宋体" w:cs="宋体"/>
                <w:b/>
                <w:color w:val="auto"/>
                <w:szCs w:val="21"/>
                <w:highlight w:val="none"/>
              </w:rPr>
            </w:pPr>
            <w:r>
              <w:rPr>
                <w:rFonts w:hint="eastAsia" w:ascii="宋体" w:hAnsi="宋体" w:cs="宋体"/>
                <w:b/>
                <w:color w:val="auto"/>
                <w:szCs w:val="21"/>
                <w:highlight w:val="none"/>
              </w:rPr>
              <w:t>一、项目标的及服务需求</w:t>
            </w:r>
          </w:p>
        </w:tc>
      </w:tr>
      <w:tr w14:paraId="0072A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37" w:type="dxa"/>
            <w:tcBorders>
              <w:top w:val="single" w:color="auto" w:sz="4" w:space="0"/>
              <w:left w:val="single" w:color="auto" w:sz="4" w:space="0"/>
              <w:bottom w:val="single" w:color="auto" w:sz="4" w:space="0"/>
              <w:right w:val="single" w:color="auto" w:sz="4" w:space="0"/>
            </w:tcBorders>
            <w:noWrap w:val="0"/>
            <w:vAlign w:val="center"/>
          </w:tcPr>
          <w:p w14:paraId="0EC1EE32">
            <w:pPr>
              <w:wordWrap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2E03A4A">
            <w:pPr>
              <w:wordWrap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4C65231">
            <w:pPr>
              <w:wordWrap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数量/单位</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15D25009">
            <w:pPr>
              <w:wordWrap w:val="0"/>
              <w:spacing w:line="360" w:lineRule="exact"/>
              <w:jc w:val="center"/>
              <w:rPr>
                <w:rFonts w:ascii="宋体" w:hAnsi="宋体" w:cs="宋体"/>
                <w:b/>
                <w:bCs/>
                <w:color w:val="auto"/>
                <w:szCs w:val="21"/>
                <w:highlight w:val="none"/>
              </w:rPr>
            </w:pPr>
            <w:r>
              <w:rPr>
                <w:rFonts w:hint="eastAsia" w:ascii="宋体" w:hAnsi="宋体" w:cs="宋体"/>
                <w:b/>
                <w:color w:val="auto"/>
                <w:szCs w:val="21"/>
                <w:highlight w:val="none"/>
              </w:rPr>
              <w:t>服务需求及要求</w:t>
            </w:r>
          </w:p>
        </w:tc>
      </w:tr>
      <w:tr w14:paraId="0C5E6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937" w:type="dxa"/>
            <w:tcBorders>
              <w:top w:val="single" w:color="auto" w:sz="4" w:space="0"/>
              <w:left w:val="single" w:color="auto" w:sz="4" w:space="0"/>
              <w:bottom w:val="single" w:color="auto" w:sz="4" w:space="0"/>
              <w:right w:val="single" w:color="auto" w:sz="4" w:space="0"/>
            </w:tcBorders>
            <w:noWrap w:val="0"/>
            <w:vAlign w:val="center"/>
          </w:tcPr>
          <w:p w14:paraId="029C47F3">
            <w:pPr>
              <w:spacing w:line="440" w:lineRule="exact"/>
              <w:ind w:firstLine="409" w:firstLineChars="195"/>
              <w:rPr>
                <w:rFonts w:ascii="宋体" w:hAnsi="宋体" w:cs="宋体"/>
                <w:bCs/>
                <w:color w:val="auto"/>
                <w:szCs w:val="21"/>
                <w:highlight w:val="none"/>
              </w:rPr>
            </w:pPr>
            <w:r>
              <w:rPr>
                <w:rFonts w:hint="eastAsia" w:ascii="宋体" w:hAnsi="宋体" w:cs="宋体"/>
                <w:color w:val="auto"/>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08E267A">
            <w:pPr>
              <w:spacing w:line="440" w:lineRule="exact"/>
              <w:rPr>
                <w:rFonts w:hint="eastAsia" w:ascii="宋体" w:hAnsi="Times New Roman" w:eastAsia="宋体" w:cs="Times New Roman"/>
                <w:color w:val="auto"/>
                <w:spacing w:val="-4"/>
                <w:kern w:val="0"/>
                <w:sz w:val="24"/>
                <w:szCs w:val="20"/>
                <w:highlight w:val="none"/>
                <w:lang w:val="en-US" w:eastAsia="zh-CN" w:bidi="ar"/>
              </w:rPr>
            </w:pPr>
            <w:r>
              <w:rPr>
                <w:rFonts w:hint="eastAsia" w:ascii="宋体" w:cs="Times New Roman"/>
                <w:color w:val="auto"/>
                <w:spacing w:val="-4"/>
                <w:kern w:val="0"/>
                <w:sz w:val="24"/>
                <w:szCs w:val="20"/>
                <w:highlight w:val="none"/>
                <w:lang w:val="en-US" w:eastAsia="zh-CN" w:bidi="ar"/>
              </w:rPr>
              <w:t>2025年</w:t>
            </w:r>
            <w:r>
              <w:rPr>
                <w:rFonts w:hint="eastAsia" w:ascii="宋体" w:hAnsi="Times New Roman" w:eastAsia="宋体" w:cs="Times New Roman"/>
                <w:color w:val="auto"/>
                <w:spacing w:val="-4"/>
                <w:kern w:val="0"/>
                <w:sz w:val="24"/>
                <w:szCs w:val="20"/>
                <w:highlight w:val="none"/>
                <w:lang w:val="en-US" w:eastAsia="zh-CN" w:bidi="ar"/>
              </w:rPr>
              <w:t>桂平市特殊困难老年人家庭适老化改造</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4FD8F671">
            <w:pPr>
              <w:spacing w:line="4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不少于1170户</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1F0B0080">
            <w:pPr>
              <w:pStyle w:val="5"/>
              <w:ind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深入贯彻落实民政部等9部门《关于加快实施老年人居家适老化改造工程的指导意见》（民发〔2020〕86号）和民政部等4部门《关于推进“十四五”特殊困难老年人家庭适老化改造工作的通知》（民发〔2022〕9号）精神，根据自治区民政厅《关于加快推进“十四五”特殊困难老年人家庭适老化改造工作的通知》，为扎实做好2025年度桂平市特殊困难老年人家庭适老化改造工作，特制定本实施方案。</w:t>
            </w:r>
          </w:p>
          <w:p w14:paraId="213EF166">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一、项目资金来源和任务目标</w:t>
            </w:r>
          </w:p>
          <w:p w14:paraId="6DDC9113">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2025年桂平市特殊困难老年人家庭适老化改造项目任务数不少于1170户，项目资金从《</w:t>
            </w:r>
            <w:r>
              <w:rPr>
                <w:rFonts w:hint="eastAsia" w:asciiTheme="minorEastAsia" w:hAnsiTheme="minorEastAsia" w:eastAsiaTheme="minorEastAsia" w:cstheme="minorEastAsia"/>
                <w:color w:val="auto"/>
                <w:sz w:val="24"/>
                <w:szCs w:val="24"/>
                <w:highlight w:val="none"/>
              </w:rPr>
              <w:t>广西壮族自治区财政厅关于提前下达2025年自治区福利彩票公益金预算指标的通知</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桂财社〔202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177</w:t>
            </w:r>
            <w:r>
              <w:rPr>
                <w:rFonts w:hint="eastAsia" w:asciiTheme="minorEastAsia" w:hAnsiTheme="minorEastAsia" w:eastAsiaTheme="minorEastAsia" w:cstheme="minorEastAsia"/>
                <w:color w:val="auto"/>
                <w:sz w:val="24"/>
                <w:szCs w:val="24"/>
                <w:highlight w:val="none"/>
              </w:rPr>
              <w:t>号</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eastAsiaTheme="minorEastAsia" w:cstheme="minorEastAsia"/>
                <w:color w:val="auto"/>
                <w:sz w:val="24"/>
                <w:szCs w:val="24"/>
                <w:highlight w:val="none"/>
              </w:rPr>
              <w:t>广西壮族自治区财政厅关于</w:t>
            </w:r>
            <w:r>
              <w:rPr>
                <w:rFonts w:hint="eastAsia" w:asciiTheme="minorEastAsia" w:hAnsiTheme="minorEastAsia" w:eastAsiaTheme="minorEastAsia" w:cstheme="minorEastAsia"/>
                <w:color w:val="auto"/>
                <w:sz w:val="24"/>
                <w:szCs w:val="24"/>
                <w:highlight w:val="none"/>
                <w:lang w:eastAsia="zh-CN"/>
              </w:rPr>
              <w:t>预</w:t>
            </w:r>
            <w:r>
              <w:rPr>
                <w:rFonts w:hint="eastAsia" w:asciiTheme="minorEastAsia" w:hAnsiTheme="minorEastAsia" w:eastAsiaTheme="minorEastAsia" w:cstheme="minorEastAsia"/>
                <w:color w:val="auto"/>
                <w:sz w:val="24"/>
                <w:szCs w:val="24"/>
                <w:highlight w:val="none"/>
              </w:rPr>
              <w:t>下达202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年自治区福彩公益金预算指标的通知</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桂财社〔202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72</w:t>
            </w:r>
            <w:r>
              <w:rPr>
                <w:rFonts w:hint="eastAsia" w:asciiTheme="minorEastAsia" w:hAnsiTheme="minorEastAsia" w:eastAsiaTheme="minorEastAsia" w:cstheme="minorEastAsia"/>
                <w:color w:val="auto"/>
                <w:sz w:val="24"/>
                <w:szCs w:val="24"/>
                <w:highlight w:val="none"/>
              </w:rPr>
              <w:t>号</w:t>
            </w:r>
            <w:r>
              <w:rPr>
                <w:rFonts w:hint="eastAsia" w:asciiTheme="minorEastAsia" w:hAnsiTheme="minorEastAsia" w:eastAsiaTheme="minorEastAsia" w:cstheme="minorEastAsia"/>
                <w:color w:val="auto"/>
                <w:sz w:val="24"/>
                <w:szCs w:val="24"/>
                <w:highlight w:val="none"/>
                <w:lang w:val="en-US" w:eastAsia="zh-CN"/>
              </w:rPr>
              <w:t>)下达我市的资金中列支。</w:t>
            </w:r>
          </w:p>
          <w:p w14:paraId="08431658">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二、实施对象基本条件和选取</w:t>
            </w:r>
          </w:p>
          <w:p w14:paraId="40671727">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（一）实施对象的基本条件</w:t>
            </w:r>
          </w:p>
          <w:p w14:paraId="64402C58">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1.桂平市户籍内纳入分散供养特困人员范围的高龄、失能、残疾老年人家庭。</w:t>
            </w:r>
          </w:p>
          <w:p w14:paraId="3DAE4F5F">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2.桂平市户籍内城乡低保对象中的高龄、失能、留守、空巢、残疾老年人家庭。</w:t>
            </w:r>
          </w:p>
          <w:p w14:paraId="080C64B2">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3.桂平市户籍内计划生育特殊家庭。</w:t>
            </w:r>
          </w:p>
          <w:p w14:paraId="3B568ED1">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（二）实施对象的选取</w:t>
            </w:r>
          </w:p>
          <w:p w14:paraId="1DB995E6">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根据上级分配的任务，2025年桂平市特殊困难老年人家庭适老化改造户数不少于1170户，各乡镇根据文件要求和分配的任务数（附件1），动员符合条件的家庭申报，桂平市民政局从各乡镇提交的申报名单中选取实施对象。</w:t>
            </w:r>
          </w:p>
          <w:p w14:paraId="352A3994">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2.改造对象家庭应对拟改造住房拥有产权或长期使用权，拟改造的住房应符合质量安全相关标准，具备基础改造条件，且近期没有纳入拆迁规划。</w:t>
            </w:r>
          </w:p>
          <w:p w14:paraId="5033CFEE">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3.政府鼓励分散供养特困老年人集中照护，对有集中供养意愿的特困老年人家庭不列入改造对象范围。</w:t>
            </w:r>
          </w:p>
          <w:p w14:paraId="097101E2">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4.对历年来已进行困难重度残疾人家庭无障碍改造的家庭、已进行适老化改造的特殊困难老年人家庭和已进行经济困难老年人家庭养老床位建设的家庭不再重复纳入改造对象范围。</w:t>
            </w:r>
          </w:p>
          <w:p w14:paraId="0E5FC301">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三、项目改造内容及经费使用标准 </w:t>
            </w:r>
          </w:p>
          <w:p w14:paraId="53EFAFDB">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（一）项目改造内容</w:t>
            </w:r>
          </w:p>
          <w:p w14:paraId="1233D9BF">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老年人家庭适老化改造，旨在对老年人家庭的通道、居室、厨房、卫生间等生活场所，以及家具配置、细节保护等做一定的调整或改造，以更利于老年人通行、洗澡、如厕、休息等日常生活，缓解老年人因生理机能变化导致的生活不适应，同时让老年人避免受到人身伤害。</w:t>
            </w:r>
          </w:p>
          <w:p w14:paraId="3DA7A6F9">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民政部、住房和城乡建设部制定的《老年人居家适老化改造项目和老年用品配置推荐清单》（见附件3），围绕施工改造、设施配备、老年用品配置等方面进行居家适老化改造。清单所列项目分为基础类和可选类，基础类项目是政府对特殊困难老年人家庭予以补助支持的改造项目和老年用品，是改造和配置的基本内容；可选类项目是根据特殊困难老年人家庭意愿，供自主付费购买的适老化改造项目和老年用品。在选择了基础类项目改造的前提下，在补贴标准范围内可增加选择其他可选类项目之一或者几个项目进行改造，超出补助标准部分由个人承担。</w:t>
            </w:r>
          </w:p>
          <w:p w14:paraId="1ECA3275">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（二）经费使用标准</w:t>
            </w:r>
          </w:p>
          <w:p w14:paraId="61F94713">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原则上平均每户补助不超1530元，因地制宜、因人施策。</w:t>
            </w:r>
          </w:p>
          <w:p w14:paraId="40191253">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四、实施方式及改造原则 </w:t>
            </w:r>
          </w:p>
          <w:p w14:paraId="3EE5DBE1">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（一）实施方式</w:t>
            </w:r>
          </w:p>
          <w:p w14:paraId="7C22C2C9">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项目采用政府购买服务方式实施，桂平市民政局根据政府采购有关规定确定有资质的服务机构或施工队作为实施机构。</w:t>
            </w:r>
          </w:p>
          <w:p w14:paraId="1625E7C2">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（二）改造原则</w:t>
            </w:r>
          </w:p>
          <w:p w14:paraId="3ED5E5B6">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坚持需求导向。重点支持保障特殊困难老年人最迫切的居家适老化改造需求。适老化改造尊重老年人家庭意愿，以自愿申请为前提，经资格审核、入户评估、老年人或其监护人签字确认同意改造方案后组织实施。</w:t>
            </w:r>
          </w:p>
          <w:p w14:paraId="0885FFF6">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坚持因地制宜。适老化改造根据老年人身体状况、养老服务需求、居住环境特点等实际科学精准评估，在有限的预算内选择最适合、最迫切的需求按照“一户一策”进行改造，不搞一刀切，不搞层层加码，杜绝脱离实际的“形象工程”“面子工程”。</w:t>
            </w:r>
          </w:p>
          <w:p w14:paraId="4B8461EB">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3.坚持部门协同。加强与住建、财政、残联等部门的协作配合，做好对象认定审核，注重制度衔接，统筹改善老年人住房内外的生活环境，形成工作合力。</w:t>
            </w:r>
          </w:p>
          <w:p w14:paraId="42B0E57A">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五、项目实施步骤</w:t>
            </w:r>
          </w:p>
          <w:p w14:paraId="17AEC21A">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（一）宣传动员、确定实施对象阶段（10月12日－11月20日）</w:t>
            </w:r>
          </w:p>
          <w:p w14:paraId="36AEF205">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1.制定实施方案，做好宣传动员（10月12－10月30日）</w:t>
            </w:r>
          </w:p>
          <w:p w14:paraId="393D9600">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桂平市民政局制定改造项目实施方案。各乡镇积极向老年人家庭宣传适老化改造工作，确保特殊困难老年人了解相关政策，扩大社会知晓度和影响力。</w:t>
            </w:r>
          </w:p>
          <w:p w14:paraId="450B627F">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2.确定实施机构（10月31日前）</w:t>
            </w:r>
          </w:p>
          <w:p w14:paraId="394C07E5">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2025年桂平市特殊困难老年人家庭适老化改造项目分两个标段实施</w:t>
            </w:r>
            <w:r>
              <w:rPr>
                <w:rFonts w:hint="eastAsia" w:asciiTheme="minorEastAsia" w:hAnsiTheme="minorEastAsia" w:eastAsiaTheme="minorEastAsia" w:cstheme="minorEastAsia"/>
                <w:b/>
                <w:bCs/>
                <w:color w:val="auto"/>
                <w:sz w:val="24"/>
                <w:szCs w:val="24"/>
                <w:highlight w:val="none"/>
                <w:lang w:val="en-US" w:eastAsia="zh-CN"/>
              </w:rPr>
              <w:t>，A分标：</w:t>
            </w:r>
            <w:r>
              <w:rPr>
                <w:rFonts w:hint="eastAsia" w:asciiTheme="minorEastAsia" w:hAnsiTheme="minorEastAsia" w:eastAsiaTheme="minorEastAsia" w:cstheme="minorEastAsia"/>
                <w:b w:val="0"/>
                <w:bCs w:val="0"/>
                <w:color w:val="auto"/>
                <w:sz w:val="24"/>
                <w:szCs w:val="24"/>
                <w:highlight w:val="none"/>
                <w:lang w:val="en-US" w:eastAsia="zh-CN"/>
              </w:rPr>
              <w:t>拟在木圭镇、木乐镇、石咀镇、马皮乡、油麻镇、社坡镇、寻旺乡、罗秀镇、麻垌镇、社步镇、下湾镇、罗播乡、木根镇、中沙镇等14个乡镇改造不少于600户；</w:t>
            </w:r>
            <w:r>
              <w:rPr>
                <w:rFonts w:hint="eastAsia" w:asciiTheme="minorEastAsia" w:hAnsiTheme="minorEastAsia" w:eastAsiaTheme="minorEastAsia" w:cstheme="minorEastAsia"/>
                <w:b/>
                <w:bCs/>
                <w:color w:val="auto"/>
                <w:sz w:val="24"/>
                <w:szCs w:val="24"/>
                <w:highlight w:val="none"/>
                <w:lang w:val="en-US" w:eastAsia="zh-CN"/>
              </w:rPr>
              <w:t>B分标：</w:t>
            </w:r>
            <w:r>
              <w:rPr>
                <w:rFonts w:hint="eastAsia" w:asciiTheme="minorEastAsia" w:hAnsiTheme="minorEastAsia" w:eastAsiaTheme="minorEastAsia" w:cstheme="minorEastAsia"/>
                <w:b w:val="0"/>
                <w:bCs w:val="0"/>
                <w:color w:val="auto"/>
                <w:sz w:val="24"/>
                <w:szCs w:val="24"/>
                <w:highlight w:val="none"/>
                <w:lang w:val="en-US" w:eastAsia="zh-CN"/>
              </w:rPr>
              <w:t>拟在大湾镇、大洋镇、白沙镇、厚禄乡、石龙镇、蒙圩镇、西山镇、南木镇、金田镇、江口镇、紫荆镇、垌心乡等12个乡镇改造不少于570户，</w:t>
            </w:r>
            <w:r>
              <w:rPr>
                <w:rFonts w:hint="eastAsia" w:asciiTheme="minorEastAsia" w:hAnsiTheme="minorEastAsia" w:eastAsiaTheme="minorEastAsia" w:cstheme="minorEastAsia"/>
                <w:color w:val="auto"/>
                <w:sz w:val="24"/>
                <w:szCs w:val="24"/>
                <w:highlight w:val="none"/>
                <w:lang w:val="en-US" w:eastAsia="zh-CN"/>
              </w:rPr>
              <w:t>桂平市民政局按政府采购相关程序确定项目实施机构。</w:t>
            </w:r>
          </w:p>
          <w:p w14:paraId="41E22F2F">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3.确定实施对象（11月1日－11月20日）　</w:t>
            </w:r>
          </w:p>
          <w:p w14:paraId="7DDCA9C0">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各乡镇协助实施机构入户筛选实施对象，改造实施机构对符合改造条件且愿意改造的对象造册登记，填写《特殊困难家庭适老化改造登记表》（附件2），对老年人身体状况、居室环境、康复辅助器具需求、家庭成员等进行综合评估，留存完整、详尽的评估记录，根据评估结果填写《特殊困难老年人家庭适老化改造需求评估确认表》（附件5），同时协助老年人家庭填写《特殊困难老年人家庭适老化改造申请表》（附件4），由村（居）委和乡镇政府审核盖章并在乡镇公示后交桂平市民政局审批。</w:t>
            </w:r>
          </w:p>
          <w:p w14:paraId="6D97FB14">
            <w:pPr>
              <w:pStyle w:val="5"/>
              <w:jc w:val="both"/>
              <w:rPr>
                <w:rFonts w:hint="eastAsia" w:asciiTheme="minorEastAsia" w:hAnsiTheme="minorEastAsia" w:eastAsiaTheme="minorEastAsia" w:cstheme="minorEastAsia"/>
                <w:color w:val="auto"/>
                <w:sz w:val="24"/>
                <w:szCs w:val="24"/>
                <w:highlight w:val="none"/>
                <w:lang w:val="en-US" w:eastAsia="zh-CN"/>
              </w:rPr>
            </w:pPr>
            <w:bookmarkStart w:id="39" w:name="OLE_LINK1"/>
            <w:r>
              <w:rPr>
                <w:rFonts w:hint="eastAsia" w:asciiTheme="minorEastAsia" w:hAnsiTheme="minorEastAsia" w:eastAsiaTheme="minorEastAsia" w:cstheme="minorEastAsia"/>
                <w:color w:val="auto"/>
                <w:sz w:val="24"/>
                <w:szCs w:val="24"/>
                <w:highlight w:val="none"/>
                <w:lang w:val="en-US" w:eastAsia="zh-CN"/>
              </w:rPr>
              <w:t>（二）组织实施阶段（11月21日-12月31日）</w:t>
            </w:r>
            <w:bookmarkEnd w:id="39"/>
          </w:p>
          <w:p w14:paraId="0545C309">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实施机构按照填写好的《特殊困难老年人家庭适老化改造需求评估确认表》（附件5）制定施工方案，经老年人家庭审核确认后予以施工，施工前后要分别拍照备存填写《特殊困难老年人家庭适老化改造前后对比档案》（附件6）。</w:t>
            </w:r>
          </w:p>
          <w:p w14:paraId="5DCC0C0B">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（三）验收阶段（2026年1月1日-1月31日）</w:t>
            </w:r>
          </w:p>
          <w:p w14:paraId="746625C4">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改造完成后，实施机构将附件（4－7）按“一户一档”的要求整理归档交桂平市民政局，桂平市民政局组织人员对项目实施情况进行验收，出具验收合格或者不合格的结论。若出现不合格的情况则责令实施机构限期整改，并重新组织验收。</w:t>
            </w:r>
          </w:p>
          <w:p w14:paraId="6FE65134">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（四）项目维护</w:t>
            </w:r>
          </w:p>
          <w:p w14:paraId="5E37575D">
            <w:pPr>
              <w:pStyle w:val="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在项目质保期（1年）内，由实施机构对相关项目质量问题进行免费维护。</w:t>
            </w:r>
          </w:p>
          <w:p w14:paraId="412BCE4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附件：</w:t>
            </w:r>
          </w:p>
          <w:p w14:paraId="40A74A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eastAsiaTheme="minorEastAsia" w:cstheme="minorEastAsia"/>
                <w:b w:val="0"/>
                <w:bCs w:val="0"/>
                <w:color w:val="auto"/>
                <w:kern w:val="0"/>
                <w:sz w:val="24"/>
                <w:szCs w:val="24"/>
                <w:highlight w:val="none"/>
                <w:u w:val="none"/>
                <w:lang w:val="en-US" w:eastAsia="zh-CN" w:bidi="ar"/>
              </w:rPr>
              <w:t>2025年桂平市适老化改造指标任务分配表</w:t>
            </w:r>
          </w:p>
          <w:p w14:paraId="0A8528D3">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
              </w:rPr>
              <w:t>特殊困难家庭适老化改造登记表</w:t>
            </w:r>
          </w:p>
          <w:p w14:paraId="3D5C74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3.老年人居家适老化改造项目和老年用品配置推荐清单 </w:t>
            </w:r>
          </w:p>
          <w:p w14:paraId="749870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4.特殊困难老年人家庭适老化改造申请表 </w:t>
            </w:r>
          </w:p>
          <w:p w14:paraId="04DBBB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5.特殊困难老年人家庭适老化改造需求评估确认表 </w:t>
            </w:r>
          </w:p>
          <w:p w14:paraId="667F56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6.特殊困难老年人家庭适老化改造前后对比档案 </w:t>
            </w:r>
          </w:p>
          <w:p w14:paraId="2EE0A02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7.特殊困难老年人家庭适老化改造验收表 </w:t>
            </w:r>
          </w:p>
          <w:p w14:paraId="57CF19D8">
            <w:pPr>
              <w:pStyle w:val="5"/>
              <w:jc w:val="both"/>
              <w:rPr>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8.特殊困难老年人家庭适老化改造项目花名册</w:t>
            </w:r>
          </w:p>
        </w:tc>
      </w:tr>
      <w:tr w14:paraId="7F26D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9351" w:type="dxa"/>
            <w:gridSpan w:val="4"/>
            <w:tcBorders>
              <w:top w:val="single" w:color="auto" w:sz="4" w:space="0"/>
              <w:left w:val="single" w:color="auto" w:sz="4" w:space="0"/>
              <w:bottom w:val="single" w:color="auto" w:sz="4" w:space="0"/>
              <w:right w:val="single" w:color="auto" w:sz="4" w:space="0"/>
            </w:tcBorders>
            <w:noWrap w:val="0"/>
            <w:vAlign w:val="center"/>
          </w:tcPr>
          <w:p w14:paraId="1EEB1B8F">
            <w:pPr>
              <w:pStyle w:val="5"/>
              <w:jc w:val="both"/>
              <w:rPr>
                <w:rFonts w:hint="eastAsia" w:eastAsia="黑体"/>
                <w:color w:val="auto"/>
                <w:highlight w:val="none"/>
                <w:lang w:eastAsia="zh-CN"/>
              </w:rPr>
            </w:pPr>
            <w:r>
              <w:rPr>
                <w:rFonts w:hint="eastAsia" w:ascii="宋体" w:hAnsi="宋体" w:eastAsia="宋体" w:cs="宋体"/>
                <w:b/>
                <w:color w:val="auto"/>
                <w:kern w:val="2"/>
                <w:sz w:val="21"/>
                <w:szCs w:val="21"/>
                <w:highlight w:val="none"/>
                <w:lang w:val="en-US" w:eastAsia="zh-CN" w:bidi="ar-SA"/>
              </w:rPr>
              <w:t>二、商务要求</w:t>
            </w:r>
          </w:p>
        </w:tc>
      </w:tr>
      <w:tr w14:paraId="3D687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4" w:hRule="atLeast"/>
        </w:trPr>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59BB5F43">
            <w:pPr>
              <w:pStyle w:val="23"/>
              <w:spacing w:after="0" w:line="360" w:lineRule="auto"/>
              <w:ind w:left="0" w:leftChars="0" w:firstLine="0" w:firstLineChars="0"/>
              <w:jc w:val="center"/>
              <w:rPr>
                <w:rFonts w:hint="eastAsia" w:ascii="宋体" w:eastAsia="宋体"/>
                <w:color w:val="auto"/>
                <w:highlight w:val="none"/>
                <w:lang w:val="en-US" w:eastAsia="zh-CN"/>
              </w:rPr>
            </w:pPr>
            <w:r>
              <w:rPr>
                <w:color w:val="auto"/>
                <w:highlight w:val="none"/>
              </w:rPr>
              <w:t>▲</w:t>
            </w:r>
            <w:r>
              <w:rPr>
                <w:rFonts w:hint="eastAsia" w:ascii="宋体" w:eastAsia="宋体"/>
                <w:color w:val="auto"/>
                <w:highlight w:val="none"/>
                <w:lang w:val="en-US" w:eastAsia="zh-CN"/>
              </w:rPr>
              <w:t>报价要求</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69136E40">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（1）服务费用（报价需包含但不限于“</w:t>
            </w:r>
            <w:r>
              <w:rPr>
                <w:rFonts w:hint="eastAsia"/>
                <w:color w:val="auto"/>
                <w:highlight w:val="none"/>
                <w:lang w:val="en-US" w:eastAsia="zh-CN"/>
              </w:rPr>
              <w:t>项目采购需求表</w:t>
            </w:r>
            <w:r>
              <w:rPr>
                <w:rFonts w:hint="eastAsia" w:ascii="宋体" w:eastAsia="宋体"/>
                <w:color w:val="auto"/>
                <w:highlight w:val="none"/>
                <w:lang w:val="en-US" w:eastAsia="zh-CN"/>
              </w:rPr>
              <w:t>”涉及的所有费用）；</w:t>
            </w:r>
          </w:p>
          <w:p w14:paraId="051B42D9">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（2）技术支持、售后服务费等。</w:t>
            </w:r>
          </w:p>
          <w:p w14:paraId="7847902D">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（3）招标代理服务费、保险费和各项税金。</w:t>
            </w:r>
          </w:p>
          <w:p w14:paraId="55781C4C">
            <w:pPr>
              <w:pStyle w:val="23"/>
              <w:spacing w:after="0" w:line="360" w:lineRule="auto"/>
              <w:ind w:left="0" w:leftChars="0" w:firstLine="0" w:firstLineChars="0"/>
              <w:rPr>
                <w:rFonts w:hint="eastAsia" w:ascii="宋体" w:hAnsi="Times New Roman" w:eastAsia="宋体" w:cs="Times New Roman"/>
                <w:color w:val="auto"/>
                <w:spacing w:val="-4"/>
                <w:kern w:val="0"/>
                <w:sz w:val="24"/>
                <w:szCs w:val="20"/>
                <w:highlight w:val="none"/>
                <w:lang w:val="en-US" w:eastAsia="zh-CN" w:bidi="ar"/>
              </w:rPr>
            </w:pPr>
            <w:r>
              <w:rPr>
                <w:rFonts w:hint="eastAsia" w:ascii="宋体" w:eastAsia="宋体"/>
                <w:color w:val="auto"/>
                <w:highlight w:val="none"/>
                <w:lang w:val="en-US" w:eastAsia="zh-CN"/>
              </w:rPr>
              <w:t>（</w:t>
            </w:r>
            <w:r>
              <w:rPr>
                <w:rFonts w:hint="eastAsia"/>
                <w:color w:val="auto"/>
                <w:highlight w:val="none"/>
                <w:lang w:val="en-US" w:eastAsia="zh-CN"/>
              </w:rPr>
              <w:t>4</w:t>
            </w:r>
            <w:r>
              <w:rPr>
                <w:rFonts w:hint="eastAsia" w:ascii="宋体" w:eastAsia="宋体"/>
                <w:color w:val="auto"/>
                <w:highlight w:val="none"/>
                <w:lang w:val="en-US" w:eastAsia="zh-CN"/>
              </w:rPr>
              <w:t>）磋商价格为全包价，以人民币为结算单位，包括不限于</w:t>
            </w:r>
            <w:r>
              <w:rPr>
                <w:rFonts w:hint="eastAsia"/>
                <w:color w:val="auto"/>
                <w:highlight w:val="none"/>
                <w:lang w:val="en-US" w:eastAsia="zh-CN"/>
              </w:rPr>
              <w:t>实施对象筛选、</w:t>
            </w:r>
            <w:r>
              <w:rPr>
                <w:rFonts w:hint="eastAsia" w:ascii="宋体" w:eastAsia="宋体"/>
                <w:color w:val="auto"/>
                <w:highlight w:val="none"/>
                <w:lang w:val="en-US" w:eastAsia="zh-CN"/>
              </w:rPr>
              <w:t>上门评估、方案设计、材料设备、标准附件、备品备件、专用工具、包装、拆除、材料损耗、材料保管、运输、安装、调试、施工、保险、人工费用、机械费用、食宿与交通、施工环境保护、施工后垃圾清理、管理、质保、税费、利润、第三方验收费用、完成合同所需的一切本身和不可或缺的所有工作开支、政策性文件规定及合同包含的所有风险、责任等各项全部费用。在合同实施时，采购人将不予支付成交供应商没有列入的项目费用，并认为此项目的费用已包括在总报价中。</w:t>
            </w:r>
          </w:p>
        </w:tc>
      </w:tr>
      <w:tr w14:paraId="3F3F9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2E0B53FB">
            <w:pPr>
              <w:pStyle w:val="23"/>
              <w:spacing w:after="0" w:line="360" w:lineRule="auto"/>
              <w:ind w:left="0" w:leftChars="0" w:firstLine="0" w:firstLineChars="0"/>
              <w:jc w:val="center"/>
              <w:rPr>
                <w:rFonts w:hint="eastAsia" w:ascii="宋体" w:eastAsia="宋体"/>
                <w:color w:val="auto"/>
                <w:highlight w:val="none"/>
                <w:lang w:val="en-US" w:eastAsia="zh-CN"/>
              </w:rPr>
            </w:pPr>
            <w:r>
              <w:rPr>
                <w:color w:val="auto"/>
                <w:highlight w:val="none"/>
              </w:rPr>
              <w:t>▲</w:t>
            </w:r>
            <w:r>
              <w:rPr>
                <w:rFonts w:hint="eastAsia" w:ascii="宋体" w:eastAsia="宋体"/>
                <w:color w:val="auto"/>
                <w:highlight w:val="none"/>
                <w:lang w:val="en-US" w:eastAsia="zh-CN"/>
              </w:rPr>
              <w:t>服务期限</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72996643">
            <w:pPr>
              <w:pStyle w:val="23"/>
              <w:spacing w:after="0" w:line="360" w:lineRule="auto"/>
              <w:ind w:left="0" w:leftChars="0" w:right="0" w:rightChars="0" w:firstLine="0" w:firstLineChars="0"/>
              <w:rPr>
                <w:rFonts w:hint="eastAsia" w:ascii="宋体" w:hAnsi="Times New Roman" w:eastAsia="宋体" w:cs="Times New Roman"/>
                <w:color w:val="auto"/>
                <w:spacing w:val="-4"/>
                <w:kern w:val="0"/>
                <w:sz w:val="24"/>
                <w:szCs w:val="20"/>
                <w:highlight w:val="none"/>
                <w:lang w:val="en-US" w:eastAsia="zh-CN" w:bidi="ar"/>
              </w:rPr>
            </w:pPr>
            <w:r>
              <w:rPr>
                <w:rFonts w:hint="eastAsia"/>
                <w:color w:val="auto"/>
                <w:highlight w:val="none"/>
                <w:lang w:val="en-US" w:eastAsia="zh-CN"/>
              </w:rPr>
              <w:t>签订合同之日起至2025年12月31日前，完成全部改造服务任务。</w:t>
            </w:r>
          </w:p>
        </w:tc>
      </w:tr>
      <w:tr w14:paraId="713D8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29079C6E">
            <w:pPr>
              <w:pStyle w:val="23"/>
              <w:spacing w:after="0" w:line="360" w:lineRule="auto"/>
              <w:ind w:left="0" w:leftChars="0" w:firstLine="0" w:firstLineChars="0"/>
              <w:jc w:val="center"/>
              <w:rPr>
                <w:rFonts w:hint="eastAsia" w:ascii="宋体" w:eastAsia="宋体"/>
                <w:color w:val="auto"/>
                <w:highlight w:val="none"/>
                <w:lang w:val="en-US" w:eastAsia="zh-CN"/>
              </w:rPr>
            </w:pPr>
            <w:r>
              <w:rPr>
                <w:color w:val="auto"/>
                <w:highlight w:val="none"/>
              </w:rPr>
              <w:t>▲</w:t>
            </w:r>
            <w:r>
              <w:rPr>
                <w:rFonts w:hint="eastAsia" w:ascii="宋体" w:eastAsia="宋体"/>
                <w:color w:val="auto"/>
                <w:highlight w:val="none"/>
                <w:lang w:val="en-US" w:eastAsia="zh-CN"/>
              </w:rPr>
              <w:t>合同签订日期</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2D6B0191">
            <w:pPr>
              <w:pStyle w:val="23"/>
              <w:spacing w:after="0" w:line="360" w:lineRule="auto"/>
              <w:ind w:left="0" w:leftChars="0" w:right="0" w:rightChars="0" w:firstLine="0" w:firstLineChars="0"/>
              <w:rPr>
                <w:rFonts w:hint="eastAsia" w:ascii="宋体" w:hAnsi="Times New Roman" w:eastAsia="宋体" w:cs="Times New Roman"/>
                <w:color w:val="auto"/>
                <w:spacing w:val="-4"/>
                <w:kern w:val="0"/>
                <w:sz w:val="24"/>
                <w:szCs w:val="20"/>
                <w:highlight w:val="none"/>
                <w:lang w:val="en-US" w:eastAsia="zh-CN" w:bidi="ar"/>
              </w:rPr>
            </w:pPr>
            <w:r>
              <w:rPr>
                <w:rFonts w:hint="eastAsia" w:ascii="宋体" w:eastAsia="宋体"/>
                <w:color w:val="auto"/>
                <w:highlight w:val="none"/>
                <w:lang w:val="en-US" w:eastAsia="zh-CN"/>
              </w:rPr>
              <w:t>成交通知书发出后20日内。</w:t>
            </w:r>
          </w:p>
        </w:tc>
      </w:tr>
      <w:tr w14:paraId="5EC8C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4A6C08C7">
            <w:pPr>
              <w:pStyle w:val="23"/>
              <w:spacing w:after="0" w:line="360" w:lineRule="auto"/>
              <w:ind w:left="0" w:leftChars="0" w:firstLine="0" w:firstLineChars="0"/>
              <w:jc w:val="center"/>
              <w:rPr>
                <w:rFonts w:hint="eastAsia" w:ascii="宋体" w:eastAsia="宋体"/>
                <w:color w:val="auto"/>
                <w:highlight w:val="none"/>
                <w:lang w:val="en-US" w:eastAsia="zh-CN"/>
              </w:rPr>
            </w:pPr>
            <w:r>
              <w:rPr>
                <w:color w:val="auto"/>
                <w:highlight w:val="none"/>
              </w:rPr>
              <w:t>▲</w:t>
            </w:r>
            <w:r>
              <w:rPr>
                <w:rFonts w:hint="eastAsia" w:ascii="宋体" w:eastAsia="宋体"/>
                <w:color w:val="auto"/>
                <w:highlight w:val="none"/>
                <w:lang w:val="en-US" w:eastAsia="zh-CN"/>
              </w:rPr>
              <w:t>验收标准、规范</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0D468397">
            <w:pPr>
              <w:pStyle w:val="23"/>
              <w:spacing w:after="0" w:line="360" w:lineRule="auto"/>
              <w:ind w:left="0" w:leftChars="0" w:right="0" w:rightChars="0" w:firstLine="0" w:firstLineChars="0"/>
              <w:rPr>
                <w:rFonts w:hint="eastAsia" w:ascii="宋体" w:hAnsi="Times New Roman" w:eastAsia="宋体" w:cs="Times New Roman"/>
                <w:color w:val="auto"/>
                <w:spacing w:val="-4"/>
                <w:kern w:val="0"/>
                <w:sz w:val="24"/>
                <w:szCs w:val="20"/>
                <w:highlight w:val="none"/>
                <w:lang w:val="en-US" w:eastAsia="zh-CN" w:bidi="ar"/>
              </w:rPr>
            </w:pPr>
            <w:r>
              <w:rPr>
                <w:rFonts w:hint="eastAsia" w:ascii="宋体" w:eastAsia="宋体"/>
                <w:color w:val="auto"/>
                <w:highlight w:val="none"/>
                <w:lang w:val="en-US" w:eastAsia="zh-CN"/>
              </w:rPr>
              <w:t>符合相关国家标准及行业标准，并满足本招标采购文件要求。</w:t>
            </w:r>
          </w:p>
        </w:tc>
      </w:tr>
      <w:tr w14:paraId="1D34B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7" w:hRule="atLeast"/>
        </w:trPr>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2C02BCF6">
            <w:pPr>
              <w:pStyle w:val="23"/>
              <w:spacing w:after="0" w:line="360" w:lineRule="auto"/>
              <w:ind w:left="0" w:leftChars="0" w:firstLine="0" w:firstLineChars="0"/>
              <w:jc w:val="center"/>
              <w:rPr>
                <w:rFonts w:hint="eastAsia" w:ascii="宋体" w:eastAsia="宋体"/>
                <w:color w:val="auto"/>
                <w:highlight w:val="none"/>
                <w:lang w:val="en-US" w:eastAsia="zh-CN"/>
              </w:rPr>
            </w:pPr>
            <w:r>
              <w:rPr>
                <w:color w:val="auto"/>
                <w:highlight w:val="none"/>
              </w:rPr>
              <w:t>▲</w:t>
            </w:r>
            <w:r>
              <w:rPr>
                <w:rFonts w:hint="eastAsia" w:ascii="宋体" w:eastAsia="宋体"/>
                <w:color w:val="auto"/>
                <w:highlight w:val="none"/>
                <w:lang w:val="en-US" w:eastAsia="zh-CN"/>
              </w:rPr>
              <w:t>服务标准、期限、效率</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2C42A2C9">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1</w:t>
            </w:r>
            <w:r>
              <w:rPr>
                <w:rFonts w:hint="eastAsia"/>
                <w:color w:val="auto"/>
                <w:highlight w:val="none"/>
                <w:lang w:val="en-US" w:eastAsia="zh-CN"/>
              </w:rPr>
              <w:t>.</w:t>
            </w:r>
            <w:r>
              <w:rPr>
                <w:rFonts w:hint="eastAsia" w:ascii="宋体" w:eastAsia="宋体"/>
                <w:color w:val="auto"/>
                <w:highlight w:val="none"/>
                <w:lang w:val="en-US" w:eastAsia="zh-CN"/>
              </w:rPr>
              <w:t>成交供应商在质量保证期内应当为采购人提供以下技术支持和服务：</w:t>
            </w:r>
          </w:p>
          <w:p w14:paraId="54F5D231">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1.1电话咨询</w:t>
            </w:r>
          </w:p>
          <w:p w14:paraId="08433FB9">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成交供应商应当为采购人提供技术援助电话，解答采购人在使用中遇到的问题，及时为采购人提出解决问题的建议。</w:t>
            </w:r>
          </w:p>
          <w:p w14:paraId="7E5D4FAB">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1.2现场响应</w:t>
            </w:r>
          </w:p>
          <w:p w14:paraId="63A9AEB1">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1.3技术升级采购人遇到使用或技术问题，电话咨询不能解决的，成交供应商承诺 2 天内到达现场解决问题，24小时内提出问题解决方案，到达现场后2小时内排除故障，恢复正常使用。</w:t>
            </w:r>
          </w:p>
          <w:p w14:paraId="14C1FC23">
            <w:pPr>
              <w:pStyle w:val="23"/>
              <w:spacing w:after="0" w:line="360" w:lineRule="auto"/>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在质保期内，如果成交供应商的产品或服务升级，成交供应商应及时通知采购人，如采购人有相应要求，成交供应商应对采购人购买的产品或服务进行升级。</w:t>
            </w:r>
          </w:p>
          <w:p w14:paraId="6369DAFD">
            <w:pPr>
              <w:pStyle w:val="23"/>
              <w:spacing w:after="0" w:line="360" w:lineRule="auto"/>
              <w:ind w:left="0" w:leftChars="0" w:firstLine="0" w:firstLineChars="0"/>
              <w:rPr>
                <w:rFonts w:hint="eastAsia" w:ascii="宋体" w:eastAsia="宋体"/>
                <w:color w:val="auto"/>
                <w:highlight w:val="none"/>
                <w:lang w:val="en-US" w:eastAsia="zh-CN"/>
              </w:rPr>
            </w:pPr>
            <w:r>
              <w:rPr>
                <w:rFonts w:hint="eastAsia"/>
                <w:color w:val="auto"/>
                <w:highlight w:val="none"/>
                <w:lang w:val="en-US" w:eastAsia="zh-CN"/>
              </w:rPr>
              <w:t>1.4</w:t>
            </w:r>
            <w:r>
              <w:rPr>
                <w:rFonts w:hint="eastAsia" w:ascii="宋体" w:eastAsia="宋体"/>
                <w:color w:val="auto"/>
                <w:highlight w:val="none"/>
                <w:lang w:val="en-US" w:eastAsia="zh-CN"/>
              </w:rPr>
              <w:t>.培训</w:t>
            </w:r>
          </w:p>
          <w:p w14:paraId="61B9AF58">
            <w:pPr>
              <w:pStyle w:val="23"/>
              <w:spacing w:after="0" w:line="360" w:lineRule="auto"/>
              <w:ind w:left="0" w:leftChars="0" w:firstLine="0" w:firstLineChars="0"/>
              <w:rPr>
                <w:rFonts w:hint="eastAsia" w:ascii="宋体" w:hAnsi="Times New Roman" w:eastAsia="宋体" w:cs="Times New Roman"/>
                <w:color w:val="auto"/>
                <w:spacing w:val="-4"/>
                <w:kern w:val="0"/>
                <w:sz w:val="24"/>
                <w:szCs w:val="20"/>
                <w:highlight w:val="none"/>
                <w:lang w:val="en-US" w:eastAsia="zh-CN" w:bidi="ar"/>
              </w:rPr>
            </w:pPr>
            <w:r>
              <w:rPr>
                <w:rFonts w:hint="eastAsia" w:ascii="宋体" w:eastAsia="宋体"/>
                <w:color w:val="auto"/>
                <w:highlight w:val="none"/>
                <w:lang w:val="en-US" w:eastAsia="zh-CN"/>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76852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1EE270DB">
            <w:pPr>
              <w:pStyle w:val="23"/>
              <w:spacing w:after="0" w:line="360" w:lineRule="auto"/>
              <w:ind w:left="0" w:leftChars="0" w:firstLine="0" w:firstLineChars="0"/>
              <w:jc w:val="center"/>
              <w:rPr>
                <w:rFonts w:hint="eastAsia" w:ascii="宋体" w:eastAsia="宋体"/>
                <w:color w:val="auto"/>
                <w:highlight w:val="none"/>
                <w:lang w:val="en-US" w:eastAsia="zh-CN"/>
              </w:rPr>
            </w:pPr>
            <w:r>
              <w:rPr>
                <w:color w:val="auto"/>
                <w:highlight w:val="none"/>
              </w:rPr>
              <w:t>▲</w:t>
            </w:r>
            <w:r>
              <w:rPr>
                <w:rFonts w:hint="eastAsia" w:ascii="宋体" w:eastAsia="宋体"/>
                <w:color w:val="auto"/>
                <w:highlight w:val="none"/>
                <w:lang w:val="en-US" w:eastAsia="zh-CN"/>
              </w:rPr>
              <w:t>付款方式</w:t>
            </w:r>
          </w:p>
        </w:tc>
        <w:tc>
          <w:tcPr>
            <w:tcW w:w="6099" w:type="dxa"/>
            <w:tcBorders>
              <w:top w:val="single" w:color="auto" w:sz="4" w:space="0"/>
              <w:left w:val="single" w:color="auto" w:sz="4" w:space="0"/>
              <w:bottom w:val="single" w:color="auto" w:sz="4" w:space="0"/>
              <w:right w:val="single" w:color="auto" w:sz="4" w:space="0"/>
            </w:tcBorders>
            <w:noWrap w:val="0"/>
            <w:vAlign w:val="center"/>
          </w:tcPr>
          <w:p w14:paraId="5EBA7386">
            <w:pPr>
              <w:pStyle w:val="23"/>
              <w:spacing w:after="0" w:line="360" w:lineRule="auto"/>
              <w:ind w:left="0" w:leftChars="0" w:right="0" w:rightChars="0" w:firstLine="0" w:firstLineChars="0"/>
              <w:rPr>
                <w:rFonts w:hint="eastAsia" w:ascii="宋体" w:hAnsi="Times New Roman" w:eastAsia="宋体" w:cs="Times New Roman"/>
                <w:color w:val="auto"/>
                <w:spacing w:val="-4"/>
                <w:kern w:val="0"/>
                <w:sz w:val="24"/>
                <w:szCs w:val="20"/>
                <w:highlight w:val="none"/>
                <w:lang w:val="en-US" w:eastAsia="zh-CN" w:bidi="ar"/>
              </w:rPr>
            </w:pPr>
            <w:r>
              <w:rPr>
                <w:rFonts w:hint="eastAsia"/>
                <w:color w:val="auto"/>
                <w:highlight w:val="none"/>
                <w:lang w:val="en-US" w:eastAsia="zh-CN"/>
              </w:rPr>
              <w:t>项目资金分两期支付，第一期：合同签订后30日内按合同总价的50%支付预付款，第二期：验收合格后30日内按最终结算金额支付剩余款项，最终结算金额不得超过投标报价。</w:t>
            </w:r>
          </w:p>
        </w:tc>
      </w:tr>
    </w:tbl>
    <w:p w14:paraId="5B7141DA">
      <w:pPr>
        <w:spacing w:line="360" w:lineRule="auto"/>
        <w:rPr>
          <w:rFonts w:hint="eastAsia"/>
          <w:color w:val="auto"/>
          <w:szCs w:val="21"/>
          <w:highlight w:val="none"/>
        </w:rPr>
      </w:pPr>
    </w:p>
    <w:p w14:paraId="123AF8A0">
      <w:pPr>
        <w:pStyle w:val="21"/>
        <w:overflowPunct w:val="0"/>
        <w:adjustRightInd w:val="0"/>
        <w:snapToGrid w:val="0"/>
        <w:spacing w:before="0" w:beforeAutospacing="0" w:after="0" w:afterAutospacing="0" w:line="400" w:lineRule="exact"/>
        <w:jc w:val="both"/>
        <w:rPr>
          <w:rFonts w:ascii="Times New Roman" w:hAnsi="Times New Roman" w:eastAsia="方正仿宋_GBK"/>
          <w:snapToGrid w:val="0"/>
          <w:color w:val="auto"/>
          <w:sz w:val="32"/>
          <w:szCs w:val="32"/>
          <w:highlight w:val="none"/>
        </w:rPr>
        <w:sectPr>
          <w:footerReference r:id="rId7" w:type="first"/>
          <w:headerReference r:id="rId5" w:type="default"/>
          <w:footerReference r:id="rId6" w:type="default"/>
          <w:pgSz w:w="11906" w:h="16838"/>
          <w:pgMar w:top="851" w:right="1133" w:bottom="1246" w:left="1418" w:header="851" w:footer="797" w:gutter="0"/>
          <w:pgNumType w:fmt="decimal" w:start="1"/>
          <w:cols w:space="720" w:num="1"/>
          <w:docGrid w:linePitch="312" w:charSpace="0"/>
        </w:sectPr>
      </w:pPr>
    </w:p>
    <w:p w14:paraId="0F2072D7">
      <w:pPr>
        <w:keepNext w:val="0"/>
        <w:keepLines w:val="0"/>
        <w:widowControl/>
        <w:suppressLineNumbers w:val="0"/>
        <w:jc w:val="left"/>
        <w:rPr>
          <w:rFonts w:hint="eastAsia" w:ascii="黑体" w:hAnsi="黑体" w:eastAsia="黑体" w:cs="黑体"/>
          <w:b w:val="0"/>
          <w:bCs w:val="0"/>
          <w:color w:val="auto"/>
          <w:kern w:val="0"/>
          <w:sz w:val="32"/>
          <w:szCs w:val="32"/>
          <w:highlight w:val="none"/>
          <w:lang w:val="en-US" w:eastAsia="zh-CN" w:bidi="ar"/>
        </w:rPr>
      </w:pPr>
      <w:bookmarkStart w:id="40" w:name="_Toc11818"/>
      <w:r>
        <w:rPr>
          <w:rFonts w:hint="eastAsia" w:ascii="黑体" w:hAnsi="黑体" w:eastAsia="黑体" w:cs="黑体"/>
          <w:b w:val="0"/>
          <w:bCs w:val="0"/>
          <w:color w:val="auto"/>
          <w:kern w:val="0"/>
          <w:sz w:val="32"/>
          <w:szCs w:val="32"/>
          <w:highlight w:val="none"/>
          <w:lang w:val="en-US" w:eastAsia="zh-CN" w:bidi="ar"/>
        </w:rPr>
        <w:t>附件1</w:t>
      </w:r>
    </w:p>
    <w:p w14:paraId="602E68F8">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2025年桂平市特殊困难老年人家庭适老化</w:t>
      </w:r>
    </w:p>
    <w:p w14:paraId="6E164EC0">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改造任务分配表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2766"/>
        <w:gridCol w:w="3841"/>
      </w:tblGrid>
      <w:tr w14:paraId="65B9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5D82429B">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序号</w:t>
            </w:r>
          </w:p>
        </w:tc>
        <w:tc>
          <w:tcPr>
            <w:tcW w:w="1552" w:type="pct"/>
            <w:noWrap w:val="0"/>
            <w:vAlign w:val="top"/>
          </w:tcPr>
          <w:p w14:paraId="135D075B">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乡镇</w:t>
            </w:r>
          </w:p>
        </w:tc>
        <w:tc>
          <w:tcPr>
            <w:tcW w:w="2155" w:type="pct"/>
            <w:noWrap w:val="0"/>
            <w:vAlign w:val="top"/>
          </w:tcPr>
          <w:p w14:paraId="6C9CCF07">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任务数（户）</w:t>
            </w:r>
          </w:p>
        </w:tc>
      </w:tr>
      <w:tr w14:paraId="13B7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2" w:type="pct"/>
            <w:noWrap w:val="0"/>
            <w:vAlign w:val="top"/>
          </w:tcPr>
          <w:p w14:paraId="6A7400C8">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w:t>
            </w:r>
          </w:p>
        </w:tc>
        <w:tc>
          <w:tcPr>
            <w:tcW w:w="1552" w:type="pct"/>
            <w:noWrap w:val="0"/>
            <w:vAlign w:val="top"/>
          </w:tcPr>
          <w:p w14:paraId="2D4B639D">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木圭镇</w:t>
            </w:r>
          </w:p>
        </w:tc>
        <w:tc>
          <w:tcPr>
            <w:tcW w:w="2155" w:type="pct"/>
            <w:noWrap w:val="0"/>
            <w:vAlign w:val="top"/>
          </w:tcPr>
          <w:p w14:paraId="5D0FEF04">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60</w:t>
            </w:r>
          </w:p>
        </w:tc>
      </w:tr>
      <w:tr w14:paraId="1C74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00269920">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w:t>
            </w:r>
          </w:p>
        </w:tc>
        <w:tc>
          <w:tcPr>
            <w:tcW w:w="1552" w:type="pct"/>
            <w:noWrap w:val="0"/>
            <w:vAlign w:val="top"/>
          </w:tcPr>
          <w:p w14:paraId="42A840CA">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木乐镇</w:t>
            </w:r>
          </w:p>
        </w:tc>
        <w:tc>
          <w:tcPr>
            <w:tcW w:w="2155" w:type="pct"/>
            <w:noWrap w:val="0"/>
            <w:vAlign w:val="top"/>
          </w:tcPr>
          <w:p w14:paraId="58461218">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30</w:t>
            </w:r>
          </w:p>
        </w:tc>
      </w:tr>
      <w:tr w14:paraId="145D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76105732">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w:t>
            </w:r>
          </w:p>
        </w:tc>
        <w:tc>
          <w:tcPr>
            <w:tcW w:w="1552" w:type="pct"/>
            <w:noWrap w:val="0"/>
            <w:vAlign w:val="top"/>
          </w:tcPr>
          <w:p w14:paraId="1F17FCD3">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石咀镇</w:t>
            </w:r>
          </w:p>
        </w:tc>
        <w:tc>
          <w:tcPr>
            <w:tcW w:w="2155" w:type="pct"/>
            <w:noWrap w:val="0"/>
            <w:vAlign w:val="top"/>
          </w:tcPr>
          <w:p w14:paraId="00298043">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40</w:t>
            </w:r>
          </w:p>
        </w:tc>
      </w:tr>
      <w:tr w14:paraId="19D9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4126678A">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4</w:t>
            </w:r>
          </w:p>
        </w:tc>
        <w:tc>
          <w:tcPr>
            <w:tcW w:w="1552" w:type="pct"/>
            <w:noWrap w:val="0"/>
            <w:vAlign w:val="top"/>
          </w:tcPr>
          <w:p w14:paraId="5BDF54B5">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马皮乡</w:t>
            </w:r>
          </w:p>
        </w:tc>
        <w:tc>
          <w:tcPr>
            <w:tcW w:w="2155" w:type="pct"/>
            <w:noWrap w:val="0"/>
            <w:vAlign w:val="top"/>
          </w:tcPr>
          <w:p w14:paraId="4601D523">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30</w:t>
            </w:r>
          </w:p>
        </w:tc>
      </w:tr>
      <w:tr w14:paraId="2887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46F782A2">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w:t>
            </w:r>
          </w:p>
        </w:tc>
        <w:tc>
          <w:tcPr>
            <w:tcW w:w="1552" w:type="pct"/>
            <w:noWrap w:val="0"/>
            <w:vAlign w:val="top"/>
          </w:tcPr>
          <w:p w14:paraId="4D374666">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油麻镇</w:t>
            </w:r>
          </w:p>
        </w:tc>
        <w:tc>
          <w:tcPr>
            <w:tcW w:w="2155" w:type="pct"/>
            <w:noWrap w:val="0"/>
            <w:vAlign w:val="top"/>
          </w:tcPr>
          <w:p w14:paraId="4544F245">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35</w:t>
            </w:r>
          </w:p>
        </w:tc>
      </w:tr>
      <w:tr w14:paraId="7303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472AB252">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6</w:t>
            </w:r>
          </w:p>
        </w:tc>
        <w:tc>
          <w:tcPr>
            <w:tcW w:w="1552" w:type="pct"/>
            <w:noWrap w:val="0"/>
            <w:vAlign w:val="top"/>
          </w:tcPr>
          <w:p w14:paraId="0AE95637">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社坡镇</w:t>
            </w:r>
          </w:p>
        </w:tc>
        <w:tc>
          <w:tcPr>
            <w:tcW w:w="2155" w:type="pct"/>
            <w:noWrap w:val="0"/>
            <w:vAlign w:val="top"/>
          </w:tcPr>
          <w:p w14:paraId="06EEEA02">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55</w:t>
            </w:r>
          </w:p>
        </w:tc>
      </w:tr>
      <w:tr w14:paraId="2BBF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pct"/>
            <w:noWrap w:val="0"/>
            <w:vAlign w:val="top"/>
          </w:tcPr>
          <w:p w14:paraId="53D094F4">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7</w:t>
            </w:r>
          </w:p>
        </w:tc>
        <w:tc>
          <w:tcPr>
            <w:tcW w:w="1552" w:type="pct"/>
            <w:noWrap w:val="0"/>
            <w:vAlign w:val="top"/>
          </w:tcPr>
          <w:p w14:paraId="693E88E3">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寻旺乡</w:t>
            </w:r>
          </w:p>
        </w:tc>
        <w:tc>
          <w:tcPr>
            <w:tcW w:w="2155" w:type="pct"/>
            <w:noWrap w:val="0"/>
            <w:vAlign w:val="top"/>
          </w:tcPr>
          <w:p w14:paraId="483DD93B">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35</w:t>
            </w:r>
          </w:p>
        </w:tc>
      </w:tr>
      <w:tr w14:paraId="4C12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6D87D39D">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8</w:t>
            </w:r>
          </w:p>
        </w:tc>
        <w:tc>
          <w:tcPr>
            <w:tcW w:w="1552" w:type="pct"/>
            <w:noWrap w:val="0"/>
            <w:vAlign w:val="top"/>
          </w:tcPr>
          <w:p w14:paraId="1D87DF7A">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罗秀镇</w:t>
            </w:r>
          </w:p>
        </w:tc>
        <w:tc>
          <w:tcPr>
            <w:tcW w:w="2155" w:type="pct"/>
            <w:noWrap w:val="0"/>
            <w:vAlign w:val="top"/>
          </w:tcPr>
          <w:p w14:paraId="6A3E6AB1">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40</w:t>
            </w:r>
          </w:p>
        </w:tc>
      </w:tr>
      <w:tr w14:paraId="4D0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09E44E80">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9</w:t>
            </w:r>
          </w:p>
        </w:tc>
        <w:tc>
          <w:tcPr>
            <w:tcW w:w="1552" w:type="pct"/>
            <w:noWrap w:val="0"/>
            <w:vAlign w:val="top"/>
          </w:tcPr>
          <w:p w14:paraId="06732FD1">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麻垌镇</w:t>
            </w:r>
          </w:p>
        </w:tc>
        <w:tc>
          <w:tcPr>
            <w:tcW w:w="2155" w:type="pct"/>
            <w:noWrap w:val="0"/>
            <w:vAlign w:val="top"/>
          </w:tcPr>
          <w:p w14:paraId="54FC512A">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60</w:t>
            </w:r>
          </w:p>
        </w:tc>
      </w:tr>
      <w:tr w14:paraId="55F6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5D1CB6DC">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10</w:t>
            </w:r>
          </w:p>
        </w:tc>
        <w:tc>
          <w:tcPr>
            <w:tcW w:w="1552" w:type="pct"/>
            <w:noWrap w:val="0"/>
            <w:vAlign w:val="top"/>
          </w:tcPr>
          <w:p w14:paraId="386E6762">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社步镇</w:t>
            </w:r>
          </w:p>
        </w:tc>
        <w:tc>
          <w:tcPr>
            <w:tcW w:w="2155" w:type="pct"/>
            <w:noWrap w:val="0"/>
            <w:vAlign w:val="top"/>
          </w:tcPr>
          <w:p w14:paraId="0D686C94">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55</w:t>
            </w:r>
          </w:p>
        </w:tc>
      </w:tr>
      <w:tr w14:paraId="1599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376BC7BE">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11</w:t>
            </w:r>
          </w:p>
        </w:tc>
        <w:tc>
          <w:tcPr>
            <w:tcW w:w="1552" w:type="pct"/>
            <w:noWrap w:val="0"/>
            <w:vAlign w:val="top"/>
          </w:tcPr>
          <w:p w14:paraId="4BA76C13">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下湾镇</w:t>
            </w:r>
          </w:p>
        </w:tc>
        <w:tc>
          <w:tcPr>
            <w:tcW w:w="2155" w:type="pct"/>
            <w:noWrap w:val="0"/>
            <w:vAlign w:val="top"/>
          </w:tcPr>
          <w:p w14:paraId="13D90651">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50</w:t>
            </w:r>
          </w:p>
        </w:tc>
      </w:tr>
      <w:tr w14:paraId="18E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7E8D8A3D">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12</w:t>
            </w:r>
          </w:p>
        </w:tc>
        <w:tc>
          <w:tcPr>
            <w:tcW w:w="1552" w:type="pct"/>
            <w:noWrap w:val="0"/>
            <w:vAlign w:val="top"/>
          </w:tcPr>
          <w:p w14:paraId="3961A834">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罗播乡</w:t>
            </w:r>
          </w:p>
        </w:tc>
        <w:tc>
          <w:tcPr>
            <w:tcW w:w="2155" w:type="pct"/>
            <w:noWrap w:val="0"/>
            <w:vAlign w:val="top"/>
          </w:tcPr>
          <w:p w14:paraId="119674A0">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25</w:t>
            </w:r>
          </w:p>
        </w:tc>
      </w:tr>
      <w:tr w14:paraId="5A12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0546DCD1">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13</w:t>
            </w:r>
          </w:p>
        </w:tc>
        <w:tc>
          <w:tcPr>
            <w:tcW w:w="1552" w:type="pct"/>
            <w:noWrap w:val="0"/>
            <w:vAlign w:val="top"/>
          </w:tcPr>
          <w:p w14:paraId="1F9D77C4">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木根镇</w:t>
            </w:r>
          </w:p>
        </w:tc>
        <w:tc>
          <w:tcPr>
            <w:tcW w:w="2155" w:type="pct"/>
            <w:noWrap w:val="0"/>
            <w:vAlign w:val="top"/>
          </w:tcPr>
          <w:p w14:paraId="37473DB9">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35</w:t>
            </w:r>
          </w:p>
        </w:tc>
      </w:tr>
      <w:tr w14:paraId="4287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5F15834D">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14</w:t>
            </w:r>
          </w:p>
        </w:tc>
        <w:tc>
          <w:tcPr>
            <w:tcW w:w="1552" w:type="pct"/>
            <w:noWrap w:val="0"/>
            <w:vAlign w:val="top"/>
          </w:tcPr>
          <w:p w14:paraId="2B6AB89A">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中沙镇</w:t>
            </w:r>
          </w:p>
        </w:tc>
        <w:tc>
          <w:tcPr>
            <w:tcW w:w="2155" w:type="pct"/>
            <w:noWrap w:val="0"/>
            <w:vAlign w:val="top"/>
          </w:tcPr>
          <w:p w14:paraId="4C1587BD">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50</w:t>
            </w:r>
          </w:p>
        </w:tc>
      </w:tr>
      <w:tr w14:paraId="53AF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398C1F3F">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15</w:t>
            </w:r>
          </w:p>
        </w:tc>
        <w:tc>
          <w:tcPr>
            <w:tcW w:w="1552" w:type="pct"/>
            <w:noWrap w:val="0"/>
            <w:vAlign w:val="top"/>
          </w:tcPr>
          <w:p w14:paraId="46D28BE5">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大湾镇</w:t>
            </w:r>
          </w:p>
        </w:tc>
        <w:tc>
          <w:tcPr>
            <w:tcW w:w="2155" w:type="pct"/>
            <w:noWrap w:val="0"/>
            <w:vAlign w:val="top"/>
          </w:tcPr>
          <w:p w14:paraId="70BE6257">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45</w:t>
            </w:r>
          </w:p>
        </w:tc>
      </w:tr>
      <w:tr w14:paraId="2249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7A312098">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16</w:t>
            </w:r>
          </w:p>
        </w:tc>
        <w:tc>
          <w:tcPr>
            <w:tcW w:w="1552" w:type="pct"/>
            <w:noWrap w:val="0"/>
            <w:vAlign w:val="top"/>
          </w:tcPr>
          <w:p w14:paraId="0CF212FF">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大洋镇</w:t>
            </w:r>
          </w:p>
        </w:tc>
        <w:tc>
          <w:tcPr>
            <w:tcW w:w="2155" w:type="pct"/>
            <w:noWrap w:val="0"/>
            <w:vAlign w:val="top"/>
          </w:tcPr>
          <w:p w14:paraId="6FBDEB2C">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50</w:t>
            </w:r>
          </w:p>
        </w:tc>
      </w:tr>
      <w:tr w14:paraId="58FD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5085CAEA">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17</w:t>
            </w:r>
          </w:p>
        </w:tc>
        <w:tc>
          <w:tcPr>
            <w:tcW w:w="1552" w:type="pct"/>
            <w:noWrap w:val="0"/>
            <w:vAlign w:val="top"/>
          </w:tcPr>
          <w:p w14:paraId="3AAA7933">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白沙镇</w:t>
            </w:r>
          </w:p>
        </w:tc>
        <w:tc>
          <w:tcPr>
            <w:tcW w:w="2155" w:type="pct"/>
            <w:noWrap w:val="0"/>
            <w:vAlign w:val="top"/>
          </w:tcPr>
          <w:p w14:paraId="4867BF9E">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45</w:t>
            </w:r>
          </w:p>
        </w:tc>
      </w:tr>
      <w:tr w14:paraId="0A3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41E151E0">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18</w:t>
            </w:r>
          </w:p>
        </w:tc>
        <w:tc>
          <w:tcPr>
            <w:tcW w:w="1552" w:type="pct"/>
            <w:noWrap w:val="0"/>
            <w:vAlign w:val="top"/>
          </w:tcPr>
          <w:p w14:paraId="78B7089F">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厚禄乡</w:t>
            </w:r>
          </w:p>
        </w:tc>
        <w:tc>
          <w:tcPr>
            <w:tcW w:w="2155" w:type="pct"/>
            <w:noWrap w:val="0"/>
            <w:vAlign w:val="top"/>
          </w:tcPr>
          <w:p w14:paraId="46C9EDBB">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35</w:t>
            </w:r>
          </w:p>
        </w:tc>
      </w:tr>
      <w:tr w14:paraId="45C9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01952B91">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19</w:t>
            </w:r>
          </w:p>
        </w:tc>
        <w:tc>
          <w:tcPr>
            <w:tcW w:w="1552" w:type="pct"/>
            <w:noWrap w:val="0"/>
            <w:vAlign w:val="top"/>
          </w:tcPr>
          <w:p w14:paraId="7BD65842">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石龙镇</w:t>
            </w:r>
          </w:p>
        </w:tc>
        <w:tc>
          <w:tcPr>
            <w:tcW w:w="2155" w:type="pct"/>
            <w:noWrap w:val="0"/>
            <w:vAlign w:val="top"/>
          </w:tcPr>
          <w:p w14:paraId="60C853D1">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55</w:t>
            </w:r>
          </w:p>
        </w:tc>
      </w:tr>
      <w:tr w14:paraId="6307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64461625">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20</w:t>
            </w:r>
          </w:p>
        </w:tc>
        <w:tc>
          <w:tcPr>
            <w:tcW w:w="1552" w:type="pct"/>
            <w:noWrap w:val="0"/>
            <w:vAlign w:val="top"/>
          </w:tcPr>
          <w:p w14:paraId="121FA084">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蒙圩镇</w:t>
            </w:r>
          </w:p>
        </w:tc>
        <w:tc>
          <w:tcPr>
            <w:tcW w:w="2155" w:type="pct"/>
            <w:noWrap w:val="0"/>
            <w:vAlign w:val="top"/>
          </w:tcPr>
          <w:p w14:paraId="55EAADE8">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50</w:t>
            </w:r>
          </w:p>
        </w:tc>
      </w:tr>
      <w:tr w14:paraId="7726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2CD4AE14">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21</w:t>
            </w:r>
          </w:p>
        </w:tc>
        <w:tc>
          <w:tcPr>
            <w:tcW w:w="1552" w:type="pct"/>
            <w:noWrap w:val="0"/>
            <w:vAlign w:val="top"/>
          </w:tcPr>
          <w:p w14:paraId="285DE2FE">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西山镇</w:t>
            </w:r>
          </w:p>
        </w:tc>
        <w:tc>
          <w:tcPr>
            <w:tcW w:w="2155" w:type="pct"/>
            <w:noWrap w:val="0"/>
            <w:vAlign w:val="top"/>
          </w:tcPr>
          <w:p w14:paraId="37AF1332">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50</w:t>
            </w:r>
          </w:p>
        </w:tc>
      </w:tr>
      <w:tr w14:paraId="7EC2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519C0C15">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22</w:t>
            </w:r>
          </w:p>
        </w:tc>
        <w:tc>
          <w:tcPr>
            <w:tcW w:w="1552" w:type="pct"/>
            <w:noWrap w:val="0"/>
            <w:vAlign w:val="top"/>
          </w:tcPr>
          <w:p w14:paraId="79097A75">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南木镇</w:t>
            </w:r>
          </w:p>
        </w:tc>
        <w:tc>
          <w:tcPr>
            <w:tcW w:w="2155" w:type="pct"/>
            <w:noWrap w:val="0"/>
            <w:vAlign w:val="top"/>
          </w:tcPr>
          <w:p w14:paraId="642A76A2">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90</w:t>
            </w:r>
          </w:p>
        </w:tc>
      </w:tr>
      <w:tr w14:paraId="078A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1CAFCDA3">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23</w:t>
            </w:r>
          </w:p>
        </w:tc>
        <w:tc>
          <w:tcPr>
            <w:tcW w:w="1552" w:type="pct"/>
            <w:noWrap w:val="0"/>
            <w:vAlign w:val="top"/>
          </w:tcPr>
          <w:p w14:paraId="736F4A82">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金田镇</w:t>
            </w:r>
          </w:p>
        </w:tc>
        <w:tc>
          <w:tcPr>
            <w:tcW w:w="2155" w:type="pct"/>
            <w:noWrap w:val="0"/>
            <w:vAlign w:val="top"/>
          </w:tcPr>
          <w:p w14:paraId="57BF22F9">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60</w:t>
            </w:r>
          </w:p>
        </w:tc>
      </w:tr>
      <w:tr w14:paraId="1504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108D0C91">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24</w:t>
            </w:r>
          </w:p>
        </w:tc>
        <w:tc>
          <w:tcPr>
            <w:tcW w:w="1552" w:type="pct"/>
            <w:noWrap w:val="0"/>
            <w:vAlign w:val="top"/>
          </w:tcPr>
          <w:p w14:paraId="288D03F2">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江口镇</w:t>
            </w:r>
          </w:p>
        </w:tc>
        <w:tc>
          <w:tcPr>
            <w:tcW w:w="2155" w:type="pct"/>
            <w:noWrap w:val="0"/>
            <w:vAlign w:val="top"/>
          </w:tcPr>
          <w:p w14:paraId="2B10283C">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60</w:t>
            </w:r>
          </w:p>
        </w:tc>
      </w:tr>
      <w:tr w14:paraId="00AD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92" w:type="pct"/>
            <w:noWrap w:val="0"/>
            <w:vAlign w:val="top"/>
          </w:tcPr>
          <w:p w14:paraId="03B9BEFE">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25</w:t>
            </w:r>
          </w:p>
        </w:tc>
        <w:tc>
          <w:tcPr>
            <w:tcW w:w="1552" w:type="pct"/>
            <w:noWrap w:val="0"/>
            <w:vAlign w:val="top"/>
          </w:tcPr>
          <w:p w14:paraId="619A819F">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紫荆镇</w:t>
            </w:r>
          </w:p>
        </w:tc>
        <w:tc>
          <w:tcPr>
            <w:tcW w:w="2155" w:type="pct"/>
            <w:noWrap w:val="0"/>
            <w:vAlign w:val="top"/>
          </w:tcPr>
          <w:p w14:paraId="65D7CB73">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15</w:t>
            </w:r>
          </w:p>
        </w:tc>
      </w:tr>
      <w:tr w14:paraId="286A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292" w:type="pct"/>
            <w:noWrap w:val="0"/>
            <w:vAlign w:val="top"/>
          </w:tcPr>
          <w:p w14:paraId="07A4ADBC">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26</w:t>
            </w:r>
          </w:p>
        </w:tc>
        <w:tc>
          <w:tcPr>
            <w:tcW w:w="1552" w:type="pct"/>
            <w:noWrap w:val="0"/>
            <w:vAlign w:val="top"/>
          </w:tcPr>
          <w:p w14:paraId="21357C49">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垌心乡</w:t>
            </w:r>
          </w:p>
        </w:tc>
        <w:tc>
          <w:tcPr>
            <w:tcW w:w="2155" w:type="pct"/>
            <w:noWrap w:val="0"/>
            <w:vAlign w:val="top"/>
          </w:tcPr>
          <w:p w14:paraId="130D6C55">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15</w:t>
            </w:r>
          </w:p>
        </w:tc>
      </w:tr>
      <w:tr w14:paraId="0F44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844" w:type="pct"/>
            <w:gridSpan w:val="2"/>
            <w:noWrap w:val="0"/>
            <w:vAlign w:val="top"/>
          </w:tcPr>
          <w:p w14:paraId="6AD802A5">
            <w:pPr>
              <w:keepNext w:val="0"/>
              <w:keepLines w:val="0"/>
              <w:widowControl/>
              <w:suppressLineNumbers w:val="0"/>
              <w:spacing w:line="480" w:lineRule="auto"/>
              <w:jc w:val="center"/>
              <w:rPr>
                <w:rFonts w:hint="eastAsia"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合计</w:t>
            </w:r>
          </w:p>
        </w:tc>
        <w:tc>
          <w:tcPr>
            <w:tcW w:w="2155" w:type="pct"/>
            <w:noWrap w:val="0"/>
            <w:vAlign w:val="top"/>
          </w:tcPr>
          <w:p w14:paraId="3922B333">
            <w:pPr>
              <w:keepNext w:val="0"/>
              <w:keepLines w:val="0"/>
              <w:widowControl/>
              <w:suppressLineNumbers w:val="0"/>
              <w:spacing w:line="480" w:lineRule="auto"/>
              <w:jc w:val="center"/>
              <w:rPr>
                <w:rFonts w:hint="default" w:ascii="仿宋" w:hAnsi="仿宋" w:eastAsia="仿宋" w:cs="仿宋"/>
                <w:color w:val="auto"/>
                <w:kern w:val="0"/>
                <w:sz w:val="32"/>
                <w:szCs w:val="32"/>
                <w:highlight w:val="none"/>
                <w:vertAlign w:val="baseline"/>
                <w:lang w:val="en-US" w:eastAsia="zh-CN" w:bidi="ar"/>
              </w:rPr>
            </w:pPr>
            <w:r>
              <w:rPr>
                <w:rFonts w:hint="eastAsia" w:ascii="仿宋" w:hAnsi="仿宋" w:eastAsia="仿宋" w:cs="仿宋"/>
                <w:color w:val="auto"/>
                <w:kern w:val="0"/>
                <w:sz w:val="32"/>
                <w:szCs w:val="32"/>
                <w:highlight w:val="none"/>
                <w:vertAlign w:val="baseline"/>
                <w:lang w:val="en-US" w:eastAsia="zh-CN" w:bidi="ar"/>
              </w:rPr>
              <w:t>1170</w:t>
            </w:r>
          </w:p>
        </w:tc>
      </w:tr>
    </w:tbl>
    <w:p w14:paraId="7DF53792">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8"/>
          <w:szCs w:val="28"/>
          <w:highlight w:val="none"/>
          <w:lang w:val="en-US" w:eastAsia="zh-CN" w:bidi="ar"/>
        </w:rPr>
      </w:pPr>
    </w:p>
    <w:p w14:paraId="68822727">
      <w:pPr>
        <w:pageBreakBefore w:val="0"/>
        <w:wordWrap/>
        <w:overflowPunct/>
        <w:topLinePunct w:val="0"/>
        <w:bidi w:val="0"/>
        <w:spacing w:before="101" w:line="226" w:lineRule="auto"/>
        <w:rPr>
          <w:rFonts w:hint="eastAsia" w:ascii="黑体" w:hAnsi="黑体" w:eastAsia="黑体" w:cs="黑体"/>
          <w:color w:val="auto"/>
          <w:spacing w:val="-6"/>
          <w:sz w:val="32"/>
          <w:szCs w:val="32"/>
          <w:highlight w:val="none"/>
          <w:lang w:val="en-US" w:eastAsia="zh-CN"/>
        </w:rPr>
      </w:pPr>
    </w:p>
    <w:p w14:paraId="228D7CFA">
      <w:pPr>
        <w:pageBreakBefore w:val="0"/>
        <w:wordWrap/>
        <w:overflowPunct/>
        <w:topLinePunct w:val="0"/>
        <w:bidi w:val="0"/>
        <w:spacing w:before="101" w:line="226" w:lineRule="auto"/>
        <w:rPr>
          <w:rFonts w:hint="eastAsia" w:ascii="黑体" w:hAnsi="黑体" w:eastAsia="黑体" w:cs="黑体"/>
          <w:color w:val="auto"/>
          <w:spacing w:val="-6"/>
          <w:sz w:val="32"/>
          <w:szCs w:val="32"/>
          <w:highlight w:val="none"/>
          <w:lang w:val="en-US" w:eastAsia="zh-CN"/>
        </w:rPr>
      </w:pPr>
    </w:p>
    <w:p w14:paraId="6772E8D6">
      <w:pPr>
        <w:pageBreakBefore w:val="0"/>
        <w:wordWrap/>
        <w:overflowPunct/>
        <w:topLinePunct w:val="0"/>
        <w:bidi w:val="0"/>
        <w:spacing w:before="101" w:line="226" w:lineRule="auto"/>
        <w:rPr>
          <w:rFonts w:hint="eastAsia" w:ascii="黑体" w:hAnsi="黑体" w:eastAsia="黑体" w:cs="黑体"/>
          <w:color w:val="auto"/>
          <w:spacing w:val="-6"/>
          <w:sz w:val="32"/>
          <w:szCs w:val="32"/>
          <w:highlight w:val="none"/>
          <w:lang w:val="en-US" w:eastAsia="zh-CN"/>
        </w:rPr>
      </w:pPr>
    </w:p>
    <w:p w14:paraId="70B23FA9">
      <w:pPr>
        <w:pageBreakBefore w:val="0"/>
        <w:wordWrap/>
        <w:overflowPunct/>
        <w:topLinePunct w:val="0"/>
        <w:bidi w:val="0"/>
        <w:spacing w:before="101" w:line="226" w:lineRule="auto"/>
        <w:rPr>
          <w:rFonts w:hint="eastAsia" w:ascii="黑体" w:hAnsi="黑体" w:eastAsia="黑体" w:cs="黑体"/>
          <w:color w:val="auto"/>
          <w:spacing w:val="-6"/>
          <w:sz w:val="32"/>
          <w:szCs w:val="32"/>
          <w:highlight w:val="none"/>
          <w:lang w:val="en-US" w:eastAsia="zh-CN"/>
        </w:rPr>
        <w:sectPr>
          <w:footerReference r:id="rId8" w:type="default"/>
          <w:pgSz w:w="11906" w:h="16838"/>
          <w:pgMar w:top="1440" w:right="1576" w:bottom="1440" w:left="1633" w:header="851" w:footer="992" w:gutter="0"/>
          <w:pgNumType w:fmt="decimal"/>
          <w:cols w:space="720" w:num="1"/>
          <w:rtlGutter w:val="0"/>
          <w:docGrid w:type="lines" w:linePitch="322" w:charSpace="0"/>
        </w:sectPr>
      </w:pPr>
    </w:p>
    <w:p w14:paraId="2435F3FC">
      <w:pPr>
        <w:pageBreakBefore w:val="0"/>
        <w:wordWrap/>
        <w:overflowPunct/>
        <w:topLinePunct w:val="0"/>
        <w:bidi w:val="0"/>
        <w:spacing w:before="101" w:line="226" w:lineRule="auto"/>
        <w:rPr>
          <w:rFonts w:hint="eastAsia" w:ascii="黑体" w:hAnsi="黑体" w:eastAsia="黑体" w:cs="黑体"/>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附件2</w:t>
      </w:r>
    </w:p>
    <w:p w14:paraId="3B5517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黑体" w:hAnsi="黑体" w:eastAsia="黑体" w:cs="黑体"/>
          <w:color w:val="auto"/>
          <w:spacing w:val="-6"/>
          <w:sz w:val="32"/>
          <w:szCs w:val="32"/>
          <w:highlight w:val="none"/>
          <w:lang w:val="en-US" w:eastAsia="zh-CN"/>
        </w:rPr>
        <w:t>特殊困难家庭适老化改造登记表</w:t>
      </w:r>
    </w:p>
    <w:p w14:paraId="7215288F">
      <w:pPr>
        <w:pStyle w:val="2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sz w:val="28"/>
          <w:szCs w:val="28"/>
          <w:highlight w:val="none"/>
          <w:lang w:val="en-US"/>
        </w:rPr>
      </w:pP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填报单位：（盖章）　　　　　　　　填报人：　　　　　　联系电话：　　　　　　填报日期：2025年  月  日</w:t>
      </w:r>
    </w:p>
    <w:tbl>
      <w:tblPr>
        <w:tblStyle w:val="24"/>
        <w:tblpPr w:leftFromText="180" w:rightFromText="180" w:vertAnchor="text" w:horzAnchor="page" w:tblpXSpec="center" w:tblpY="416"/>
        <w:tblOverlap w:val="never"/>
        <w:tblW w:w="14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750"/>
        <w:gridCol w:w="722"/>
        <w:gridCol w:w="778"/>
        <w:gridCol w:w="736"/>
        <w:gridCol w:w="750"/>
        <w:gridCol w:w="709"/>
        <w:gridCol w:w="777"/>
        <w:gridCol w:w="873"/>
        <w:gridCol w:w="927"/>
        <w:gridCol w:w="1105"/>
        <w:gridCol w:w="1118"/>
        <w:gridCol w:w="1105"/>
        <w:gridCol w:w="981"/>
        <w:gridCol w:w="1214"/>
        <w:gridCol w:w="873"/>
        <w:gridCol w:w="548"/>
      </w:tblGrid>
      <w:tr w14:paraId="2F73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46075C96">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8D810D">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乡镇镇</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8A22360">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村（社区）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146FC4">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老人姓名</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F81D1B9">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04D084">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年龄</w:t>
            </w:r>
          </w:p>
        </w:tc>
        <w:tc>
          <w:tcPr>
            <w:tcW w:w="709" w:type="dxa"/>
            <w:tcBorders>
              <w:top w:val="single" w:color="000000" w:sz="4" w:space="0"/>
              <w:left w:val="single" w:color="000000" w:sz="4" w:space="0"/>
              <w:bottom w:val="nil"/>
              <w:right w:val="single" w:color="000000" w:sz="4" w:space="0"/>
            </w:tcBorders>
            <w:noWrap w:val="0"/>
            <w:vAlign w:val="center"/>
          </w:tcPr>
          <w:p w14:paraId="3ABC7B4A">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身份证号</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51A2846">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lang w:eastAsia="zh-CN"/>
              </w:rPr>
            </w:pPr>
            <w:r>
              <w:rPr>
                <w:rFonts w:hint="eastAsia" w:ascii="仿宋_GB2312" w:hAnsi="仿宋_GB2312" w:eastAsia="仿宋_GB2312" w:cs="仿宋_GB2312"/>
                <w:b w:val="0"/>
                <w:bCs w:val="0"/>
                <w:i w:val="0"/>
                <w:iCs w:val="0"/>
                <w:color w:val="auto"/>
                <w:sz w:val="20"/>
                <w:szCs w:val="20"/>
                <w:highlight w:val="none"/>
                <w:u w:val="none"/>
                <w:lang w:eastAsia="zh-CN"/>
              </w:rPr>
              <w:t>联系电话</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825329E">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老人身份类别</w:t>
            </w:r>
          </w:p>
        </w:tc>
        <w:tc>
          <w:tcPr>
            <w:tcW w:w="927" w:type="dxa"/>
            <w:tcBorders>
              <w:top w:val="single" w:color="000000" w:sz="4" w:space="0"/>
              <w:left w:val="single" w:color="000000" w:sz="4" w:space="0"/>
              <w:bottom w:val="nil"/>
              <w:right w:val="single" w:color="000000" w:sz="4" w:space="0"/>
            </w:tcBorders>
            <w:noWrap w:val="0"/>
            <w:vAlign w:val="center"/>
          </w:tcPr>
          <w:p w14:paraId="6C3F9602">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监护人姓名</w:t>
            </w:r>
          </w:p>
        </w:tc>
        <w:tc>
          <w:tcPr>
            <w:tcW w:w="1105" w:type="dxa"/>
            <w:tcBorders>
              <w:top w:val="single" w:color="000000" w:sz="4" w:space="0"/>
              <w:left w:val="single" w:color="000000" w:sz="4" w:space="0"/>
              <w:bottom w:val="nil"/>
              <w:right w:val="single" w:color="000000" w:sz="4" w:space="0"/>
            </w:tcBorders>
            <w:noWrap w:val="0"/>
            <w:vAlign w:val="center"/>
          </w:tcPr>
          <w:p w14:paraId="2C3B8019">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监护人联系电话</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0A51045">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家庭地址</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99F635">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房屋建筑面积（㎡）</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A40B979">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产权人姓名</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3D8F62B">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平均可支配月收入（元）</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42A1F90">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户籍类型</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CAC4D7C">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备注</w:t>
            </w:r>
          </w:p>
        </w:tc>
      </w:tr>
      <w:tr w14:paraId="4F7A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39657E">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6AAD1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99D9F4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4183DC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3CFC4A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01B7A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8BE71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66DAFE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5C2BD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838691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C887AA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118CC7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9B52B5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52A3DA2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B176D4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557DC8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7C64750">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6519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65A0E78D">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7DB1C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71B8DD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07536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C28C57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E09F5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DEE52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C78276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nil"/>
              <w:left w:val="nil"/>
              <w:bottom w:val="nil"/>
              <w:right w:val="nil"/>
            </w:tcBorders>
            <w:noWrap w:val="0"/>
            <w:vAlign w:val="center"/>
          </w:tcPr>
          <w:p w14:paraId="0284D8D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E57E9E1">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C59B30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0D49BE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00C158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4D78C83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F64E530">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C9A40E0">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6E61B19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06E2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AB9B28">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BEDFC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D82EC2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F9C514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870FE7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E32F9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E26B8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618B72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93752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31B959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78D16B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A63F11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25FC17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0AF75C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423772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54DBEA1">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494648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518F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16D1B0">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5AF0D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11A0D2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56B96F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E20420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C1105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707D2E">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DD7245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C68308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590946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6BEA15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82B0EC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0F5F5F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466EAC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DBA568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69E904E">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8F4AE0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6BFE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E520694">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sz w:val="20"/>
                <w:szCs w:val="20"/>
                <w:highlight w:val="none"/>
                <w:u w:val="none"/>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AABFE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ED1B51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F23F0C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81494E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2B207D">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01ECD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C46B0B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4470BE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5BB7DD8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AABBB0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35244AD">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73989C1">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B9E2D0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18A5F0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9802C4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38A78C7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7A57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108B0F15">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default" w:ascii="仿宋_GB2312" w:hAnsi="仿宋_GB2312" w:eastAsia="仿宋_GB2312" w:cs="仿宋_GB2312"/>
                <w:b w:val="0"/>
                <w:bCs w:val="0"/>
                <w:i w:val="0"/>
                <w:iCs w:val="0"/>
                <w:color w:val="auto"/>
                <w:kern w:val="0"/>
                <w:sz w:val="20"/>
                <w:szCs w:val="20"/>
                <w:highlight w:val="none"/>
                <w:u w:val="none"/>
                <w:lang w:val="en-US" w:eastAsia="zh-CN" w:bidi="ar"/>
              </w:rPr>
            </w:pPr>
            <w:r>
              <w:rPr>
                <w:rFonts w:hint="eastAsia" w:ascii="仿宋_GB2312" w:hAnsi="仿宋_GB2312" w:eastAsia="仿宋_GB2312" w:cs="仿宋_GB2312"/>
                <w:b w:val="0"/>
                <w:bCs w:val="0"/>
                <w:i w:val="0"/>
                <w:iCs w:val="0"/>
                <w:color w:val="auto"/>
                <w:kern w:val="0"/>
                <w:sz w:val="20"/>
                <w:szCs w:val="20"/>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E494B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A0ACAD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9E8B44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7953C30">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E1CB7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6763C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8C529B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9B63AD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3A8B2C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837468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D82216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B84190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579DB13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36B81C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5BE23B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20261B5B">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1161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F219F38">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71A2E9D">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51EE53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1C3C5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27A9D79">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8E8A3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975D3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E2DB45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141705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0CB866F">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EA7DD7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5FF5B0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1579BF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5A8D41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46ECFCC">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1556070">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3699FA1">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r w14:paraId="7C2A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1F56AD">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textAlignment w:val="center"/>
              <w:rPr>
                <w:rFonts w:hint="eastAsia" w:ascii="仿宋_GB2312" w:hAnsi="仿宋_GB2312" w:eastAsia="仿宋_GB2312" w:cs="仿宋_GB2312"/>
                <w:b w:val="0"/>
                <w:bCs w:val="0"/>
                <w:i w:val="0"/>
                <w:iCs w:val="0"/>
                <w:color w:val="auto"/>
                <w:kern w:val="0"/>
                <w:sz w:val="20"/>
                <w:szCs w:val="20"/>
                <w:highlight w:val="none"/>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40A246">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center"/>
              <w:rPr>
                <w:rFonts w:hint="eastAsia" w:ascii="仿宋_GB2312" w:hAnsi="仿宋_GB2312" w:eastAsia="仿宋_GB2312" w:cs="仿宋_GB2312"/>
                <w:b w:val="0"/>
                <w:bCs w:val="0"/>
                <w:i w:val="0"/>
                <w:iCs w:val="0"/>
                <w:color w:val="auto"/>
                <w:sz w:val="20"/>
                <w:szCs w:val="20"/>
                <w:highlight w:val="none"/>
                <w:u w:val="none"/>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DF2EA7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40B66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40BB32C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E5B021">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579EE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6D2731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C4E75A5">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88AC9F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FD1081E">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DFA48A7">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1686F3A">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4F06B742">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3E29480">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5A9193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131B1BA8">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80" w:lineRule="exact"/>
              <w:ind w:left="0" w:leftChars="0" w:right="0" w:firstLine="0" w:firstLineChars="0"/>
              <w:jc w:val="both"/>
              <w:rPr>
                <w:rFonts w:hint="eastAsia" w:ascii="仿宋_GB2312" w:hAnsi="仿宋_GB2312" w:eastAsia="仿宋_GB2312" w:cs="仿宋_GB2312"/>
                <w:b w:val="0"/>
                <w:bCs w:val="0"/>
                <w:i w:val="0"/>
                <w:iCs w:val="0"/>
                <w:color w:val="auto"/>
                <w:sz w:val="20"/>
                <w:szCs w:val="20"/>
                <w:highlight w:val="none"/>
                <w:u w:val="none"/>
              </w:rPr>
            </w:pPr>
          </w:p>
        </w:tc>
      </w:tr>
    </w:tbl>
    <w:p w14:paraId="0AD916C3">
      <w:pPr>
        <w:keepNext w:val="0"/>
        <w:keepLines w:val="0"/>
        <w:widowControl/>
        <w:suppressLineNumbers w:val="0"/>
        <w:jc w:val="both"/>
        <w:rPr>
          <w:rFonts w:hint="eastAsia" w:ascii="黑体" w:hAnsi="黑体" w:eastAsia="黑体" w:cs="黑体"/>
          <w:color w:val="auto"/>
          <w:kern w:val="0"/>
          <w:sz w:val="40"/>
          <w:szCs w:val="40"/>
          <w:highlight w:val="none"/>
          <w:lang w:val="en-US" w:eastAsia="zh-CN" w:bidi="ar"/>
        </w:rPr>
      </w:pPr>
    </w:p>
    <w:p w14:paraId="67B32794">
      <w:pPr>
        <w:keepNext w:val="0"/>
        <w:keepLines w:val="0"/>
        <w:widowControl/>
        <w:suppressLineNumbers w:val="0"/>
        <w:jc w:val="center"/>
        <w:rPr>
          <w:rFonts w:hint="eastAsia" w:ascii="黑体" w:hAnsi="黑体" w:eastAsia="黑体" w:cs="黑体"/>
          <w:color w:val="auto"/>
          <w:kern w:val="0"/>
          <w:sz w:val="40"/>
          <w:szCs w:val="40"/>
          <w:highlight w:val="none"/>
          <w:lang w:val="en-US" w:eastAsia="zh-CN" w:bidi="ar"/>
        </w:rPr>
        <w:sectPr>
          <w:pgSz w:w="16838" w:h="11906" w:orient="landscape"/>
          <w:pgMar w:top="1633" w:right="1440" w:bottom="1576" w:left="1440" w:header="851" w:footer="992" w:gutter="0"/>
          <w:pgNumType w:fmt="decimal"/>
          <w:cols w:space="720" w:num="1"/>
          <w:rtlGutter w:val="0"/>
          <w:docGrid w:type="lines" w:linePitch="322" w:charSpace="0"/>
        </w:sectPr>
      </w:pPr>
    </w:p>
    <w:p w14:paraId="5BEB2525">
      <w:pPr>
        <w:pageBreakBefore w:val="0"/>
        <w:wordWrap/>
        <w:overflowPunct/>
        <w:topLinePunct w:val="0"/>
        <w:bidi w:val="0"/>
        <w:spacing w:before="101" w:line="226" w:lineRule="auto"/>
        <w:rPr>
          <w:rFonts w:hint="eastAsia" w:ascii="黑体" w:hAnsi="黑体" w:eastAsia="黑体" w:cs="黑体"/>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附件3</w:t>
      </w:r>
    </w:p>
    <w:p w14:paraId="5CF4C842">
      <w:pPr>
        <w:pageBreakBefore w:val="0"/>
        <w:wordWrap/>
        <w:overflowPunct/>
        <w:topLinePunct w:val="0"/>
        <w:bidi w:val="0"/>
        <w:spacing w:before="101" w:line="226" w:lineRule="auto"/>
        <w:jc w:val="center"/>
        <w:rPr>
          <w:rFonts w:hint="eastAsia" w:ascii="黑体" w:hAnsi="黑体" w:eastAsia="黑体" w:cs="黑体"/>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老年人居家适老化改造项目和老年用品</w:t>
      </w:r>
    </w:p>
    <w:p w14:paraId="67F582E8">
      <w:pPr>
        <w:pageBreakBefore w:val="0"/>
        <w:wordWrap/>
        <w:overflowPunct/>
        <w:topLinePunct w:val="0"/>
        <w:bidi w:val="0"/>
        <w:spacing w:before="101" w:line="226" w:lineRule="auto"/>
        <w:jc w:val="center"/>
        <w:rPr>
          <w:rFonts w:hint="eastAsia" w:ascii="黑体" w:hAnsi="黑体" w:eastAsia="黑体" w:cs="黑体"/>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配置推荐清单</w:t>
      </w:r>
    </w:p>
    <w:tbl>
      <w:tblPr>
        <w:tblStyle w:val="24"/>
        <w:tblpPr w:leftFromText="180" w:rightFromText="180" w:vertAnchor="text" w:horzAnchor="page" w:tblpXSpec="center" w:tblpY="620"/>
        <w:tblOverlap w:val="never"/>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71"/>
        <w:gridCol w:w="1262"/>
        <w:gridCol w:w="1500"/>
        <w:gridCol w:w="5150"/>
        <w:gridCol w:w="1220"/>
      </w:tblGrid>
      <w:tr w14:paraId="75BB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7140BA3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序号</w:t>
            </w:r>
          </w:p>
        </w:tc>
        <w:tc>
          <w:tcPr>
            <w:tcW w:w="1262" w:type="dxa"/>
            <w:shd w:val="clear" w:color="auto" w:fill="auto"/>
            <w:noWrap w:val="0"/>
            <w:vAlign w:val="center"/>
          </w:tcPr>
          <w:p w14:paraId="5DA9E30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类别</w:t>
            </w:r>
          </w:p>
        </w:tc>
        <w:tc>
          <w:tcPr>
            <w:tcW w:w="1500" w:type="dxa"/>
            <w:shd w:val="clear" w:color="auto" w:fill="auto"/>
            <w:noWrap w:val="0"/>
            <w:vAlign w:val="center"/>
          </w:tcPr>
          <w:p w14:paraId="67DB761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项目名称</w:t>
            </w:r>
          </w:p>
        </w:tc>
        <w:tc>
          <w:tcPr>
            <w:tcW w:w="5150" w:type="dxa"/>
            <w:shd w:val="clear" w:color="auto" w:fill="auto"/>
            <w:noWrap w:val="0"/>
            <w:vAlign w:val="center"/>
          </w:tcPr>
          <w:p w14:paraId="006FEC7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具体内容</w:t>
            </w:r>
          </w:p>
        </w:tc>
        <w:tc>
          <w:tcPr>
            <w:tcW w:w="1220" w:type="dxa"/>
            <w:shd w:val="clear" w:color="auto" w:fill="auto"/>
            <w:noWrap w:val="0"/>
            <w:vAlign w:val="center"/>
          </w:tcPr>
          <w:p w14:paraId="62EC64AD">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项目类型</w:t>
            </w:r>
          </w:p>
        </w:tc>
      </w:tr>
      <w:tr w14:paraId="623C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4BD07485">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1262" w:type="dxa"/>
            <w:vMerge w:val="restart"/>
            <w:shd w:val="clear" w:color="auto" w:fill="auto"/>
            <w:noWrap w:val="0"/>
            <w:vAlign w:val="center"/>
          </w:tcPr>
          <w:p w14:paraId="7C5A4B3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w:t>
            </w:r>
          </w:p>
          <w:p w14:paraId="13C21E7D">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地面改造</w:t>
            </w:r>
          </w:p>
        </w:tc>
        <w:tc>
          <w:tcPr>
            <w:tcW w:w="1500" w:type="dxa"/>
            <w:shd w:val="clear" w:color="auto" w:fill="auto"/>
            <w:noWrap w:val="0"/>
            <w:vAlign w:val="center"/>
          </w:tcPr>
          <w:p w14:paraId="5352DBB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防滑处理</w:t>
            </w:r>
          </w:p>
        </w:tc>
        <w:tc>
          <w:tcPr>
            <w:tcW w:w="5150" w:type="dxa"/>
            <w:shd w:val="clear" w:color="auto" w:fill="auto"/>
            <w:noWrap w:val="0"/>
            <w:vAlign w:val="center"/>
          </w:tcPr>
          <w:p w14:paraId="3669D0A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在卫生间、厨房、卧室等区域，铺设防滑砖或者防滑地胶，提高安全性。</w:t>
            </w:r>
          </w:p>
        </w:tc>
        <w:tc>
          <w:tcPr>
            <w:tcW w:w="1220" w:type="dxa"/>
            <w:shd w:val="clear" w:color="auto" w:fill="auto"/>
            <w:noWrap w:val="0"/>
            <w:vAlign w:val="center"/>
          </w:tcPr>
          <w:p w14:paraId="1D727DC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270A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74C7CD2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1262" w:type="dxa"/>
            <w:vMerge w:val="continue"/>
            <w:shd w:val="clear" w:color="auto" w:fill="auto"/>
            <w:noWrap w:val="0"/>
            <w:vAlign w:val="center"/>
          </w:tcPr>
          <w:p w14:paraId="32BBF09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375609B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p w14:paraId="54AE66D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高差处理</w:t>
            </w:r>
          </w:p>
          <w:p w14:paraId="4EC2275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5150" w:type="dxa"/>
            <w:shd w:val="clear" w:color="auto" w:fill="auto"/>
            <w:noWrap w:val="0"/>
            <w:vAlign w:val="center"/>
          </w:tcPr>
          <w:p w14:paraId="0D45A147">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铺设水泥坡道或者加设橡胶等材质的可移动式坡道，保证路面平滑、无高差障碍，方便轮椅进出。</w:t>
            </w:r>
          </w:p>
        </w:tc>
        <w:tc>
          <w:tcPr>
            <w:tcW w:w="1220" w:type="dxa"/>
            <w:shd w:val="clear" w:color="auto" w:fill="auto"/>
            <w:noWrap w:val="0"/>
            <w:vAlign w:val="center"/>
          </w:tcPr>
          <w:p w14:paraId="7451129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6262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23F1BF0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p>
        </w:tc>
        <w:tc>
          <w:tcPr>
            <w:tcW w:w="1262" w:type="dxa"/>
            <w:vMerge w:val="continue"/>
            <w:shd w:val="clear" w:color="auto" w:fill="auto"/>
            <w:noWrap w:val="0"/>
            <w:vAlign w:val="center"/>
          </w:tcPr>
          <w:p w14:paraId="13C65BDD">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0300FC5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平整硬化</w:t>
            </w:r>
          </w:p>
        </w:tc>
        <w:tc>
          <w:tcPr>
            <w:tcW w:w="5150" w:type="dxa"/>
            <w:shd w:val="clear" w:color="auto" w:fill="auto"/>
            <w:noWrap w:val="0"/>
            <w:vAlign w:val="center"/>
          </w:tcPr>
          <w:p w14:paraId="37F8E0C7">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对地面进行平整硬化，方便轮椅通过，降低风险。</w:t>
            </w:r>
          </w:p>
        </w:tc>
        <w:tc>
          <w:tcPr>
            <w:tcW w:w="1220" w:type="dxa"/>
            <w:shd w:val="clear" w:color="auto" w:fill="auto"/>
            <w:noWrap w:val="0"/>
            <w:vAlign w:val="center"/>
          </w:tcPr>
          <w:p w14:paraId="62C8BB9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4045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5" w:hRule="atLeast"/>
          <w:jc w:val="center"/>
        </w:trPr>
        <w:tc>
          <w:tcPr>
            <w:tcW w:w="571" w:type="dxa"/>
            <w:shd w:val="clear" w:color="auto" w:fill="auto"/>
            <w:noWrap w:val="0"/>
            <w:vAlign w:val="center"/>
          </w:tcPr>
          <w:p w14:paraId="4C0D9C8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p>
        </w:tc>
        <w:tc>
          <w:tcPr>
            <w:tcW w:w="1262" w:type="dxa"/>
            <w:vMerge w:val="continue"/>
            <w:shd w:val="clear" w:color="auto" w:fill="auto"/>
            <w:noWrap w:val="0"/>
            <w:vAlign w:val="center"/>
          </w:tcPr>
          <w:p w14:paraId="769D190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7714D7E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安装扶手</w:t>
            </w:r>
          </w:p>
        </w:tc>
        <w:tc>
          <w:tcPr>
            <w:tcW w:w="5150" w:type="dxa"/>
            <w:shd w:val="clear" w:color="auto" w:fill="auto"/>
            <w:noWrap w:val="0"/>
            <w:vAlign w:val="center"/>
          </w:tcPr>
          <w:p w14:paraId="674ED4BC">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在高差变化处安装扶手，辅助老年人通过。</w:t>
            </w:r>
          </w:p>
        </w:tc>
        <w:tc>
          <w:tcPr>
            <w:tcW w:w="1220" w:type="dxa"/>
            <w:shd w:val="clear" w:color="auto" w:fill="auto"/>
            <w:noWrap w:val="0"/>
            <w:vAlign w:val="center"/>
          </w:tcPr>
          <w:p w14:paraId="2584C4E5">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4547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787E4E4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w:t>
            </w:r>
          </w:p>
        </w:tc>
        <w:tc>
          <w:tcPr>
            <w:tcW w:w="1262" w:type="dxa"/>
            <w:vMerge w:val="restart"/>
            <w:shd w:val="clear" w:color="auto" w:fill="auto"/>
            <w:noWrap w:val="0"/>
            <w:vAlign w:val="center"/>
          </w:tcPr>
          <w:p w14:paraId="5013E865">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p w14:paraId="23FCA9A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w:t>
            </w:r>
          </w:p>
          <w:p w14:paraId="51B922D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门改造</w:t>
            </w:r>
          </w:p>
        </w:tc>
        <w:tc>
          <w:tcPr>
            <w:tcW w:w="1500" w:type="dxa"/>
            <w:shd w:val="clear" w:color="auto" w:fill="auto"/>
            <w:noWrap w:val="0"/>
            <w:vAlign w:val="center"/>
          </w:tcPr>
          <w:p w14:paraId="6606F6D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门槛移除</w:t>
            </w:r>
          </w:p>
        </w:tc>
        <w:tc>
          <w:tcPr>
            <w:tcW w:w="5150" w:type="dxa"/>
            <w:shd w:val="clear" w:color="auto" w:fill="auto"/>
            <w:noWrap w:val="0"/>
            <w:vAlign w:val="center"/>
          </w:tcPr>
          <w:p w14:paraId="3911285B">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移除门槛，保证老年人进门无障碍，方便轮椅进出。</w:t>
            </w:r>
          </w:p>
        </w:tc>
        <w:tc>
          <w:tcPr>
            <w:tcW w:w="1220" w:type="dxa"/>
            <w:shd w:val="clear" w:color="auto" w:fill="auto"/>
            <w:noWrap w:val="0"/>
            <w:vAlign w:val="center"/>
          </w:tcPr>
          <w:p w14:paraId="031D9F7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0DD0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45FECD9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w:t>
            </w:r>
          </w:p>
        </w:tc>
        <w:tc>
          <w:tcPr>
            <w:tcW w:w="1262" w:type="dxa"/>
            <w:vMerge w:val="continue"/>
            <w:shd w:val="clear" w:color="auto" w:fill="auto"/>
            <w:noWrap w:val="0"/>
            <w:vAlign w:val="center"/>
          </w:tcPr>
          <w:p w14:paraId="0096988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5A96FE9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平开门改为推拉门</w:t>
            </w:r>
          </w:p>
        </w:tc>
        <w:tc>
          <w:tcPr>
            <w:tcW w:w="5150" w:type="dxa"/>
            <w:shd w:val="clear" w:color="auto" w:fill="auto"/>
            <w:noWrap w:val="0"/>
            <w:vAlign w:val="center"/>
          </w:tcPr>
          <w:p w14:paraId="1D4ABDBA">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方便开启，增加通行宽度和辅助操作空间。</w:t>
            </w:r>
          </w:p>
        </w:tc>
        <w:tc>
          <w:tcPr>
            <w:tcW w:w="1220" w:type="dxa"/>
            <w:shd w:val="clear" w:color="auto" w:fill="auto"/>
            <w:noWrap w:val="0"/>
            <w:vAlign w:val="center"/>
          </w:tcPr>
          <w:p w14:paraId="45AE1D2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2628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7A3EEE6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w:t>
            </w:r>
          </w:p>
        </w:tc>
        <w:tc>
          <w:tcPr>
            <w:tcW w:w="1262" w:type="dxa"/>
            <w:vMerge w:val="continue"/>
            <w:shd w:val="clear" w:color="auto" w:fill="auto"/>
            <w:noWrap w:val="0"/>
            <w:vAlign w:val="center"/>
          </w:tcPr>
          <w:p w14:paraId="179DE94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0E59838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房门拓宽</w:t>
            </w:r>
          </w:p>
        </w:tc>
        <w:tc>
          <w:tcPr>
            <w:tcW w:w="5150" w:type="dxa"/>
            <w:shd w:val="clear" w:color="auto" w:fill="auto"/>
            <w:noWrap w:val="0"/>
            <w:vAlign w:val="center"/>
          </w:tcPr>
          <w:p w14:paraId="44FF2373">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对卫生间、厨房等空间较窄的门洞进行拓宽，改善通过性，方便轮椅进出。</w:t>
            </w:r>
          </w:p>
        </w:tc>
        <w:tc>
          <w:tcPr>
            <w:tcW w:w="1220" w:type="dxa"/>
            <w:shd w:val="clear" w:color="auto" w:fill="auto"/>
            <w:noWrap w:val="0"/>
            <w:vAlign w:val="center"/>
          </w:tcPr>
          <w:p w14:paraId="74FFFAF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368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1CA5D163">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w:t>
            </w:r>
          </w:p>
        </w:tc>
        <w:tc>
          <w:tcPr>
            <w:tcW w:w="1262" w:type="dxa"/>
            <w:vMerge w:val="continue"/>
            <w:shd w:val="clear" w:color="auto" w:fill="auto"/>
            <w:noWrap w:val="0"/>
            <w:vAlign w:val="center"/>
          </w:tcPr>
          <w:p w14:paraId="769A96D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096DD3E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下压式门把手改造</w:t>
            </w:r>
          </w:p>
        </w:tc>
        <w:tc>
          <w:tcPr>
            <w:tcW w:w="5150" w:type="dxa"/>
            <w:shd w:val="clear" w:color="auto" w:fill="auto"/>
            <w:noWrap w:val="0"/>
            <w:vAlign w:val="center"/>
          </w:tcPr>
          <w:p w14:paraId="6230F19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可用单手手掌或者手指轻松操作，增加摩擦力和稳定性，方便老年人开门。</w:t>
            </w:r>
          </w:p>
        </w:tc>
        <w:tc>
          <w:tcPr>
            <w:tcW w:w="1220" w:type="dxa"/>
            <w:shd w:val="clear" w:color="auto" w:fill="auto"/>
            <w:noWrap w:val="0"/>
            <w:vAlign w:val="center"/>
          </w:tcPr>
          <w:p w14:paraId="7DB2F6E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71C3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10B6605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w:t>
            </w:r>
          </w:p>
        </w:tc>
        <w:tc>
          <w:tcPr>
            <w:tcW w:w="1262" w:type="dxa"/>
            <w:vMerge w:val="continue"/>
            <w:shd w:val="clear" w:color="auto" w:fill="auto"/>
            <w:noWrap w:val="0"/>
            <w:vAlign w:val="center"/>
          </w:tcPr>
          <w:p w14:paraId="40E70B60">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27202D70">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安装闪光振动门铃</w:t>
            </w:r>
          </w:p>
        </w:tc>
        <w:tc>
          <w:tcPr>
            <w:tcW w:w="5150" w:type="dxa"/>
            <w:shd w:val="clear" w:color="auto" w:fill="auto"/>
            <w:noWrap w:val="0"/>
            <w:vAlign w:val="center"/>
          </w:tcPr>
          <w:p w14:paraId="4CCD1CF9">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供听力视力障碍老年人使用。</w:t>
            </w:r>
          </w:p>
        </w:tc>
        <w:tc>
          <w:tcPr>
            <w:tcW w:w="1220" w:type="dxa"/>
            <w:shd w:val="clear" w:color="auto" w:fill="auto"/>
            <w:noWrap w:val="0"/>
            <w:vAlign w:val="center"/>
          </w:tcPr>
          <w:p w14:paraId="36ECA21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1F7E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0DD999F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w:t>
            </w:r>
          </w:p>
        </w:tc>
        <w:tc>
          <w:tcPr>
            <w:tcW w:w="1262" w:type="dxa"/>
            <w:vMerge w:val="restart"/>
            <w:shd w:val="clear" w:color="auto" w:fill="auto"/>
            <w:noWrap w:val="0"/>
            <w:vAlign w:val="center"/>
          </w:tcPr>
          <w:p w14:paraId="071D90D3">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w:t>
            </w:r>
          </w:p>
          <w:p w14:paraId="331C30B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卧室改造</w:t>
            </w:r>
          </w:p>
        </w:tc>
        <w:tc>
          <w:tcPr>
            <w:tcW w:w="1500" w:type="dxa"/>
            <w:shd w:val="clear" w:color="auto" w:fill="auto"/>
            <w:noWrap w:val="0"/>
            <w:vAlign w:val="center"/>
          </w:tcPr>
          <w:p w14:paraId="1411F4B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配置护理床</w:t>
            </w:r>
          </w:p>
        </w:tc>
        <w:tc>
          <w:tcPr>
            <w:tcW w:w="5150" w:type="dxa"/>
            <w:shd w:val="clear" w:color="auto" w:fill="auto"/>
            <w:noWrap w:val="0"/>
            <w:vAlign w:val="center"/>
          </w:tcPr>
          <w:p w14:paraId="0B6FC8E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帮助失能老年人完成起身、侧翻、上下床、吃饭等动作，辅助喂食、处理排泄物等。</w:t>
            </w:r>
          </w:p>
        </w:tc>
        <w:tc>
          <w:tcPr>
            <w:tcW w:w="1220" w:type="dxa"/>
            <w:shd w:val="clear" w:color="auto" w:fill="auto"/>
            <w:noWrap w:val="0"/>
            <w:vAlign w:val="center"/>
          </w:tcPr>
          <w:p w14:paraId="259C1E4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4EE6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31B714C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1262" w:type="dxa"/>
            <w:vMerge w:val="continue"/>
            <w:shd w:val="clear" w:color="auto" w:fill="auto"/>
            <w:noWrap w:val="0"/>
            <w:vAlign w:val="center"/>
          </w:tcPr>
          <w:p w14:paraId="3228480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366C738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安装床边护栏（抓杆）</w:t>
            </w:r>
          </w:p>
        </w:tc>
        <w:tc>
          <w:tcPr>
            <w:tcW w:w="5150" w:type="dxa"/>
            <w:shd w:val="clear" w:color="auto" w:fill="auto"/>
            <w:noWrap w:val="0"/>
            <w:vAlign w:val="center"/>
          </w:tcPr>
          <w:p w14:paraId="6D407AD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辅助老年人起身、上下床，防止翻身滚下床，保证老年人睡眠和活动安全。</w:t>
            </w:r>
          </w:p>
        </w:tc>
        <w:tc>
          <w:tcPr>
            <w:tcW w:w="1220" w:type="dxa"/>
            <w:shd w:val="clear" w:color="auto" w:fill="auto"/>
            <w:noWrap w:val="0"/>
            <w:vAlign w:val="center"/>
          </w:tcPr>
          <w:p w14:paraId="38999F6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0355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642576FD">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12</w:t>
            </w:r>
          </w:p>
        </w:tc>
        <w:tc>
          <w:tcPr>
            <w:tcW w:w="1262" w:type="dxa"/>
            <w:vMerge w:val="continue"/>
            <w:shd w:val="clear" w:color="auto" w:fill="auto"/>
            <w:noWrap w:val="0"/>
            <w:vAlign w:val="center"/>
          </w:tcPr>
          <w:p w14:paraId="78AB536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55781EAD">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配置防压疮垫</w:t>
            </w:r>
          </w:p>
        </w:tc>
        <w:tc>
          <w:tcPr>
            <w:tcW w:w="5150" w:type="dxa"/>
            <w:shd w:val="clear" w:color="auto" w:fill="auto"/>
            <w:noWrap w:val="0"/>
            <w:vAlign w:val="center"/>
          </w:tcPr>
          <w:p w14:paraId="24526C4A">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避免长期乘坐轮椅或卧床的老年人发生严重压疮，包括防压疮坐垫、靠垫或床垫等。</w:t>
            </w:r>
          </w:p>
        </w:tc>
        <w:tc>
          <w:tcPr>
            <w:tcW w:w="1220" w:type="dxa"/>
            <w:shd w:val="clear" w:color="auto" w:fill="auto"/>
            <w:noWrap w:val="0"/>
            <w:vAlign w:val="center"/>
          </w:tcPr>
          <w:p w14:paraId="791A7DF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1DCA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7B84670E">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13</w:t>
            </w:r>
          </w:p>
        </w:tc>
        <w:tc>
          <w:tcPr>
            <w:tcW w:w="1262" w:type="dxa"/>
            <w:vMerge w:val="restart"/>
            <w:shd w:val="clear" w:color="auto" w:fill="auto"/>
            <w:noWrap w:val="0"/>
            <w:vAlign w:val="center"/>
          </w:tcPr>
          <w:p w14:paraId="67C9F5E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（四）</w:t>
            </w:r>
          </w:p>
          <w:p w14:paraId="59C8A41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如厕洗浴设备改造</w:t>
            </w:r>
          </w:p>
        </w:tc>
        <w:tc>
          <w:tcPr>
            <w:tcW w:w="1500" w:type="dxa"/>
            <w:shd w:val="clear" w:color="auto" w:fill="auto"/>
            <w:noWrap w:val="0"/>
            <w:vAlign w:val="center"/>
          </w:tcPr>
          <w:p w14:paraId="467FF7F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安装扶手</w:t>
            </w:r>
          </w:p>
        </w:tc>
        <w:tc>
          <w:tcPr>
            <w:tcW w:w="5150" w:type="dxa"/>
            <w:shd w:val="clear" w:color="auto" w:fill="auto"/>
            <w:noWrap w:val="0"/>
            <w:vAlign w:val="center"/>
          </w:tcPr>
          <w:p w14:paraId="4F1130DB">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在如厕区或者洗浴区安装扶手，辅助老年人起身、站立、转身和坐下，包括一字形扶手、U形扶手、L形扶手、135°扶手、T形扶手或者助力扶手等。</w:t>
            </w:r>
          </w:p>
        </w:tc>
        <w:tc>
          <w:tcPr>
            <w:tcW w:w="1220" w:type="dxa"/>
            <w:shd w:val="clear" w:color="auto" w:fill="auto"/>
            <w:noWrap w:val="0"/>
            <w:vAlign w:val="center"/>
          </w:tcPr>
          <w:p w14:paraId="7D935EB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1745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50D905D3">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w:t>
            </w:r>
          </w:p>
        </w:tc>
        <w:tc>
          <w:tcPr>
            <w:tcW w:w="1262" w:type="dxa"/>
            <w:vMerge w:val="continue"/>
            <w:shd w:val="clear" w:color="auto" w:fill="auto"/>
            <w:noWrap w:val="0"/>
            <w:vAlign w:val="center"/>
          </w:tcPr>
          <w:p w14:paraId="2CDFA06D">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58477B5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蹲便器改坐便器</w:t>
            </w:r>
          </w:p>
        </w:tc>
        <w:tc>
          <w:tcPr>
            <w:tcW w:w="5150" w:type="dxa"/>
            <w:shd w:val="clear" w:color="auto" w:fill="auto"/>
            <w:noWrap w:val="0"/>
            <w:vAlign w:val="center"/>
          </w:tcPr>
          <w:p w14:paraId="77738BA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减轻蹲姿造成的腿部压力，避免老年人如厕时摔倒，方便乘轮椅老年人使用。</w:t>
            </w:r>
          </w:p>
        </w:tc>
        <w:tc>
          <w:tcPr>
            <w:tcW w:w="1220" w:type="dxa"/>
            <w:shd w:val="clear" w:color="auto" w:fill="auto"/>
            <w:noWrap w:val="0"/>
            <w:vAlign w:val="center"/>
          </w:tcPr>
          <w:p w14:paraId="7917B9A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30F7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571" w:type="dxa"/>
            <w:shd w:val="clear" w:color="auto" w:fill="auto"/>
            <w:noWrap w:val="0"/>
            <w:vAlign w:val="center"/>
          </w:tcPr>
          <w:p w14:paraId="4B3410B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c>
          <w:tcPr>
            <w:tcW w:w="1262" w:type="dxa"/>
            <w:vMerge w:val="restart"/>
            <w:shd w:val="clear" w:color="auto" w:fill="auto"/>
            <w:noWrap w:val="0"/>
            <w:vAlign w:val="center"/>
          </w:tcPr>
          <w:p w14:paraId="3CFCEC8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（四）</w:t>
            </w:r>
          </w:p>
          <w:p w14:paraId="27F2722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如厕洗浴设备改造</w:t>
            </w:r>
          </w:p>
        </w:tc>
        <w:tc>
          <w:tcPr>
            <w:tcW w:w="1500" w:type="dxa"/>
            <w:shd w:val="clear" w:color="auto" w:fill="auto"/>
            <w:noWrap w:val="0"/>
            <w:vAlign w:val="center"/>
          </w:tcPr>
          <w:p w14:paraId="78CF565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水龙头改造</w:t>
            </w:r>
          </w:p>
        </w:tc>
        <w:tc>
          <w:tcPr>
            <w:tcW w:w="5150" w:type="dxa"/>
            <w:shd w:val="clear" w:color="auto" w:fill="auto"/>
            <w:noWrap w:val="0"/>
            <w:vAlign w:val="center"/>
          </w:tcPr>
          <w:p w14:paraId="61105CAC">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采用拔杆式或感应水龙头，方便老年人开关水阀。</w:t>
            </w:r>
          </w:p>
        </w:tc>
        <w:tc>
          <w:tcPr>
            <w:tcW w:w="1220" w:type="dxa"/>
            <w:shd w:val="clear" w:color="auto" w:fill="auto"/>
            <w:noWrap w:val="0"/>
            <w:vAlign w:val="center"/>
          </w:tcPr>
          <w:p w14:paraId="38A65AE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028A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2768C31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16</w:t>
            </w:r>
          </w:p>
        </w:tc>
        <w:tc>
          <w:tcPr>
            <w:tcW w:w="1262" w:type="dxa"/>
            <w:vMerge w:val="continue"/>
            <w:shd w:val="clear" w:color="auto" w:fill="auto"/>
            <w:noWrap w:val="0"/>
            <w:vAlign w:val="center"/>
          </w:tcPr>
          <w:p w14:paraId="23620C8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186AA6C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浴缸/淋浴房改造</w:t>
            </w:r>
          </w:p>
        </w:tc>
        <w:tc>
          <w:tcPr>
            <w:tcW w:w="5150" w:type="dxa"/>
            <w:shd w:val="clear" w:color="auto" w:fill="auto"/>
            <w:noWrap w:val="0"/>
            <w:vAlign w:val="center"/>
          </w:tcPr>
          <w:p w14:paraId="2E451C62">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拆除浴缸/淋浴房，更换浴帘、浴杆，增加淋浴空间，方便照护人员辅助老年人洗浴。</w:t>
            </w:r>
          </w:p>
        </w:tc>
        <w:tc>
          <w:tcPr>
            <w:tcW w:w="1220" w:type="dxa"/>
            <w:shd w:val="clear" w:color="auto" w:fill="auto"/>
            <w:noWrap w:val="0"/>
            <w:vAlign w:val="center"/>
          </w:tcPr>
          <w:p w14:paraId="2D1C3A3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3D3A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660B144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17</w:t>
            </w:r>
          </w:p>
        </w:tc>
        <w:tc>
          <w:tcPr>
            <w:tcW w:w="1262" w:type="dxa"/>
            <w:vMerge w:val="continue"/>
            <w:shd w:val="clear" w:color="auto" w:fill="auto"/>
            <w:noWrap w:val="0"/>
            <w:vAlign w:val="center"/>
          </w:tcPr>
          <w:p w14:paraId="258CF77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6CEC9350">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配置淋浴椅</w:t>
            </w:r>
          </w:p>
        </w:tc>
        <w:tc>
          <w:tcPr>
            <w:tcW w:w="5150" w:type="dxa"/>
            <w:shd w:val="clear" w:color="auto" w:fill="auto"/>
            <w:noWrap w:val="0"/>
            <w:vAlign w:val="center"/>
          </w:tcPr>
          <w:p w14:paraId="5C16C0A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辅助老年人洗澡用，避免老年人滑倒，提高安全性。</w:t>
            </w:r>
          </w:p>
        </w:tc>
        <w:tc>
          <w:tcPr>
            <w:tcW w:w="1220" w:type="dxa"/>
            <w:shd w:val="clear" w:color="auto" w:fill="auto"/>
            <w:noWrap w:val="0"/>
            <w:vAlign w:val="center"/>
          </w:tcPr>
          <w:p w14:paraId="2ACE395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43EB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45EF895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18</w:t>
            </w:r>
          </w:p>
        </w:tc>
        <w:tc>
          <w:tcPr>
            <w:tcW w:w="1262" w:type="dxa"/>
            <w:vMerge w:val="restart"/>
            <w:shd w:val="clear" w:color="auto" w:fill="auto"/>
            <w:noWrap w:val="0"/>
            <w:vAlign w:val="center"/>
          </w:tcPr>
          <w:p w14:paraId="0A13EB83">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（五）</w:t>
            </w:r>
          </w:p>
          <w:p w14:paraId="53B9DD5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厨房设备改造</w:t>
            </w:r>
          </w:p>
        </w:tc>
        <w:tc>
          <w:tcPr>
            <w:tcW w:w="1500" w:type="dxa"/>
            <w:shd w:val="clear" w:color="auto" w:fill="auto"/>
            <w:noWrap w:val="0"/>
            <w:vAlign w:val="center"/>
          </w:tcPr>
          <w:p w14:paraId="25E1B61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台面改造</w:t>
            </w:r>
          </w:p>
        </w:tc>
        <w:tc>
          <w:tcPr>
            <w:tcW w:w="5150" w:type="dxa"/>
            <w:shd w:val="clear" w:color="auto" w:fill="auto"/>
            <w:noWrap w:val="0"/>
            <w:vAlign w:val="center"/>
          </w:tcPr>
          <w:p w14:paraId="1D790AD5">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降低操作台、灶台、洗菜池高度或者在其下方留出容膝空间，方便乘轮椅或者体型矮小老年人操作。</w:t>
            </w:r>
          </w:p>
        </w:tc>
        <w:tc>
          <w:tcPr>
            <w:tcW w:w="1220" w:type="dxa"/>
            <w:shd w:val="clear" w:color="auto" w:fill="auto"/>
            <w:noWrap w:val="0"/>
            <w:vAlign w:val="center"/>
          </w:tcPr>
          <w:p w14:paraId="117C718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7D8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193525FE">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19</w:t>
            </w:r>
          </w:p>
        </w:tc>
        <w:tc>
          <w:tcPr>
            <w:tcW w:w="1262" w:type="dxa"/>
            <w:vMerge w:val="continue"/>
            <w:shd w:val="clear" w:color="auto" w:fill="auto"/>
            <w:noWrap w:val="0"/>
            <w:vAlign w:val="center"/>
          </w:tcPr>
          <w:p w14:paraId="413EBD8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49CE022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加设中部柜</w:t>
            </w:r>
          </w:p>
        </w:tc>
        <w:tc>
          <w:tcPr>
            <w:tcW w:w="5150" w:type="dxa"/>
            <w:shd w:val="clear" w:color="auto" w:fill="auto"/>
            <w:noWrap w:val="0"/>
            <w:vAlign w:val="center"/>
          </w:tcPr>
          <w:p w14:paraId="211E59C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在吊柜下方设置开敞式中部柜、中部架，方便老年人取放物品。</w:t>
            </w:r>
          </w:p>
        </w:tc>
        <w:tc>
          <w:tcPr>
            <w:tcW w:w="1220" w:type="dxa"/>
            <w:shd w:val="clear" w:color="auto" w:fill="auto"/>
            <w:noWrap w:val="0"/>
            <w:vAlign w:val="center"/>
          </w:tcPr>
          <w:p w14:paraId="7B49812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03DD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4" w:hRule="atLeast"/>
          <w:jc w:val="center"/>
        </w:trPr>
        <w:tc>
          <w:tcPr>
            <w:tcW w:w="571" w:type="dxa"/>
            <w:shd w:val="clear" w:color="auto" w:fill="auto"/>
            <w:noWrap w:val="0"/>
            <w:vAlign w:val="center"/>
          </w:tcPr>
          <w:p w14:paraId="1DF6E87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20</w:t>
            </w:r>
          </w:p>
        </w:tc>
        <w:tc>
          <w:tcPr>
            <w:tcW w:w="1262" w:type="dxa"/>
            <w:vMerge w:val="restart"/>
            <w:shd w:val="clear" w:color="auto" w:fill="auto"/>
            <w:noWrap w:val="0"/>
            <w:vAlign w:val="center"/>
          </w:tcPr>
          <w:p w14:paraId="6AE541F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（六）</w:t>
            </w:r>
          </w:p>
          <w:p w14:paraId="18E8ADE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物理环境改造</w:t>
            </w:r>
          </w:p>
        </w:tc>
        <w:tc>
          <w:tcPr>
            <w:tcW w:w="1500" w:type="dxa"/>
            <w:shd w:val="clear" w:color="auto" w:fill="auto"/>
            <w:noWrap w:val="0"/>
            <w:vAlign w:val="center"/>
          </w:tcPr>
          <w:p w14:paraId="29AC7A9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安装自动</w:t>
            </w:r>
          </w:p>
          <w:p w14:paraId="7935C7A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感应灯具</w:t>
            </w:r>
          </w:p>
        </w:tc>
        <w:tc>
          <w:tcPr>
            <w:tcW w:w="5150" w:type="dxa"/>
            <w:shd w:val="clear" w:color="auto" w:fill="auto"/>
            <w:noWrap w:val="0"/>
            <w:vAlign w:val="center"/>
          </w:tcPr>
          <w:p w14:paraId="0F6AA086">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安装感应便携灯，避免直射光源、强刺激性光源，人走灯灭，辅助老年人起夜使用。</w:t>
            </w:r>
          </w:p>
        </w:tc>
        <w:tc>
          <w:tcPr>
            <w:tcW w:w="1220" w:type="dxa"/>
            <w:shd w:val="clear" w:color="auto" w:fill="auto"/>
            <w:noWrap w:val="0"/>
            <w:vAlign w:val="center"/>
          </w:tcPr>
          <w:p w14:paraId="21CA914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2EC0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571" w:type="dxa"/>
            <w:shd w:val="clear" w:color="auto" w:fill="auto"/>
            <w:noWrap w:val="0"/>
            <w:vAlign w:val="center"/>
          </w:tcPr>
          <w:p w14:paraId="02B130A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w:t>
            </w:r>
          </w:p>
        </w:tc>
        <w:tc>
          <w:tcPr>
            <w:tcW w:w="1262" w:type="dxa"/>
            <w:vMerge w:val="continue"/>
            <w:shd w:val="clear" w:color="auto" w:fill="auto"/>
            <w:noWrap w:val="0"/>
            <w:vAlign w:val="center"/>
          </w:tcPr>
          <w:p w14:paraId="401D8EA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6370D9F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电源插座及开关改造</w:t>
            </w:r>
          </w:p>
        </w:tc>
        <w:tc>
          <w:tcPr>
            <w:tcW w:w="5150" w:type="dxa"/>
            <w:shd w:val="clear" w:color="auto" w:fill="auto"/>
            <w:noWrap w:val="0"/>
            <w:vAlign w:val="center"/>
          </w:tcPr>
          <w:p w14:paraId="4783D1F7">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视情进行高/低位改造，避免老年人下蹲或弯腰，方便老年人插拔电源和使用开关。</w:t>
            </w:r>
          </w:p>
        </w:tc>
        <w:tc>
          <w:tcPr>
            <w:tcW w:w="1220" w:type="dxa"/>
            <w:shd w:val="clear" w:color="auto" w:fill="auto"/>
            <w:noWrap w:val="0"/>
            <w:vAlign w:val="center"/>
          </w:tcPr>
          <w:p w14:paraId="0BFCE36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3EA3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4" w:hRule="atLeast"/>
          <w:jc w:val="center"/>
        </w:trPr>
        <w:tc>
          <w:tcPr>
            <w:tcW w:w="571" w:type="dxa"/>
            <w:shd w:val="clear" w:color="auto" w:fill="auto"/>
            <w:noWrap w:val="0"/>
            <w:vAlign w:val="center"/>
          </w:tcPr>
          <w:p w14:paraId="1D69599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22</w:t>
            </w:r>
          </w:p>
        </w:tc>
        <w:tc>
          <w:tcPr>
            <w:tcW w:w="1262" w:type="dxa"/>
            <w:vMerge w:val="continue"/>
            <w:shd w:val="clear" w:color="auto" w:fill="auto"/>
            <w:noWrap w:val="0"/>
            <w:vAlign w:val="center"/>
          </w:tcPr>
          <w:p w14:paraId="32EE503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2F949DC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安装防撞护角/防撞条、提示标识</w:t>
            </w:r>
          </w:p>
        </w:tc>
        <w:tc>
          <w:tcPr>
            <w:tcW w:w="5150" w:type="dxa"/>
            <w:shd w:val="clear" w:color="auto" w:fill="auto"/>
            <w:noWrap w:val="0"/>
            <w:vAlign w:val="center"/>
          </w:tcPr>
          <w:p w14:paraId="31D29C61">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在家具尖角或墙角安装防撞护角或者防撞条，避免老年人磕碰划伤，必要时粘贴防滑条、警示条等符合相关标准和老年人认知特点的提示标识。</w:t>
            </w:r>
          </w:p>
        </w:tc>
        <w:tc>
          <w:tcPr>
            <w:tcW w:w="1220" w:type="dxa"/>
            <w:shd w:val="clear" w:color="auto" w:fill="auto"/>
            <w:noWrap w:val="0"/>
            <w:vAlign w:val="center"/>
          </w:tcPr>
          <w:p w14:paraId="1FC37BD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7D4F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15605E35">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23</w:t>
            </w:r>
          </w:p>
        </w:tc>
        <w:tc>
          <w:tcPr>
            <w:tcW w:w="1262" w:type="dxa"/>
            <w:vMerge w:val="continue"/>
            <w:shd w:val="clear" w:color="auto" w:fill="auto"/>
            <w:noWrap w:val="0"/>
            <w:vAlign w:val="center"/>
          </w:tcPr>
          <w:p w14:paraId="2279B995">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1F21FD7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适老家具配置</w:t>
            </w:r>
          </w:p>
        </w:tc>
        <w:tc>
          <w:tcPr>
            <w:tcW w:w="5150" w:type="dxa"/>
            <w:shd w:val="clear" w:color="auto" w:fill="auto"/>
            <w:noWrap w:val="0"/>
            <w:vAlign w:val="center"/>
          </w:tcPr>
          <w:p w14:paraId="3CC4362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比如换鞋凳、适老椅、电动升降晾衣架等。</w:t>
            </w:r>
          </w:p>
        </w:tc>
        <w:tc>
          <w:tcPr>
            <w:tcW w:w="1220" w:type="dxa"/>
            <w:shd w:val="clear" w:color="auto" w:fill="auto"/>
            <w:noWrap w:val="0"/>
            <w:vAlign w:val="center"/>
          </w:tcPr>
          <w:p w14:paraId="34D7AA2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5667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4002467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24</w:t>
            </w:r>
          </w:p>
        </w:tc>
        <w:tc>
          <w:tcPr>
            <w:tcW w:w="1262" w:type="dxa"/>
            <w:vMerge w:val="restart"/>
            <w:shd w:val="clear" w:color="auto" w:fill="auto"/>
            <w:noWrap w:val="0"/>
            <w:vAlign w:val="center"/>
          </w:tcPr>
          <w:p w14:paraId="4536551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（七）</w:t>
            </w:r>
          </w:p>
          <w:p w14:paraId="77C9588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老年用品</w:t>
            </w:r>
          </w:p>
          <w:p w14:paraId="787CBBA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配置</w:t>
            </w:r>
          </w:p>
        </w:tc>
        <w:tc>
          <w:tcPr>
            <w:tcW w:w="1500" w:type="dxa"/>
            <w:shd w:val="clear" w:color="auto" w:fill="auto"/>
            <w:noWrap w:val="0"/>
            <w:vAlign w:val="center"/>
          </w:tcPr>
          <w:p w14:paraId="7276911E">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手杖</w:t>
            </w:r>
          </w:p>
        </w:tc>
        <w:tc>
          <w:tcPr>
            <w:tcW w:w="5150" w:type="dxa"/>
            <w:shd w:val="clear" w:color="auto" w:fill="auto"/>
            <w:noWrap w:val="0"/>
            <w:vAlign w:val="center"/>
          </w:tcPr>
          <w:p w14:paraId="0DA655C4">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辅助老年人平稳站立和行走，包含三脚或四脚手杖、凳拐等。</w:t>
            </w:r>
          </w:p>
        </w:tc>
        <w:tc>
          <w:tcPr>
            <w:tcW w:w="1220" w:type="dxa"/>
            <w:shd w:val="clear" w:color="auto" w:fill="auto"/>
            <w:noWrap w:val="0"/>
            <w:vAlign w:val="center"/>
          </w:tcPr>
          <w:p w14:paraId="62D1313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11E0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793996C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25</w:t>
            </w:r>
          </w:p>
        </w:tc>
        <w:tc>
          <w:tcPr>
            <w:tcW w:w="1262" w:type="dxa"/>
            <w:vMerge w:val="continue"/>
            <w:shd w:val="clear" w:color="auto" w:fill="auto"/>
            <w:noWrap w:val="0"/>
            <w:vAlign w:val="center"/>
          </w:tcPr>
          <w:p w14:paraId="62B6895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06D3E94E">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轮椅/助行器</w:t>
            </w:r>
          </w:p>
        </w:tc>
        <w:tc>
          <w:tcPr>
            <w:tcW w:w="5150" w:type="dxa"/>
            <w:shd w:val="clear" w:color="auto" w:fill="auto"/>
            <w:noWrap w:val="0"/>
            <w:vAlign w:val="center"/>
          </w:tcPr>
          <w:p w14:paraId="453F940C">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辅助家人、照护人员推行/帮助老年人站立行走，扩大老年人活动空间。</w:t>
            </w:r>
          </w:p>
        </w:tc>
        <w:tc>
          <w:tcPr>
            <w:tcW w:w="1220" w:type="dxa"/>
            <w:shd w:val="clear" w:color="auto" w:fill="auto"/>
            <w:noWrap w:val="0"/>
            <w:vAlign w:val="center"/>
          </w:tcPr>
          <w:p w14:paraId="3C5A78D9">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44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7765BDD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26</w:t>
            </w:r>
          </w:p>
        </w:tc>
        <w:tc>
          <w:tcPr>
            <w:tcW w:w="1262" w:type="dxa"/>
            <w:vMerge w:val="continue"/>
            <w:shd w:val="clear" w:color="auto" w:fill="auto"/>
            <w:noWrap w:val="0"/>
            <w:vAlign w:val="center"/>
          </w:tcPr>
          <w:p w14:paraId="414A3190">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2EC6593F">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放大装置</w:t>
            </w:r>
          </w:p>
        </w:tc>
        <w:tc>
          <w:tcPr>
            <w:tcW w:w="5150" w:type="dxa"/>
            <w:shd w:val="clear" w:color="auto" w:fill="auto"/>
            <w:noWrap w:val="0"/>
            <w:vAlign w:val="center"/>
          </w:tcPr>
          <w:p w14:paraId="199B09C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运用光学/电子原理进行影像放大，方便老年人近用。</w:t>
            </w:r>
          </w:p>
        </w:tc>
        <w:tc>
          <w:tcPr>
            <w:tcW w:w="1220" w:type="dxa"/>
            <w:shd w:val="clear" w:color="auto" w:fill="auto"/>
            <w:noWrap w:val="0"/>
            <w:vAlign w:val="center"/>
          </w:tcPr>
          <w:p w14:paraId="7F048F5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35E1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66929D7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27</w:t>
            </w:r>
          </w:p>
        </w:tc>
        <w:tc>
          <w:tcPr>
            <w:tcW w:w="1262" w:type="dxa"/>
            <w:vMerge w:val="continue"/>
            <w:shd w:val="clear" w:color="auto" w:fill="auto"/>
            <w:noWrap w:val="0"/>
            <w:vAlign w:val="center"/>
          </w:tcPr>
          <w:p w14:paraId="6EAF49D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3653A8B2">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助听器</w:t>
            </w:r>
          </w:p>
        </w:tc>
        <w:tc>
          <w:tcPr>
            <w:tcW w:w="5150" w:type="dxa"/>
            <w:shd w:val="clear" w:color="auto" w:fill="auto"/>
            <w:noWrap w:val="0"/>
            <w:vAlign w:val="center"/>
          </w:tcPr>
          <w:p w14:paraId="564F385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帮助老年人听清声音来源，增加与周围的交流，包括盒式助听器、耳内助听器、耳背助听器、骨导助听器等。</w:t>
            </w:r>
          </w:p>
        </w:tc>
        <w:tc>
          <w:tcPr>
            <w:tcW w:w="1220" w:type="dxa"/>
            <w:shd w:val="clear" w:color="auto" w:fill="auto"/>
            <w:noWrap w:val="0"/>
            <w:vAlign w:val="center"/>
          </w:tcPr>
          <w:p w14:paraId="64592DE4">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4C9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28B18C93">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28</w:t>
            </w:r>
          </w:p>
        </w:tc>
        <w:tc>
          <w:tcPr>
            <w:tcW w:w="1262" w:type="dxa"/>
            <w:vMerge w:val="continue"/>
            <w:shd w:val="clear" w:color="auto" w:fill="auto"/>
            <w:noWrap w:val="0"/>
            <w:vAlign w:val="center"/>
          </w:tcPr>
          <w:p w14:paraId="44B85766">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7F1EBD0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自助进食器具</w:t>
            </w:r>
          </w:p>
        </w:tc>
        <w:tc>
          <w:tcPr>
            <w:tcW w:w="5150" w:type="dxa"/>
            <w:shd w:val="clear" w:color="auto" w:fill="auto"/>
            <w:noWrap w:val="0"/>
            <w:vAlign w:val="center"/>
          </w:tcPr>
          <w:p w14:paraId="22B43969">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辅助老年人进食，包括防洒碗（盘）、助食筷、弯柄勺（叉）、饮水杯（壶）等。</w:t>
            </w:r>
          </w:p>
        </w:tc>
        <w:tc>
          <w:tcPr>
            <w:tcW w:w="1220" w:type="dxa"/>
            <w:shd w:val="clear" w:color="auto" w:fill="auto"/>
            <w:noWrap w:val="0"/>
            <w:vAlign w:val="center"/>
          </w:tcPr>
          <w:p w14:paraId="32CC4CF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r w14:paraId="25DA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62A96267">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29</w:t>
            </w:r>
          </w:p>
        </w:tc>
        <w:tc>
          <w:tcPr>
            <w:tcW w:w="1262" w:type="dxa"/>
            <w:vMerge w:val="continue"/>
            <w:shd w:val="clear" w:color="auto" w:fill="auto"/>
            <w:noWrap w:val="0"/>
            <w:vAlign w:val="center"/>
          </w:tcPr>
          <w:p w14:paraId="471A2A8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276D7AAA">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防走失装置</w:t>
            </w:r>
          </w:p>
        </w:tc>
        <w:tc>
          <w:tcPr>
            <w:tcW w:w="5150" w:type="dxa"/>
            <w:shd w:val="clear" w:color="auto" w:fill="auto"/>
            <w:noWrap w:val="0"/>
            <w:vAlign w:val="center"/>
          </w:tcPr>
          <w:p w14:paraId="208A7F4C">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用于监测失智老年人或其他精神障碍老年人定位，避免老年人走失，包括防走失手环、防走失胸卡等。</w:t>
            </w:r>
          </w:p>
        </w:tc>
        <w:tc>
          <w:tcPr>
            <w:tcW w:w="1220" w:type="dxa"/>
            <w:shd w:val="clear" w:color="auto" w:fill="auto"/>
            <w:noWrap w:val="0"/>
            <w:vAlign w:val="center"/>
          </w:tcPr>
          <w:p w14:paraId="300B2CA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基础</w:t>
            </w:r>
          </w:p>
        </w:tc>
      </w:tr>
      <w:tr w14:paraId="684B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571" w:type="dxa"/>
            <w:shd w:val="clear" w:color="auto" w:fill="auto"/>
            <w:noWrap w:val="0"/>
            <w:vAlign w:val="center"/>
          </w:tcPr>
          <w:p w14:paraId="3D9F4501">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30</w:t>
            </w:r>
          </w:p>
        </w:tc>
        <w:tc>
          <w:tcPr>
            <w:tcW w:w="1262" w:type="dxa"/>
            <w:vMerge w:val="continue"/>
            <w:shd w:val="clear" w:color="auto" w:fill="auto"/>
            <w:noWrap w:val="0"/>
            <w:vAlign w:val="center"/>
          </w:tcPr>
          <w:p w14:paraId="6B2D7138">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p>
        </w:tc>
        <w:tc>
          <w:tcPr>
            <w:tcW w:w="1500" w:type="dxa"/>
            <w:shd w:val="clear" w:color="auto" w:fill="auto"/>
            <w:noWrap w:val="0"/>
            <w:vAlign w:val="center"/>
          </w:tcPr>
          <w:p w14:paraId="045913CB">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安全监控装置</w:t>
            </w:r>
          </w:p>
        </w:tc>
        <w:tc>
          <w:tcPr>
            <w:tcW w:w="5150" w:type="dxa"/>
            <w:shd w:val="clear" w:color="auto" w:fill="auto"/>
            <w:noWrap w:val="0"/>
            <w:vAlign w:val="center"/>
          </w:tcPr>
          <w:p w14:paraId="6DF2224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佩戴于人体或安装在居家环境中，用于监测老年人动作或者居室环境，发生险情时及时报警。包括红外探测器、紧急呼叫器、烟雾/煤气泄露/溢水报警器等。</w:t>
            </w:r>
          </w:p>
        </w:tc>
        <w:tc>
          <w:tcPr>
            <w:tcW w:w="1220" w:type="dxa"/>
            <w:shd w:val="clear" w:color="auto" w:fill="auto"/>
            <w:noWrap w:val="0"/>
            <w:vAlign w:val="center"/>
          </w:tcPr>
          <w:p w14:paraId="6D2A99FC">
            <w:pPr>
              <w:keepNext w:val="0"/>
              <w:keepLines w:val="0"/>
              <w:widowControl/>
              <w:numPr>
                <w:ilvl w:val="0"/>
                <w:numId w:val="0"/>
              </w:numPr>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可选</w:t>
            </w:r>
          </w:p>
        </w:tc>
      </w:tr>
    </w:tbl>
    <w:p w14:paraId="04A6F25A">
      <w:pPr>
        <w:keepNext w:val="0"/>
        <w:keepLines w:val="0"/>
        <w:widowControl/>
        <w:numPr>
          <w:ilvl w:val="0"/>
          <w:numId w:val="0"/>
        </w:numPr>
        <w:suppressLineNumbers w:val="0"/>
        <w:jc w:val="left"/>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附件 4</w:t>
      </w:r>
    </w:p>
    <w:p w14:paraId="679161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特殊困难老年人家庭适老化改造申请表</w:t>
      </w:r>
      <w:r>
        <w:rPr>
          <w:rFonts w:hint="eastAsia" w:ascii="方正小标宋简体" w:hAnsi="方正小标宋简体" w:eastAsia="方正小标宋简体" w:cs="方正小标宋简体"/>
          <w:color w:val="auto"/>
          <w:kern w:val="0"/>
          <w:sz w:val="44"/>
          <w:szCs w:val="44"/>
          <w:highlight w:val="none"/>
          <w:lang w:val="en-US" w:eastAsia="zh-CN" w:bidi="ar"/>
        </w:rPr>
        <w:t xml:space="preserve"> </w:t>
      </w:r>
    </w:p>
    <w:p w14:paraId="2E1BFB2E">
      <w:pPr>
        <w:keepNext w:val="0"/>
        <w:keepLines w:val="0"/>
        <w:widowControl/>
        <w:suppressLineNumbers w:val="0"/>
        <w:jc w:val="both"/>
        <w:rPr>
          <w:rFonts w:hint="eastAsia" w:ascii="黑体" w:hAnsi="黑体" w:eastAsia="黑体" w:cs="黑体"/>
          <w:color w:val="auto"/>
          <w:kern w:val="0"/>
          <w:sz w:val="21"/>
          <w:szCs w:val="21"/>
          <w:highlight w:val="none"/>
          <w:lang w:val="en-US" w:eastAsia="zh-CN" w:bidi="ar"/>
        </w:rPr>
      </w:pPr>
    </w:p>
    <w:tbl>
      <w:tblPr>
        <w:tblStyle w:val="25"/>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2360"/>
        <w:gridCol w:w="815"/>
        <w:gridCol w:w="1462"/>
        <w:gridCol w:w="1600"/>
        <w:gridCol w:w="2825"/>
      </w:tblGrid>
      <w:tr w14:paraId="06BA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5D0574E9">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老年人姓名</w:t>
            </w:r>
          </w:p>
        </w:tc>
        <w:tc>
          <w:tcPr>
            <w:tcW w:w="2360" w:type="dxa"/>
            <w:noWrap w:val="0"/>
            <w:vAlign w:val="top"/>
          </w:tcPr>
          <w:p w14:paraId="19338D2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815" w:type="dxa"/>
            <w:noWrap w:val="0"/>
            <w:vAlign w:val="top"/>
          </w:tcPr>
          <w:p w14:paraId="096FE549">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性别</w:t>
            </w:r>
          </w:p>
        </w:tc>
        <w:tc>
          <w:tcPr>
            <w:tcW w:w="1462" w:type="dxa"/>
            <w:noWrap w:val="0"/>
            <w:vAlign w:val="top"/>
          </w:tcPr>
          <w:p w14:paraId="30D6F5FF">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1600" w:type="dxa"/>
            <w:noWrap w:val="0"/>
            <w:vAlign w:val="top"/>
          </w:tcPr>
          <w:p w14:paraId="66D4A477">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身份证号码</w:t>
            </w:r>
          </w:p>
        </w:tc>
        <w:tc>
          <w:tcPr>
            <w:tcW w:w="2825" w:type="dxa"/>
            <w:noWrap w:val="0"/>
            <w:vAlign w:val="top"/>
          </w:tcPr>
          <w:p w14:paraId="5763CAE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6675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706B441F">
            <w:pPr>
              <w:keepNext w:val="0"/>
              <w:keepLines w:val="0"/>
              <w:widowControl/>
              <w:suppressLineNumbers w:val="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户籍所在地</w:t>
            </w:r>
          </w:p>
        </w:tc>
        <w:tc>
          <w:tcPr>
            <w:tcW w:w="9062" w:type="dxa"/>
            <w:gridSpan w:val="5"/>
            <w:noWrap w:val="0"/>
            <w:vAlign w:val="top"/>
          </w:tcPr>
          <w:p w14:paraId="06AC41C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7843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4D32848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申请改造家庭住址</w:t>
            </w:r>
          </w:p>
        </w:tc>
        <w:tc>
          <w:tcPr>
            <w:tcW w:w="9062" w:type="dxa"/>
            <w:gridSpan w:val="5"/>
            <w:noWrap w:val="0"/>
            <w:vAlign w:val="top"/>
          </w:tcPr>
          <w:p w14:paraId="29751BA1">
            <w:pPr>
              <w:keepNext w:val="0"/>
              <w:keepLines w:val="0"/>
              <w:widowControl/>
              <w:suppressLineNumbers w:val="0"/>
              <w:spacing w:line="480" w:lineRule="auto"/>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（详细地址）</w:t>
            </w:r>
          </w:p>
        </w:tc>
      </w:tr>
      <w:tr w14:paraId="516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313BEEB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住宅情况</w:t>
            </w:r>
          </w:p>
        </w:tc>
        <w:tc>
          <w:tcPr>
            <w:tcW w:w="3175" w:type="dxa"/>
            <w:gridSpan w:val="2"/>
            <w:noWrap w:val="0"/>
            <w:vAlign w:val="top"/>
          </w:tcPr>
          <w:p w14:paraId="4F70F3CC">
            <w:pPr>
              <w:keepNext w:val="0"/>
              <w:keepLines w:val="0"/>
              <w:widowControl/>
              <w:suppressLineNumbers w:val="0"/>
              <w:ind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sym w:font="Wingdings 2" w:char="00A3"/>
            </w:r>
            <w:r>
              <w:rPr>
                <w:rFonts w:hint="eastAsia" w:ascii="仿宋" w:hAnsi="仿宋" w:eastAsia="仿宋" w:cs="仿宋"/>
                <w:color w:val="auto"/>
                <w:kern w:val="0"/>
                <w:sz w:val="24"/>
                <w:szCs w:val="24"/>
                <w:highlight w:val="none"/>
                <w:lang w:val="en-US" w:eastAsia="zh-CN" w:bidi="ar"/>
              </w:rPr>
              <w:t xml:space="preserve">自有  </w:t>
            </w:r>
            <w:r>
              <w:rPr>
                <w:rFonts w:hint="eastAsia" w:ascii="仿宋" w:hAnsi="仿宋" w:eastAsia="仿宋" w:cs="仿宋"/>
                <w:color w:val="auto"/>
                <w:kern w:val="0"/>
                <w:sz w:val="24"/>
                <w:szCs w:val="24"/>
                <w:highlight w:val="none"/>
                <w:lang w:val="en-US" w:eastAsia="zh-CN" w:bidi="ar"/>
              </w:rPr>
              <w:sym w:font="Wingdings 2" w:char="00A3"/>
            </w:r>
            <w:r>
              <w:rPr>
                <w:rFonts w:hint="eastAsia" w:ascii="仿宋" w:hAnsi="仿宋" w:eastAsia="仿宋" w:cs="仿宋"/>
                <w:color w:val="auto"/>
                <w:kern w:val="0"/>
                <w:sz w:val="24"/>
                <w:szCs w:val="24"/>
                <w:highlight w:val="none"/>
                <w:lang w:val="en-US" w:eastAsia="zh-CN" w:bidi="ar"/>
              </w:rPr>
              <w:t>非自有</w:t>
            </w:r>
          </w:p>
        </w:tc>
        <w:tc>
          <w:tcPr>
            <w:tcW w:w="3062" w:type="dxa"/>
            <w:gridSpan w:val="2"/>
            <w:noWrap w:val="0"/>
            <w:vAlign w:val="top"/>
          </w:tcPr>
          <w:p w14:paraId="268F15CF">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家庭人数</w:t>
            </w:r>
          </w:p>
        </w:tc>
        <w:tc>
          <w:tcPr>
            <w:tcW w:w="2825" w:type="dxa"/>
            <w:noWrap w:val="0"/>
            <w:vAlign w:val="top"/>
          </w:tcPr>
          <w:p w14:paraId="240550D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057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3923B8C1">
            <w:pPr>
              <w:keepNext w:val="0"/>
              <w:keepLines w:val="0"/>
              <w:widowControl/>
              <w:suppressLineNumbers w:val="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家庭联系人</w:t>
            </w:r>
          </w:p>
        </w:tc>
        <w:tc>
          <w:tcPr>
            <w:tcW w:w="3175" w:type="dxa"/>
            <w:gridSpan w:val="2"/>
            <w:noWrap w:val="0"/>
            <w:vAlign w:val="top"/>
          </w:tcPr>
          <w:p w14:paraId="5C8FE24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3062" w:type="dxa"/>
            <w:gridSpan w:val="2"/>
            <w:noWrap w:val="0"/>
            <w:vAlign w:val="top"/>
          </w:tcPr>
          <w:p w14:paraId="22D05AE0">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联系电话</w:t>
            </w:r>
          </w:p>
        </w:tc>
        <w:tc>
          <w:tcPr>
            <w:tcW w:w="2825" w:type="dxa"/>
            <w:noWrap w:val="0"/>
            <w:vAlign w:val="top"/>
          </w:tcPr>
          <w:p w14:paraId="6A4150A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42A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1080912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6FF3FD9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身份</w:t>
            </w:r>
          </w:p>
          <w:p w14:paraId="1ED4F6DA">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特征</w:t>
            </w:r>
          </w:p>
        </w:tc>
        <w:tc>
          <w:tcPr>
            <w:tcW w:w="9062" w:type="dxa"/>
            <w:gridSpan w:val="5"/>
            <w:noWrap w:val="0"/>
            <w:vAlign w:val="top"/>
          </w:tcPr>
          <w:p w14:paraId="42799D6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□分散供养中特困人员范围的高龄、失能、残疾老年人家庭； </w:t>
            </w:r>
          </w:p>
          <w:p w14:paraId="135FBB0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□城乡低保对象中的高龄、失能、留守、空巢、残疾老年人家庭；</w:t>
            </w:r>
          </w:p>
          <w:p w14:paraId="0D07B86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□计划生育特殊家庭；</w:t>
            </w:r>
            <w:r>
              <w:rPr>
                <w:rFonts w:hint="default"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CN" w:bidi="ar"/>
              </w:rPr>
              <w:t xml:space="preserve">□其他 </w:t>
            </w:r>
          </w:p>
          <w:p w14:paraId="31F4E10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（在所选项后□内划“√”，并附相关证明材料）</w:t>
            </w:r>
          </w:p>
        </w:tc>
      </w:tr>
      <w:tr w14:paraId="6AFA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12D7E39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38D4C0A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14402C3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申请改造</w:t>
            </w:r>
          </w:p>
          <w:p w14:paraId="0D5773CA">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项目</w:t>
            </w:r>
          </w:p>
        </w:tc>
        <w:tc>
          <w:tcPr>
            <w:tcW w:w="9062" w:type="dxa"/>
            <w:gridSpan w:val="5"/>
            <w:noWrap w:val="0"/>
            <w:vAlign w:val="top"/>
          </w:tcPr>
          <w:p w14:paraId="365B63A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基础类：□防滑处理  □高差处理  □安装床边护栏（抓杆） □安装扶手 </w:t>
            </w:r>
          </w:p>
          <w:p w14:paraId="33B585B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□配置淋浴椅 □手杖 □防走失装置 </w:t>
            </w:r>
          </w:p>
          <w:p w14:paraId="66764DB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可选类： </w:t>
            </w:r>
          </w:p>
          <w:p w14:paraId="1FD54D6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65B6A232">
            <w:pPr>
              <w:keepNext w:val="0"/>
              <w:keepLines w:val="0"/>
              <w:widowControl/>
              <w:suppressLineNumbers w:val="0"/>
              <w:ind w:firstLine="5520" w:firstLineChars="23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申请人签字： </w:t>
            </w:r>
          </w:p>
          <w:p w14:paraId="5AAC9A41">
            <w:pPr>
              <w:keepNext w:val="0"/>
              <w:keepLines w:val="0"/>
              <w:widowControl/>
              <w:suppressLineNumbers w:val="0"/>
              <w:ind w:firstLine="7680" w:firstLineChars="3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年 月 日 </w:t>
            </w:r>
          </w:p>
        </w:tc>
      </w:tr>
      <w:tr w14:paraId="5675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6A87982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07A50EC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社区 </w:t>
            </w:r>
          </w:p>
          <w:p w14:paraId="6A1ACFE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（村） </w:t>
            </w:r>
          </w:p>
          <w:p w14:paraId="636DBFC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意见</w:t>
            </w:r>
          </w:p>
          <w:p w14:paraId="3C76C6A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9062" w:type="dxa"/>
            <w:gridSpan w:val="5"/>
            <w:noWrap w:val="0"/>
            <w:vAlign w:val="top"/>
          </w:tcPr>
          <w:p w14:paraId="7F1DBF4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76A7E22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初审人签字： </w:t>
            </w:r>
          </w:p>
          <w:p w14:paraId="0818CC2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6756076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初审单位（盖章）： </w:t>
            </w:r>
          </w:p>
          <w:p w14:paraId="51A699AF">
            <w:pPr>
              <w:keepNext w:val="0"/>
              <w:keepLines w:val="0"/>
              <w:widowControl/>
              <w:suppressLineNumbers w:val="0"/>
              <w:jc w:val="righ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年  月  日</w:t>
            </w:r>
          </w:p>
        </w:tc>
      </w:tr>
      <w:tr w14:paraId="69CD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2CA1EC0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6305915F">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街道</w:t>
            </w:r>
          </w:p>
          <w:p w14:paraId="32411209">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（乡镇）</w:t>
            </w:r>
          </w:p>
          <w:p w14:paraId="28F8360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意见</w:t>
            </w:r>
          </w:p>
        </w:tc>
        <w:tc>
          <w:tcPr>
            <w:tcW w:w="9062" w:type="dxa"/>
            <w:gridSpan w:val="5"/>
            <w:noWrap w:val="0"/>
            <w:vAlign w:val="top"/>
          </w:tcPr>
          <w:p w14:paraId="1F29500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77454CB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审核人签字： </w:t>
            </w:r>
          </w:p>
          <w:p w14:paraId="3BFBAFC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0F1CD0D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审核单位（盖章）： </w:t>
            </w:r>
          </w:p>
          <w:p w14:paraId="5EA37B3E">
            <w:pPr>
              <w:keepNext w:val="0"/>
              <w:keepLines w:val="0"/>
              <w:widowControl/>
              <w:suppressLineNumbers w:val="0"/>
              <w:jc w:val="righ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年  月  日</w:t>
            </w:r>
          </w:p>
        </w:tc>
      </w:tr>
      <w:tr w14:paraId="1892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top"/>
          </w:tcPr>
          <w:p w14:paraId="0C403D5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4965E49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县（市、 区）民 政部门</w:t>
            </w:r>
          </w:p>
          <w:p w14:paraId="3FDA314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意见</w:t>
            </w:r>
          </w:p>
          <w:p w14:paraId="0B9FA4D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9062" w:type="dxa"/>
            <w:gridSpan w:val="5"/>
            <w:noWrap w:val="0"/>
            <w:vAlign w:val="top"/>
          </w:tcPr>
          <w:p w14:paraId="6575B87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65977AD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审批人签字： </w:t>
            </w:r>
          </w:p>
          <w:p w14:paraId="36F6368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135E66C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审批单位（盖章）： </w:t>
            </w:r>
          </w:p>
          <w:p w14:paraId="1340D7AB">
            <w:pPr>
              <w:keepNext w:val="0"/>
              <w:keepLines w:val="0"/>
              <w:widowControl/>
              <w:suppressLineNumbers w:val="0"/>
              <w:jc w:val="righ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年  月  日</w:t>
            </w:r>
          </w:p>
        </w:tc>
      </w:tr>
    </w:tbl>
    <w:p w14:paraId="50EC82BA">
      <w:pPr>
        <w:keepNext w:val="0"/>
        <w:keepLines w:val="0"/>
        <w:widowControl/>
        <w:suppressLineNumbers w:val="0"/>
        <w:jc w:val="both"/>
        <w:rPr>
          <w:rFonts w:hint="eastAsia" w:ascii="黑体" w:hAnsi="黑体" w:eastAsia="黑体" w:cs="黑体"/>
          <w:color w:val="auto"/>
          <w:kern w:val="0"/>
          <w:sz w:val="24"/>
          <w:szCs w:val="24"/>
          <w:highlight w:val="none"/>
          <w:lang w:val="en-US" w:eastAsia="zh-CN" w:bidi="ar"/>
        </w:rPr>
      </w:pPr>
    </w:p>
    <w:p w14:paraId="74E7C8E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此表由村（社区）干部代为填写并录入电子版）</w:t>
      </w:r>
    </w:p>
    <w:p w14:paraId="1F8F11D7">
      <w:pPr>
        <w:keepNext w:val="0"/>
        <w:keepLines w:val="0"/>
        <w:widowControl/>
        <w:numPr>
          <w:ilvl w:val="0"/>
          <w:numId w:val="0"/>
        </w:numPr>
        <w:suppressLineNumbers w:val="0"/>
        <w:jc w:val="left"/>
        <w:rPr>
          <w:rFonts w:hint="default" w:ascii="仿宋_GB2312" w:hAnsi="仿宋_GB2312" w:eastAsia="仿宋_GB2312" w:cs="仿宋_GB2312"/>
          <w:color w:val="auto"/>
          <w:kern w:val="0"/>
          <w:sz w:val="24"/>
          <w:szCs w:val="24"/>
          <w:highlight w:val="none"/>
          <w:lang w:val="en-US" w:eastAsia="zh-CN" w:bidi="ar"/>
        </w:rPr>
      </w:pPr>
    </w:p>
    <w:p w14:paraId="75584A95">
      <w:pPr>
        <w:keepNext w:val="0"/>
        <w:keepLines w:val="0"/>
        <w:widowControl/>
        <w:numPr>
          <w:ilvl w:val="0"/>
          <w:numId w:val="0"/>
        </w:numPr>
        <w:suppressLineNumbers w:val="0"/>
        <w:jc w:val="left"/>
        <w:rPr>
          <w:rFonts w:ascii="仿宋_GB2312" w:hAnsi="仿宋_GB2312" w:eastAsia="仿宋_GB2312" w:cs="仿宋_GB2312"/>
          <w:color w:val="auto"/>
          <w:kern w:val="0"/>
          <w:sz w:val="28"/>
          <w:szCs w:val="28"/>
          <w:highlight w:val="none"/>
          <w:lang w:val="en-US" w:eastAsia="zh-CN" w:bidi="ar"/>
        </w:rPr>
      </w:pPr>
    </w:p>
    <w:p w14:paraId="23D54178">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8"/>
          <w:szCs w:val="28"/>
          <w:highlight w:val="none"/>
          <w:lang w:val="en-US" w:eastAsia="zh-CN" w:bidi="ar"/>
        </w:rPr>
      </w:pPr>
    </w:p>
    <w:p w14:paraId="77CAEA07">
      <w:pPr>
        <w:keepNext w:val="0"/>
        <w:keepLines w:val="0"/>
        <w:widowControl/>
        <w:numPr>
          <w:ilvl w:val="0"/>
          <w:numId w:val="0"/>
        </w:numPr>
        <w:suppressLineNumbers w:val="0"/>
        <w:jc w:val="left"/>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附件 5</w:t>
      </w:r>
    </w:p>
    <w:p w14:paraId="02BF4B1A">
      <w:pPr>
        <w:keepNext w:val="0"/>
        <w:keepLines w:val="0"/>
        <w:widowControl/>
        <w:numPr>
          <w:ilvl w:val="0"/>
          <w:numId w:val="0"/>
        </w:numPr>
        <w:suppressLineNumbers w:val="0"/>
        <w:jc w:val="center"/>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特殊困难老年人家庭适老化改造需求</w:t>
      </w:r>
    </w:p>
    <w:p w14:paraId="1A82C3E1">
      <w:pPr>
        <w:keepNext w:val="0"/>
        <w:keepLines w:val="0"/>
        <w:widowControl/>
        <w:numPr>
          <w:ilvl w:val="0"/>
          <w:numId w:val="0"/>
        </w:numPr>
        <w:suppressLineNumbers w:val="0"/>
        <w:jc w:val="center"/>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评估确认表</w:t>
      </w:r>
    </w:p>
    <w:p w14:paraId="13E4AF9B">
      <w:pPr>
        <w:keepNext w:val="0"/>
        <w:keepLines w:val="0"/>
        <w:widowControl/>
        <w:suppressLineNumbers w:val="0"/>
        <w:jc w:val="center"/>
        <w:rPr>
          <w:rFonts w:hint="default" w:ascii="黑体" w:hAnsi="黑体" w:eastAsia="黑体" w:cs="黑体"/>
          <w:color w:val="auto"/>
          <w:kern w:val="0"/>
          <w:sz w:val="21"/>
          <w:szCs w:val="21"/>
          <w:highlight w:val="none"/>
          <w:lang w:val="en-US" w:eastAsia="zh-CN" w:bidi="ar"/>
        </w:rPr>
      </w:pPr>
    </w:p>
    <w:tbl>
      <w:tblPr>
        <w:tblStyle w:val="25"/>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2023"/>
        <w:gridCol w:w="1420"/>
        <w:gridCol w:w="1420"/>
        <w:gridCol w:w="1421"/>
        <w:gridCol w:w="2391"/>
      </w:tblGrid>
      <w:tr w14:paraId="626D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noWrap w:val="0"/>
            <w:vAlign w:val="top"/>
          </w:tcPr>
          <w:p w14:paraId="5D4FAB17">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家庭住址</w:t>
            </w:r>
          </w:p>
        </w:tc>
        <w:tc>
          <w:tcPr>
            <w:tcW w:w="8675" w:type="dxa"/>
            <w:gridSpan w:val="5"/>
            <w:noWrap w:val="0"/>
            <w:vAlign w:val="top"/>
          </w:tcPr>
          <w:p w14:paraId="4637541F">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B31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noWrap w:val="0"/>
            <w:vAlign w:val="top"/>
          </w:tcPr>
          <w:p w14:paraId="4E4006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家庭基本情况</w:t>
            </w:r>
          </w:p>
        </w:tc>
        <w:tc>
          <w:tcPr>
            <w:tcW w:w="8675" w:type="dxa"/>
            <w:gridSpan w:val="5"/>
            <w:noWrap w:val="0"/>
            <w:vAlign w:val="top"/>
          </w:tcPr>
          <w:p w14:paraId="7934EAF1">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r>
              <w:rPr>
                <w:rFonts w:ascii="仿宋_GB2312" w:hAnsi="仿宋_GB2312" w:eastAsia="仿宋_GB2312" w:cs="仿宋_GB2312"/>
                <w:color w:val="auto"/>
                <w:kern w:val="0"/>
                <w:sz w:val="24"/>
                <w:szCs w:val="24"/>
                <w:highlight w:val="none"/>
                <w:lang w:val="en-US" w:eastAsia="zh-CN" w:bidi="ar"/>
              </w:rPr>
              <w:t>（包括常住人数、子女情况、探望情况等）</w:t>
            </w:r>
          </w:p>
        </w:tc>
      </w:tr>
      <w:tr w14:paraId="171E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restart"/>
            <w:noWrap w:val="0"/>
            <w:vAlign w:val="top"/>
          </w:tcPr>
          <w:p w14:paraId="5FEA2583">
            <w:pPr>
              <w:keepNext w:val="0"/>
              <w:keepLines w:val="0"/>
              <w:widowControl/>
              <w:suppressLineNumbers w:val="0"/>
              <w:spacing w:line="480" w:lineRule="auto"/>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老年人情况</w:t>
            </w:r>
          </w:p>
        </w:tc>
        <w:tc>
          <w:tcPr>
            <w:tcW w:w="2023" w:type="dxa"/>
            <w:noWrap w:val="0"/>
            <w:vAlign w:val="top"/>
          </w:tcPr>
          <w:p w14:paraId="1399BFB0">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老年人人数</w:t>
            </w:r>
          </w:p>
        </w:tc>
        <w:tc>
          <w:tcPr>
            <w:tcW w:w="1420" w:type="dxa"/>
            <w:noWrap w:val="0"/>
            <w:vAlign w:val="top"/>
          </w:tcPr>
          <w:p w14:paraId="2CC8F4B9">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vMerge w:val="restart"/>
            <w:noWrap w:val="0"/>
            <w:vAlign w:val="top"/>
          </w:tcPr>
          <w:p w14:paraId="149C500A">
            <w:pPr>
              <w:keepNext w:val="0"/>
              <w:keepLines w:val="0"/>
              <w:widowControl/>
              <w:numPr>
                <w:ilvl w:val="0"/>
                <w:numId w:val="0"/>
              </w:numPr>
              <w:suppressLineNumbers w:val="0"/>
              <w:spacing w:line="480" w:lineRule="auto"/>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身体状况</w:t>
            </w:r>
          </w:p>
        </w:tc>
        <w:tc>
          <w:tcPr>
            <w:tcW w:w="3812" w:type="dxa"/>
            <w:gridSpan w:val="2"/>
            <w:vMerge w:val="restart"/>
            <w:noWrap w:val="0"/>
            <w:vAlign w:val="top"/>
          </w:tcPr>
          <w:p w14:paraId="29B0DA07">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2B44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07EAA00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1A5CC7A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是否使用轮椅</w:t>
            </w:r>
          </w:p>
        </w:tc>
        <w:tc>
          <w:tcPr>
            <w:tcW w:w="1420" w:type="dxa"/>
            <w:noWrap w:val="0"/>
            <w:vAlign w:val="top"/>
          </w:tcPr>
          <w:p w14:paraId="5D8F3A47">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vMerge w:val="continue"/>
            <w:noWrap w:val="0"/>
            <w:vAlign w:val="top"/>
          </w:tcPr>
          <w:p w14:paraId="68124BD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812" w:type="dxa"/>
            <w:gridSpan w:val="2"/>
            <w:vMerge w:val="continue"/>
            <w:noWrap w:val="0"/>
            <w:vAlign w:val="top"/>
          </w:tcPr>
          <w:p w14:paraId="79B439E4">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22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restart"/>
            <w:noWrap w:val="0"/>
            <w:vAlign w:val="top"/>
          </w:tcPr>
          <w:p w14:paraId="59505012">
            <w:pPr>
              <w:keepNext w:val="0"/>
              <w:keepLines w:val="0"/>
              <w:widowControl/>
              <w:suppressLineNumbers w:val="0"/>
              <w:spacing w:line="480" w:lineRule="auto"/>
              <w:jc w:val="both"/>
              <w:rPr>
                <w:rFonts w:hint="eastAsia" w:ascii="仿宋" w:hAnsi="仿宋" w:eastAsia="仿宋" w:cs="仿宋"/>
                <w:color w:val="auto"/>
                <w:kern w:val="0"/>
                <w:sz w:val="24"/>
                <w:szCs w:val="24"/>
                <w:highlight w:val="none"/>
                <w:lang w:val="en-US" w:eastAsia="zh-CN" w:bidi="ar"/>
              </w:rPr>
            </w:pPr>
          </w:p>
          <w:p w14:paraId="736A1BC8">
            <w:pPr>
              <w:keepNext w:val="0"/>
              <w:keepLines w:val="0"/>
              <w:widowControl/>
              <w:suppressLineNumbers w:val="0"/>
              <w:spacing w:line="480" w:lineRule="auto"/>
              <w:jc w:val="both"/>
              <w:rPr>
                <w:rFonts w:hint="eastAsia" w:ascii="仿宋" w:hAnsi="仿宋" w:eastAsia="仿宋" w:cs="仿宋"/>
                <w:color w:val="auto"/>
                <w:kern w:val="0"/>
                <w:sz w:val="24"/>
                <w:szCs w:val="24"/>
                <w:highlight w:val="none"/>
                <w:lang w:val="en-US" w:eastAsia="zh-CN" w:bidi="ar"/>
              </w:rPr>
            </w:pPr>
          </w:p>
          <w:p w14:paraId="1ACB5EC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改造实施 </w:t>
            </w:r>
          </w:p>
          <w:p w14:paraId="11691EA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方案</w:t>
            </w:r>
          </w:p>
          <w:p w14:paraId="203FF90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56147CE9">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改造项目 </w:t>
            </w:r>
          </w:p>
        </w:tc>
        <w:tc>
          <w:tcPr>
            <w:tcW w:w="1420" w:type="dxa"/>
            <w:noWrap w:val="0"/>
            <w:vAlign w:val="top"/>
          </w:tcPr>
          <w:p w14:paraId="63E98A9C">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改造项目 </w:t>
            </w:r>
          </w:p>
        </w:tc>
        <w:tc>
          <w:tcPr>
            <w:tcW w:w="1420" w:type="dxa"/>
            <w:noWrap w:val="0"/>
            <w:vAlign w:val="top"/>
          </w:tcPr>
          <w:p w14:paraId="658B94C7">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改造项目 </w:t>
            </w:r>
          </w:p>
        </w:tc>
        <w:tc>
          <w:tcPr>
            <w:tcW w:w="1421" w:type="dxa"/>
            <w:noWrap w:val="0"/>
            <w:vAlign w:val="top"/>
          </w:tcPr>
          <w:p w14:paraId="6193AA05">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改造项目 </w:t>
            </w:r>
          </w:p>
        </w:tc>
        <w:tc>
          <w:tcPr>
            <w:tcW w:w="2391" w:type="dxa"/>
            <w:noWrap w:val="0"/>
            <w:vAlign w:val="top"/>
          </w:tcPr>
          <w:p w14:paraId="501F862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改造项目 </w:t>
            </w:r>
          </w:p>
        </w:tc>
      </w:tr>
      <w:tr w14:paraId="588D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188ABBB4">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005083D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56BEECBF">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5D2FF111">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1" w:type="dxa"/>
            <w:noWrap w:val="0"/>
            <w:vAlign w:val="top"/>
          </w:tcPr>
          <w:p w14:paraId="1B8C202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391" w:type="dxa"/>
            <w:noWrap w:val="0"/>
            <w:vAlign w:val="top"/>
          </w:tcPr>
          <w:p w14:paraId="6172E94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63A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57D6078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203BF37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19E47D3A">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7C97BE45">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1" w:type="dxa"/>
            <w:noWrap w:val="0"/>
            <w:vAlign w:val="top"/>
          </w:tcPr>
          <w:p w14:paraId="11BE820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391" w:type="dxa"/>
            <w:noWrap w:val="0"/>
            <w:vAlign w:val="top"/>
          </w:tcPr>
          <w:p w14:paraId="301118C3">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7376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14445A6F">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106413B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11344BA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41D0DBAF">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1" w:type="dxa"/>
            <w:noWrap w:val="0"/>
            <w:vAlign w:val="top"/>
          </w:tcPr>
          <w:p w14:paraId="4A7B3C5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391" w:type="dxa"/>
            <w:noWrap w:val="0"/>
            <w:vAlign w:val="top"/>
          </w:tcPr>
          <w:p w14:paraId="04B93EB6">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0F8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7F59C14A">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3417A207">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1E12C87B">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50CB2174">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1" w:type="dxa"/>
            <w:noWrap w:val="0"/>
            <w:vAlign w:val="top"/>
          </w:tcPr>
          <w:p w14:paraId="0AADDFF5">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391" w:type="dxa"/>
            <w:noWrap w:val="0"/>
            <w:vAlign w:val="top"/>
          </w:tcPr>
          <w:p w14:paraId="6296EA0C">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BAE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07A88BBA">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15E441C2">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04BD518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0" w:type="dxa"/>
            <w:noWrap w:val="0"/>
            <w:vAlign w:val="top"/>
          </w:tcPr>
          <w:p w14:paraId="5285220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1421" w:type="dxa"/>
            <w:noWrap w:val="0"/>
            <w:vAlign w:val="top"/>
          </w:tcPr>
          <w:p w14:paraId="5A970744">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391" w:type="dxa"/>
            <w:noWrap w:val="0"/>
            <w:vAlign w:val="top"/>
          </w:tcPr>
          <w:p w14:paraId="60B5C4E3">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4223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317D4DE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2023" w:type="dxa"/>
            <w:noWrap w:val="0"/>
            <w:vAlign w:val="top"/>
          </w:tcPr>
          <w:p w14:paraId="747BD456">
            <w:pPr>
              <w:keepNext w:val="0"/>
              <w:keepLines w:val="0"/>
              <w:widowControl/>
              <w:numPr>
                <w:ilvl w:val="0"/>
                <w:numId w:val="0"/>
              </w:numPr>
              <w:suppressLineNumbers w:val="0"/>
              <w:jc w:val="center"/>
              <w:rPr>
                <w:rFonts w:hint="default"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合计（元）</w:t>
            </w:r>
          </w:p>
        </w:tc>
        <w:tc>
          <w:tcPr>
            <w:tcW w:w="6652" w:type="dxa"/>
            <w:gridSpan w:val="4"/>
            <w:noWrap w:val="0"/>
            <w:vAlign w:val="top"/>
          </w:tcPr>
          <w:p w14:paraId="1B17CBD0">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4285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vMerge w:val="continue"/>
            <w:noWrap w:val="0"/>
            <w:vAlign w:val="top"/>
          </w:tcPr>
          <w:p w14:paraId="35653614">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8675" w:type="dxa"/>
            <w:gridSpan w:val="5"/>
            <w:noWrap w:val="0"/>
            <w:vAlign w:val="top"/>
          </w:tcPr>
          <w:p w14:paraId="003E79B8">
            <w:pPr>
              <w:keepNext w:val="0"/>
              <w:keepLines w:val="0"/>
              <w:widowControl/>
              <w:numPr>
                <w:ilvl w:val="0"/>
                <w:numId w:val="0"/>
              </w:numPr>
              <w:suppressLineNumbers w:val="0"/>
              <w:jc w:val="both"/>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 xml:space="preserve">评估人签字： </w:t>
            </w:r>
          </w:p>
          <w:p w14:paraId="4EA9567D">
            <w:pPr>
              <w:keepNext w:val="0"/>
              <w:keepLines w:val="0"/>
              <w:widowControl/>
              <w:numPr>
                <w:ilvl w:val="0"/>
                <w:numId w:val="0"/>
              </w:numPr>
              <w:suppressLineNumbers w:val="0"/>
              <w:jc w:val="right"/>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年 月 日</w:t>
            </w:r>
          </w:p>
        </w:tc>
      </w:tr>
      <w:tr w14:paraId="6D30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noWrap w:val="0"/>
            <w:vAlign w:val="top"/>
          </w:tcPr>
          <w:p w14:paraId="07EB74C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1D2878E5">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改造需求 </w:t>
            </w:r>
          </w:p>
          <w:p w14:paraId="3BA2E52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确认</w:t>
            </w:r>
          </w:p>
          <w:p w14:paraId="7C0FD595">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8675" w:type="dxa"/>
            <w:gridSpan w:val="5"/>
            <w:noWrap w:val="0"/>
            <w:vAlign w:val="top"/>
          </w:tcPr>
          <w:p w14:paraId="7B60368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本人（是□/否□）认同上述评估结果，同意按设计方案进行施工改造，愿意承担因施工改造产生的一切后果。 </w:t>
            </w:r>
          </w:p>
          <w:p w14:paraId="36EAF42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79293DE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老年人（或其监护人）签名： </w:t>
            </w:r>
          </w:p>
          <w:p w14:paraId="593117E5">
            <w:pPr>
              <w:keepNext w:val="0"/>
              <w:keepLines w:val="0"/>
              <w:widowControl/>
              <w:suppressLineNumbers w:val="0"/>
              <w:jc w:val="right"/>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年 月 日</w:t>
            </w:r>
          </w:p>
        </w:tc>
      </w:tr>
      <w:tr w14:paraId="4389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noWrap w:val="0"/>
            <w:vAlign w:val="top"/>
          </w:tcPr>
          <w:p w14:paraId="2246507F">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6E8312C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县（市、 区）民政 部门</w:t>
            </w:r>
          </w:p>
          <w:p w14:paraId="59B078EE">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审核 意见</w:t>
            </w:r>
          </w:p>
        </w:tc>
        <w:tc>
          <w:tcPr>
            <w:tcW w:w="8675" w:type="dxa"/>
            <w:gridSpan w:val="5"/>
            <w:noWrap w:val="0"/>
            <w:vAlign w:val="top"/>
          </w:tcPr>
          <w:p w14:paraId="0B0EB82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65268A3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签字： </w:t>
            </w:r>
          </w:p>
          <w:p w14:paraId="25DAD8C2">
            <w:pPr>
              <w:keepNext w:val="0"/>
              <w:keepLines w:val="0"/>
              <w:widowControl/>
              <w:suppressLineNumbers w:val="0"/>
              <w:ind w:firstLine="6000" w:firstLineChars="25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（盖章）： </w:t>
            </w:r>
          </w:p>
          <w:p w14:paraId="28B7C5CA">
            <w:pPr>
              <w:keepNext w:val="0"/>
              <w:keepLines w:val="0"/>
              <w:widowControl/>
              <w:suppressLineNumbers w:val="0"/>
              <w:ind w:firstLine="6000" w:firstLineChars="2500"/>
              <w:jc w:val="both"/>
              <w:rPr>
                <w:rFonts w:hint="eastAsia" w:ascii="仿宋" w:hAnsi="仿宋" w:eastAsia="仿宋" w:cs="仿宋"/>
                <w:color w:val="auto"/>
                <w:kern w:val="0"/>
                <w:sz w:val="24"/>
                <w:szCs w:val="24"/>
                <w:highlight w:val="none"/>
                <w:lang w:val="en-US" w:eastAsia="zh-CN" w:bidi="ar"/>
              </w:rPr>
            </w:pPr>
          </w:p>
          <w:p w14:paraId="5844F7A0">
            <w:pPr>
              <w:keepNext w:val="0"/>
              <w:keepLines w:val="0"/>
              <w:widowControl/>
              <w:suppressLineNumbers w:val="0"/>
              <w:jc w:val="right"/>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年  月  日</w:t>
            </w:r>
          </w:p>
        </w:tc>
      </w:tr>
    </w:tbl>
    <w:p w14:paraId="0A5F093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48795ED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（此表由实施机构填写并录入电子版）</w:t>
      </w:r>
    </w:p>
    <w:p w14:paraId="77872B6B">
      <w:pPr>
        <w:keepNext w:val="0"/>
        <w:keepLines w:val="0"/>
        <w:widowControl/>
        <w:numPr>
          <w:ilvl w:val="0"/>
          <w:numId w:val="0"/>
        </w:numPr>
        <w:suppressLineNumbers w:val="0"/>
        <w:ind w:firstLine="560" w:firstLineChars="200"/>
        <w:jc w:val="left"/>
        <w:rPr>
          <w:rFonts w:hint="eastAsia" w:ascii="仿宋_GB2312" w:hAnsi="仿宋_GB2312" w:eastAsia="仿宋_GB2312" w:cs="仿宋_GB2312"/>
          <w:color w:val="auto"/>
          <w:kern w:val="0"/>
          <w:sz w:val="28"/>
          <w:szCs w:val="28"/>
          <w:highlight w:val="none"/>
          <w:lang w:val="en-US" w:eastAsia="zh-CN" w:bidi="ar"/>
        </w:rPr>
      </w:pPr>
    </w:p>
    <w:p w14:paraId="2F953993">
      <w:pPr>
        <w:keepNext w:val="0"/>
        <w:keepLines w:val="0"/>
        <w:widowControl/>
        <w:numPr>
          <w:ilvl w:val="0"/>
          <w:numId w:val="0"/>
        </w:numPr>
        <w:suppressLineNumbers w:val="0"/>
        <w:ind w:firstLine="560" w:firstLineChars="200"/>
        <w:jc w:val="left"/>
        <w:rPr>
          <w:rFonts w:ascii="仿宋_GB2312" w:hAnsi="仿宋_GB2312" w:eastAsia="仿宋_GB2312" w:cs="仿宋_GB2312"/>
          <w:color w:val="auto"/>
          <w:kern w:val="0"/>
          <w:sz w:val="28"/>
          <w:szCs w:val="28"/>
          <w:highlight w:val="none"/>
          <w:lang w:val="en-US" w:eastAsia="zh-CN" w:bidi="ar"/>
        </w:rPr>
      </w:pPr>
    </w:p>
    <w:p w14:paraId="621D3A88">
      <w:pPr>
        <w:keepNext w:val="0"/>
        <w:keepLines w:val="0"/>
        <w:widowControl/>
        <w:numPr>
          <w:ilvl w:val="0"/>
          <w:numId w:val="0"/>
        </w:numPr>
        <w:suppressLineNumbers w:val="0"/>
        <w:ind w:firstLine="560" w:firstLineChars="200"/>
        <w:jc w:val="left"/>
        <w:rPr>
          <w:rFonts w:ascii="仿宋_GB2312" w:hAnsi="仿宋_GB2312" w:eastAsia="仿宋_GB2312" w:cs="仿宋_GB2312"/>
          <w:color w:val="auto"/>
          <w:kern w:val="0"/>
          <w:sz w:val="28"/>
          <w:szCs w:val="28"/>
          <w:highlight w:val="none"/>
          <w:lang w:val="en-US" w:eastAsia="zh-CN" w:bidi="ar"/>
        </w:rPr>
      </w:pPr>
    </w:p>
    <w:p w14:paraId="4DC6329D">
      <w:pPr>
        <w:keepNext w:val="0"/>
        <w:keepLines w:val="0"/>
        <w:widowControl/>
        <w:numPr>
          <w:ilvl w:val="0"/>
          <w:numId w:val="0"/>
        </w:numPr>
        <w:suppressLineNumbers w:val="0"/>
        <w:ind w:firstLine="560" w:firstLineChars="200"/>
        <w:jc w:val="left"/>
        <w:rPr>
          <w:rFonts w:ascii="仿宋_GB2312" w:hAnsi="仿宋_GB2312" w:eastAsia="仿宋_GB2312" w:cs="仿宋_GB2312"/>
          <w:color w:val="auto"/>
          <w:kern w:val="0"/>
          <w:sz w:val="28"/>
          <w:szCs w:val="28"/>
          <w:highlight w:val="none"/>
          <w:lang w:val="en-US" w:eastAsia="zh-CN" w:bidi="ar"/>
        </w:rPr>
      </w:pPr>
    </w:p>
    <w:p w14:paraId="7B63F1D0">
      <w:pPr>
        <w:keepNext w:val="0"/>
        <w:keepLines w:val="0"/>
        <w:widowControl/>
        <w:numPr>
          <w:ilvl w:val="0"/>
          <w:numId w:val="0"/>
        </w:numPr>
        <w:suppressLineNumbers w:val="0"/>
        <w:jc w:val="left"/>
        <w:rPr>
          <w:rFonts w:ascii="仿宋_GB2312" w:hAnsi="仿宋_GB2312" w:eastAsia="仿宋_GB2312" w:cs="仿宋_GB2312"/>
          <w:color w:val="auto"/>
          <w:kern w:val="0"/>
          <w:sz w:val="28"/>
          <w:szCs w:val="28"/>
          <w:highlight w:val="none"/>
          <w:lang w:val="en-US" w:eastAsia="zh-CN" w:bidi="ar"/>
        </w:rPr>
      </w:pPr>
    </w:p>
    <w:p w14:paraId="33E4E37E">
      <w:pPr>
        <w:pStyle w:val="22"/>
        <w:rPr>
          <w:color w:val="auto"/>
          <w:highlight w:val="none"/>
          <w:lang w:val="en-US" w:eastAsia="zh-CN"/>
        </w:rPr>
      </w:pPr>
    </w:p>
    <w:p w14:paraId="237E826B">
      <w:pPr>
        <w:keepNext w:val="0"/>
        <w:keepLines w:val="0"/>
        <w:widowControl/>
        <w:suppressLineNumbers w:val="0"/>
        <w:jc w:val="left"/>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附件6</w:t>
      </w:r>
    </w:p>
    <w:p w14:paraId="2D82C56C">
      <w:pPr>
        <w:keepNext w:val="0"/>
        <w:keepLines w:val="0"/>
        <w:widowControl/>
        <w:suppressLineNumbers w:val="0"/>
        <w:jc w:val="center"/>
        <w:rPr>
          <w:rFonts w:hint="eastAsia" w:ascii="方正小标宋简体" w:hAnsi="方正小标宋简体" w:eastAsia="方正小标宋简体" w:cs="方正小标宋简体"/>
          <w:color w:val="auto"/>
          <w:kern w:val="0"/>
          <w:sz w:val="40"/>
          <w:szCs w:val="40"/>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特殊困难老年人家庭适老化改造前后对比档案</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670"/>
        <w:gridCol w:w="1461"/>
        <w:gridCol w:w="2131"/>
      </w:tblGrid>
      <w:tr w14:paraId="2D98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51FEFE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老年人姓名</w:t>
            </w:r>
          </w:p>
        </w:tc>
        <w:tc>
          <w:tcPr>
            <w:tcW w:w="2130" w:type="dxa"/>
            <w:noWrap w:val="0"/>
            <w:vAlign w:val="top"/>
          </w:tcPr>
          <w:p w14:paraId="07DE67C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31" w:type="dxa"/>
            <w:gridSpan w:val="2"/>
            <w:noWrap w:val="0"/>
            <w:vAlign w:val="top"/>
          </w:tcPr>
          <w:p w14:paraId="1FA5CD14">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性别</w:t>
            </w:r>
          </w:p>
        </w:tc>
        <w:tc>
          <w:tcPr>
            <w:tcW w:w="2131" w:type="dxa"/>
            <w:noWrap w:val="0"/>
            <w:vAlign w:val="top"/>
          </w:tcPr>
          <w:p w14:paraId="17479F1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583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85D7A2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身份证号</w:t>
            </w:r>
          </w:p>
        </w:tc>
        <w:tc>
          <w:tcPr>
            <w:tcW w:w="2130" w:type="dxa"/>
            <w:noWrap w:val="0"/>
            <w:vAlign w:val="top"/>
          </w:tcPr>
          <w:p w14:paraId="5B2E610A">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31" w:type="dxa"/>
            <w:gridSpan w:val="2"/>
            <w:noWrap w:val="0"/>
            <w:vAlign w:val="top"/>
          </w:tcPr>
          <w:p w14:paraId="4D6DBD4E">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联系电话</w:t>
            </w:r>
          </w:p>
        </w:tc>
        <w:tc>
          <w:tcPr>
            <w:tcW w:w="2131" w:type="dxa"/>
            <w:noWrap w:val="0"/>
            <w:vAlign w:val="top"/>
          </w:tcPr>
          <w:p w14:paraId="5FFE6CE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430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163E5159">
            <w:pPr>
              <w:keepNext w:val="0"/>
              <w:keepLines w:val="0"/>
              <w:widowControl/>
              <w:suppressLineNumbers w:val="0"/>
              <w:jc w:val="center"/>
              <w:rPr>
                <w:rFonts w:hint="eastAsia" w:ascii="仿宋_GB2312" w:hAnsi="仿宋_GB2312" w:eastAsia="仿宋_GB2312" w:cs="仿宋_GB2312"/>
                <w:b/>
                <w:bCs/>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家庭住址</w:t>
            </w:r>
          </w:p>
        </w:tc>
        <w:tc>
          <w:tcPr>
            <w:tcW w:w="6392" w:type="dxa"/>
            <w:gridSpan w:val="4"/>
            <w:noWrap w:val="0"/>
            <w:vAlign w:val="top"/>
          </w:tcPr>
          <w:p w14:paraId="4EB61C75">
            <w:pPr>
              <w:keepNext w:val="0"/>
              <w:keepLines w:val="0"/>
              <w:widowControl/>
              <w:suppressLineNumbers w:val="0"/>
              <w:ind w:firstLine="960" w:firstLineChars="400"/>
              <w:jc w:val="both"/>
              <w:rPr>
                <w:rFonts w:hint="eastAsia" w:ascii="仿宋_GB2312" w:hAnsi="仿宋_GB2312" w:eastAsia="仿宋_GB2312" w:cs="仿宋_GB2312"/>
                <w:b/>
                <w:bCs/>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县（市、区）     街道/乡镇    村/社区</w:t>
            </w:r>
          </w:p>
        </w:tc>
      </w:tr>
      <w:tr w14:paraId="6385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0BD40FEE">
            <w:pPr>
              <w:keepNext w:val="0"/>
              <w:keepLines w:val="0"/>
              <w:widowControl/>
              <w:suppressLineNumbers w:val="0"/>
              <w:jc w:val="center"/>
              <w:rPr>
                <w:rFonts w:hint="default" w:ascii="仿宋_GB2312" w:hAnsi="仿宋_GB2312" w:eastAsia="仿宋_GB2312" w:cs="仿宋_GB2312"/>
                <w:b/>
                <w:bCs/>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lang w:val="en-US" w:eastAsia="zh-CN" w:bidi="ar"/>
              </w:rPr>
              <w:t>改造情况</w:t>
            </w:r>
          </w:p>
        </w:tc>
        <w:tc>
          <w:tcPr>
            <w:tcW w:w="6392" w:type="dxa"/>
            <w:gridSpan w:val="4"/>
            <w:noWrap w:val="0"/>
            <w:vAlign w:val="top"/>
          </w:tcPr>
          <w:p w14:paraId="7667EAED">
            <w:pPr>
              <w:keepNext w:val="0"/>
              <w:keepLines w:val="0"/>
              <w:widowControl/>
              <w:suppressLineNumbers w:val="0"/>
              <w:jc w:val="both"/>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根据其本人需求等实际情况，共帮助此家庭进行了：</w:t>
            </w:r>
            <w:r>
              <w:rPr>
                <w:rFonts w:hint="eastAsia" w:ascii="仿宋" w:hAnsi="仿宋" w:eastAsia="仿宋" w:cs="仿宋"/>
                <w:color w:val="auto"/>
                <w:kern w:val="0"/>
                <w:sz w:val="24"/>
                <w:szCs w:val="24"/>
                <w:highlight w:val="none"/>
                <w:u w:val="single"/>
                <w:lang w:val="en-US" w:eastAsia="zh-CN" w:bidi="ar"/>
              </w:rPr>
              <w:t xml:space="preserve">       </w:t>
            </w:r>
          </w:p>
          <w:p w14:paraId="612E63A6">
            <w:pPr>
              <w:keepNext w:val="0"/>
              <w:keepLines w:val="0"/>
              <w:widowControl/>
              <w:suppressLineNumbers w:val="0"/>
              <w:jc w:val="both"/>
              <w:rPr>
                <w:rFonts w:hint="eastAsia" w:ascii="仿宋_GB2312" w:hAnsi="仿宋_GB2312" w:eastAsia="仿宋_GB2312" w:cs="仿宋_GB2312"/>
                <w:b/>
                <w:bCs/>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共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项设施改造，共配备了</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个设备，累计费用</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元。</w:t>
            </w:r>
          </w:p>
        </w:tc>
      </w:tr>
      <w:tr w14:paraId="568D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noWrap w:val="0"/>
            <w:vAlign w:val="top"/>
          </w:tcPr>
          <w:p w14:paraId="3BA8700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3FC8567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3EA6462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733345B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0A42B2DC">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06E40F5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2033B9E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73C09D8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18AA1BBF">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71BFEDC7">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4AD9A82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改造项目</w:t>
            </w:r>
          </w:p>
        </w:tc>
        <w:tc>
          <w:tcPr>
            <w:tcW w:w="2800" w:type="dxa"/>
            <w:gridSpan w:val="2"/>
            <w:noWrap w:val="0"/>
            <w:vAlign w:val="top"/>
          </w:tcPr>
          <w:p w14:paraId="0A5D90EE">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改造前照片</w:t>
            </w:r>
          </w:p>
        </w:tc>
        <w:tc>
          <w:tcPr>
            <w:tcW w:w="3592" w:type="dxa"/>
            <w:gridSpan w:val="2"/>
            <w:noWrap w:val="0"/>
            <w:vAlign w:val="top"/>
          </w:tcPr>
          <w:p w14:paraId="0FA2B6A4">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改造后照片</w:t>
            </w:r>
          </w:p>
        </w:tc>
      </w:tr>
      <w:tr w14:paraId="7793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130" w:type="dxa"/>
            <w:vMerge w:val="continue"/>
            <w:noWrap w:val="0"/>
            <w:vAlign w:val="top"/>
          </w:tcPr>
          <w:p w14:paraId="6C0A939C">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2800" w:type="dxa"/>
            <w:gridSpan w:val="2"/>
            <w:noWrap w:val="0"/>
            <w:vAlign w:val="top"/>
          </w:tcPr>
          <w:p w14:paraId="008FF7B0">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3592" w:type="dxa"/>
            <w:gridSpan w:val="2"/>
            <w:noWrap w:val="0"/>
            <w:vAlign w:val="top"/>
          </w:tcPr>
          <w:p w14:paraId="772B6910">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r>
      <w:tr w14:paraId="4C2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130" w:type="dxa"/>
            <w:vMerge w:val="continue"/>
            <w:noWrap w:val="0"/>
            <w:vAlign w:val="top"/>
          </w:tcPr>
          <w:p w14:paraId="355FA015">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2800" w:type="dxa"/>
            <w:gridSpan w:val="2"/>
            <w:noWrap w:val="0"/>
            <w:vAlign w:val="top"/>
          </w:tcPr>
          <w:p w14:paraId="17559419">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3592" w:type="dxa"/>
            <w:gridSpan w:val="2"/>
            <w:noWrap w:val="0"/>
            <w:vAlign w:val="top"/>
          </w:tcPr>
          <w:p w14:paraId="5BBEF4A5">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r>
      <w:tr w14:paraId="53DB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130" w:type="dxa"/>
            <w:vMerge w:val="continue"/>
            <w:noWrap w:val="0"/>
            <w:vAlign w:val="top"/>
          </w:tcPr>
          <w:p w14:paraId="31C60A3B">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2800" w:type="dxa"/>
            <w:gridSpan w:val="2"/>
            <w:noWrap w:val="0"/>
            <w:vAlign w:val="top"/>
          </w:tcPr>
          <w:p w14:paraId="4BD0502A">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3592" w:type="dxa"/>
            <w:gridSpan w:val="2"/>
            <w:noWrap w:val="0"/>
            <w:vAlign w:val="top"/>
          </w:tcPr>
          <w:p w14:paraId="3F868D02">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r>
      <w:tr w14:paraId="6E9F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130" w:type="dxa"/>
            <w:vMerge w:val="continue"/>
            <w:noWrap w:val="0"/>
            <w:vAlign w:val="top"/>
          </w:tcPr>
          <w:p w14:paraId="388E1E05">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2800" w:type="dxa"/>
            <w:gridSpan w:val="2"/>
            <w:noWrap w:val="0"/>
            <w:vAlign w:val="top"/>
          </w:tcPr>
          <w:p w14:paraId="0CD4175D">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3592" w:type="dxa"/>
            <w:gridSpan w:val="2"/>
            <w:noWrap w:val="0"/>
            <w:vAlign w:val="top"/>
          </w:tcPr>
          <w:p w14:paraId="2DDC9E0D">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r>
      <w:tr w14:paraId="5E2C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130" w:type="dxa"/>
            <w:vMerge w:val="continue"/>
            <w:noWrap w:val="0"/>
            <w:vAlign w:val="top"/>
          </w:tcPr>
          <w:p w14:paraId="1B2C1606">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2800" w:type="dxa"/>
            <w:gridSpan w:val="2"/>
            <w:noWrap w:val="0"/>
            <w:vAlign w:val="top"/>
          </w:tcPr>
          <w:p w14:paraId="7C78C6DD">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3592" w:type="dxa"/>
            <w:gridSpan w:val="2"/>
            <w:noWrap w:val="0"/>
            <w:vAlign w:val="top"/>
          </w:tcPr>
          <w:p w14:paraId="3D3358BD">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r>
      <w:tr w14:paraId="624B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130" w:type="dxa"/>
            <w:vMerge w:val="continue"/>
            <w:noWrap w:val="0"/>
            <w:vAlign w:val="top"/>
          </w:tcPr>
          <w:p w14:paraId="0C520820">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2800" w:type="dxa"/>
            <w:gridSpan w:val="2"/>
            <w:noWrap w:val="0"/>
            <w:vAlign w:val="top"/>
          </w:tcPr>
          <w:p w14:paraId="13741226">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c>
          <w:tcPr>
            <w:tcW w:w="3592" w:type="dxa"/>
            <w:gridSpan w:val="2"/>
            <w:noWrap w:val="0"/>
            <w:vAlign w:val="top"/>
          </w:tcPr>
          <w:p w14:paraId="719D8D87">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vertAlign w:val="baseline"/>
                <w:lang w:val="en-US" w:eastAsia="zh-CN" w:bidi="ar"/>
              </w:rPr>
            </w:pPr>
          </w:p>
        </w:tc>
      </w:tr>
    </w:tbl>
    <w:p w14:paraId="0BA1A9C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224F74F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（此表由实施机构负责填写。说明：设施改造和新添设备都须有照片存档，页面不够可另加。设施改造照片要突出前后对比效果。3.所有照片需有文字说明）</w:t>
      </w:r>
    </w:p>
    <w:p w14:paraId="4A7B7712">
      <w:pPr>
        <w:keepNext w:val="0"/>
        <w:keepLines w:val="0"/>
        <w:widowControl/>
        <w:numPr>
          <w:ilvl w:val="0"/>
          <w:numId w:val="0"/>
        </w:numPr>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0EE08B1">
      <w:pPr>
        <w:keepNext w:val="0"/>
        <w:keepLines w:val="0"/>
        <w:widowControl/>
        <w:numPr>
          <w:ilvl w:val="0"/>
          <w:numId w:val="0"/>
        </w:numPr>
        <w:suppressLineNumbers w:val="0"/>
        <w:jc w:val="left"/>
        <w:rPr>
          <w:rFonts w:ascii="仿宋_GB2312" w:hAnsi="仿宋_GB2312" w:eastAsia="仿宋_GB2312" w:cs="仿宋_GB2312"/>
          <w:color w:val="auto"/>
          <w:kern w:val="0"/>
          <w:sz w:val="24"/>
          <w:szCs w:val="24"/>
          <w:highlight w:val="none"/>
          <w:lang w:val="en-US" w:eastAsia="zh-CN" w:bidi="ar"/>
        </w:rPr>
      </w:pPr>
    </w:p>
    <w:p w14:paraId="6F77B0B2">
      <w:pPr>
        <w:keepNext w:val="0"/>
        <w:keepLines w:val="0"/>
        <w:widowControl/>
        <w:numPr>
          <w:ilvl w:val="0"/>
          <w:numId w:val="0"/>
        </w:numPr>
        <w:suppressLineNumbers w:val="0"/>
        <w:jc w:val="left"/>
        <w:rPr>
          <w:rFonts w:ascii="仿宋_GB2312" w:hAnsi="仿宋_GB2312" w:eastAsia="仿宋_GB2312" w:cs="仿宋_GB2312"/>
          <w:color w:val="auto"/>
          <w:kern w:val="0"/>
          <w:sz w:val="24"/>
          <w:szCs w:val="24"/>
          <w:highlight w:val="none"/>
          <w:lang w:val="en-US" w:eastAsia="zh-CN" w:bidi="ar"/>
        </w:rPr>
      </w:pPr>
    </w:p>
    <w:p w14:paraId="508CBFEB">
      <w:pPr>
        <w:keepNext w:val="0"/>
        <w:keepLines w:val="0"/>
        <w:widowControl/>
        <w:numPr>
          <w:ilvl w:val="0"/>
          <w:numId w:val="0"/>
        </w:numPr>
        <w:suppressLineNumbers w:val="0"/>
        <w:jc w:val="left"/>
        <w:rPr>
          <w:rFonts w:ascii="仿宋_GB2312" w:hAnsi="仿宋_GB2312" w:eastAsia="仿宋_GB2312" w:cs="仿宋_GB2312"/>
          <w:color w:val="auto"/>
          <w:kern w:val="0"/>
          <w:sz w:val="24"/>
          <w:szCs w:val="24"/>
          <w:highlight w:val="none"/>
          <w:lang w:val="en-US" w:eastAsia="zh-CN" w:bidi="ar"/>
        </w:rPr>
      </w:pPr>
    </w:p>
    <w:p w14:paraId="54A850A6">
      <w:pPr>
        <w:keepNext w:val="0"/>
        <w:keepLines w:val="0"/>
        <w:widowControl/>
        <w:suppressLineNumbers w:val="0"/>
        <w:jc w:val="left"/>
        <w:rPr>
          <w:rFonts w:hint="eastAsia" w:ascii="仿宋_GB2312" w:hAnsi="仿宋_GB2312" w:eastAsia="仿宋_GB2312" w:cs="仿宋_GB2312"/>
          <w:b/>
          <w:bCs/>
          <w:color w:val="auto"/>
          <w:kern w:val="0"/>
          <w:sz w:val="28"/>
          <w:szCs w:val="28"/>
          <w:highlight w:val="none"/>
          <w:lang w:val="en-US" w:eastAsia="zh-CN" w:bidi="ar"/>
        </w:rPr>
      </w:pPr>
    </w:p>
    <w:p w14:paraId="3C397B3F">
      <w:pPr>
        <w:keepNext w:val="0"/>
        <w:keepLines w:val="0"/>
        <w:widowControl/>
        <w:suppressLineNumbers w:val="0"/>
        <w:jc w:val="left"/>
        <w:rPr>
          <w:rFonts w:hint="eastAsia" w:ascii="仿宋_GB2312" w:hAnsi="仿宋_GB2312" w:eastAsia="仿宋_GB2312" w:cs="仿宋_GB2312"/>
          <w:b/>
          <w:bCs/>
          <w:color w:val="auto"/>
          <w:kern w:val="0"/>
          <w:sz w:val="28"/>
          <w:szCs w:val="28"/>
          <w:highlight w:val="none"/>
          <w:lang w:val="en-US" w:eastAsia="zh-CN" w:bidi="ar"/>
        </w:rPr>
      </w:pPr>
    </w:p>
    <w:p w14:paraId="57556644">
      <w:pPr>
        <w:keepNext w:val="0"/>
        <w:keepLines w:val="0"/>
        <w:widowControl/>
        <w:suppressLineNumbers w:val="0"/>
        <w:jc w:val="left"/>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附件 7</w:t>
      </w:r>
    </w:p>
    <w:p w14:paraId="387EEB88">
      <w:pPr>
        <w:keepNext w:val="0"/>
        <w:keepLines w:val="0"/>
        <w:widowControl/>
        <w:suppressLineNumbers w:val="0"/>
        <w:jc w:val="center"/>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特殊困难老年人家庭适老化改造验收表</w:t>
      </w:r>
    </w:p>
    <w:tbl>
      <w:tblPr>
        <w:tblStyle w:val="2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137"/>
        <w:gridCol w:w="2120"/>
        <w:gridCol w:w="1918"/>
        <w:gridCol w:w="2025"/>
      </w:tblGrid>
      <w:tr w14:paraId="6DB4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650" w:type="dxa"/>
            <w:noWrap w:val="0"/>
            <w:vAlign w:val="top"/>
          </w:tcPr>
          <w:p w14:paraId="4AFE57E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老年人姓名</w:t>
            </w:r>
          </w:p>
        </w:tc>
        <w:tc>
          <w:tcPr>
            <w:tcW w:w="2137" w:type="dxa"/>
            <w:noWrap w:val="0"/>
            <w:vAlign w:val="top"/>
          </w:tcPr>
          <w:p w14:paraId="4A3C3D6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20" w:type="dxa"/>
            <w:noWrap w:val="0"/>
            <w:vAlign w:val="top"/>
          </w:tcPr>
          <w:p w14:paraId="4481FC35">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联系电话</w:t>
            </w:r>
          </w:p>
        </w:tc>
        <w:tc>
          <w:tcPr>
            <w:tcW w:w="3943" w:type="dxa"/>
            <w:gridSpan w:val="2"/>
            <w:noWrap w:val="0"/>
            <w:vAlign w:val="top"/>
          </w:tcPr>
          <w:p w14:paraId="0460B9C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61E3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14:paraId="44D6A057">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身份证号码</w:t>
            </w:r>
          </w:p>
        </w:tc>
        <w:tc>
          <w:tcPr>
            <w:tcW w:w="8200" w:type="dxa"/>
            <w:gridSpan w:val="4"/>
            <w:noWrap w:val="0"/>
            <w:vAlign w:val="top"/>
          </w:tcPr>
          <w:p w14:paraId="38E3295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77AA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14:paraId="48BEBCB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家庭住址 </w:t>
            </w:r>
          </w:p>
        </w:tc>
        <w:tc>
          <w:tcPr>
            <w:tcW w:w="8200" w:type="dxa"/>
            <w:gridSpan w:val="4"/>
            <w:noWrap w:val="0"/>
            <w:vAlign w:val="top"/>
          </w:tcPr>
          <w:p w14:paraId="3D201CC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县（市、区）        街道/乡镇         村/社区</w:t>
            </w:r>
          </w:p>
        </w:tc>
      </w:tr>
      <w:tr w14:paraId="53F8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Merge w:val="restart"/>
            <w:noWrap w:val="0"/>
            <w:vAlign w:val="top"/>
          </w:tcPr>
          <w:p w14:paraId="7497671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3B2221F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01738369">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改造情况</w:t>
            </w:r>
          </w:p>
        </w:tc>
        <w:tc>
          <w:tcPr>
            <w:tcW w:w="2137" w:type="dxa"/>
            <w:noWrap w:val="0"/>
            <w:vAlign w:val="top"/>
          </w:tcPr>
          <w:p w14:paraId="6AC0303D">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改造内容</w:t>
            </w:r>
          </w:p>
        </w:tc>
        <w:tc>
          <w:tcPr>
            <w:tcW w:w="2120" w:type="dxa"/>
            <w:noWrap w:val="0"/>
            <w:vAlign w:val="top"/>
          </w:tcPr>
          <w:p w14:paraId="46D8D103">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改造数量</w:t>
            </w:r>
          </w:p>
        </w:tc>
        <w:tc>
          <w:tcPr>
            <w:tcW w:w="1918" w:type="dxa"/>
            <w:noWrap w:val="0"/>
            <w:vAlign w:val="top"/>
          </w:tcPr>
          <w:p w14:paraId="41E01CC6">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改造完成时间</w:t>
            </w:r>
          </w:p>
        </w:tc>
        <w:tc>
          <w:tcPr>
            <w:tcW w:w="2025" w:type="dxa"/>
            <w:noWrap w:val="0"/>
            <w:vAlign w:val="top"/>
          </w:tcPr>
          <w:p w14:paraId="2A528678">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施工人员（签字）</w:t>
            </w:r>
          </w:p>
        </w:tc>
      </w:tr>
      <w:tr w14:paraId="0517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Merge w:val="continue"/>
            <w:noWrap w:val="0"/>
            <w:vAlign w:val="top"/>
          </w:tcPr>
          <w:p w14:paraId="73D000D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37" w:type="dxa"/>
            <w:noWrap w:val="0"/>
            <w:vAlign w:val="top"/>
          </w:tcPr>
          <w:p w14:paraId="3FA622BC">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20" w:type="dxa"/>
            <w:noWrap w:val="0"/>
            <w:vAlign w:val="top"/>
          </w:tcPr>
          <w:p w14:paraId="29D58F4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1918" w:type="dxa"/>
            <w:noWrap w:val="0"/>
            <w:vAlign w:val="top"/>
          </w:tcPr>
          <w:p w14:paraId="7D0E191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025" w:type="dxa"/>
            <w:noWrap w:val="0"/>
            <w:vAlign w:val="top"/>
          </w:tcPr>
          <w:p w14:paraId="28E0D6F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3048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Merge w:val="continue"/>
            <w:noWrap w:val="0"/>
            <w:vAlign w:val="top"/>
          </w:tcPr>
          <w:p w14:paraId="5363BE45">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37" w:type="dxa"/>
            <w:noWrap w:val="0"/>
            <w:vAlign w:val="top"/>
          </w:tcPr>
          <w:p w14:paraId="28B125F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20" w:type="dxa"/>
            <w:noWrap w:val="0"/>
            <w:vAlign w:val="top"/>
          </w:tcPr>
          <w:p w14:paraId="5DA4215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1918" w:type="dxa"/>
            <w:noWrap w:val="0"/>
            <w:vAlign w:val="top"/>
          </w:tcPr>
          <w:p w14:paraId="70A1B96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025" w:type="dxa"/>
            <w:noWrap w:val="0"/>
            <w:vAlign w:val="top"/>
          </w:tcPr>
          <w:p w14:paraId="0F52450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3A6A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Merge w:val="continue"/>
            <w:noWrap w:val="0"/>
            <w:vAlign w:val="top"/>
          </w:tcPr>
          <w:p w14:paraId="7BE0EC7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37" w:type="dxa"/>
            <w:noWrap w:val="0"/>
            <w:vAlign w:val="top"/>
          </w:tcPr>
          <w:p w14:paraId="1E557D0A">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20" w:type="dxa"/>
            <w:noWrap w:val="0"/>
            <w:vAlign w:val="top"/>
          </w:tcPr>
          <w:p w14:paraId="5A79B27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1918" w:type="dxa"/>
            <w:noWrap w:val="0"/>
            <w:vAlign w:val="top"/>
          </w:tcPr>
          <w:p w14:paraId="31919D7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025" w:type="dxa"/>
            <w:noWrap w:val="0"/>
            <w:vAlign w:val="top"/>
          </w:tcPr>
          <w:p w14:paraId="42DF279A">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183A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Merge w:val="continue"/>
            <w:noWrap w:val="0"/>
            <w:vAlign w:val="top"/>
          </w:tcPr>
          <w:p w14:paraId="5DF8613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37" w:type="dxa"/>
            <w:noWrap w:val="0"/>
            <w:vAlign w:val="top"/>
          </w:tcPr>
          <w:p w14:paraId="702160A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120" w:type="dxa"/>
            <w:noWrap w:val="0"/>
            <w:vAlign w:val="top"/>
          </w:tcPr>
          <w:p w14:paraId="0200D52A">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1918" w:type="dxa"/>
            <w:noWrap w:val="0"/>
            <w:vAlign w:val="top"/>
          </w:tcPr>
          <w:p w14:paraId="3C386FF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c>
          <w:tcPr>
            <w:tcW w:w="2025" w:type="dxa"/>
            <w:noWrap w:val="0"/>
            <w:vAlign w:val="top"/>
          </w:tcPr>
          <w:p w14:paraId="1ABC63C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r w14:paraId="643C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14:paraId="3CA01F77">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6D2EBF6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6B3AAFC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验收结果</w:t>
            </w:r>
          </w:p>
        </w:tc>
        <w:tc>
          <w:tcPr>
            <w:tcW w:w="8200" w:type="dxa"/>
            <w:gridSpan w:val="4"/>
            <w:noWrap w:val="0"/>
            <w:vAlign w:val="top"/>
          </w:tcPr>
          <w:p w14:paraId="76D0476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509B69A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合格□    不合格□ （改造实施单位需重新改造）　 </w:t>
            </w:r>
          </w:p>
          <w:p w14:paraId="135695B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D4AE10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验收人（签字）： </w:t>
            </w:r>
          </w:p>
          <w:p w14:paraId="08FEA3F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35BDDD7C">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验收时间： 年  月  日</w:t>
            </w:r>
          </w:p>
        </w:tc>
      </w:tr>
      <w:tr w14:paraId="78C7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14:paraId="0875CF5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2B30A37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6E15882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0B459C0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确认</w:t>
            </w:r>
          </w:p>
        </w:tc>
        <w:tc>
          <w:tcPr>
            <w:tcW w:w="8200" w:type="dxa"/>
            <w:gridSpan w:val="4"/>
            <w:noWrap w:val="0"/>
            <w:vAlign w:val="top"/>
          </w:tcPr>
          <w:p w14:paraId="0F97791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本人（是□ 否□）认同上述施工改造结果，确认按评估结果完成施工改造。 </w:t>
            </w:r>
          </w:p>
          <w:p w14:paraId="7970684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5C2737F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本人对改造是否满意 </w:t>
            </w:r>
          </w:p>
          <w:p w14:paraId="35ADC1A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□满意    □基本满意    □不满意 </w:t>
            </w:r>
          </w:p>
          <w:p w14:paraId="1C07A2D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72DAA34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老年人（或其监护人）签字： </w:t>
            </w:r>
          </w:p>
          <w:p w14:paraId="31A4D38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6AC9B005">
            <w:pPr>
              <w:keepNext w:val="0"/>
              <w:keepLines w:val="0"/>
              <w:widowControl/>
              <w:suppressLineNumbers w:val="0"/>
              <w:ind w:firstLine="5280" w:firstLineChars="2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年   月   日</w:t>
            </w:r>
          </w:p>
        </w:tc>
      </w:tr>
      <w:tr w14:paraId="0CCB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14:paraId="1B1D13F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46DC5C26">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p w14:paraId="577EB098">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县（市、区）民政部门</w:t>
            </w:r>
          </w:p>
          <w:p w14:paraId="74A0A793">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意见</w:t>
            </w:r>
          </w:p>
        </w:tc>
        <w:tc>
          <w:tcPr>
            <w:tcW w:w="8200" w:type="dxa"/>
            <w:gridSpan w:val="4"/>
            <w:noWrap w:val="0"/>
            <w:vAlign w:val="top"/>
          </w:tcPr>
          <w:p w14:paraId="3923309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5C947EE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2F8E2C8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签字：                                    盖章： </w:t>
            </w:r>
          </w:p>
          <w:p w14:paraId="458DA69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2456851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p w14:paraId="5DE4977E">
            <w:pPr>
              <w:keepNext w:val="0"/>
              <w:keepLines w:val="0"/>
              <w:widowControl/>
              <w:suppressLineNumbers w:val="0"/>
              <w:ind w:firstLine="5280" w:firstLineChars="2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年   月   日</w:t>
            </w:r>
          </w:p>
          <w:p w14:paraId="12F3F9A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p>
        </w:tc>
      </w:tr>
    </w:tbl>
    <w:p w14:paraId="24D48448">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14:paraId="605EB1C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（此表由市/区民政局负责填写）</w:t>
      </w:r>
    </w:p>
    <w:p w14:paraId="6687BD1D">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14:paraId="4853D0D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p>
    <w:p w14:paraId="15FE38E8">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p>
    <w:p w14:paraId="32F2387D">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p>
    <w:p w14:paraId="73D2EBC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p>
    <w:p w14:paraId="0EF3732B">
      <w:pPr>
        <w:keepNext w:val="0"/>
        <w:keepLines w:val="0"/>
        <w:widowControl/>
        <w:suppressLineNumbers w:val="0"/>
        <w:jc w:val="left"/>
        <w:rPr>
          <w:rFonts w:hint="eastAsia" w:ascii="仿宋_GB2312" w:hAnsi="仿宋_GB2312" w:eastAsia="仿宋_GB2312" w:cs="仿宋_GB2312"/>
          <w:b/>
          <w:bCs/>
          <w:color w:val="auto"/>
          <w:kern w:val="0"/>
          <w:sz w:val="28"/>
          <w:szCs w:val="28"/>
          <w:highlight w:val="none"/>
          <w:lang w:val="en-US" w:eastAsia="zh-CN" w:bidi="ar"/>
        </w:rPr>
      </w:pPr>
    </w:p>
    <w:p w14:paraId="6BCAE7D4">
      <w:pPr>
        <w:keepNext w:val="0"/>
        <w:keepLines w:val="0"/>
        <w:widowControl/>
        <w:suppressLineNumbers w:val="0"/>
        <w:jc w:val="left"/>
        <w:rPr>
          <w:rFonts w:hint="eastAsia" w:ascii="黑体" w:hAnsi="黑体" w:eastAsia="黑体" w:cs="黑体"/>
          <w:b w:val="0"/>
          <w:bCs w:val="0"/>
          <w:color w:val="auto"/>
          <w:kern w:val="0"/>
          <w:sz w:val="32"/>
          <w:szCs w:val="32"/>
          <w:highlight w:val="none"/>
          <w:lang w:val="en-US" w:eastAsia="zh-CN" w:bidi="ar"/>
        </w:rPr>
      </w:pPr>
    </w:p>
    <w:p w14:paraId="71A14789">
      <w:pPr>
        <w:keepNext w:val="0"/>
        <w:keepLines w:val="0"/>
        <w:widowControl/>
        <w:suppressLineNumbers w:val="0"/>
        <w:jc w:val="left"/>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附件 8</w:t>
      </w:r>
    </w:p>
    <w:p w14:paraId="401C5F5A">
      <w:pPr>
        <w:keepNext w:val="0"/>
        <w:keepLines w:val="0"/>
        <w:widowControl/>
        <w:suppressLineNumbers w:val="0"/>
        <w:jc w:val="center"/>
        <w:rPr>
          <w:rFonts w:hint="eastAsia" w:ascii="黑体" w:hAnsi="黑体" w:eastAsia="黑体" w:cs="黑体"/>
          <w:color w:val="auto"/>
          <w:kern w:val="0"/>
          <w:sz w:val="40"/>
          <w:szCs w:val="40"/>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特殊困难老年人家庭适老化改造项目花名册</w:t>
      </w:r>
      <w:r>
        <w:rPr>
          <w:rFonts w:hint="eastAsia" w:ascii="黑体" w:hAnsi="黑体" w:eastAsia="黑体" w:cs="黑体"/>
          <w:color w:val="auto"/>
          <w:kern w:val="0"/>
          <w:sz w:val="40"/>
          <w:szCs w:val="40"/>
          <w:highlight w:val="none"/>
          <w:lang w:val="en-US" w:eastAsia="zh-CN" w:bidi="ar"/>
        </w:rPr>
        <w:t xml:space="preserve"> </w:t>
      </w:r>
    </w:p>
    <w:p w14:paraId="3A69A72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单位（公章）：      填报人：       联系电话：   填报时间：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6F0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78F509BA">
            <w:pPr>
              <w:keepNext w:val="0"/>
              <w:keepLines w:val="0"/>
              <w:widowControl/>
              <w:suppressLineNumbers w:val="0"/>
              <w:spacing w:line="480" w:lineRule="auto"/>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序号</w:t>
            </w:r>
          </w:p>
        </w:tc>
        <w:tc>
          <w:tcPr>
            <w:tcW w:w="1065" w:type="dxa"/>
            <w:noWrap w:val="0"/>
            <w:vAlign w:val="top"/>
          </w:tcPr>
          <w:p w14:paraId="191421C6">
            <w:pPr>
              <w:keepNext w:val="0"/>
              <w:keepLines w:val="0"/>
              <w:widowControl/>
              <w:suppressLineNumbers w:val="0"/>
              <w:spacing w:line="480" w:lineRule="auto"/>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姓名</w:t>
            </w:r>
          </w:p>
        </w:tc>
        <w:tc>
          <w:tcPr>
            <w:tcW w:w="1065" w:type="dxa"/>
            <w:noWrap w:val="0"/>
            <w:vAlign w:val="top"/>
          </w:tcPr>
          <w:p w14:paraId="0DE2B969">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身份证号码</w:t>
            </w:r>
          </w:p>
        </w:tc>
        <w:tc>
          <w:tcPr>
            <w:tcW w:w="1065" w:type="dxa"/>
            <w:noWrap w:val="0"/>
            <w:vAlign w:val="top"/>
          </w:tcPr>
          <w:p w14:paraId="12683FA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家庭</w:t>
            </w:r>
          </w:p>
          <w:p w14:paraId="780714D0">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住址</w:t>
            </w:r>
          </w:p>
        </w:tc>
        <w:tc>
          <w:tcPr>
            <w:tcW w:w="1065" w:type="dxa"/>
            <w:noWrap w:val="0"/>
            <w:vAlign w:val="top"/>
          </w:tcPr>
          <w:p w14:paraId="106C529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w:t>
            </w:r>
          </w:p>
          <w:p w14:paraId="23290F1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方式</w:t>
            </w:r>
          </w:p>
        </w:tc>
        <w:tc>
          <w:tcPr>
            <w:tcW w:w="1065" w:type="dxa"/>
            <w:noWrap w:val="0"/>
            <w:vAlign w:val="top"/>
          </w:tcPr>
          <w:p w14:paraId="50E71F45">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主要改造内容</w:t>
            </w:r>
          </w:p>
        </w:tc>
        <w:tc>
          <w:tcPr>
            <w:tcW w:w="1066" w:type="dxa"/>
            <w:noWrap w:val="0"/>
            <w:vAlign w:val="top"/>
          </w:tcPr>
          <w:p w14:paraId="6150E498">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改造费用（元）</w:t>
            </w:r>
          </w:p>
        </w:tc>
        <w:tc>
          <w:tcPr>
            <w:tcW w:w="1066" w:type="dxa"/>
            <w:noWrap w:val="0"/>
            <w:vAlign w:val="top"/>
          </w:tcPr>
          <w:p w14:paraId="5E97EFA6">
            <w:pPr>
              <w:keepNext w:val="0"/>
              <w:keepLines w:val="0"/>
              <w:widowControl/>
              <w:suppressLineNumbers w:val="0"/>
              <w:spacing w:line="480" w:lineRule="auto"/>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w:t>
            </w:r>
          </w:p>
        </w:tc>
      </w:tr>
      <w:tr w14:paraId="7A7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6FE9FFB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27FA48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F15609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6EBC23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9FB5CB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5D8902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EC7496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F3B57E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4F39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04748C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0C73F7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5C5E37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0AFFC1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8B2F45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9E2D17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C2ACC0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1AA138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10B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65" w:type="dxa"/>
            <w:noWrap w:val="0"/>
            <w:vAlign w:val="top"/>
          </w:tcPr>
          <w:p w14:paraId="668881C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16AE5E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BFDCD4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0FE196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55D471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56117F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AD436C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FB9128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1F1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0C6A55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9FD98E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CAFE73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9C25F5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1DAEBE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8F9094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BDA35F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3B43E9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3B29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1CCF5CC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A4D83B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3E32A2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DB79CB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8CF34A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C8FD80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3AF1B0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0E7CA7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8DA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310BB13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3EB1DD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BED66E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0ECEDD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063C5A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B30CC8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2B8B84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49F7C3E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1B81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402C3B6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BB192A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477F15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9E8629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696BE8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1534AC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EA51A2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0F77B0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0F5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3DE8DFF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7C40B2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8B0EAC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E62CCF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F0BEDF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E753C9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0EBC07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C5170B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27A6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1152A1E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C8F6CF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54F766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7F3511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B236D6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ACAAE3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17ACB4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6AFA7E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7144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091697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2D4C1C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C5EF42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416C10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6B5FEA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D7357D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D427C0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5B85F02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23E1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4C89F41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39DD47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4A8E08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329858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2E04CC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C4E423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E10DB9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972934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071F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4CA267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74FAC4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903755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02C0F1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9C2AE6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A4AB2C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7623E4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CA519E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5A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134DCAF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161392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07709F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4E8B74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510A00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F03D18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807964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6BE4EA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AA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0305F52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D06BEE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27F9D0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7A185A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038C93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930D52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9F4793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521F195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5E1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91EAB3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4B9974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9D0883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F3ECB0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FA238D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CAAFC3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5737D3C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942AE7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793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4F0A75F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DCEA1B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C97646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46571A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8E2586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6AB660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3862CF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6E3CBB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3A42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75D8771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6241FA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DEC9F8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90A428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163E95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0B9F81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D5F87C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874DA4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AC4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7A6B07A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FD9734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A3CF1F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C1B441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E0D459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44335F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5A111E0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AF9B40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0F4E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42D30D5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B040F7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499685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0AD5E3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12FDCD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6D03C1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DDE088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43EA33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327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1A68FD1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89B1D3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D6F174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7DC0C6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100711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5DE071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E307A9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2E1694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D26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4722B9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BC16D0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621985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B20CD9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E13F0F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78BC39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4877469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0BE3AB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02B5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4BFC893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24BE3C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EBE5FA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1FAECB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5D5047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63338B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2898F2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5BEF98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0B69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0534E78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B2B096A">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240BEF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D396FD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785213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1C7876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415C0B3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2E03D5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4B7C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07EFE69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57A031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BF83BD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5B4BD5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B07DE8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754FDD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DA05F5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DDF5A5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5AE0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5128875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55F82B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5D2B17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241170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CC77C68">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04D444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542C2E6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F90090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4B75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3D2DE55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600073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3AD4EAD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E7AB39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39C603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36F313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5499D3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6AC1ED8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859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3368BFA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2D6D86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F31A77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14AA080">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E963A9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EC899C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4DE059B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7ECF9DA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272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4E15325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87A48F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B72155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5F4D80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A2703D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9EDAA11">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3360224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2632173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24BC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7D7796A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652ADD3">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8CA21B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A3047D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B48F4F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076BBABF">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4119CAD7">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249466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45D1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2298CA9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60C8EE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BEF2C39">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F9DA48D">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FBF0C6C">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7549E18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7ADE9C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579596F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r w14:paraId="6146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top"/>
          </w:tcPr>
          <w:p w14:paraId="6428545E">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60382625">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46EFC7FB">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5F75A954">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1C3D0C7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5" w:type="dxa"/>
            <w:noWrap w:val="0"/>
            <w:vAlign w:val="top"/>
          </w:tcPr>
          <w:p w14:paraId="2C493D8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0CD6F9C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c>
          <w:tcPr>
            <w:tcW w:w="1066" w:type="dxa"/>
            <w:noWrap w:val="0"/>
            <w:vAlign w:val="top"/>
          </w:tcPr>
          <w:p w14:paraId="1381F69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p>
        </w:tc>
      </w:tr>
    </w:tbl>
    <w:p w14:paraId="6B1F07B4">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（此表由实施机构填写）</w:t>
      </w:r>
    </w:p>
    <w:p w14:paraId="14054FFD">
      <w:pPr>
        <w:pStyle w:val="5"/>
        <w:jc w:val="both"/>
        <w:rPr>
          <w:rFonts w:hint="default" w:ascii="Times New Roman" w:hAnsi="Times New Roman" w:eastAsia="宋体" w:cs="Times New Roman"/>
          <w:color w:val="auto"/>
          <w:highlight w:val="none"/>
        </w:rPr>
      </w:pPr>
    </w:p>
    <w:p w14:paraId="2E2F787B">
      <w:pPr>
        <w:rPr>
          <w:rFonts w:hint="default" w:ascii="Times New Roman" w:hAnsi="Times New Roman" w:eastAsia="宋体" w:cs="Times New Roman"/>
          <w:color w:val="auto"/>
          <w:highlight w:val="none"/>
        </w:rPr>
      </w:pPr>
    </w:p>
    <w:p w14:paraId="50DAAFA3">
      <w:pPr>
        <w:pStyle w:val="2"/>
        <w:bidi w:val="0"/>
        <w:rPr>
          <w:rFonts w:hint="default" w:ascii="Times New Roman" w:hAnsi="Times New Roman" w:eastAsia="宋体" w:cs="Times New Roman"/>
          <w:color w:val="auto"/>
          <w:highlight w:val="none"/>
        </w:rPr>
      </w:pPr>
    </w:p>
    <w:p w14:paraId="53A109EE">
      <w:pPr>
        <w:pStyle w:val="2"/>
        <w:bidi w:val="0"/>
        <w:jc w:val="center"/>
        <w:rPr>
          <w:rFonts w:hint="default" w:ascii="Times New Roman" w:hAnsi="Times New Roman" w:eastAsia="宋体" w:cs="Times New Roman"/>
          <w:color w:val="auto"/>
          <w:highlight w:val="none"/>
        </w:rPr>
      </w:pPr>
      <w:bookmarkStart w:id="41" w:name="_Toc21880"/>
      <w:r>
        <w:rPr>
          <w:rFonts w:hint="default" w:ascii="Times New Roman" w:hAnsi="Times New Roman" w:eastAsia="宋体" w:cs="Times New Roman"/>
          <w:color w:val="auto"/>
          <w:highlight w:val="none"/>
        </w:rPr>
        <w:t>第</w:t>
      </w:r>
      <w:r>
        <w:rPr>
          <w:rFonts w:hint="default" w:ascii="Times New Roman" w:hAnsi="Times New Roman" w:cs="Times New Roman"/>
          <w:color w:val="auto"/>
          <w:highlight w:val="none"/>
          <w:lang w:eastAsia="zh-CN"/>
        </w:rPr>
        <w:t>四</w:t>
      </w:r>
      <w:r>
        <w:rPr>
          <w:rFonts w:hint="default" w:ascii="Times New Roman" w:hAnsi="Times New Roman" w:eastAsia="宋体" w:cs="Times New Roman"/>
          <w:color w:val="auto"/>
          <w:highlight w:val="none"/>
        </w:rPr>
        <w:t>章  竞争性磋商响应文件格式</w:t>
      </w:r>
      <w:bookmarkEnd w:id="40"/>
      <w:bookmarkEnd w:id="41"/>
    </w:p>
    <w:p w14:paraId="00E81C00">
      <w:pPr>
        <w:spacing w:line="500" w:lineRule="exact"/>
        <w:jc w:val="center"/>
        <w:rPr>
          <w:rFonts w:hint="default" w:ascii="Times New Roman" w:hAnsi="Times New Roman" w:eastAsia="宋体" w:cs="Times New Roman"/>
          <w:color w:val="auto"/>
          <w:sz w:val="28"/>
          <w:szCs w:val="28"/>
          <w:highlight w:val="none"/>
        </w:rPr>
      </w:pPr>
    </w:p>
    <w:p w14:paraId="6B285473">
      <w:pPr>
        <w:spacing w:line="500" w:lineRule="exact"/>
        <w:ind w:firstLine="1120" w:firstLineChars="4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封面：</w:t>
      </w:r>
    </w:p>
    <w:p w14:paraId="4A43000D">
      <w:pPr>
        <w:spacing w:line="500" w:lineRule="exact"/>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w:t>
      </w:r>
    </w:p>
    <w:p w14:paraId="497C933F">
      <w:pPr>
        <w:spacing w:line="500" w:lineRule="exact"/>
        <w:jc w:val="center"/>
        <w:rPr>
          <w:rFonts w:hint="default" w:ascii="Times New Roman" w:hAnsi="Times New Roman" w:eastAsia="宋体" w:cs="Times New Roman"/>
          <w:color w:val="auto"/>
          <w:sz w:val="28"/>
          <w:szCs w:val="28"/>
          <w:highlight w:val="none"/>
        </w:rPr>
      </w:pPr>
    </w:p>
    <w:p w14:paraId="5A06D4FF">
      <w:pPr>
        <w:pStyle w:val="6"/>
        <w:rPr>
          <w:rFonts w:hint="default" w:ascii="Times New Roman" w:hAnsi="Times New Roman" w:cs="Times New Roman"/>
          <w:color w:val="auto"/>
          <w:highlight w:val="none"/>
        </w:rPr>
      </w:pPr>
    </w:p>
    <w:p w14:paraId="7067DD39">
      <w:pPr>
        <w:spacing w:line="500" w:lineRule="exact"/>
        <w:jc w:val="center"/>
        <w:rPr>
          <w:rFonts w:hint="default" w:ascii="Times New Roman" w:hAnsi="Times New Roman" w:eastAsia="宋体" w:cs="Times New Roman"/>
          <w:color w:val="auto"/>
          <w:sz w:val="28"/>
          <w:szCs w:val="28"/>
          <w:highlight w:val="none"/>
        </w:rPr>
      </w:pPr>
    </w:p>
    <w:p w14:paraId="4FB112C9">
      <w:pPr>
        <w:jc w:val="center"/>
        <w:rPr>
          <w:rFonts w:hint="default" w:ascii="Times New Roman" w:hAnsi="Times New Roman" w:eastAsia="宋体" w:cs="Times New Roman"/>
          <w:b/>
          <w:color w:val="auto"/>
          <w:sz w:val="72"/>
          <w:szCs w:val="72"/>
          <w:highlight w:val="none"/>
        </w:rPr>
      </w:pPr>
      <w:r>
        <w:rPr>
          <w:rFonts w:hint="default" w:ascii="Times New Roman" w:hAnsi="Times New Roman" w:eastAsia="宋体" w:cs="Times New Roman"/>
          <w:b/>
          <w:color w:val="auto"/>
          <w:sz w:val="72"/>
          <w:szCs w:val="72"/>
          <w:highlight w:val="none"/>
        </w:rPr>
        <w:t>竞争性磋商响应文件</w:t>
      </w:r>
    </w:p>
    <w:p w14:paraId="751819E6">
      <w:pPr>
        <w:spacing w:line="500" w:lineRule="exact"/>
        <w:jc w:val="center"/>
        <w:rPr>
          <w:rFonts w:hint="default" w:ascii="Times New Roman" w:hAnsi="Times New Roman" w:eastAsia="宋体" w:cs="Times New Roman"/>
          <w:color w:val="auto"/>
          <w:sz w:val="36"/>
          <w:szCs w:val="36"/>
          <w:highlight w:val="none"/>
        </w:rPr>
      </w:pPr>
    </w:p>
    <w:p w14:paraId="6CC9FA99">
      <w:pPr>
        <w:spacing w:line="500" w:lineRule="exact"/>
        <w:jc w:val="center"/>
        <w:rPr>
          <w:rFonts w:hint="default" w:ascii="Times New Roman" w:hAnsi="Times New Roman" w:eastAsia="宋体" w:cs="Times New Roman"/>
          <w:color w:val="auto"/>
          <w:sz w:val="28"/>
          <w:szCs w:val="28"/>
          <w:highlight w:val="none"/>
        </w:rPr>
      </w:pPr>
    </w:p>
    <w:p w14:paraId="69FB6DC9">
      <w:pPr>
        <w:spacing w:line="500" w:lineRule="exact"/>
        <w:jc w:val="center"/>
        <w:rPr>
          <w:rFonts w:hint="default" w:ascii="Times New Roman" w:hAnsi="Times New Roman" w:eastAsia="宋体" w:cs="Times New Roman"/>
          <w:color w:val="auto"/>
          <w:sz w:val="28"/>
          <w:szCs w:val="28"/>
          <w:highlight w:val="none"/>
        </w:rPr>
      </w:pPr>
    </w:p>
    <w:p w14:paraId="562A8998">
      <w:pPr>
        <w:tabs>
          <w:tab w:val="left" w:pos="3240"/>
        </w:tabs>
        <w:spacing w:line="500" w:lineRule="exact"/>
        <w:ind w:left="1438" w:leftChars="685" w:firstLine="560" w:firstLineChars="200"/>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 xml:space="preserve">    项目编号：</w:t>
      </w:r>
      <w:r>
        <w:rPr>
          <w:rFonts w:hint="default" w:ascii="Times New Roman" w:hAnsi="Times New Roman" w:eastAsia="宋体" w:cs="Times New Roman"/>
          <w:color w:val="auto"/>
          <w:sz w:val="28"/>
          <w:szCs w:val="28"/>
          <w:highlight w:val="none"/>
          <w:u w:val="single"/>
        </w:rPr>
        <w:t xml:space="preserve">                       </w:t>
      </w:r>
    </w:p>
    <w:p w14:paraId="63D584F8">
      <w:pPr>
        <w:spacing w:line="500" w:lineRule="exact"/>
        <w:ind w:left="1438" w:leftChars="685" w:firstLine="1120" w:firstLineChars="400"/>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项目名称：</w:t>
      </w:r>
      <w:r>
        <w:rPr>
          <w:rFonts w:hint="default" w:ascii="Times New Roman" w:hAnsi="Times New Roman" w:eastAsia="宋体" w:cs="Times New Roman"/>
          <w:color w:val="auto"/>
          <w:sz w:val="28"/>
          <w:szCs w:val="28"/>
          <w:highlight w:val="none"/>
          <w:u w:val="single"/>
        </w:rPr>
        <w:t xml:space="preserve">                      </w:t>
      </w:r>
    </w:p>
    <w:p w14:paraId="0481A898">
      <w:pPr>
        <w:tabs>
          <w:tab w:val="left" w:pos="2625"/>
        </w:tabs>
        <w:spacing w:line="500" w:lineRule="exact"/>
        <w:ind w:firstLine="2520" w:firstLineChars="90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分标号：</w:t>
      </w:r>
      <w:r>
        <w:rPr>
          <w:rFonts w:hint="eastAsia"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 xml:space="preserve">                 </w:t>
      </w:r>
    </w:p>
    <w:p w14:paraId="75B7A7D6">
      <w:pPr>
        <w:tabs>
          <w:tab w:val="left" w:pos="2625"/>
        </w:tabs>
        <w:spacing w:line="500" w:lineRule="exact"/>
        <w:jc w:val="center"/>
        <w:rPr>
          <w:rFonts w:hint="default" w:ascii="Times New Roman" w:hAnsi="Times New Roman" w:eastAsia="宋体" w:cs="Times New Roman"/>
          <w:color w:val="auto"/>
          <w:sz w:val="28"/>
          <w:szCs w:val="28"/>
          <w:highlight w:val="none"/>
        </w:rPr>
      </w:pPr>
    </w:p>
    <w:p w14:paraId="09174F45">
      <w:pPr>
        <w:tabs>
          <w:tab w:val="left" w:pos="2625"/>
        </w:tabs>
        <w:spacing w:line="500" w:lineRule="exact"/>
        <w:rPr>
          <w:rFonts w:hint="default" w:ascii="Times New Roman" w:hAnsi="Times New Roman" w:eastAsia="宋体" w:cs="Times New Roman"/>
          <w:color w:val="auto"/>
          <w:sz w:val="28"/>
          <w:szCs w:val="28"/>
          <w:highlight w:val="none"/>
        </w:rPr>
      </w:pPr>
    </w:p>
    <w:p w14:paraId="0911466A">
      <w:pPr>
        <w:spacing w:line="500" w:lineRule="exact"/>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（供应商名称）</w:t>
      </w:r>
    </w:p>
    <w:p w14:paraId="7C90DCF5">
      <w:pPr>
        <w:spacing w:line="500" w:lineRule="exact"/>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年    月    日</w:t>
      </w:r>
    </w:p>
    <w:p w14:paraId="3F9E5388">
      <w:pPr>
        <w:pStyle w:val="15"/>
        <w:rPr>
          <w:rFonts w:hint="default" w:ascii="Times New Roman" w:hAnsi="Times New Roman" w:eastAsia="宋体" w:cs="Times New Roman"/>
          <w:color w:val="auto"/>
          <w:sz w:val="28"/>
          <w:szCs w:val="28"/>
          <w:highlight w:val="none"/>
          <w:lang w:val="en-US" w:eastAsia="zh-CN"/>
        </w:rPr>
      </w:pPr>
    </w:p>
    <w:p w14:paraId="25C2B21F">
      <w:pPr>
        <w:rPr>
          <w:rFonts w:hint="default" w:ascii="Times New Roman" w:hAnsi="Times New Roman" w:eastAsia="宋体" w:cs="Times New Roman"/>
          <w:color w:val="auto"/>
          <w:highlight w:val="none"/>
        </w:rPr>
      </w:pPr>
    </w:p>
    <w:p w14:paraId="6F62A478">
      <w:pPr>
        <w:spacing w:line="520" w:lineRule="exact"/>
        <w:jc w:val="center"/>
        <w:rPr>
          <w:rFonts w:hint="default" w:ascii="Times New Roman" w:hAnsi="Times New Roman" w:eastAsia="宋体" w:cs="Times New Roman"/>
          <w:b/>
          <w:bCs/>
          <w:color w:val="auto"/>
          <w:sz w:val="36"/>
          <w:szCs w:val="36"/>
          <w:highlight w:val="none"/>
        </w:rPr>
      </w:pPr>
    </w:p>
    <w:p w14:paraId="7EC00375">
      <w:pPr>
        <w:spacing w:line="520" w:lineRule="exact"/>
        <w:jc w:val="center"/>
        <w:rPr>
          <w:rFonts w:hint="default" w:ascii="Times New Roman" w:hAnsi="Times New Roman" w:eastAsia="宋体" w:cs="Times New Roman"/>
          <w:b/>
          <w:bCs/>
          <w:color w:val="auto"/>
          <w:sz w:val="36"/>
          <w:szCs w:val="36"/>
          <w:highlight w:val="none"/>
        </w:rPr>
      </w:pPr>
    </w:p>
    <w:p w14:paraId="2182DA08">
      <w:pPr>
        <w:pStyle w:val="7"/>
        <w:rPr>
          <w:rFonts w:hint="default" w:ascii="Times New Roman" w:hAnsi="Times New Roman" w:eastAsia="宋体" w:cs="Times New Roman"/>
          <w:color w:val="auto"/>
          <w:highlight w:val="none"/>
        </w:rPr>
      </w:pPr>
    </w:p>
    <w:p w14:paraId="71C3C13E">
      <w:pPr>
        <w:pStyle w:val="37"/>
        <w:rPr>
          <w:rFonts w:hint="default" w:ascii="Times New Roman" w:hAnsi="Times New Roman" w:eastAsia="宋体" w:cs="Times New Roman"/>
          <w:b/>
          <w:bCs/>
          <w:color w:val="auto"/>
          <w:sz w:val="36"/>
          <w:szCs w:val="36"/>
          <w:highlight w:val="none"/>
        </w:rPr>
      </w:pPr>
    </w:p>
    <w:p w14:paraId="3F200ED7">
      <w:pPr>
        <w:spacing w:line="520" w:lineRule="exact"/>
        <w:jc w:val="both"/>
        <w:rPr>
          <w:rFonts w:hint="default" w:ascii="Times New Roman" w:hAnsi="Times New Roman" w:eastAsia="宋体" w:cs="Times New Roman"/>
          <w:b/>
          <w:bCs/>
          <w:color w:val="auto"/>
          <w:sz w:val="36"/>
          <w:szCs w:val="36"/>
          <w:highlight w:val="none"/>
        </w:rPr>
      </w:pPr>
    </w:p>
    <w:p w14:paraId="0BF4F20E">
      <w:pPr>
        <w:spacing w:line="520" w:lineRule="exact"/>
        <w:jc w:val="center"/>
        <w:rPr>
          <w:rFonts w:hint="default" w:ascii="Times New Roman" w:hAnsi="Times New Roman" w:eastAsia="宋体" w:cs="Times New Roman"/>
          <w:b/>
          <w:bCs/>
          <w:color w:val="auto"/>
          <w:sz w:val="36"/>
          <w:szCs w:val="36"/>
          <w:highlight w:val="none"/>
        </w:rPr>
      </w:pPr>
    </w:p>
    <w:p w14:paraId="1553128C">
      <w:pPr>
        <w:snapToGrid w:val="0"/>
        <w:spacing w:before="156" w:beforeLines="50" w:after="50" w:line="360" w:lineRule="auto"/>
        <w:ind w:left="142"/>
        <w:jc w:val="center"/>
        <w:rPr>
          <w:rFonts w:hint="default" w:ascii="Times New Roman" w:hAnsi="Times New Roman" w:cs="Times New Roman"/>
          <w:b/>
          <w:bCs/>
          <w:color w:val="auto"/>
          <w:sz w:val="40"/>
          <w:szCs w:val="40"/>
          <w:highlight w:val="none"/>
        </w:rPr>
      </w:pPr>
    </w:p>
    <w:p w14:paraId="7C17A45F">
      <w:pPr>
        <w:snapToGrid w:val="0"/>
        <w:spacing w:before="156" w:beforeLines="50" w:after="50" w:line="360" w:lineRule="auto"/>
        <w:ind w:left="142"/>
        <w:jc w:val="center"/>
        <w:rPr>
          <w:rFonts w:hint="default" w:ascii="Times New Roman" w:hAnsi="Times New Roman" w:cs="Times New Roman"/>
          <w:b/>
          <w:bCs/>
          <w:color w:val="auto"/>
          <w:sz w:val="40"/>
          <w:szCs w:val="40"/>
          <w:highlight w:val="none"/>
        </w:rPr>
      </w:pPr>
    </w:p>
    <w:p w14:paraId="41DCA3F1">
      <w:pPr>
        <w:snapToGrid w:val="0"/>
        <w:spacing w:before="156" w:beforeLines="50" w:after="50" w:line="360" w:lineRule="auto"/>
        <w:ind w:left="142"/>
        <w:jc w:val="center"/>
        <w:rPr>
          <w:rFonts w:hint="default" w:ascii="Times New Roman" w:hAnsi="Times New Roman" w:cs="Times New Roman"/>
          <w:b/>
          <w:bCs/>
          <w:color w:val="auto"/>
          <w:sz w:val="40"/>
          <w:szCs w:val="40"/>
          <w:highlight w:val="none"/>
        </w:rPr>
      </w:pPr>
    </w:p>
    <w:p w14:paraId="50ACC3BF">
      <w:pPr>
        <w:snapToGrid w:val="0"/>
        <w:spacing w:before="156" w:beforeLines="50" w:after="50" w:line="360" w:lineRule="auto"/>
        <w:ind w:left="142"/>
        <w:jc w:val="center"/>
        <w:rPr>
          <w:rFonts w:hint="default" w:ascii="Times New Roman" w:hAnsi="Times New Roman" w:cs="Times New Roman"/>
          <w:b/>
          <w:bCs/>
          <w:color w:val="auto"/>
          <w:sz w:val="40"/>
          <w:szCs w:val="40"/>
          <w:highlight w:val="none"/>
        </w:rPr>
      </w:pPr>
      <w:r>
        <w:rPr>
          <w:rFonts w:hint="default" w:ascii="Times New Roman" w:hAnsi="Times New Roman" w:cs="Times New Roman"/>
          <w:b/>
          <w:bCs/>
          <w:color w:val="auto"/>
          <w:sz w:val="40"/>
          <w:szCs w:val="40"/>
          <w:highlight w:val="none"/>
        </w:rPr>
        <w:t>目录</w:t>
      </w:r>
    </w:p>
    <w:p w14:paraId="3C547FCF">
      <w:pPr>
        <w:snapToGrid w:val="0"/>
        <w:spacing w:before="156" w:beforeLines="50" w:after="50" w:line="360" w:lineRule="auto"/>
        <w:ind w:left="142"/>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根据</w:t>
      </w:r>
      <w:r>
        <w:rPr>
          <w:rFonts w:hint="eastAsia" w:cs="Times New Roman"/>
          <w:color w:val="auto"/>
          <w:sz w:val="32"/>
          <w:szCs w:val="32"/>
          <w:highlight w:val="none"/>
          <w:lang w:eastAsia="zh-CN"/>
        </w:rPr>
        <w:t>采购</w:t>
      </w:r>
      <w:r>
        <w:rPr>
          <w:rFonts w:hint="default" w:ascii="Times New Roman" w:hAnsi="Times New Roman" w:cs="Times New Roman"/>
          <w:color w:val="auto"/>
          <w:sz w:val="32"/>
          <w:szCs w:val="32"/>
          <w:highlight w:val="none"/>
        </w:rPr>
        <w:t>文件规定及供应商提供的材料自行编写目录</w:t>
      </w:r>
    </w:p>
    <w:p w14:paraId="05A07E29">
      <w:pPr>
        <w:snapToGrid w:val="0"/>
        <w:spacing w:before="156" w:beforeLines="50" w:after="50" w:line="300" w:lineRule="exact"/>
        <w:ind w:firstLine="640" w:firstLineChars="20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（部分格式后附）</w:t>
      </w:r>
    </w:p>
    <w:p w14:paraId="4236A6A4">
      <w:pPr>
        <w:pStyle w:val="5"/>
        <w:rPr>
          <w:rFonts w:hint="default" w:ascii="Times New Roman" w:hAnsi="Times New Roman" w:eastAsia="宋体" w:cs="Times New Roman"/>
          <w:color w:val="auto"/>
          <w:sz w:val="32"/>
          <w:szCs w:val="32"/>
          <w:highlight w:val="none"/>
          <w:lang w:eastAsia="zh-CN"/>
        </w:rPr>
      </w:pPr>
    </w:p>
    <w:p w14:paraId="1D7EF754">
      <w:pPr>
        <w:rPr>
          <w:rFonts w:hint="default" w:ascii="Times New Roman" w:hAnsi="Times New Roman" w:cs="Times New Roman"/>
          <w:color w:val="auto"/>
          <w:highlight w:val="none"/>
        </w:rPr>
      </w:pPr>
    </w:p>
    <w:p w14:paraId="666EBAA7">
      <w:pPr>
        <w:spacing w:line="360" w:lineRule="auto"/>
        <w:ind w:firstLine="562" w:firstLineChars="200"/>
        <w:rPr>
          <w:rFonts w:hint="default" w:ascii="Times New Roman" w:hAnsi="Times New Roman" w:eastAsia="宋体" w:cs="Times New Roman"/>
          <w:color w:val="auto"/>
          <w:sz w:val="24"/>
          <w:highlight w:val="none"/>
        </w:rPr>
      </w:pPr>
      <w:r>
        <w:rPr>
          <w:rFonts w:hint="default" w:ascii="Times New Roman" w:hAnsi="Times New Roman" w:cs="Times New Roman"/>
          <w:b/>
          <w:bCs/>
          <w:color w:val="auto"/>
          <w:sz w:val="28"/>
          <w:szCs w:val="28"/>
          <w:highlight w:val="none"/>
        </w:rPr>
        <w:t>注：有格式要求的请按格式编写，无格式要求的请投标</w:t>
      </w:r>
      <w:r>
        <w:rPr>
          <w:rFonts w:hint="default" w:ascii="Times New Roman" w:hAnsi="Times New Roman" w:cs="Times New Roman"/>
          <w:b/>
          <w:bCs/>
          <w:color w:val="auto"/>
          <w:sz w:val="28"/>
          <w:szCs w:val="28"/>
          <w:highlight w:val="none"/>
          <w:lang w:val="en-US" w:eastAsia="zh-CN"/>
        </w:rPr>
        <w:t>供应商</w:t>
      </w:r>
      <w:r>
        <w:rPr>
          <w:rFonts w:hint="default" w:ascii="Times New Roman" w:hAnsi="Times New Roman" w:cs="Times New Roman"/>
          <w:b/>
          <w:bCs/>
          <w:color w:val="auto"/>
          <w:sz w:val="28"/>
          <w:szCs w:val="28"/>
          <w:highlight w:val="none"/>
        </w:rPr>
        <w:t>自拟</w:t>
      </w:r>
    </w:p>
    <w:p w14:paraId="341719FE">
      <w:pPr>
        <w:spacing w:line="276" w:lineRule="auto"/>
        <w:jc w:val="center"/>
        <w:rPr>
          <w:rFonts w:hint="default" w:ascii="Times New Roman" w:hAnsi="Times New Roman" w:eastAsia="宋体" w:cs="Times New Roman"/>
          <w:b/>
          <w:color w:val="auto"/>
          <w:sz w:val="36"/>
          <w:highlight w:val="none"/>
        </w:rPr>
      </w:pPr>
    </w:p>
    <w:p w14:paraId="1F3106A0">
      <w:pPr>
        <w:pStyle w:val="23"/>
        <w:rPr>
          <w:rFonts w:hint="default" w:ascii="Times New Roman" w:hAnsi="Times New Roman" w:eastAsia="宋体" w:cs="Times New Roman"/>
          <w:b/>
          <w:color w:val="auto"/>
          <w:sz w:val="36"/>
          <w:highlight w:val="none"/>
        </w:rPr>
      </w:pPr>
    </w:p>
    <w:p w14:paraId="279225F5">
      <w:pPr>
        <w:rPr>
          <w:rFonts w:hint="default" w:ascii="Times New Roman" w:hAnsi="Times New Roman" w:eastAsia="宋体" w:cs="Times New Roman"/>
          <w:b/>
          <w:color w:val="auto"/>
          <w:sz w:val="36"/>
          <w:highlight w:val="none"/>
        </w:rPr>
      </w:pPr>
    </w:p>
    <w:p w14:paraId="45C5BA40">
      <w:pPr>
        <w:pStyle w:val="23"/>
        <w:rPr>
          <w:rFonts w:hint="default" w:ascii="Times New Roman" w:hAnsi="Times New Roman" w:eastAsia="宋体" w:cs="Times New Roman"/>
          <w:color w:val="auto"/>
          <w:highlight w:val="none"/>
        </w:rPr>
      </w:pPr>
    </w:p>
    <w:p w14:paraId="444B0610">
      <w:pPr>
        <w:pStyle w:val="23"/>
        <w:rPr>
          <w:rFonts w:hint="default" w:ascii="Times New Roman" w:hAnsi="Times New Roman" w:eastAsia="宋体" w:cs="Times New Roman"/>
          <w:b/>
          <w:color w:val="auto"/>
          <w:sz w:val="36"/>
          <w:highlight w:val="none"/>
        </w:rPr>
      </w:pPr>
    </w:p>
    <w:p w14:paraId="390FC93A">
      <w:pPr>
        <w:rPr>
          <w:rFonts w:hint="default" w:ascii="Times New Roman" w:hAnsi="Times New Roman" w:eastAsia="宋体" w:cs="Times New Roman"/>
          <w:b/>
          <w:color w:val="auto"/>
          <w:sz w:val="36"/>
          <w:highlight w:val="none"/>
        </w:rPr>
      </w:pPr>
    </w:p>
    <w:p w14:paraId="4AAEBD23">
      <w:pPr>
        <w:pStyle w:val="23"/>
        <w:rPr>
          <w:rFonts w:hint="default" w:ascii="Times New Roman" w:hAnsi="Times New Roman" w:eastAsia="宋体" w:cs="Times New Roman"/>
          <w:b/>
          <w:color w:val="auto"/>
          <w:sz w:val="36"/>
          <w:highlight w:val="none"/>
        </w:rPr>
      </w:pPr>
    </w:p>
    <w:p w14:paraId="74DE4690">
      <w:pPr>
        <w:rPr>
          <w:rFonts w:hint="default" w:ascii="Times New Roman" w:hAnsi="Times New Roman" w:eastAsia="宋体" w:cs="Times New Roman"/>
          <w:b/>
          <w:color w:val="auto"/>
          <w:sz w:val="36"/>
          <w:highlight w:val="none"/>
        </w:rPr>
      </w:pPr>
    </w:p>
    <w:p w14:paraId="74FB8878">
      <w:pPr>
        <w:pStyle w:val="23"/>
        <w:rPr>
          <w:rFonts w:hint="default" w:ascii="Times New Roman" w:hAnsi="Times New Roman" w:eastAsia="宋体" w:cs="Times New Roman"/>
          <w:b/>
          <w:color w:val="auto"/>
          <w:sz w:val="36"/>
          <w:highlight w:val="none"/>
        </w:rPr>
      </w:pPr>
    </w:p>
    <w:p w14:paraId="467F67C2">
      <w:pPr>
        <w:rPr>
          <w:rFonts w:hint="default" w:ascii="Times New Roman" w:hAnsi="Times New Roman" w:eastAsia="宋体" w:cs="Times New Roman"/>
          <w:b/>
          <w:color w:val="auto"/>
          <w:sz w:val="36"/>
          <w:highlight w:val="none"/>
        </w:rPr>
      </w:pPr>
    </w:p>
    <w:p w14:paraId="14D70EB6">
      <w:pPr>
        <w:pStyle w:val="23"/>
        <w:rPr>
          <w:rFonts w:hint="default" w:ascii="Times New Roman" w:hAnsi="Times New Roman" w:eastAsia="宋体" w:cs="Times New Roman"/>
          <w:color w:val="auto"/>
          <w:highlight w:val="none"/>
        </w:rPr>
      </w:pPr>
    </w:p>
    <w:p w14:paraId="67C949CF">
      <w:pPr>
        <w:pStyle w:val="23"/>
        <w:rPr>
          <w:rFonts w:hint="default" w:ascii="Times New Roman" w:hAnsi="Times New Roman" w:eastAsia="宋体" w:cs="Times New Roman"/>
          <w:color w:val="auto"/>
          <w:highlight w:val="none"/>
        </w:rPr>
      </w:pPr>
    </w:p>
    <w:p w14:paraId="55ACEC4B">
      <w:pPr>
        <w:spacing w:line="276" w:lineRule="auto"/>
        <w:jc w:val="center"/>
        <w:rPr>
          <w:rFonts w:hint="default" w:ascii="Times New Roman" w:hAnsi="Times New Roman" w:eastAsia="宋体" w:cs="Times New Roman"/>
          <w:b/>
          <w:color w:val="auto"/>
          <w:sz w:val="36"/>
          <w:highlight w:val="none"/>
        </w:rPr>
      </w:pPr>
    </w:p>
    <w:p w14:paraId="6230CDB9">
      <w:pPr>
        <w:spacing w:line="276" w:lineRule="auto"/>
        <w:ind w:firstLine="560" w:firstLineChars="200"/>
        <w:rPr>
          <w:rFonts w:hint="default" w:ascii="Times New Roman" w:hAnsi="Times New Roman" w:eastAsia="宋体" w:cs="Times New Roman"/>
          <w:color w:val="auto"/>
          <w:sz w:val="28"/>
          <w:highlight w:val="none"/>
        </w:rPr>
      </w:pPr>
    </w:p>
    <w:p w14:paraId="63E29092">
      <w:pPr>
        <w:spacing w:line="276" w:lineRule="auto"/>
        <w:ind w:firstLine="560" w:firstLineChars="200"/>
        <w:rPr>
          <w:rFonts w:hint="default" w:ascii="Times New Roman" w:hAnsi="Times New Roman" w:eastAsia="宋体" w:cs="Times New Roman"/>
          <w:color w:val="auto"/>
          <w:sz w:val="28"/>
          <w:highlight w:val="none"/>
        </w:rPr>
      </w:pPr>
    </w:p>
    <w:p w14:paraId="2AB200FC">
      <w:pPr>
        <w:spacing w:line="276" w:lineRule="auto"/>
        <w:ind w:firstLine="560" w:firstLineChars="200"/>
        <w:rPr>
          <w:rFonts w:hint="default" w:ascii="Times New Roman" w:hAnsi="Times New Roman" w:eastAsia="宋体" w:cs="Times New Roman"/>
          <w:color w:val="auto"/>
          <w:sz w:val="28"/>
          <w:highlight w:val="none"/>
        </w:rPr>
      </w:pPr>
    </w:p>
    <w:p w14:paraId="7C16E2F6">
      <w:pPr>
        <w:pStyle w:val="15"/>
        <w:rPr>
          <w:rFonts w:hint="default" w:ascii="Times New Roman" w:hAnsi="Times New Roman" w:eastAsia="宋体" w:cs="Times New Roman"/>
          <w:color w:val="auto"/>
          <w:sz w:val="28"/>
          <w:szCs w:val="28"/>
          <w:highlight w:val="none"/>
        </w:rPr>
      </w:pPr>
    </w:p>
    <w:p w14:paraId="45DC778D">
      <w:pPr>
        <w:jc w:val="center"/>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法定代表人身份证明书（格式）</w:t>
      </w:r>
    </w:p>
    <w:p w14:paraId="1DEA4E9E">
      <w:pPr>
        <w:tabs>
          <w:tab w:val="left" w:pos="2880"/>
        </w:tabs>
        <w:rPr>
          <w:rFonts w:hint="default" w:ascii="Times New Roman" w:hAnsi="Times New Roman" w:eastAsia="宋体" w:cs="Times New Roman"/>
          <w:b/>
          <w:color w:val="auto"/>
          <w:highlight w:val="none"/>
        </w:rPr>
      </w:pPr>
    </w:p>
    <w:p w14:paraId="3E1583CD">
      <w:pPr>
        <w:tabs>
          <w:tab w:val="left" w:pos="2880"/>
        </w:tabs>
        <w:spacing w:line="360" w:lineRule="auto"/>
        <w:ind w:firstLine="61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单位名称：</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p>
    <w:p w14:paraId="7E15ADEE">
      <w:pPr>
        <w:tabs>
          <w:tab w:val="left" w:pos="2880"/>
        </w:tabs>
        <w:spacing w:line="360" w:lineRule="auto"/>
        <w:ind w:firstLine="61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单位性质：</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p>
    <w:p w14:paraId="1DB93710">
      <w:pPr>
        <w:tabs>
          <w:tab w:val="left" w:pos="2880"/>
        </w:tabs>
        <w:spacing w:line="360" w:lineRule="auto"/>
        <w:ind w:firstLine="61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地    址：</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ab/>
      </w:r>
    </w:p>
    <w:p w14:paraId="16AF4320">
      <w:pPr>
        <w:tabs>
          <w:tab w:val="left" w:pos="2880"/>
        </w:tabs>
        <w:spacing w:line="360" w:lineRule="auto"/>
        <w:ind w:firstLine="61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成立时间：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14:paraId="6C03ACED">
      <w:pPr>
        <w:tabs>
          <w:tab w:val="left" w:pos="2880"/>
        </w:tabs>
        <w:spacing w:line="360" w:lineRule="auto"/>
        <w:ind w:firstLine="61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经营期限：</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rPr>
        <w:tab/>
      </w:r>
    </w:p>
    <w:p w14:paraId="55C3D7EA">
      <w:pPr>
        <w:tabs>
          <w:tab w:val="left" w:pos="2880"/>
        </w:tabs>
        <w:spacing w:line="360" w:lineRule="auto"/>
        <w:ind w:left="744" w:leftChars="342" w:hanging="26" w:hangingChars="11"/>
        <w:rPr>
          <w:rFonts w:hint="default" w:ascii="Times New Roman" w:hAnsi="Times New Roman" w:eastAsia="宋体" w:cs="Times New Roman"/>
          <w:color w:val="auto"/>
          <w:sz w:val="24"/>
          <w:highlight w:val="none"/>
          <w:u w:val="single"/>
          <w:lang w:eastAsia="zh-CN"/>
        </w:rPr>
      </w:pPr>
      <w:r>
        <w:rPr>
          <w:rFonts w:hint="default" w:ascii="Times New Roman" w:hAnsi="Times New Roman" w:eastAsia="宋体" w:cs="Times New Roman"/>
          <w:color w:val="auto"/>
          <w:sz w:val="24"/>
          <w:highlight w:val="none"/>
        </w:rPr>
        <w:t>姓    名：</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 xml:space="preserve"> 性别：</w:t>
      </w:r>
      <w:r>
        <w:rPr>
          <w:rFonts w:hint="default" w:ascii="Times New Roman" w:hAnsi="Times New Roman" w:eastAsia="宋体" w:cs="Times New Roman"/>
          <w:color w:val="auto"/>
          <w:sz w:val="24"/>
          <w:highlight w:val="none"/>
          <w:u w:val="single"/>
        </w:rPr>
        <w:t xml:space="preserve">       </w:t>
      </w:r>
    </w:p>
    <w:p w14:paraId="4E0BBD3D">
      <w:pPr>
        <w:tabs>
          <w:tab w:val="left" w:pos="2880"/>
        </w:tabs>
        <w:spacing w:line="360" w:lineRule="auto"/>
        <w:ind w:left="744" w:leftChars="342" w:hanging="26" w:hangingChars="11"/>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龄：</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 xml:space="preserve"> 职务：</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 xml:space="preserve">    </w:t>
      </w:r>
    </w:p>
    <w:p w14:paraId="2C85D752">
      <w:pPr>
        <w:spacing w:line="520" w:lineRule="exact"/>
        <w:ind w:left="540"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身份证号码：</w:t>
      </w:r>
      <w:r>
        <w:rPr>
          <w:rFonts w:hint="default" w:ascii="Times New Roman" w:hAnsi="Times New Roman" w:eastAsia="宋体" w:cs="Times New Roman"/>
          <w:color w:val="auto"/>
          <w:sz w:val="24"/>
          <w:highlight w:val="none"/>
          <w:u w:val="single"/>
        </w:rPr>
        <w:tab/>
      </w:r>
      <w:r>
        <w:rPr>
          <w:rFonts w:hint="default" w:ascii="Times New Roman" w:hAnsi="Times New Roman" w:eastAsia="宋体" w:cs="Times New Roman"/>
          <w:color w:val="auto"/>
          <w:sz w:val="24"/>
          <w:highlight w:val="none"/>
          <w:u w:val="single"/>
        </w:rPr>
        <w:t xml:space="preserve">                                                </w:t>
      </w:r>
    </w:p>
    <w:p w14:paraId="0B5D3ADF">
      <w:pPr>
        <w:pStyle w:val="15"/>
        <w:rPr>
          <w:rFonts w:hint="default" w:ascii="Times New Roman" w:hAnsi="Times New Roman" w:cs="Times New Roman"/>
          <w:color w:val="auto"/>
          <w:highlight w:val="none"/>
          <w:lang w:eastAsia="zh-CN"/>
        </w:rPr>
      </w:pPr>
    </w:p>
    <w:p w14:paraId="4B5D2C9A">
      <w:pPr>
        <w:tabs>
          <w:tab w:val="left" w:pos="2880"/>
        </w:tabs>
        <w:spacing w:line="360" w:lineRule="auto"/>
        <w:ind w:left="744" w:leftChars="342" w:hanging="26" w:hangingChars="1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系</w:t>
      </w:r>
      <w:r>
        <w:rPr>
          <w:rFonts w:hint="default" w:ascii="Times New Roman" w:hAnsi="Times New Roman" w:eastAsia="宋体" w:cs="Times New Roman"/>
          <w:color w:val="auto"/>
          <w:sz w:val="24"/>
          <w:highlight w:val="none"/>
          <w:u w:val="single"/>
        </w:rPr>
        <w:t xml:space="preserve">     （磋商供应商单位名称）</w:t>
      </w:r>
      <w:r>
        <w:rPr>
          <w:rFonts w:hint="default" w:ascii="Times New Roman" w:hAnsi="Times New Roman" w:eastAsia="宋体" w:cs="Times New Roman"/>
          <w:color w:val="auto"/>
          <w:sz w:val="24"/>
          <w:highlight w:val="none"/>
        </w:rPr>
        <w:t>的法定代表人。</w:t>
      </w:r>
    </w:p>
    <w:p w14:paraId="6FC2D162">
      <w:pPr>
        <w:tabs>
          <w:tab w:val="left" w:pos="2880"/>
        </w:tabs>
        <w:spacing w:line="360" w:lineRule="auto"/>
        <w:ind w:firstLine="610"/>
        <w:rPr>
          <w:rFonts w:hint="default" w:ascii="Times New Roman" w:hAnsi="Times New Roman" w:eastAsia="宋体" w:cs="Times New Roman"/>
          <w:color w:val="auto"/>
          <w:sz w:val="24"/>
          <w:highlight w:val="none"/>
        </w:rPr>
      </w:pPr>
    </w:p>
    <w:p w14:paraId="5A730EA6">
      <w:pPr>
        <w:tabs>
          <w:tab w:val="left" w:pos="2880"/>
        </w:tabs>
        <w:spacing w:line="360" w:lineRule="auto"/>
        <w:ind w:firstLine="61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特此证明。</w:t>
      </w:r>
    </w:p>
    <w:p w14:paraId="1E0543F6">
      <w:pPr>
        <w:tabs>
          <w:tab w:val="left" w:pos="720"/>
          <w:tab w:val="left" w:pos="900"/>
          <w:tab w:val="left" w:pos="2880"/>
        </w:tabs>
        <w:spacing w:line="360" w:lineRule="auto"/>
        <w:ind w:firstLine="480" w:firstLineChars="200"/>
        <w:rPr>
          <w:rFonts w:hint="default" w:ascii="Times New Roman" w:hAnsi="Times New Roman" w:eastAsia="宋体" w:cs="Times New Roman"/>
          <w:color w:val="auto"/>
          <w:sz w:val="24"/>
          <w:highlight w:val="none"/>
        </w:rPr>
      </w:pPr>
    </w:p>
    <w:p w14:paraId="583D7B6C">
      <w:pPr>
        <w:tabs>
          <w:tab w:val="left" w:pos="720"/>
          <w:tab w:val="left" w:pos="900"/>
          <w:tab w:val="left" w:pos="2880"/>
        </w:tabs>
        <w:spacing w:line="360" w:lineRule="auto"/>
        <w:ind w:firstLine="4560" w:firstLineChars="1900"/>
        <w:rPr>
          <w:rFonts w:hint="default" w:ascii="Times New Roman" w:hAnsi="Times New Roman" w:eastAsia="宋体" w:cs="Times New Roman"/>
          <w:color w:val="auto"/>
          <w:sz w:val="24"/>
          <w:highlight w:val="none"/>
        </w:rPr>
      </w:pPr>
    </w:p>
    <w:p w14:paraId="019089C1">
      <w:pPr>
        <w:tabs>
          <w:tab w:val="left" w:pos="720"/>
          <w:tab w:val="left" w:pos="900"/>
          <w:tab w:val="left" w:pos="2880"/>
        </w:tabs>
        <w:wordWrap w:val="0"/>
        <w:spacing w:line="360" w:lineRule="auto"/>
        <w:jc w:val="righ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磋商供应商：</w:t>
      </w:r>
      <w:r>
        <w:rPr>
          <w:rFonts w:hint="default" w:ascii="Times New Roman" w:hAnsi="Times New Roman" w:eastAsia="宋体" w:cs="Times New Roman"/>
          <w:color w:val="auto"/>
          <w:sz w:val="24"/>
          <w:highlight w:val="none"/>
          <w:u w:val="single"/>
        </w:rPr>
        <w:t xml:space="preserve">             （电子签章）</w:t>
      </w:r>
      <w:r>
        <w:rPr>
          <w:rFonts w:hint="default" w:ascii="Times New Roman" w:hAnsi="Times New Roman" w:eastAsia="宋体" w:cs="Times New Roman"/>
          <w:color w:val="auto"/>
          <w:sz w:val="24"/>
          <w:highlight w:val="none"/>
          <w:u w:val="single"/>
          <w:lang w:val="en-US" w:eastAsia="zh-CN"/>
        </w:rPr>
        <w:t xml:space="preserve"> </w:t>
      </w:r>
    </w:p>
    <w:p w14:paraId="6D1F5A37">
      <w:pPr>
        <w:pStyle w:val="15"/>
        <w:wordWrap/>
        <w:rPr>
          <w:rFonts w:hint="default" w:ascii="Times New Roman" w:hAnsi="Times New Roman" w:cs="Times New Roman"/>
          <w:color w:val="auto"/>
          <w:highlight w:val="none"/>
          <w:lang w:val="en-US" w:eastAsia="zh-CN"/>
        </w:rPr>
      </w:pPr>
    </w:p>
    <w:p w14:paraId="1F4485C6">
      <w:pPr>
        <w:pStyle w:val="15"/>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7F95CC67">
      <w:pPr>
        <w:pStyle w:val="31"/>
        <w:rPr>
          <w:rFonts w:hint="default" w:ascii="Times New Roman" w:hAnsi="Times New Roman" w:eastAsia="宋体" w:cs="Times New Roman"/>
          <w:color w:val="auto"/>
          <w:highlight w:val="none"/>
        </w:rPr>
      </w:pPr>
    </w:p>
    <w:p w14:paraId="5562DD46">
      <w:pPr>
        <w:spacing w:line="360" w:lineRule="auto"/>
        <w:ind w:firstLine="360" w:firstLineChars="15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Cs/>
          <w:color w:val="auto"/>
          <w:sz w:val="24"/>
          <w:highlight w:val="none"/>
        </w:rPr>
        <w:t>附：法定代表人身份证正反面复印件</w:t>
      </w:r>
    </w:p>
    <w:p w14:paraId="2EFA5318">
      <w:pPr>
        <w:spacing w:line="360" w:lineRule="auto"/>
        <w:rPr>
          <w:rFonts w:hint="default" w:ascii="Times New Roman" w:hAnsi="Times New Roman" w:eastAsia="宋体" w:cs="Times New Roman"/>
          <w:color w:val="auto"/>
          <w:sz w:val="28"/>
          <w:szCs w:val="28"/>
          <w:highlight w:val="none"/>
        </w:rPr>
      </w:pPr>
    </w:p>
    <w:p w14:paraId="55617742">
      <w:pPr>
        <w:spacing w:line="360" w:lineRule="auto"/>
        <w:ind w:firstLine="560" w:firstLineChars="200"/>
        <w:rPr>
          <w:rFonts w:hint="default" w:ascii="Times New Roman" w:hAnsi="Times New Roman" w:eastAsia="宋体" w:cs="Times New Roman"/>
          <w:color w:val="auto"/>
          <w:sz w:val="28"/>
          <w:szCs w:val="28"/>
          <w:highlight w:val="none"/>
        </w:rPr>
      </w:pPr>
    </w:p>
    <w:p w14:paraId="6E9852B6">
      <w:pPr>
        <w:adjustRightInd w:val="0"/>
        <w:snapToGrid w:val="0"/>
        <w:spacing w:line="300" w:lineRule="auto"/>
        <w:jc w:val="center"/>
        <w:rPr>
          <w:rFonts w:hint="default" w:ascii="Times New Roman" w:hAnsi="Times New Roman" w:eastAsia="宋体" w:cs="Times New Roman"/>
          <w:b/>
          <w:color w:val="auto"/>
          <w:sz w:val="36"/>
          <w:szCs w:val="36"/>
          <w:highlight w:val="none"/>
        </w:rPr>
      </w:pPr>
    </w:p>
    <w:p w14:paraId="6637720D">
      <w:pPr>
        <w:adjustRightInd w:val="0"/>
        <w:snapToGrid w:val="0"/>
        <w:spacing w:line="300" w:lineRule="auto"/>
        <w:jc w:val="both"/>
        <w:rPr>
          <w:rFonts w:hint="default" w:ascii="Times New Roman" w:hAnsi="Times New Roman" w:eastAsia="宋体" w:cs="Times New Roman"/>
          <w:b/>
          <w:color w:val="auto"/>
          <w:sz w:val="36"/>
          <w:szCs w:val="36"/>
          <w:highlight w:val="none"/>
        </w:rPr>
      </w:pPr>
    </w:p>
    <w:p w14:paraId="00F8C506">
      <w:pPr>
        <w:spacing w:line="500" w:lineRule="exact"/>
        <w:jc w:val="both"/>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14:paraId="0B4C96B9">
      <w:pPr>
        <w:spacing w:line="520" w:lineRule="exact"/>
        <w:jc w:val="center"/>
        <w:rPr>
          <w:rFonts w:hint="eastAsia" w:ascii="宋体" w:hAnsi="宋体" w:cs="宋体"/>
          <w:color w:val="auto"/>
          <w:sz w:val="32"/>
          <w:szCs w:val="32"/>
          <w:highlight w:val="none"/>
        </w:rPr>
      </w:pPr>
    </w:p>
    <w:p w14:paraId="5BDCF1A6">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14440C1C">
      <w:pPr>
        <w:spacing w:line="52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7F7038A4">
      <w:pPr>
        <w:spacing w:line="520" w:lineRule="exact"/>
        <w:rPr>
          <w:rFonts w:hint="eastAsia" w:ascii="宋体" w:hAnsi="宋体" w:cs="宋体"/>
          <w:color w:val="auto"/>
          <w:sz w:val="32"/>
          <w:szCs w:val="32"/>
          <w:highlight w:val="none"/>
        </w:rPr>
      </w:pPr>
    </w:p>
    <w:p w14:paraId="76C12F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FC100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2CD13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165AAD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C12FB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5C016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E4449F7">
      <w:pPr>
        <w:spacing w:line="360" w:lineRule="auto"/>
        <w:rPr>
          <w:rFonts w:hint="eastAsia" w:ascii="宋体" w:hAnsi="宋体" w:cs="宋体"/>
          <w:color w:val="auto"/>
          <w:sz w:val="24"/>
          <w:highlight w:val="none"/>
        </w:rPr>
      </w:pPr>
    </w:p>
    <w:p w14:paraId="43611154">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Times New Roman" w:hAnsi="Times New Roman" w:eastAsia="宋体" w:cs="Times New Roman"/>
          <w:color w:val="auto"/>
          <w:sz w:val="24"/>
          <w:szCs w:val="24"/>
          <w:highlight w:val="none"/>
          <w:lang w:eastAsia="zh-CN"/>
        </w:rPr>
        <w:t>（签字或者电子签名）</w:t>
      </w:r>
      <w:r>
        <w:rPr>
          <w:rFonts w:hint="eastAsia" w:ascii="宋体" w:hAnsi="宋体" w:cs="宋体"/>
          <w:color w:val="auto"/>
          <w:sz w:val="24"/>
          <w:highlight w:val="none"/>
        </w:rPr>
        <w:t>：     法定代表人</w:t>
      </w:r>
      <w:r>
        <w:rPr>
          <w:rFonts w:hint="eastAsia" w:ascii="Times New Roman" w:hAnsi="Times New Roman" w:eastAsia="宋体" w:cs="Times New Roman"/>
          <w:color w:val="auto"/>
          <w:sz w:val="24"/>
          <w:szCs w:val="24"/>
          <w:highlight w:val="none"/>
          <w:lang w:eastAsia="zh-CN"/>
        </w:rPr>
        <w:t>（签字或者电子签名）</w:t>
      </w:r>
      <w:r>
        <w:rPr>
          <w:rFonts w:hint="eastAsia" w:ascii="宋体" w:hAnsi="宋体" w:cs="宋体"/>
          <w:color w:val="auto"/>
          <w:sz w:val="24"/>
          <w:highlight w:val="none"/>
        </w:rPr>
        <w:t xml:space="preserve">：                    </w:t>
      </w:r>
    </w:p>
    <w:p w14:paraId="5BFFC17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B5D4E1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F297AA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eastAsia" w:ascii="宋体" w:hAnsi="宋体" w:cs="宋体"/>
          <w:color w:val="auto"/>
          <w:sz w:val="24"/>
          <w:highlight w:val="none"/>
        </w:rPr>
        <w:t xml:space="preserve">：                      </w:t>
      </w:r>
    </w:p>
    <w:p w14:paraId="27573CF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bl>
      <w:tblPr>
        <w:tblStyle w:val="2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4445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861" w:type="dxa"/>
            <w:noWrap w:val="0"/>
            <w:vAlign w:val="top"/>
          </w:tcPr>
          <w:p w14:paraId="7DDAF5F3">
            <w:pPr>
              <w:spacing w:line="30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2"/>
                <w:szCs w:val="22"/>
                <w:highlight w:val="none"/>
              </w:rPr>
              <w:t>粘贴法定代表人及被授权人身份证（复印件，可另页）</w:t>
            </w:r>
          </w:p>
        </w:tc>
      </w:tr>
    </w:tbl>
    <w:p w14:paraId="3D383140">
      <w:pPr>
        <w:spacing w:line="360" w:lineRule="auto"/>
        <w:rPr>
          <w:rFonts w:hint="eastAsia" w:ascii="宋体" w:hAnsi="宋体" w:cs="宋体"/>
          <w:color w:val="auto"/>
          <w:sz w:val="24"/>
          <w:highlight w:val="none"/>
        </w:rPr>
      </w:pPr>
    </w:p>
    <w:p w14:paraId="1B1E5A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法定代表人必须在授权委托书上签字或者电子签名，委托代理人必须在授权委托书上签字或者电子签名，</w:t>
      </w:r>
      <w:r>
        <w:rPr>
          <w:rFonts w:hint="eastAsia" w:ascii="宋体" w:hAnsi="宋体" w:cs="宋体"/>
          <w:b/>
          <w:color w:val="auto"/>
          <w:sz w:val="24"/>
          <w:highlight w:val="none"/>
        </w:rPr>
        <w:t>否则其响应文件按无效响应处理。</w:t>
      </w:r>
    </w:p>
    <w:p w14:paraId="007729B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bookmarkStart w:id="42" w:name="_Hlk65853109"/>
      <w:bookmarkStart w:id="43" w:name="_Hlk65853542"/>
      <w:r>
        <w:rPr>
          <w:rFonts w:hint="eastAsia" w:ascii="宋体" w:hAnsi="宋体" w:cs="宋体"/>
          <w:color w:val="auto"/>
          <w:sz w:val="24"/>
          <w:highlight w:val="none"/>
        </w:rPr>
        <w:t>法人、其他组织竞标时“我方”是指“我单位”，自然人竞标时“我方”是指“本人”。</w:t>
      </w:r>
      <w:bookmarkEnd w:id="42"/>
    </w:p>
    <w:bookmarkEnd w:id="43"/>
    <w:p w14:paraId="0EE6BED1">
      <w:pPr>
        <w:numPr>
          <w:ilvl w:val="0"/>
          <w:numId w:val="0"/>
        </w:numPr>
        <w:spacing w:line="600" w:lineRule="exact"/>
        <w:jc w:val="center"/>
        <w:rPr>
          <w:rFonts w:hint="default"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br w:type="page"/>
      </w:r>
      <w:r>
        <w:rPr>
          <w:rFonts w:hint="eastAsia" w:ascii="Times New Roman" w:hAnsi="Times New Roman" w:eastAsia="宋体" w:cs="Times New Roman"/>
          <w:b/>
          <w:color w:val="auto"/>
          <w:sz w:val="28"/>
          <w:szCs w:val="28"/>
          <w:highlight w:val="none"/>
          <w:lang w:val="en-US" w:eastAsia="zh-CN"/>
        </w:rPr>
        <w:t>桂平市政府采购项目投标资格承诺函</w:t>
      </w:r>
      <w:r>
        <w:rPr>
          <w:rFonts w:hint="default" w:ascii="Times New Roman" w:hAnsi="Times New Roman" w:eastAsia="宋体" w:cs="Times New Roman"/>
          <w:b/>
          <w:color w:val="auto"/>
          <w:sz w:val="28"/>
          <w:szCs w:val="28"/>
          <w:highlight w:val="none"/>
        </w:rPr>
        <w:t>（格式）</w:t>
      </w:r>
    </w:p>
    <w:p w14:paraId="463245D4">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本公司郑重承诺，根据《中华人民共和国政府采购法》第二十二条的规定，本公司为参加政府采购活动的合格供应商。即本公司同时满足以下条件：</w:t>
      </w:r>
    </w:p>
    <w:p w14:paraId="7D099154">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1.具有独立承担民事责任的能力。</w:t>
      </w:r>
    </w:p>
    <w:p w14:paraId="0DD4CDB8">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2.具有良好的商业信誉和健全的财务会计制度。</w:t>
      </w:r>
    </w:p>
    <w:p w14:paraId="0B8FBE81">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3.具有履行合同所必需的设备和专业技术能力。</w:t>
      </w:r>
    </w:p>
    <w:p w14:paraId="7FD878D9">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4.有依法缴纳税收和社会保障资金的良好记录。</w:t>
      </w:r>
    </w:p>
    <w:p w14:paraId="6B86E8B3">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5.提交投标文件截止日期前三年内，在经营活动中没有重大违法记录。</w:t>
      </w:r>
    </w:p>
    <w:p w14:paraId="33E4AEDF">
      <w:pPr>
        <w:spacing w:line="600" w:lineRule="exact"/>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本公司对上述承诺的真实性负责，并接受政府采购、税务、社会保障等监督管理部门、采购文件规定的资格审查机构、社会公众的监督和检查。如有虚假，将依法承担相应责任。</w:t>
      </w:r>
    </w:p>
    <w:p w14:paraId="09D64B78">
      <w:pPr>
        <w:spacing w:line="600" w:lineRule="exact"/>
        <w:ind w:firstLine="480" w:firstLineChars="200"/>
        <w:jc w:val="left"/>
        <w:rPr>
          <w:rFonts w:hint="default" w:ascii="Times New Roman" w:hAnsi="Times New Roman" w:eastAsia="宋体" w:cs="Times New Roman"/>
          <w:color w:val="auto"/>
          <w:sz w:val="24"/>
          <w:highlight w:val="none"/>
        </w:rPr>
      </w:pPr>
    </w:p>
    <w:p w14:paraId="57577B44">
      <w:pPr>
        <w:snapToGrid w:val="0"/>
        <w:jc w:val="left"/>
        <w:rPr>
          <w:rFonts w:hint="default" w:ascii="Times New Roman" w:hAnsi="Times New Roman" w:eastAsia="宋体" w:cs="Times New Roman"/>
          <w:color w:val="auto"/>
          <w:kern w:val="0"/>
          <w:sz w:val="24"/>
          <w:highlight w:val="none"/>
        </w:rPr>
      </w:pPr>
    </w:p>
    <w:p w14:paraId="104070BC">
      <w:pPr>
        <w:spacing w:line="600" w:lineRule="exact"/>
        <w:ind w:left="479" w:leftChars="228" w:firstLine="3840" w:firstLineChars="16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企业名称（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highlight w:val="none"/>
          <w:lang w:val="en-US" w:eastAsia="zh-CN"/>
        </w:rPr>
        <w:t xml:space="preserve"> </w:t>
      </w:r>
    </w:p>
    <w:p w14:paraId="44980FE1">
      <w:pPr>
        <w:spacing w:line="600" w:lineRule="exact"/>
        <w:ind w:left="479" w:leftChars="228" w:firstLine="3840" w:firstLineChars="16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highlight w:val="none"/>
        </w:rPr>
        <w:t>：</w:t>
      </w:r>
    </w:p>
    <w:p w14:paraId="6CC121E2">
      <w:pPr>
        <w:spacing w:line="600" w:lineRule="exact"/>
        <w:ind w:firstLine="4320" w:firstLineChars="1800"/>
        <w:jc w:val="left"/>
        <w:rPr>
          <w:rFonts w:hint="default" w:ascii="Times New Roman" w:hAnsi="Times New Roman" w:eastAsia="宋体" w:cs="Times New Roman"/>
          <w:color w:val="auto"/>
          <w:sz w:val="24"/>
          <w:highlight w:val="none"/>
        </w:rPr>
      </w:pPr>
      <w:bookmarkStart w:id="62" w:name="_GoBack"/>
      <w:bookmarkEnd w:id="62"/>
      <w:r>
        <w:rPr>
          <w:rFonts w:hint="default" w:ascii="Times New Roman" w:hAnsi="Times New Roman" w:eastAsia="宋体" w:cs="Times New Roman"/>
          <w:color w:val="auto"/>
          <w:sz w:val="24"/>
          <w:highlight w:val="none"/>
        </w:rPr>
        <w:t xml:space="preserve">日期： </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年 </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月 </w:t>
      </w:r>
      <w:r>
        <w:rPr>
          <w:rFonts w:hint="eastAsia"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日</w:t>
      </w:r>
    </w:p>
    <w:p w14:paraId="4788C021">
      <w:pPr>
        <w:pStyle w:val="15"/>
        <w:ind w:firstLine="560" w:firstLineChars="200"/>
        <w:rPr>
          <w:rFonts w:hint="default" w:ascii="Times New Roman" w:hAnsi="Times New Roman" w:eastAsia="宋体" w:cs="Times New Roman"/>
          <w:color w:val="auto"/>
          <w:kern w:val="2"/>
          <w:sz w:val="28"/>
          <w:szCs w:val="28"/>
          <w:highlight w:val="none"/>
          <w:lang w:val="en-US" w:eastAsia="zh-CN" w:bidi="ar-SA"/>
        </w:rPr>
      </w:pPr>
    </w:p>
    <w:p w14:paraId="475E9CAE">
      <w:pPr>
        <w:pStyle w:val="15"/>
        <w:rPr>
          <w:rFonts w:hint="default" w:ascii="Times New Roman" w:hAnsi="Times New Roman" w:eastAsia="宋体" w:cs="Times New Roman"/>
          <w:color w:val="auto"/>
          <w:highlight w:val="none"/>
        </w:rPr>
      </w:pPr>
    </w:p>
    <w:p w14:paraId="6EF75D5B">
      <w:pPr>
        <w:pStyle w:val="15"/>
        <w:rPr>
          <w:rFonts w:hint="default" w:ascii="Times New Roman" w:hAnsi="Times New Roman" w:eastAsia="宋体" w:cs="Times New Roman"/>
          <w:color w:val="auto"/>
          <w:highlight w:val="none"/>
        </w:rPr>
      </w:pPr>
    </w:p>
    <w:p w14:paraId="5E7665C7">
      <w:pPr>
        <w:pStyle w:val="15"/>
        <w:ind w:firstLine="560" w:firstLineChars="200"/>
        <w:rPr>
          <w:rFonts w:hint="default" w:ascii="Times New Roman" w:hAnsi="Times New Roman" w:eastAsia="宋体" w:cs="Times New Roman"/>
          <w:color w:val="auto"/>
          <w:kern w:val="2"/>
          <w:sz w:val="28"/>
          <w:szCs w:val="28"/>
          <w:highlight w:val="none"/>
          <w:lang w:val="en-US" w:eastAsia="zh-CN" w:bidi="ar-SA"/>
        </w:rPr>
      </w:pPr>
    </w:p>
    <w:p w14:paraId="330F8302">
      <w:pPr>
        <w:pStyle w:val="15"/>
        <w:ind w:firstLine="560" w:firstLineChars="200"/>
        <w:rPr>
          <w:rFonts w:hint="default" w:ascii="Times New Roman" w:hAnsi="Times New Roman" w:eastAsia="宋体" w:cs="Times New Roman"/>
          <w:color w:val="auto"/>
          <w:kern w:val="2"/>
          <w:sz w:val="28"/>
          <w:szCs w:val="28"/>
          <w:highlight w:val="none"/>
          <w:lang w:val="en-US" w:eastAsia="zh-CN" w:bidi="ar-SA"/>
        </w:rPr>
      </w:pPr>
    </w:p>
    <w:p w14:paraId="76432F45">
      <w:pPr>
        <w:pStyle w:val="15"/>
        <w:ind w:firstLine="560" w:firstLineChars="200"/>
        <w:rPr>
          <w:rFonts w:hint="default" w:ascii="Times New Roman" w:hAnsi="Times New Roman" w:eastAsia="宋体" w:cs="Times New Roman"/>
          <w:color w:val="auto"/>
          <w:kern w:val="2"/>
          <w:sz w:val="28"/>
          <w:szCs w:val="28"/>
          <w:highlight w:val="none"/>
          <w:lang w:val="en-US" w:eastAsia="zh-CN" w:bidi="ar-SA"/>
        </w:rPr>
      </w:pPr>
    </w:p>
    <w:p w14:paraId="57F8BE4E">
      <w:pPr>
        <w:pStyle w:val="15"/>
        <w:ind w:firstLine="560" w:firstLineChars="200"/>
        <w:rPr>
          <w:rFonts w:hint="default" w:ascii="Times New Roman" w:hAnsi="Times New Roman" w:eastAsia="宋体" w:cs="Times New Roman"/>
          <w:color w:val="auto"/>
          <w:kern w:val="2"/>
          <w:sz w:val="28"/>
          <w:szCs w:val="28"/>
          <w:highlight w:val="none"/>
          <w:lang w:val="en-US" w:eastAsia="zh-CN" w:bidi="ar-SA"/>
        </w:rPr>
      </w:pPr>
    </w:p>
    <w:p w14:paraId="11AADF88">
      <w:pPr>
        <w:pStyle w:val="15"/>
        <w:ind w:firstLine="560" w:firstLineChars="200"/>
        <w:rPr>
          <w:rFonts w:hint="default" w:ascii="Times New Roman" w:hAnsi="Times New Roman" w:eastAsia="宋体" w:cs="Times New Roman"/>
          <w:color w:val="auto"/>
          <w:kern w:val="2"/>
          <w:sz w:val="28"/>
          <w:szCs w:val="28"/>
          <w:highlight w:val="none"/>
          <w:lang w:val="en-US" w:eastAsia="zh-CN" w:bidi="ar-SA"/>
        </w:rPr>
      </w:pPr>
    </w:p>
    <w:p w14:paraId="31DD7AF9">
      <w:pPr>
        <w:pStyle w:val="31"/>
        <w:rPr>
          <w:rFonts w:hint="default" w:ascii="Times New Roman" w:hAnsi="Times New Roman" w:eastAsia="宋体" w:cs="Times New Roman"/>
          <w:color w:val="auto"/>
          <w:kern w:val="2"/>
          <w:sz w:val="28"/>
          <w:szCs w:val="28"/>
          <w:highlight w:val="none"/>
          <w:lang w:val="en-US" w:eastAsia="zh-CN" w:bidi="ar-SA"/>
        </w:rPr>
      </w:pPr>
    </w:p>
    <w:p w14:paraId="56B87348">
      <w:pPr>
        <w:pStyle w:val="14"/>
        <w:rPr>
          <w:rFonts w:hint="default" w:ascii="Times New Roman" w:hAnsi="Times New Roman" w:eastAsia="宋体" w:cs="Times New Roman"/>
          <w:color w:val="auto"/>
          <w:kern w:val="2"/>
          <w:sz w:val="28"/>
          <w:szCs w:val="28"/>
          <w:highlight w:val="none"/>
          <w:lang w:val="en-US" w:eastAsia="zh-CN" w:bidi="ar-SA"/>
        </w:rPr>
      </w:pPr>
    </w:p>
    <w:p w14:paraId="45A23E18">
      <w:pPr>
        <w:pStyle w:val="15"/>
        <w:numPr>
          <w:ilvl w:val="0"/>
          <w:numId w:val="0"/>
        </w:numPr>
        <w:ind w:leftChars="0" w:firstLine="560" w:firstLineChars="200"/>
        <w:rPr>
          <w:rFonts w:hint="default" w:ascii="Times New Roman" w:hAnsi="Times New Roman" w:eastAsia="宋体" w:cs="Times New Roman"/>
          <w:color w:val="auto"/>
          <w:kern w:val="2"/>
          <w:sz w:val="28"/>
          <w:szCs w:val="28"/>
          <w:highlight w:val="none"/>
          <w:lang w:val="en-US" w:eastAsia="zh-CN" w:bidi="ar-SA"/>
        </w:rPr>
      </w:pPr>
    </w:p>
    <w:p w14:paraId="0E3F502E">
      <w:pPr>
        <w:pStyle w:val="15"/>
        <w:numPr>
          <w:ilvl w:val="0"/>
          <w:numId w:val="0"/>
        </w:numPr>
        <w:jc w:val="center"/>
        <w:rPr>
          <w:rFonts w:hint="default" w:ascii="Times New Roman" w:hAnsi="Times New Roman" w:eastAsia="宋体" w:cs="Times New Roman"/>
          <w:b/>
          <w:bCs/>
          <w:color w:val="auto"/>
          <w:kern w:val="2"/>
          <w:sz w:val="28"/>
          <w:szCs w:val="28"/>
          <w:highlight w:val="none"/>
          <w:lang w:val="en-US" w:eastAsia="zh-CN" w:bidi="ar-SA"/>
        </w:rPr>
      </w:pPr>
    </w:p>
    <w:p w14:paraId="20377B55">
      <w:pPr>
        <w:pStyle w:val="15"/>
        <w:numPr>
          <w:ilvl w:val="0"/>
          <w:numId w:val="0"/>
        </w:numPr>
        <w:jc w:val="center"/>
        <w:rPr>
          <w:rFonts w:hint="default" w:ascii="Times New Roman" w:hAnsi="Times New Roman" w:eastAsia="宋体" w:cs="Times New Roman"/>
          <w:b/>
          <w:bCs/>
          <w:color w:val="auto"/>
          <w:kern w:val="2"/>
          <w:sz w:val="28"/>
          <w:szCs w:val="28"/>
          <w:highlight w:val="none"/>
          <w:lang w:val="en-US" w:eastAsia="zh-CN" w:bidi="ar-SA"/>
        </w:rPr>
      </w:pPr>
    </w:p>
    <w:p w14:paraId="5ABEF8C8">
      <w:pPr>
        <w:pStyle w:val="15"/>
        <w:numPr>
          <w:ilvl w:val="0"/>
          <w:numId w:val="0"/>
        </w:numPr>
        <w:jc w:val="center"/>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供应商参加政府采购活动前3年内在经营活动中没有重大违法记录及有关信用信息的书面声明</w:t>
      </w:r>
    </w:p>
    <w:p w14:paraId="11A4DCCA">
      <w:pPr>
        <w:pStyle w:val="31"/>
        <w:rPr>
          <w:rFonts w:hint="default" w:ascii="Times New Roman" w:hAnsi="Times New Roman" w:eastAsia="宋体" w:cs="Times New Roman"/>
          <w:color w:val="auto"/>
          <w:highlight w:val="none"/>
        </w:rPr>
      </w:pPr>
    </w:p>
    <w:p w14:paraId="6E9D182C">
      <w:pPr>
        <w:pStyle w:val="13"/>
        <w:spacing w:line="400" w:lineRule="exact"/>
        <w:jc w:val="center"/>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b/>
          <w:color w:val="auto"/>
          <w:sz w:val="36"/>
          <w:szCs w:val="36"/>
          <w:highlight w:val="none"/>
        </w:rPr>
        <w:t>声  明（格式）</w:t>
      </w:r>
    </w:p>
    <w:p w14:paraId="53774EE2">
      <w:pPr>
        <w:snapToGrid w:val="0"/>
        <w:spacing w:line="480" w:lineRule="auto"/>
        <w:outlineLvl w:val="4"/>
        <w:rPr>
          <w:rFonts w:hint="default" w:ascii="Times New Roman" w:hAnsi="Times New Roman" w:eastAsia="宋体" w:cs="Times New Roman"/>
          <w:b/>
          <w:color w:val="auto"/>
          <w:sz w:val="24"/>
          <w:highlight w:val="none"/>
        </w:rPr>
      </w:pPr>
    </w:p>
    <w:p w14:paraId="7027733D">
      <w:pPr>
        <w:snapToGrid w:val="0"/>
        <w:spacing w:line="480" w:lineRule="auto"/>
        <w:outlineLvl w:val="4"/>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b/>
          <w:color w:val="auto"/>
          <w:sz w:val="24"/>
          <w:highlight w:val="none"/>
        </w:rPr>
        <w:t>致</w:t>
      </w:r>
      <w:r>
        <w:rPr>
          <w:rFonts w:hint="default" w:ascii="Times New Roman" w:hAnsi="Times New Roman" w:eastAsia="宋体" w:cs="Times New Roman"/>
          <w:color w:val="auto"/>
          <w:sz w:val="24"/>
          <w:highlight w:val="none"/>
        </w:rPr>
        <w:t>：（采购单位名称）</w:t>
      </w:r>
    </w:p>
    <w:p w14:paraId="0A53227D">
      <w:pPr>
        <w:pStyle w:val="13"/>
        <w:spacing w:line="48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15972B2">
      <w:pPr>
        <w:snapToGrid w:val="0"/>
        <w:spacing w:line="480" w:lineRule="auto"/>
        <w:ind w:firstLine="5160" w:firstLineChars="2150"/>
        <w:outlineLvl w:val="4"/>
        <w:rPr>
          <w:rFonts w:hint="default" w:ascii="Times New Roman" w:hAnsi="Times New Roman" w:eastAsia="宋体" w:cs="Times New Roman"/>
          <w:color w:val="auto"/>
          <w:sz w:val="24"/>
          <w:highlight w:val="none"/>
        </w:rPr>
      </w:pPr>
    </w:p>
    <w:p w14:paraId="3CC089EC">
      <w:pPr>
        <w:snapToGrid w:val="0"/>
        <w:spacing w:line="480" w:lineRule="auto"/>
        <w:ind w:firstLine="2160" w:firstLineChars="900"/>
        <w:outlineLvl w:val="4"/>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eastAsia="zh-CN"/>
        </w:rPr>
        <w:t>供应商名称（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p>
    <w:p w14:paraId="0D00E1BC">
      <w:pPr>
        <w:spacing w:line="480" w:lineRule="auto"/>
        <w:ind w:firstLine="2160" w:firstLineChars="90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法定代表人或委托代理人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u w:val="single"/>
          <w:lang w:val="en-US" w:eastAsia="zh-CN"/>
        </w:rPr>
        <w:t xml:space="preserve">          </w:t>
      </w:r>
    </w:p>
    <w:p w14:paraId="1817A69E">
      <w:pPr>
        <w:pStyle w:val="13"/>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286EF513">
      <w:pPr>
        <w:spacing w:line="276" w:lineRule="auto"/>
        <w:jc w:val="center"/>
        <w:rPr>
          <w:rFonts w:hint="default" w:ascii="Times New Roman" w:hAnsi="Times New Roman" w:eastAsia="宋体" w:cs="Times New Roman"/>
          <w:b/>
          <w:color w:val="auto"/>
          <w:sz w:val="36"/>
          <w:highlight w:val="none"/>
        </w:rPr>
      </w:pPr>
    </w:p>
    <w:p w14:paraId="1625B508">
      <w:pPr>
        <w:spacing w:line="276" w:lineRule="auto"/>
        <w:jc w:val="center"/>
        <w:rPr>
          <w:rFonts w:hint="default" w:ascii="Times New Roman" w:hAnsi="Times New Roman" w:eastAsia="宋体" w:cs="Times New Roman"/>
          <w:b/>
          <w:color w:val="auto"/>
          <w:sz w:val="36"/>
          <w:highlight w:val="none"/>
        </w:rPr>
      </w:pPr>
    </w:p>
    <w:p w14:paraId="6B4E33ED">
      <w:pPr>
        <w:spacing w:line="276" w:lineRule="auto"/>
        <w:jc w:val="center"/>
        <w:rPr>
          <w:rFonts w:hint="default" w:ascii="Times New Roman" w:hAnsi="Times New Roman" w:eastAsia="宋体" w:cs="Times New Roman"/>
          <w:b/>
          <w:color w:val="auto"/>
          <w:sz w:val="36"/>
          <w:highlight w:val="none"/>
        </w:rPr>
      </w:pPr>
    </w:p>
    <w:p w14:paraId="07F7D3EC">
      <w:pPr>
        <w:spacing w:line="276" w:lineRule="auto"/>
        <w:jc w:val="center"/>
        <w:rPr>
          <w:rFonts w:hint="default" w:ascii="Times New Roman" w:hAnsi="Times New Roman" w:eastAsia="宋体" w:cs="Times New Roman"/>
          <w:b/>
          <w:color w:val="auto"/>
          <w:sz w:val="36"/>
          <w:highlight w:val="none"/>
        </w:rPr>
      </w:pPr>
    </w:p>
    <w:p w14:paraId="3D56135B">
      <w:pPr>
        <w:spacing w:line="276" w:lineRule="auto"/>
        <w:jc w:val="center"/>
        <w:rPr>
          <w:rFonts w:hint="default" w:ascii="Times New Roman" w:hAnsi="Times New Roman" w:eastAsia="宋体" w:cs="Times New Roman"/>
          <w:color w:val="auto"/>
          <w:kern w:val="2"/>
          <w:sz w:val="28"/>
          <w:szCs w:val="28"/>
          <w:highlight w:val="none"/>
          <w:lang w:val="en-US" w:eastAsia="zh-CN" w:bidi="ar-SA"/>
        </w:rPr>
      </w:pPr>
    </w:p>
    <w:p w14:paraId="1590CD48">
      <w:pPr>
        <w:spacing w:line="276" w:lineRule="auto"/>
        <w:jc w:val="center"/>
        <w:rPr>
          <w:rFonts w:hint="default" w:ascii="Times New Roman" w:hAnsi="Times New Roman" w:eastAsia="宋体" w:cs="Times New Roman"/>
          <w:b/>
          <w:color w:val="auto"/>
          <w:sz w:val="36"/>
          <w:highlight w:val="none"/>
        </w:rPr>
      </w:pPr>
    </w:p>
    <w:p w14:paraId="11B111C6">
      <w:pPr>
        <w:spacing w:line="276" w:lineRule="auto"/>
        <w:jc w:val="center"/>
        <w:rPr>
          <w:rFonts w:hint="default" w:ascii="Times New Roman" w:hAnsi="Times New Roman" w:eastAsia="宋体" w:cs="Times New Roman"/>
          <w:b/>
          <w:color w:val="auto"/>
          <w:sz w:val="36"/>
          <w:highlight w:val="none"/>
        </w:rPr>
      </w:pPr>
    </w:p>
    <w:p w14:paraId="0306B237">
      <w:pPr>
        <w:spacing w:line="276" w:lineRule="auto"/>
        <w:jc w:val="both"/>
        <w:rPr>
          <w:rFonts w:hint="default" w:ascii="Times New Roman" w:hAnsi="Times New Roman" w:eastAsia="宋体" w:cs="Times New Roman"/>
          <w:b/>
          <w:color w:val="auto"/>
          <w:sz w:val="36"/>
          <w:highlight w:val="none"/>
        </w:rPr>
      </w:pPr>
    </w:p>
    <w:p w14:paraId="2670EAAE">
      <w:pPr>
        <w:pStyle w:val="5"/>
        <w:rPr>
          <w:rFonts w:hint="default"/>
          <w:color w:val="auto"/>
          <w:highlight w:val="none"/>
        </w:rPr>
      </w:pPr>
    </w:p>
    <w:p w14:paraId="5FF8C69F">
      <w:pPr>
        <w:spacing w:line="520" w:lineRule="exact"/>
        <w:jc w:val="center"/>
        <w:rPr>
          <w:rFonts w:hint="default" w:ascii="Times New Roman" w:hAnsi="Times New Roman" w:eastAsia="宋体" w:cs="Times New Roman"/>
          <w:b/>
          <w:color w:val="auto"/>
          <w:sz w:val="36"/>
          <w:szCs w:val="36"/>
          <w:highlight w:val="none"/>
          <w:lang w:eastAsia="zh-CN"/>
        </w:rPr>
      </w:pPr>
      <w:r>
        <w:rPr>
          <w:rFonts w:hint="default" w:ascii="Times New Roman" w:hAnsi="Times New Roman" w:eastAsia="宋体" w:cs="Times New Roman"/>
          <w:b/>
          <w:color w:val="auto"/>
          <w:sz w:val="36"/>
          <w:szCs w:val="36"/>
          <w:highlight w:val="none"/>
        </w:rPr>
        <w:t>磋  商  书</w:t>
      </w:r>
      <w:r>
        <w:rPr>
          <w:rFonts w:hint="default" w:ascii="Times New Roman" w:hAnsi="Times New Roman" w:eastAsia="宋体" w:cs="Times New Roman"/>
          <w:b/>
          <w:color w:val="auto"/>
          <w:sz w:val="36"/>
          <w:szCs w:val="36"/>
          <w:highlight w:val="none"/>
          <w:lang w:eastAsia="zh-CN"/>
        </w:rPr>
        <w:t>（格式）</w:t>
      </w:r>
    </w:p>
    <w:p w14:paraId="17E7E86B">
      <w:pPr>
        <w:spacing w:line="400" w:lineRule="exact"/>
        <w:jc w:val="center"/>
        <w:rPr>
          <w:rFonts w:hint="default" w:ascii="Times New Roman" w:hAnsi="Times New Roman" w:eastAsia="宋体" w:cs="Times New Roman"/>
          <w:b/>
          <w:color w:val="auto"/>
          <w:szCs w:val="21"/>
          <w:highlight w:val="none"/>
        </w:rPr>
      </w:pPr>
    </w:p>
    <w:p w14:paraId="566E4885">
      <w:pPr>
        <w:pStyle w:val="13"/>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u w:val="single"/>
          <w:lang w:eastAsia="zh-CN"/>
        </w:rPr>
        <w:t>广西创佳项目</w:t>
      </w:r>
      <w:r>
        <w:rPr>
          <w:rFonts w:hint="eastAsia" w:ascii="Times New Roman" w:hAnsi="Times New Roman" w:eastAsia="宋体" w:cs="Times New Roman"/>
          <w:color w:val="auto"/>
          <w:sz w:val="24"/>
          <w:szCs w:val="24"/>
          <w:highlight w:val="none"/>
          <w:u w:val="single"/>
          <w:lang w:eastAsia="zh-CN"/>
        </w:rPr>
        <w:t>管理有限公司</w:t>
      </w:r>
      <w:r>
        <w:rPr>
          <w:rFonts w:hint="default" w:ascii="Times New Roman" w:hAnsi="Times New Roman" w:eastAsia="宋体" w:cs="Times New Roman"/>
          <w:color w:val="auto"/>
          <w:sz w:val="24"/>
          <w:szCs w:val="24"/>
          <w:highlight w:val="none"/>
        </w:rPr>
        <w:t>：</w:t>
      </w:r>
    </w:p>
    <w:p w14:paraId="57368B0E">
      <w:pPr>
        <w:pStyle w:val="13"/>
        <w:spacing w:line="440" w:lineRule="exact"/>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rPr>
        <w:t>依据贵方</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项目</w:t>
      </w:r>
      <w:r>
        <w:rPr>
          <w:rFonts w:hint="eastAsia" w:ascii="Times New Roman" w:hAnsi="Times New Roman" w:cs="Times New Roman"/>
          <w:color w:val="auto"/>
          <w:sz w:val="24"/>
          <w:szCs w:val="24"/>
          <w:highlight w:val="none"/>
          <w:u w:val="single"/>
          <w:lang w:eastAsia="zh-CN"/>
        </w:rPr>
        <w:t>名称）</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olor w:val="auto"/>
          <w:sz w:val="22"/>
          <w:szCs w:val="22"/>
          <w:highlight w:val="none"/>
          <w:u w:val="single"/>
          <w:lang w:eastAsia="zh-CN"/>
        </w:rPr>
        <w:t>（</w:t>
      </w:r>
      <w:r>
        <w:rPr>
          <w:rFonts w:hint="eastAsia" w:ascii="Times New Roman" w:hAnsi="Times New Roman"/>
          <w:color w:val="auto"/>
          <w:sz w:val="22"/>
          <w:szCs w:val="22"/>
          <w:highlight w:val="none"/>
          <w:u w:val="single"/>
          <w:lang w:val="en-US" w:eastAsia="zh-CN"/>
        </w:rPr>
        <w:t xml:space="preserve">  </w:t>
      </w:r>
      <w:r>
        <w:rPr>
          <w:rFonts w:hint="eastAsia" w:ascii="Times New Roman" w:hAnsi="Times New Roman"/>
          <w:color w:val="auto"/>
          <w:sz w:val="22"/>
          <w:szCs w:val="22"/>
          <w:highlight w:val="none"/>
          <w:u w:val="single"/>
          <w:lang w:eastAsia="zh-CN"/>
        </w:rPr>
        <w:t>分标）</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none"/>
          <w:lang w:eastAsia="zh-CN"/>
        </w:rPr>
        <w:t>项目</w:t>
      </w:r>
      <w:r>
        <w:rPr>
          <w:rFonts w:hint="default" w:ascii="Times New Roman" w:hAnsi="Times New Roman" w:eastAsia="宋体" w:cs="Times New Roman"/>
          <w:color w:val="auto"/>
          <w:sz w:val="24"/>
          <w:szCs w:val="24"/>
          <w:highlight w:val="none"/>
        </w:rPr>
        <w:t>政府采购的磋商邀请，我方</w:t>
      </w:r>
      <w:r>
        <w:rPr>
          <w:rFonts w:hint="default" w:ascii="Times New Roman" w:hAnsi="Times New Roman" w:eastAsia="宋体" w:cs="Times New Roman"/>
          <w:color w:val="auto"/>
          <w:sz w:val="24"/>
          <w:szCs w:val="24"/>
          <w:highlight w:val="none"/>
          <w:u w:val="single"/>
        </w:rPr>
        <w:t>（姓名和职务）</w:t>
      </w:r>
      <w:r>
        <w:rPr>
          <w:rFonts w:hint="default" w:ascii="Times New Roman" w:hAnsi="Times New Roman" w:eastAsia="宋体" w:cs="Times New Roman"/>
          <w:color w:val="auto"/>
          <w:sz w:val="24"/>
          <w:szCs w:val="24"/>
          <w:highlight w:val="none"/>
        </w:rPr>
        <w:t>经正式授权并代表供应商</w:t>
      </w:r>
      <w:r>
        <w:rPr>
          <w:rFonts w:hint="default" w:ascii="Times New Roman" w:hAnsi="Times New Roman" w:eastAsia="宋体" w:cs="Times New Roman"/>
          <w:color w:val="auto"/>
          <w:sz w:val="24"/>
          <w:szCs w:val="24"/>
          <w:highlight w:val="none"/>
          <w:u w:val="single"/>
        </w:rPr>
        <w:t xml:space="preserve">       （供应商名称、地址）         </w:t>
      </w:r>
      <w:r>
        <w:rPr>
          <w:rFonts w:hint="default" w:ascii="Times New Roman" w:hAnsi="Times New Roman" w:eastAsia="宋体" w:cs="Times New Roman"/>
          <w:color w:val="auto"/>
          <w:sz w:val="24"/>
          <w:szCs w:val="24"/>
          <w:highlight w:val="none"/>
          <w:u w:val="none"/>
          <w:lang w:eastAsia="zh-CN"/>
        </w:rPr>
        <w:t>，遵照《政府采购法》的规定，我单位经考察和研究上述采购文件的</w:t>
      </w:r>
      <w:r>
        <w:rPr>
          <w:rFonts w:hint="eastAsia" w:ascii="Times New Roman" w:hAnsi="Times New Roman" w:eastAsia="宋体" w:cs="Times New Roman"/>
          <w:color w:val="auto"/>
          <w:sz w:val="24"/>
          <w:szCs w:val="24"/>
          <w:highlight w:val="none"/>
          <w:u w:val="none"/>
          <w:lang w:eastAsia="zh-CN"/>
        </w:rPr>
        <w:t>磋商</w:t>
      </w:r>
      <w:r>
        <w:rPr>
          <w:rFonts w:hint="default" w:ascii="Times New Roman" w:hAnsi="Times New Roman" w:eastAsia="宋体" w:cs="Times New Roman"/>
          <w:color w:val="auto"/>
          <w:sz w:val="24"/>
          <w:szCs w:val="24"/>
          <w:highlight w:val="none"/>
          <w:u w:val="none"/>
          <w:lang w:eastAsia="zh-CN"/>
        </w:rPr>
        <w:t>须知、合同条件和其他有关文件后，我方愿以综合总报价人民币</w:t>
      </w:r>
      <w:r>
        <w:rPr>
          <w:rFonts w:hint="default" w:ascii="Times New Roman" w:hAnsi="Times New Roman" w:eastAsia="宋体" w:cs="Times New Roman"/>
          <w:color w:val="auto"/>
          <w:sz w:val="24"/>
          <w:szCs w:val="24"/>
          <w:highlight w:val="none"/>
          <w:u w:val="single"/>
          <w:lang w:eastAsia="zh-CN"/>
        </w:rPr>
        <w:t>（大写）                   (￥         元)</w:t>
      </w:r>
      <w:r>
        <w:rPr>
          <w:rFonts w:hint="default" w:ascii="Times New Roman" w:hAnsi="Times New Roman" w:eastAsia="宋体" w:cs="Times New Roman"/>
          <w:color w:val="auto"/>
          <w:sz w:val="24"/>
          <w:szCs w:val="24"/>
          <w:highlight w:val="none"/>
          <w:u w:val="none"/>
          <w:lang w:eastAsia="zh-CN"/>
        </w:rPr>
        <w:t>进行报价，按上述合同条件承包本项目的采购服务工作。服务期限：</w:t>
      </w:r>
      <w:r>
        <w:rPr>
          <w:rFonts w:hint="default" w:ascii="Times New Roman" w:hAnsi="Times New Roman" w:eastAsia="宋体" w:cs="Times New Roman"/>
          <w:color w:val="auto"/>
          <w:sz w:val="24"/>
          <w:szCs w:val="24"/>
          <w:highlight w:val="none"/>
          <w:u w:val="single"/>
          <w:lang w:eastAsia="zh-CN"/>
        </w:rPr>
        <w:t xml:space="preserve">                                       </w:t>
      </w:r>
      <w:r>
        <w:rPr>
          <w:rFonts w:hint="default" w:ascii="Times New Roman" w:hAnsi="Times New Roman" w:eastAsia="宋体" w:cs="Times New Roman"/>
          <w:color w:val="auto"/>
          <w:sz w:val="24"/>
          <w:szCs w:val="24"/>
          <w:highlight w:val="none"/>
          <w:u w:val="none"/>
          <w:lang w:eastAsia="zh-CN"/>
        </w:rPr>
        <w:t>。</w:t>
      </w:r>
    </w:p>
    <w:p w14:paraId="1BBEF077">
      <w:pPr>
        <w:pStyle w:val="13"/>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在此，授权代表宣布同意如下：</w:t>
      </w:r>
    </w:p>
    <w:p w14:paraId="046130FF">
      <w:pPr>
        <w:pStyle w:val="13"/>
        <w:spacing w:line="440" w:lineRule="exact"/>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将按竞争性磋商文件的约定履行合同责任和义务；</w:t>
      </w:r>
    </w:p>
    <w:p w14:paraId="4AB1299E">
      <w:pPr>
        <w:pStyle w:val="13"/>
        <w:spacing w:line="440" w:lineRule="exact"/>
        <w:ind w:left="839" w:leftChars="228" w:hanging="360" w:hanging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已详细审查全部竞争性磋商文件，包括</w:t>
      </w:r>
      <w:r>
        <w:rPr>
          <w:rFonts w:hint="default" w:ascii="Times New Roman" w:hAnsi="Times New Roman" w:eastAsia="宋体" w:cs="Times New Roman"/>
          <w:color w:val="auto"/>
          <w:sz w:val="24"/>
          <w:szCs w:val="24"/>
          <w:highlight w:val="none"/>
          <w:u w:val="single"/>
        </w:rPr>
        <w:t>（补遗书）（如有）</w:t>
      </w:r>
      <w:r>
        <w:rPr>
          <w:rFonts w:hint="default" w:ascii="Times New Roman" w:hAnsi="Times New Roman" w:eastAsia="宋体" w:cs="Times New Roman"/>
          <w:color w:val="auto"/>
          <w:sz w:val="24"/>
          <w:szCs w:val="24"/>
          <w:highlight w:val="none"/>
        </w:rPr>
        <w:t>；我们完全理解并同意放弃对这方面有不明及误解的权力；</w:t>
      </w:r>
    </w:p>
    <w:p w14:paraId="798651F2">
      <w:pPr>
        <w:pStyle w:val="13"/>
        <w:spacing w:line="440" w:lineRule="exact"/>
        <w:ind w:left="840" w:hanging="3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同意提供按照贵方可能要求的与其磋商有关的一切数据或资料；</w:t>
      </w:r>
    </w:p>
    <w:p w14:paraId="04D0A45C">
      <w:pPr>
        <w:pStyle w:val="13"/>
        <w:spacing w:line="440" w:lineRule="exact"/>
        <w:ind w:firstLine="48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4. 与本磋商有关的一切正式往来信函请寄：</w:t>
      </w:r>
      <w:r>
        <w:rPr>
          <w:rFonts w:hint="default" w:ascii="Times New Roman" w:hAnsi="Times New Roman" w:eastAsia="宋体" w:cs="Times New Roman"/>
          <w:color w:val="auto"/>
          <w:sz w:val="24"/>
          <w:szCs w:val="24"/>
          <w:highlight w:val="none"/>
          <w:u w:val="single"/>
        </w:rPr>
        <w:t xml:space="preserve">                       </w:t>
      </w:r>
    </w:p>
    <w:p w14:paraId="4A981DB9">
      <w:pPr>
        <w:pStyle w:val="13"/>
        <w:spacing w:line="520" w:lineRule="exact"/>
        <w:ind w:firstLine="84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xml:space="preserve"> 邮政编码：</w:t>
      </w:r>
      <w:r>
        <w:rPr>
          <w:rFonts w:hint="default" w:ascii="Times New Roman" w:hAnsi="Times New Roman" w:eastAsia="宋体" w:cs="Times New Roman"/>
          <w:color w:val="auto"/>
          <w:sz w:val="24"/>
          <w:szCs w:val="24"/>
          <w:highlight w:val="none"/>
          <w:u w:val="single"/>
        </w:rPr>
        <w:t xml:space="preserve">         </w:t>
      </w:r>
    </w:p>
    <w:p w14:paraId="7985FF3B">
      <w:pPr>
        <w:pStyle w:val="13"/>
        <w:spacing w:line="520" w:lineRule="exact"/>
        <w:ind w:firstLine="84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传真：</w:t>
      </w:r>
      <w:r>
        <w:rPr>
          <w:rFonts w:hint="default" w:ascii="Times New Roman" w:hAnsi="Times New Roman" w:eastAsia="宋体" w:cs="Times New Roman"/>
          <w:color w:val="auto"/>
          <w:sz w:val="24"/>
          <w:szCs w:val="24"/>
          <w:highlight w:val="none"/>
          <w:u w:val="single"/>
        </w:rPr>
        <w:t xml:space="preserve">                                                  </w:t>
      </w:r>
    </w:p>
    <w:p w14:paraId="71796DA8">
      <w:pPr>
        <w:pStyle w:val="13"/>
        <w:spacing w:line="520" w:lineRule="exact"/>
        <w:ind w:firstLine="84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开户名称：</w:t>
      </w:r>
      <w:r>
        <w:rPr>
          <w:rFonts w:hint="default" w:ascii="Times New Roman" w:hAnsi="Times New Roman" w:eastAsia="宋体" w:cs="Times New Roman"/>
          <w:color w:val="auto"/>
          <w:sz w:val="24"/>
          <w:szCs w:val="24"/>
          <w:highlight w:val="none"/>
          <w:u w:val="single"/>
        </w:rPr>
        <w:t xml:space="preserve">                                                    </w:t>
      </w:r>
    </w:p>
    <w:p w14:paraId="45FD6203">
      <w:pPr>
        <w:pStyle w:val="13"/>
        <w:spacing w:line="520" w:lineRule="exact"/>
        <w:ind w:firstLine="84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开户银行：</w:t>
      </w:r>
      <w:r>
        <w:rPr>
          <w:rFonts w:hint="default" w:ascii="Times New Roman" w:hAnsi="Times New Roman" w:eastAsia="宋体" w:cs="Times New Roman"/>
          <w:color w:val="auto"/>
          <w:sz w:val="24"/>
          <w:szCs w:val="24"/>
          <w:highlight w:val="none"/>
          <w:u w:val="single"/>
        </w:rPr>
        <w:t xml:space="preserve">                                                    </w:t>
      </w:r>
    </w:p>
    <w:p w14:paraId="7DF76BF9">
      <w:pPr>
        <w:pStyle w:val="13"/>
        <w:spacing w:line="520" w:lineRule="exact"/>
        <w:ind w:firstLine="84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开户帐号：</w:t>
      </w:r>
      <w:r>
        <w:rPr>
          <w:rFonts w:hint="default" w:ascii="Times New Roman" w:hAnsi="Times New Roman" w:eastAsia="宋体" w:cs="Times New Roman"/>
          <w:color w:val="auto"/>
          <w:sz w:val="24"/>
          <w:szCs w:val="24"/>
          <w:highlight w:val="none"/>
          <w:u w:val="single"/>
        </w:rPr>
        <w:t xml:space="preserve">                                                    </w:t>
      </w:r>
    </w:p>
    <w:p w14:paraId="3CABC70F">
      <w:pPr>
        <w:pStyle w:val="13"/>
        <w:spacing w:line="520" w:lineRule="exact"/>
        <w:ind w:firstLine="84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法定代表人或委托代理人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14:paraId="2104A4DC">
      <w:pPr>
        <w:pStyle w:val="13"/>
        <w:spacing w:line="520" w:lineRule="exact"/>
        <w:ind w:firstLine="84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14:paraId="4C62FFA5">
      <w:pPr>
        <w:pStyle w:val="13"/>
        <w:spacing w:line="520" w:lineRule="exact"/>
        <w:ind w:firstLine="84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u w:val="single"/>
        </w:rPr>
        <w:t xml:space="preserve">                                             </w:t>
      </w:r>
    </w:p>
    <w:p w14:paraId="5270E533">
      <w:pPr>
        <w:pStyle w:val="9"/>
        <w:rPr>
          <w:rFonts w:hint="default" w:ascii="Times New Roman" w:hAnsi="Times New Roman" w:eastAsia="宋体" w:cs="Times New Roman"/>
          <w:color w:val="auto"/>
          <w:highlight w:val="none"/>
        </w:rPr>
      </w:pPr>
    </w:p>
    <w:p w14:paraId="1771FE70">
      <w:pPr>
        <w:spacing w:line="300" w:lineRule="auto"/>
        <w:rPr>
          <w:rFonts w:hint="default" w:ascii="Times New Roman" w:hAnsi="Times New Roman" w:eastAsia="宋体" w:cs="Times New Roman"/>
          <w:color w:val="auto"/>
          <w:szCs w:val="21"/>
          <w:highlight w:val="none"/>
        </w:rPr>
      </w:pPr>
    </w:p>
    <w:p w14:paraId="5D344562">
      <w:pPr>
        <w:pStyle w:val="23"/>
        <w:rPr>
          <w:rFonts w:hint="default" w:ascii="Times New Roman" w:hAnsi="Times New Roman" w:eastAsia="宋体" w:cs="Times New Roman"/>
          <w:color w:val="auto"/>
          <w:szCs w:val="21"/>
          <w:highlight w:val="none"/>
        </w:rPr>
      </w:pPr>
    </w:p>
    <w:p w14:paraId="23444FAB">
      <w:pPr>
        <w:rPr>
          <w:rFonts w:hint="default" w:ascii="Times New Roman" w:hAnsi="Times New Roman" w:eastAsia="宋体" w:cs="Times New Roman"/>
          <w:color w:val="auto"/>
          <w:szCs w:val="21"/>
          <w:highlight w:val="none"/>
        </w:rPr>
      </w:pPr>
    </w:p>
    <w:p w14:paraId="78D1FD41">
      <w:pPr>
        <w:pStyle w:val="23"/>
        <w:rPr>
          <w:rFonts w:hint="default" w:ascii="Times New Roman" w:hAnsi="Times New Roman" w:eastAsia="宋体" w:cs="Times New Roman"/>
          <w:color w:val="auto"/>
          <w:szCs w:val="21"/>
          <w:highlight w:val="none"/>
        </w:rPr>
      </w:pPr>
    </w:p>
    <w:p w14:paraId="1BE622B2">
      <w:pPr>
        <w:rPr>
          <w:rFonts w:hint="default" w:ascii="Times New Roman" w:hAnsi="Times New Roman" w:eastAsia="宋体" w:cs="Times New Roman"/>
          <w:color w:val="auto"/>
          <w:highlight w:val="none"/>
        </w:rPr>
      </w:pPr>
    </w:p>
    <w:p w14:paraId="6547BA98">
      <w:pPr>
        <w:spacing w:line="500" w:lineRule="exact"/>
        <w:rPr>
          <w:rFonts w:hint="default" w:ascii="Times New Roman" w:hAnsi="Times New Roman" w:eastAsia="宋体" w:cs="Times New Roman"/>
          <w:color w:val="auto"/>
          <w:sz w:val="28"/>
          <w:szCs w:val="28"/>
          <w:highlight w:val="none"/>
        </w:rPr>
      </w:pPr>
    </w:p>
    <w:p w14:paraId="1B6DB2AB">
      <w:pPr>
        <w:spacing w:line="500" w:lineRule="exact"/>
        <w:rPr>
          <w:rFonts w:hint="default" w:ascii="Times New Roman" w:hAnsi="Times New Roman" w:eastAsia="宋体" w:cs="Times New Roman"/>
          <w:color w:val="auto"/>
          <w:sz w:val="28"/>
          <w:szCs w:val="28"/>
          <w:highlight w:val="none"/>
        </w:rPr>
      </w:pPr>
    </w:p>
    <w:p w14:paraId="2AF3C74D">
      <w:pPr>
        <w:spacing w:line="50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w:t>
      </w:r>
    </w:p>
    <w:p w14:paraId="4905A4AE">
      <w:pPr>
        <w:pStyle w:val="13"/>
        <w:spacing w:before="120" w:line="360" w:lineRule="auto"/>
        <w:jc w:val="center"/>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lang w:eastAsia="zh-CN"/>
        </w:rPr>
        <w:t xml:space="preserve">磋 商 </w:t>
      </w:r>
      <w:r>
        <w:rPr>
          <w:rFonts w:hint="default" w:ascii="Times New Roman" w:hAnsi="Times New Roman" w:eastAsia="宋体" w:cs="Times New Roman"/>
          <w:b/>
          <w:color w:val="auto"/>
          <w:sz w:val="32"/>
          <w:szCs w:val="32"/>
          <w:highlight w:val="none"/>
        </w:rPr>
        <w:t>报 价 表</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lang w:val="en-US" w:eastAsia="zh-CN"/>
        </w:rPr>
        <w:t>格式</w:t>
      </w:r>
      <w:r>
        <w:rPr>
          <w:rFonts w:hint="default" w:ascii="Times New Roman" w:hAnsi="Times New Roman" w:eastAsia="宋体" w:cs="Times New Roman"/>
          <w:b/>
          <w:color w:val="auto"/>
          <w:sz w:val="32"/>
          <w:szCs w:val="32"/>
          <w:highlight w:val="none"/>
          <w:lang w:eastAsia="zh-CN"/>
        </w:rPr>
        <w:t>）</w:t>
      </w:r>
    </w:p>
    <w:p w14:paraId="14166FF6">
      <w:pPr>
        <w:pStyle w:val="13"/>
        <w:spacing w:before="120" w:line="360" w:lineRule="auto"/>
        <w:rPr>
          <w:rFonts w:hint="default" w:ascii="Times New Roman" w:hAnsi="Times New Roman" w:eastAsia="宋体" w:cs="Times New Roman"/>
          <w:b/>
          <w:color w:val="auto"/>
          <w:szCs w:val="21"/>
          <w:highlight w:val="none"/>
        </w:rPr>
      </w:pPr>
    </w:p>
    <w:p w14:paraId="723B7B3F">
      <w:pPr>
        <w:pStyle w:val="13"/>
        <w:spacing w:before="120" w:line="360" w:lineRule="auto"/>
        <w:rPr>
          <w:rFonts w:hint="default" w:ascii="Times New Roman" w:hAnsi="Times New Roman" w:eastAsia="宋体" w:cs="Times New Roman"/>
          <w:b/>
          <w:color w:val="auto"/>
          <w:sz w:val="24"/>
          <w:szCs w:val="24"/>
          <w:highlight w:val="none"/>
          <w:u w:val="single"/>
        </w:rPr>
      </w:pPr>
      <w:r>
        <w:rPr>
          <w:rFonts w:hint="default" w:ascii="Times New Roman" w:hAnsi="Times New Roman" w:eastAsia="宋体" w:cs="Times New Roman"/>
          <w:b/>
          <w:color w:val="auto"/>
          <w:sz w:val="24"/>
          <w:szCs w:val="24"/>
          <w:highlight w:val="none"/>
        </w:rPr>
        <w:t>项目编号：</w:t>
      </w:r>
      <w:r>
        <w:rPr>
          <w:rFonts w:hint="default" w:ascii="Times New Roman" w:hAnsi="Times New Roman" w:eastAsia="宋体" w:cs="Times New Roman"/>
          <w:b/>
          <w:color w:val="auto"/>
          <w:sz w:val="24"/>
          <w:szCs w:val="24"/>
          <w:highlight w:val="none"/>
          <w:u w:val="single"/>
        </w:rPr>
        <w:t xml:space="preserve">                    </w:t>
      </w:r>
    </w:p>
    <w:p w14:paraId="7DC4E760">
      <w:pPr>
        <w:pStyle w:val="13"/>
        <w:spacing w:before="120" w:line="360" w:lineRule="auto"/>
        <w:rPr>
          <w:rFonts w:hint="default" w:ascii="Times New Roman" w:hAnsi="Times New Roman" w:eastAsia="宋体" w:cs="Times New Roman"/>
          <w:b/>
          <w:color w:val="auto"/>
          <w:sz w:val="24"/>
          <w:szCs w:val="24"/>
          <w:highlight w:val="none"/>
          <w:u w:val="single"/>
        </w:rPr>
      </w:pPr>
      <w:r>
        <w:rPr>
          <w:rFonts w:hint="default" w:ascii="Times New Roman" w:hAnsi="Times New Roman" w:eastAsia="宋体" w:cs="Times New Roman"/>
          <w:b/>
          <w:color w:val="auto"/>
          <w:sz w:val="24"/>
          <w:szCs w:val="24"/>
          <w:highlight w:val="none"/>
        </w:rPr>
        <w:t>项目名称：</w:t>
      </w:r>
      <w:r>
        <w:rPr>
          <w:rFonts w:hint="default" w:ascii="Times New Roman" w:hAnsi="Times New Roman" w:eastAsia="宋体" w:cs="Times New Roman"/>
          <w:b/>
          <w:color w:val="auto"/>
          <w:sz w:val="24"/>
          <w:szCs w:val="24"/>
          <w:highlight w:val="none"/>
          <w:u w:val="single"/>
        </w:rPr>
        <w:t xml:space="preserve">                    </w:t>
      </w:r>
    </w:p>
    <w:p w14:paraId="436ACCCC">
      <w:pPr>
        <w:rPr>
          <w:rFonts w:hint="default" w:eastAsia="宋体"/>
          <w:color w:val="auto"/>
          <w:highlight w:val="none"/>
          <w:lang w:val="en-US" w:eastAsia="zh-CN"/>
        </w:rPr>
      </w:pPr>
      <w:r>
        <w:rPr>
          <w:rFonts w:hint="eastAsia" w:cs="Times New Roman"/>
          <w:b/>
          <w:color w:val="auto"/>
          <w:sz w:val="24"/>
          <w:szCs w:val="24"/>
          <w:highlight w:val="none"/>
          <w:u w:val="none"/>
          <w:lang w:eastAsia="zh-CN"/>
        </w:rPr>
        <w:t>分标号：</w:t>
      </w:r>
      <w:r>
        <w:rPr>
          <w:rFonts w:hint="eastAsia" w:cs="Times New Roman"/>
          <w:b/>
          <w:color w:val="auto"/>
          <w:sz w:val="24"/>
          <w:szCs w:val="24"/>
          <w:highlight w:val="none"/>
          <w:u w:val="single"/>
          <w:lang w:val="en-US" w:eastAsia="zh-CN"/>
        </w:rPr>
        <w:t xml:space="preserve">         </w:t>
      </w:r>
    </w:p>
    <w:p w14:paraId="50FBA13C">
      <w:pPr>
        <w:pStyle w:val="13"/>
        <w:spacing w:before="120" w:line="360" w:lineRule="auto"/>
        <w:rPr>
          <w:rFonts w:hint="default" w:ascii="Times New Roman" w:hAnsi="Times New Roman" w:eastAsia="宋体" w:cs="Times New Roman"/>
          <w:b/>
          <w:color w:val="auto"/>
          <w:sz w:val="24"/>
          <w:szCs w:val="24"/>
          <w:highlight w:val="none"/>
          <w:u w:val="singl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340"/>
        <w:gridCol w:w="1011"/>
        <w:gridCol w:w="1104"/>
        <w:gridCol w:w="1239"/>
        <w:gridCol w:w="1642"/>
      </w:tblGrid>
      <w:tr w14:paraId="6C39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38" w:type="dxa"/>
            <w:noWrap w:val="0"/>
            <w:vAlign w:val="center"/>
          </w:tcPr>
          <w:p w14:paraId="0D867236">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序号</w:t>
            </w:r>
          </w:p>
        </w:tc>
        <w:tc>
          <w:tcPr>
            <w:tcW w:w="4340" w:type="dxa"/>
            <w:noWrap w:val="0"/>
            <w:vAlign w:val="center"/>
          </w:tcPr>
          <w:p w14:paraId="239B536D">
            <w:pPr>
              <w:tabs>
                <w:tab w:val="left" w:pos="1418"/>
              </w:tabs>
              <w:snapToGrid w:val="0"/>
              <w:spacing w:before="50" w:after="50" w:line="40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服务内容</w:t>
            </w:r>
          </w:p>
        </w:tc>
        <w:tc>
          <w:tcPr>
            <w:tcW w:w="1011" w:type="dxa"/>
            <w:noWrap w:val="0"/>
            <w:vAlign w:val="center"/>
          </w:tcPr>
          <w:p w14:paraId="2E0D3A71">
            <w:pPr>
              <w:tabs>
                <w:tab w:val="left" w:pos="1418"/>
              </w:tabs>
              <w:snapToGrid w:val="0"/>
              <w:spacing w:before="50" w:after="50" w:line="400" w:lineRule="exact"/>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单位</w:t>
            </w:r>
          </w:p>
        </w:tc>
        <w:tc>
          <w:tcPr>
            <w:tcW w:w="1104" w:type="dxa"/>
            <w:noWrap w:val="0"/>
            <w:vAlign w:val="center"/>
          </w:tcPr>
          <w:p w14:paraId="1218777F">
            <w:pPr>
              <w:tabs>
                <w:tab w:val="left" w:pos="1418"/>
              </w:tabs>
              <w:snapToGrid w:val="0"/>
              <w:spacing w:before="50" w:after="50" w:line="40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数量①</w:t>
            </w:r>
          </w:p>
        </w:tc>
        <w:tc>
          <w:tcPr>
            <w:tcW w:w="1239" w:type="dxa"/>
            <w:noWrap w:val="0"/>
            <w:vAlign w:val="center"/>
          </w:tcPr>
          <w:p w14:paraId="2FA39296">
            <w:pPr>
              <w:tabs>
                <w:tab w:val="left" w:pos="1418"/>
              </w:tabs>
              <w:snapToGrid w:val="0"/>
              <w:spacing w:before="50" w:after="50" w:line="40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单价（元）②</w:t>
            </w:r>
          </w:p>
        </w:tc>
        <w:tc>
          <w:tcPr>
            <w:tcW w:w="1642" w:type="dxa"/>
            <w:noWrap w:val="0"/>
            <w:vAlign w:val="center"/>
          </w:tcPr>
          <w:p w14:paraId="3265F178">
            <w:pPr>
              <w:pStyle w:val="13"/>
              <w:jc w:val="center"/>
              <w:rPr>
                <w:rFonts w:hint="default" w:ascii="Times New Roman" w:hAnsi="Times New Roman" w:eastAsia="宋体" w:cs="Times New Roman"/>
                <w:color w:val="auto"/>
                <w:sz w:val="22"/>
                <w:szCs w:val="21"/>
                <w:highlight w:val="none"/>
              </w:rPr>
            </w:pPr>
            <w:r>
              <w:rPr>
                <w:rFonts w:hint="default" w:ascii="Times New Roman" w:hAnsi="Times New Roman" w:eastAsia="宋体" w:cs="Times New Roman"/>
                <w:color w:val="auto"/>
                <w:sz w:val="22"/>
                <w:szCs w:val="21"/>
                <w:highlight w:val="none"/>
              </w:rPr>
              <w:t>单项合价（元）</w:t>
            </w:r>
          </w:p>
          <w:p w14:paraId="291D643A">
            <w:pPr>
              <w:tabs>
                <w:tab w:val="left" w:pos="1418"/>
              </w:tabs>
              <w:snapToGrid w:val="0"/>
              <w:spacing w:before="50" w:after="50" w:line="400" w:lineRule="exact"/>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2"/>
                <w:szCs w:val="28"/>
                <w:highlight w:val="none"/>
              </w:rPr>
              <w:t>③=①×②</w:t>
            </w:r>
          </w:p>
        </w:tc>
      </w:tr>
      <w:tr w14:paraId="383D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8" w:type="dxa"/>
            <w:noWrap w:val="0"/>
            <w:vAlign w:val="center"/>
          </w:tcPr>
          <w:p w14:paraId="029D3FAC">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1</w:t>
            </w:r>
          </w:p>
        </w:tc>
        <w:tc>
          <w:tcPr>
            <w:tcW w:w="4340" w:type="dxa"/>
            <w:noWrap w:val="0"/>
            <w:vAlign w:val="center"/>
          </w:tcPr>
          <w:p w14:paraId="2015C9E2">
            <w:pPr>
              <w:jc w:val="center"/>
              <w:rPr>
                <w:rFonts w:hint="default" w:ascii="Times New Roman" w:hAnsi="Times New Roman" w:eastAsia="宋体" w:cs="Times New Roman"/>
                <w:color w:val="auto"/>
                <w:sz w:val="24"/>
                <w:highlight w:val="none"/>
              </w:rPr>
            </w:pPr>
          </w:p>
        </w:tc>
        <w:tc>
          <w:tcPr>
            <w:tcW w:w="1011" w:type="dxa"/>
            <w:noWrap w:val="0"/>
            <w:vAlign w:val="center"/>
          </w:tcPr>
          <w:p w14:paraId="34C2413E">
            <w:pPr>
              <w:jc w:val="center"/>
              <w:rPr>
                <w:rFonts w:hint="default" w:ascii="Times New Roman" w:hAnsi="Times New Roman" w:eastAsia="宋体" w:cs="Times New Roman"/>
                <w:color w:val="auto"/>
                <w:sz w:val="24"/>
                <w:highlight w:val="none"/>
              </w:rPr>
            </w:pPr>
          </w:p>
        </w:tc>
        <w:tc>
          <w:tcPr>
            <w:tcW w:w="1104" w:type="dxa"/>
            <w:noWrap w:val="0"/>
            <w:vAlign w:val="center"/>
          </w:tcPr>
          <w:p w14:paraId="739AF035">
            <w:pPr>
              <w:tabs>
                <w:tab w:val="left" w:pos="1418"/>
              </w:tabs>
              <w:snapToGrid w:val="0"/>
              <w:spacing w:before="50" w:after="50" w:line="400" w:lineRule="exact"/>
              <w:jc w:val="center"/>
              <w:rPr>
                <w:rFonts w:hint="default" w:ascii="Times New Roman" w:hAnsi="Times New Roman" w:eastAsia="宋体" w:cs="Times New Roman"/>
                <w:color w:val="auto"/>
                <w:sz w:val="24"/>
                <w:highlight w:val="none"/>
              </w:rPr>
            </w:pPr>
          </w:p>
        </w:tc>
        <w:tc>
          <w:tcPr>
            <w:tcW w:w="1239" w:type="dxa"/>
            <w:noWrap w:val="0"/>
            <w:vAlign w:val="center"/>
          </w:tcPr>
          <w:p w14:paraId="3A061B55">
            <w:pPr>
              <w:tabs>
                <w:tab w:val="left" w:pos="1418"/>
              </w:tabs>
              <w:snapToGrid w:val="0"/>
              <w:spacing w:before="50" w:after="50" w:line="400" w:lineRule="exact"/>
              <w:jc w:val="center"/>
              <w:rPr>
                <w:rFonts w:hint="default" w:ascii="Times New Roman" w:hAnsi="Times New Roman" w:eastAsia="宋体" w:cs="Times New Roman"/>
                <w:color w:val="auto"/>
                <w:sz w:val="24"/>
                <w:highlight w:val="none"/>
              </w:rPr>
            </w:pPr>
          </w:p>
        </w:tc>
        <w:tc>
          <w:tcPr>
            <w:tcW w:w="1642" w:type="dxa"/>
            <w:noWrap w:val="0"/>
            <w:vAlign w:val="center"/>
          </w:tcPr>
          <w:p w14:paraId="21057DB0">
            <w:pPr>
              <w:tabs>
                <w:tab w:val="left" w:pos="1418"/>
              </w:tabs>
              <w:snapToGrid w:val="0"/>
              <w:spacing w:before="50" w:after="50" w:line="400" w:lineRule="exact"/>
              <w:jc w:val="center"/>
              <w:rPr>
                <w:rFonts w:hint="default" w:ascii="Times New Roman" w:hAnsi="Times New Roman" w:eastAsia="宋体" w:cs="Times New Roman"/>
                <w:color w:val="auto"/>
                <w:sz w:val="24"/>
                <w:highlight w:val="none"/>
              </w:rPr>
            </w:pPr>
          </w:p>
        </w:tc>
      </w:tr>
      <w:tr w14:paraId="47BF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8" w:type="dxa"/>
            <w:noWrap w:val="0"/>
            <w:vAlign w:val="center"/>
          </w:tcPr>
          <w:p w14:paraId="0090E681">
            <w:pPr>
              <w:jc w:val="center"/>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w:t>
            </w:r>
          </w:p>
        </w:tc>
        <w:tc>
          <w:tcPr>
            <w:tcW w:w="4340" w:type="dxa"/>
            <w:noWrap w:val="0"/>
            <w:vAlign w:val="center"/>
          </w:tcPr>
          <w:p w14:paraId="3C23BEC6">
            <w:pPr>
              <w:jc w:val="center"/>
              <w:rPr>
                <w:rFonts w:hint="default" w:ascii="Times New Roman" w:hAnsi="Times New Roman" w:eastAsia="宋体" w:cs="Times New Roman"/>
                <w:color w:val="auto"/>
                <w:sz w:val="24"/>
                <w:highlight w:val="none"/>
              </w:rPr>
            </w:pPr>
          </w:p>
        </w:tc>
        <w:tc>
          <w:tcPr>
            <w:tcW w:w="1011" w:type="dxa"/>
            <w:noWrap w:val="0"/>
            <w:vAlign w:val="center"/>
          </w:tcPr>
          <w:p w14:paraId="4787DD48">
            <w:pPr>
              <w:jc w:val="center"/>
              <w:rPr>
                <w:rFonts w:hint="default" w:ascii="Times New Roman" w:hAnsi="Times New Roman" w:eastAsia="宋体" w:cs="Times New Roman"/>
                <w:color w:val="auto"/>
                <w:sz w:val="24"/>
                <w:highlight w:val="none"/>
              </w:rPr>
            </w:pPr>
          </w:p>
        </w:tc>
        <w:tc>
          <w:tcPr>
            <w:tcW w:w="1104" w:type="dxa"/>
            <w:noWrap w:val="0"/>
            <w:vAlign w:val="center"/>
          </w:tcPr>
          <w:p w14:paraId="738AB171">
            <w:pPr>
              <w:jc w:val="center"/>
              <w:rPr>
                <w:rFonts w:hint="default" w:ascii="Times New Roman" w:hAnsi="Times New Roman" w:eastAsia="宋体" w:cs="Times New Roman"/>
                <w:color w:val="auto"/>
                <w:sz w:val="24"/>
                <w:highlight w:val="none"/>
              </w:rPr>
            </w:pPr>
          </w:p>
        </w:tc>
        <w:tc>
          <w:tcPr>
            <w:tcW w:w="1239" w:type="dxa"/>
            <w:noWrap w:val="0"/>
            <w:vAlign w:val="center"/>
          </w:tcPr>
          <w:p w14:paraId="0368D1BB">
            <w:pPr>
              <w:jc w:val="center"/>
              <w:rPr>
                <w:rFonts w:hint="default" w:ascii="Times New Roman" w:hAnsi="Times New Roman" w:eastAsia="宋体" w:cs="Times New Roman"/>
                <w:color w:val="auto"/>
                <w:sz w:val="24"/>
                <w:highlight w:val="none"/>
              </w:rPr>
            </w:pPr>
          </w:p>
        </w:tc>
        <w:tc>
          <w:tcPr>
            <w:tcW w:w="1642" w:type="dxa"/>
            <w:noWrap w:val="0"/>
            <w:vAlign w:val="center"/>
          </w:tcPr>
          <w:p w14:paraId="30F5382D">
            <w:pPr>
              <w:jc w:val="center"/>
              <w:rPr>
                <w:rFonts w:hint="default" w:ascii="Times New Roman" w:hAnsi="Times New Roman" w:eastAsia="宋体" w:cs="Times New Roman"/>
                <w:color w:val="auto"/>
                <w:sz w:val="24"/>
                <w:highlight w:val="none"/>
              </w:rPr>
            </w:pPr>
          </w:p>
        </w:tc>
      </w:tr>
      <w:tr w14:paraId="30E2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0074" w:type="dxa"/>
            <w:gridSpan w:val="6"/>
            <w:noWrap w:val="0"/>
            <w:vAlign w:val="top"/>
          </w:tcPr>
          <w:p w14:paraId="43CA4CBE">
            <w:pPr>
              <w:rPr>
                <w:rFonts w:hint="default" w:ascii="Times New Roman" w:hAnsi="Times New Roman" w:eastAsia="宋体" w:cs="Times New Roman"/>
                <w:color w:val="auto"/>
                <w:sz w:val="24"/>
                <w:highlight w:val="none"/>
              </w:rPr>
            </w:pPr>
          </w:p>
          <w:p w14:paraId="61EDCA4D">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总报价：人民币</w:t>
            </w:r>
            <w:r>
              <w:rPr>
                <w:rFonts w:hint="default" w:ascii="Times New Roman" w:hAnsi="Times New Roman" w:eastAsia="宋体" w:cs="Times New Roman"/>
                <w:color w:val="auto"/>
                <w:sz w:val="24"/>
                <w:highlight w:val="none"/>
                <w:u w:val="single"/>
              </w:rPr>
              <w:t xml:space="preserve">（大写）               </w:t>
            </w:r>
            <w:r>
              <w:rPr>
                <w:rFonts w:hint="default" w:ascii="Times New Roman" w:hAnsi="Times New Roman" w:eastAsia="宋体" w:cs="Times New Roman"/>
                <w:color w:val="auto"/>
                <w:sz w:val="24"/>
                <w:highlight w:val="none"/>
              </w:rPr>
              <w:t>(¥小写</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rPr>
              <w:t>)</w:t>
            </w:r>
          </w:p>
          <w:p w14:paraId="505F98DE">
            <w:pPr>
              <w:rPr>
                <w:rFonts w:hint="default" w:ascii="Times New Roman" w:hAnsi="Times New Roman" w:eastAsia="宋体" w:cs="Times New Roman"/>
                <w:color w:val="auto"/>
                <w:sz w:val="24"/>
                <w:highlight w:val="none"/>
              </w:rPr>
            </w:pPr>
          </w:p>
          <w:p w14:paraId="1C0E8FA2">
            <w:pPr>
              <w:rPr>
                <w:rFonts w:hint="default" w:ascii="Times New Roman" w:hAnsi="Times New Roman" w:eastAsia="宋体" w:cs="Times New Roman"/>
                <w:color w:val="auto"/>
                <w:sz w:val="24"/>
                <w:highlight w:val="none"/>
              </w:rPr>
            </w:pPr>
            <w:r>
              <w:rPr>
                <w:rFonts w:hint="default" w:ascii="Times New Roman" w:hAnsi="Times New Roman" w:cs="Times New Roman"/>
                <w:color w:val="auto"/>
                <w:kern w:val="0"/>
                <w:sz w:val="24"/>
                <w:szCs w:val="24"/>
                <w:highlight w:val="none"/>
              </w:rPr>
              <w:t>服务期限</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 xml:space="preserve">           </w:t>
            </w:r>
          </w:p>
        </w:tc>
      </w:tr>
      <w:tr w14:paraId="636A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074" w:type="dxa"/>
            <w:gridSpan w:val="6"/>
            <w:noWrap w:val="0"/>
            <w:vAlign w:val="top"/>
          </w:tcPr>
          <w:p w14:paraId="7C68FCDB">
            <w:pPr>
              <w:spacing w:line="360" w:lineRule="auto"/>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szCs w:val="21"/>
                <w:highlight w:val="none"/>
              </w:rPr>
              <w:t>注：1、所有价格均用人民币表示，单位为元。</w:t>
            </w:r>
          </w:p>
          <w:p w14:paraId="3F39378F">
            <w:pPr>
              <w:spacing w:line="360" w:lineRule="auto"/>
              <w:ind w:firstLine="405"/>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2、磋商供应商</w:t>
            </w:r>
            <w:r>
              <w:rPr>
                <w:rFonts w:hint="default" w:ascii="Times New Roman" w:hAnsi="Times New Roman" w:eastAsia="宋体" w:cs="Times New Roman"/>
                <w:b/>
                <w:bCs/>
                <w:color w:val="auto"/>
                <w:highlight w:val="none"/>
              </w:rPr>
              <w:t>所</w:t>
            </w:r>
            <w:r>
              <w:rPr>
                <w:rFonts w:hint="default" w:ascii="Times New Roman" w:hAnsi="Times New Roman" w:eastAsia="宋体" w:cs="Times New Roman"/>
                <w:b/>
                <w:color w:val="auto"/>
                <w:highlight w:val="none"/>
              </w:rPr>
              <w:t>报价</w:t>
            </w:r>
            <w:r>
              <w:rPr>
                <w:rFonts w:hint="default" w:ascii="Times New Roman" w:hAnsi="Times New Roman" w:eastAsia="宋体" w:cs="Times New Roman"/>
                <w:b/>
                <w:bCs/>
                <w:color w:val="auto"/>
                <w:highlight w:val="none"/>
              </w:rPr>
              <w:t>的所有报价表都必须要加盖公章并签字，无盖章和签字的</w:t>
            </w:r>
            <w:r>
              <w:rPr>
                <w:rFonts w:hint="default" w:ascii="Times New Roman" w:hAnsi="Times New Roman" w:eastAsia="宋体" w:cs="Times New Roman"/>
                <w:b/>
                <w:color w:val="auto"/>
                <w:highlight w:val="none"/>
              </w:rPr>
              <w:t>报价</w:t>
            </w:r>
            <w:r>
              <w:rPr>
                <w:rFonts w:hint="default" w:ascii="Times New Roman" w:hAnsi="Times New Roman" w:eastAsia="宋体" w:cs="Times New Roman"/>
                <w:b/>
                <w:bCs/>
                <w:color w:val="auto"/>
                <w:highlight w:val="none"/>
              </w:rPr>
              <w:t>无效。</w:t>
            </w:r>
          </w:p>
        </w:tc>
      </w:tr>
    </w:tbl>
    <w:p w14:paraId="613F74BB">
      <w:pPr>
        <w:pStyle w:val="13"/>
        <w:spacing w:before="120" w:line="360" w:lineRule="auto"/>
        <w:ind w:firstLine="420"/>
        <w:rPr>
          <w:rFonts w:hint="default" w:ascii="Times New Roman" w:hAnsi="Times New Roman" w:eastAsia="宋体" w:cs="Times New Roman"/>
          <w:color w:val="auto"/>
          <w:sz w:val="24"/>
          <w:szCs w:val="24"/>
          <w:highlight w:val="none"/>
        </w:rPr>
      </w:pPr>
    </w:p>
    <w:p w14:paraId="2E61C976">
      <w:pPr>
        <w:pStyle w:val="13"/>
        <w:spacing w:before="120" w:line="360" w:lineRule="auto"/>
        <w:ind w:firstLine="42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法定代表人或委托代理人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14:paraId="2B24769B">
      <w:pPr>
        <w:pStyle w:val="13"/>
        <w:spacing w:before="120" w:line="36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14:paraId="7DB10C69">
      <w:pPr>
        <w:pStyle w:val="13"/>
        <w:spacing w:before="120" w:line="36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xml:space="preserve"> 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7E62A2FA">
      <w:pPr>
        <w:pStyle w:val="13"/>
        <w:spacing w:before="120" w:line="360" w:lineRule="auto"/>
        <w:rPr>
          <w:rFonts w:hint="default" w:ascii="Times New Roman" w:hAnsi="Times New Roman" w:eastAsia="宋体" w:cs="Times New Roman"/>
          <w:color w:val="auto"/>
          <w:sz w:val="24"/>
          <w:szCs w:val="24"/>
          <w:highlight w:val="none"/>
        </w:rPr>
      </w:pPr>
    </w:p>
    <w:p w14:paraId="3858F8AD">
      <w:pPr>
        <w:pStyle w:val="13"/>
        <w:spacing w:before="120" w:line="360" w:lineRule="auto"/>
        <w:rPr>
          <w:rFonts w:hint="default" w:ascii="Times New Roman" w:hAnsi="Times New Roman" w:eastAsia="宋体" w:cs="Times New Roman"/>
          <w:color w:val="auto"/>
          <w:sz w:val="24"/>
          <w:szCs w:val="24"/>
          <w:highlight w:val="none"/>
        </w:rPr>
      </w:pPr>
    </w:p>
    <w:p w14:paraId="090F75A6">
      <w:pPr>
        <w:snapToGrid w:val="0"/>
        <w:rPr>
          <w:rFonts w:hint="default" w:ascii="Times New Roman" w:hAnsi="Times New Roman" w:eastAsia="宋体" w:cs="Times New Roman"/>
          <w:color w:val="auto"/>
          <w:sz w:val="28"/>
          <w:szCs w:val="28"/>
          <w:highlight w:val="none"/>
        </w:rPr>
      </w:pPr>
    </w:p>
    <w:p w14:paraId="0BDA9266">
      <w:pPr>
        <w:snapToGrid w:val="0"/>
        <w:jc w:val="center"/>
        <w:rPr>
          <w:rFonts w:hint="default" w:ascii="Times New Roman" w:hAnsi="Times New Roman" w:eastAsia="宋体" w:cs="Times New Roman"/>
          <w:b/>
          <w:color w:val="auto"/>
          <w:sz w:val="32"/>
          <w:szCs w:val="32"/>
          <w:highlight w:val="none"/>
        </w:rPr>
      </w:pPr>
    </w:p>
    <w:p w14:paraId="336BC274">
      <w:pPr>
        <w:snapToGrid w:val="0"/>
        <w:jc w:val="center"/>
        <w:rPr>
          <w:rFonts w:hint="default" w:ascii="Times New Roman" w:hAnsi="Times New Roman" w:eastAsia="宋体" w:cs="Times New Roman"/>
          <w:b/>
          <w:color w:val="auto"/>
          <w:sz w:val="32"/>
          <w:szCs w:val="32"/>
          <w:highlight w:val="none"/>
        </w:rPr>
      </w:pPr>
    </w:p>
    <w:p w14:paraId="726EA3BB">
      <w:pPr>
        <w:pStyle w:val="5"/>
        <w:rPr>
          <w:rFonts w:hint="default" w:ascii="Times New Roman" w:hAnsi="Times New Roman" w:eastAsia="宋体" w:cs="Times New Roman"/>
          <w:b/>
          <w:color w:val="auto"/>
          <w:sz w:val="32"/>
          <w:szCs w:val="32"/>
          <w:highlight w:val="none"/>
        </w:rPr>
      </w:pPr>
    </w:p>
    <w:p w14:paraId="15DE56FD">
      <w:pPr>
        <w:rPr>
          <w:rFonts w:hint="default"/>
          <w:color w:val="auto"/>
          <w:highlight w:val="none"/>
        </w:rPr>
      </w:pPr>
    </w:p>
    <w:p w14:paraId="6FC8AD47">
      <w:pPr>
        <w:snapToGrid w:val="0"/>
        <w:jc w:val="both"/>
        <w:rPr>
          <w:rFonts w:hint="default" w:ascii="Times New Roman" w:hAnsi="Times New Roman" w:eastAsia="宋体" w:cs="Times New Roman"/>
          <w:b/>
          <w:color w:val="auto"/>
          <w:sz w:val="32"/>
          <w:szCs w:val="32"/>
          <w:highlight w:val="none"/>
        </w:rPr>
      </w:pPr>
    </w:p>
    <w:p w14:paraId="6CFB378F">
      <w:pPr>
        <w:snapToGrid w:val="0"/>
        <w:jc w:val="center"/>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rPr>
        <w:t>磋商声明书</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lang w:val="en-US" w:eastAsia="zh-CN"/>
        </w:rPr>
        <w:t>格式</w:t>
      </w:r>
      <w:r>
        <w:rPr>
          <w:rFonts w:hint="default" w:ascii="Times New Roman" w:hAnsi="Times New Roman" w:eastAsia="宋体" w:cs="Times New Roman"/>
          <w:b/>
          <w:color w:val="auto"/>
          <w:sz w:val="32"/>
          <w:szCs w:val="32"/>
          <w:highlight w:val="none"/>
          <w:lang w:eastAsia="zh-CN"/>
        </w:rPr>
        <w:t>）</w:t>
      </w:r>
    </w:p>
    <w:p w14:paraId="6ECFCEE0">
      <w:pPr>
        <w:snapToGrid w:val="0"/>
        <w:rPr>
          <w:rFonts w:hint="default" w:ascii="Times New Roman" w:hAnsi="Times New Roman" w:eastAsia="宋体" w:cs="Times New Roman"/>
          <w:color w:val="auto"/>
          <w:sz w:val="24"/>
          <w:highlight w:val="none"/>
        </w:rPr>
      </w:pPr>
    </w:p>
    <w:p w14:paraId="1B034426">
      <w:pPr>
        <w:snapToGrid w:val="0"/>
        <w:rPr>
          <w:rFonts w:hint="default" w:ascii="Times New Roman" w:hAnsi="Times New Roman" w:eastAsia="宋体" w:cs="Times New Roman"/>
          <w:color w:val="auto"/>
          <w:sz w:val="24"/>
          <w:highlight w:val="none"/>
        </w:rPr>
      </w:pPr>
    </w:p>
    <w:p w14:paraId="6846A39B">
      <w:pPr>
        <w:snapToGrid w:val="0"/>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（采购单位名称）：</w:t>
      </w:r>
    </w:p>
    <w:p w14:paraId="5A594AB0">
      <w:pPr>
        <w:snapToGrid w:val="0"/>
        <w:spacing w:line="360" w:lineRule="auto"/>
        <w:ind w:firstLine="720" w:firstLineChars="3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______（</w:t>
      </w:r>
      <w:r>
        <w:rPr>
          <w:rFonts w:hint="eastAsia" w:ascii="Times New Roman" w:hAnsi="Times New Roman" w:eastAsia="宋体" w:cs="Times New Roman"/>
          <w:color w:val="auto"/>
          <w:sz w:val="24"/>
          <w:highlight w:val="none"/>
          <w:lang w:eastAsia="zh-CN"/>
        </w:rPr>
        <w:t>供应商</w:t>
      </w:r>
      <w:r>
        <w:rPr>
          <w:rFonts w:hint="default" w:ascii="Times New Roman" w:hAnsi="Times New Roman" w:eastAsia="宋体" w:cs="Times New Roman"/>
          <w:color w:val="auto"/>
          <w:sz w:val="24"/>
          <w:highlight w:val="none"/>
        </w:rPr>
        <w:t>名称）系中华人民共和国合法企业，经营地址</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1B34B82A">
      <w:pPr>
        <w:snapToGrid w:val="0"/>
        <w:spacing w:line="360" w:lineRule="auto"/>
        <w:ind w:left="479" w:leftChars="228" w:firstLine="254" w:firstLineChars="10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我___（姓名）系______（</w:t>
      </w:r>
      <w:r>
        <w:rPr>
          <w:rFonts w:hint="default" w:ascii="Times New Roman" w:hAnsi="Times New Roman" w:eastAsia="宋体" w:cs="Times New Roman"/>
          <w:color w:val="auto"/>
          <w:sz w:val="24"/>
          <w:highlight w:val="none"/>
          <w:lang w:eastAsia="zh-CN"/>
        </w:rPr>
        <w:t>供应商</w:t>
      </w:r>
      <w:r>
        <w:rPr>
          <w:rFonts w:hint="default" w:ascii="Times New Roman" w:hAnsi="Times New Roman" w:eastAsia="宋体" w:cs="Times New Roman"/>
          <w:color w:val="auto"/>
          <w:sz w:val="24"/>
          <w:highlight w:val="none"/>
        </w:rPr>
        <w:t>名称）的法定代表人，我方愿意参加贵方组织的_____</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rPr>
        <w:t>项目的</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，为便于贵方公正、择优地确定成交人及其</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产品和服务，我方就本次</w:t>
      </w:r>
      <w:r>
        <w:rPr>
          <w:rFonts w:hint="eastAsia" w:ascii="Times New Roman" w:hAnsi="Times New Roman" w:eastAsia="宋体" w:cs="Times New Roman"/>
          <w:color w:val="auto"/>
          <w:sz w:val="24"/>
          <w:highlight w:val="none"/>
          <w:lang w:eastAsia="zh-CN"/>
        </w:rPr>
        <w:t>磋商</w:t>
      </w:r>
      <w:r>
        <w:rPr>
          <w:rFonts w:hint="default" w:ascii="Times New Roman" w:hAnsi="Times New Roman" w:eastAsia="宋体" w:cs="Times New Roman"/>
          <w:color w:val="auto"/>
          <w:sz w:val="24"/>
          <w:highlight w:val="none"/>
        </w:rPr>
        <w:t>有关事项郑重声明如下：</w:t>
      </w:r>
    </w:p>
    <w:p w14:paraId="221F1511">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1.我方向贵方提交的所有响应文件、资料都是准确的和真实的。</w:t>
      </w:r>
    </w:p>
    <w:p w14:paraId="756C076F">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2.我方不是采购人的附属机构；在获知本项目采购信息后，与采购人聘请的为此项目提供咨询服务的公司及其附属机构没有任何联系。</w:t>
      </w:r>
    </w:p>
    <w:p w14:paraId="250158D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3.我方及由本人担任法定代表人的其他机构最近三年内被通报或者被处罚的违法行为有：</w:t>
      </w:r>
      <w:r>
        <w:rPr>
          <w:rFonts w:hint="default" w:ascii="Times New Roman" w:hAnsi="Times New Roman" w:eastAsia="宋体" w:cs="Times New Roman"/>
          <w:color w:val="auto"/>
          <w:sz w:val="24"/>
          <w:highlight w:val="none"/>
          <w:u w:val="single"/>
        </w:rPr>
        <w:t>　　　　　　　　　　　　　　　　　　　　　　</w:t>
      </w:r>
      <w:r>
        <w:rPr>
          <w:rFonts w:hint="default" w:ascii="Times New Roman" w:hAnsi="Times New Roman" w:eastAsia="宋体" w:cs="Times New Roman"/>
          <w:color w:val="auto"/>
          <w:sz w:val="24"/>
          <w:highlight w:val="none"/>
        </w:rPr>
        <w:t>。</w:t>
      </w:r>
    </w:p>
    <w:p w14:paraId="1A0E3B62">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4．我方在“信用中国”或“中国政府采购网”的被列为失信被执行人、重大税收违法案件当事人名单、政府采购严重违法失信行为记录名单情况：</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bCs/>
          <w:color w:val="auto"/>
          <w:sz w:val="24"/>
          <w:highlight w:val="none"/>
        </w:rPr>
        <w:t>。</w:t>
      </w:r>
    </w:p>
    <w:p w14:paraId="0ABA45CB">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5.以上事项如有虚假或隐瞒，我方愿意承担一切后果，并不再寻求任何旨在减轻或免除法律责任的辩解。</w:t>
      </w:r>
    </w:p>
    <w:p w14:paraId="2A362682">
      <w:pPr>
        <w:pStyle w:val="12"/>
        <w:tabs>
          <w:tab w:val="left" w:pos="939"/>
        </w:tabs>
        <w:snapToGrid w:val="0"/>
        <w:spacing w:line="360" w:lineRule="auto"/>
        <w:ind w:left="458" w:leftChars="0" w:hanging="458" w:hangingChars="191"/>
        <w:rPr>
          <w:rFonts w:hint="default" w:ascii="Times New Roman" w:hAnsi="Times New Roman" w:eastAsia="宋体" w:cs="Times New Roman"/>
          <w:color w:val="auto"/>
          <w:sz w:val="24"/>
          <w:highlight w:val="none"/>
        </w:rPr>
      </w:pPr>
    </w:p>
    <w:p w14:paraId="72077063">
      <w:pPr>
        <w:pStyle w:val="12"/>
        <w:tabs>
          <w:tab w:val="left" w:pos="939"/>
        </w:tabs>
        <w:snapToGrid w:val="0"/>
        <w:spacing w:line="360" w:lineRule="auto"/>
        <w:ind w:left="458" w:leftChars="0" w:hanging="458" w:hangingChars="191"/>
        <w:rPr>
          <w:rFonts w:hint="default" w:ascii="Times New Roman" w:hAnsi="Times New Roman" w:eastAsia="宋体" w:cs="Times New Roman"/>
          <w:color w:val="auto"/>
          <w:sz w:val="24"/>
          <w:highlight w:val="none"/>
        </w:rPr>
      </w:pPr>
    </w:p>
    <w:p w14:paraId="5B78B811">
      <w:pPr>
        <w:pStyle w:val="12"/>
        <w:tabs>
          <w:tab w:val="left" w:pos="939"/>
        </w:tabs>
        <w:snapToGrid w:val="0"/>
        <w:spacing w:line="360" w:lineRule="auto"/>
        <w:ind w:left="458" w:leftChars="0" w:hanging="458" w:hangingChars="191"/>
        <w:rPr>
          <w:rFonts w:hint="default" w:ascii="Times New Roman" w:hAnsi="Times New Roman" w:eastAsia="宋体" w:cs="Times New Roman"/>
          <w:color w:val="auto"/>
          <w:sz w:val="24"/>
          <w:highlight w:val="none"/>
        </w:rPr>
      </w:pPr>
    </w:p>
    <w:p w14:paraId="1AB3BDD9">
      <w:pPr>
        <w:pStyle w:val="39"/>
        <w:snapToGrid w:val="0"/>
        <w:spacing w:line="360" w:lineRule="auto"/>
        <w:rPr>
          <w:rFonts w:hint="default" w:ascii="Times New Roman" w:hAnsi="Times New Roman" w:eastAsia="宋体" w:cs="Times New Roman"/>
          <w:color w:val="auto"/>
          <w:szCs w:val="24"/>
          <w:highlight w:val="none"/>
        </w:rPr>
      </w:pPr>
    </w:p>
    <w:p w14:paraId="39E8F986">
      <w:pPr>
        <w:pStyle w:val="13"/>
        <w:spacing w:before="120" w:line="360" w:lineRule="auto"/>
        <w:ind w:firstLine="42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法定代表人或委托代理人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14:paraId="761ED672">
      <w:pPr>
        <w:pStyle w:val="13"/>
        <w:spacing w:before="120" w:line="36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C3FC289">
      <w:pPr>
        <w:pStyle w:val="13"/>
        <w:spacing w:before="120" w:line="36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xml:space="preserve"> 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48C25EB6">
      <w:pPr>
        <w:spacing w:line="500" w:lineRule="exact"/>
        <w:rPr>
          <w:rFonts w:hint="default" w:ascii="Times New Roman" w:hAnsi="Times New Roman" w:eastAsia="宋体" w:cs="Times New Roman"/>
          <w:color w:val="auto"/>
          <w:sz w:val="28"/>
          <w:szCs w:val="28"/>
          <w:highlight w:val="none"/>
        </w:rPr>
      </w:pPr>
    </w:p>
    <w:p w14:paraId="716F2764">
      <w:pPr>
        <w:spacing w:line="500" w:lineRule="exact"/>
        <w:rPr>
          <w:rFonts w:hint="default" w:ascii="Times New Roman" w:hAnsi="Times New Roman" w:eastAsia="宋体" w:cs="Times New Roman"/>
          <w:color w:val="auto"/>
          <w:sz w:val="28"/>
          <w:szCs w:val="28"/>
          <w:highlight w:val="none"/>
        </w:rPr>
      </w:pPr>
    </w:p>
    <w:p w14:paraId="23BC7D7C">
      <w:pPr>
        <w:spacing w:line="500" w:lineRule="exact"/>
        <w:rPr>
          <w:rFonts w:hint="default" w:ascii="Times New Roman" w:hAnsi="Times New Roman" w:eastAsia="宋体" w:cs="Times New Roman"/>
          <w:color w:val="auto"/>
          <w:sz w:val="28"/>
          <w:szCs w:val="28"/>
          <w:highlight w:val="none"/>
        </w:rPr>
      </w:pPr>
    </w:p>
    <w:p w14:paraId="7485970A">
      <w:pPr>
        <w:spacing w:line="500" w:lineRule="exact"/>
        <w:rPr>
          <w:rFonts w:hint="default" w:ascii="Times New Roman" w:hAnsi="Times New Roman" w:eastAsia="宋体" w:cs="Times New Roman"/>
          <w:color w:val="auto"/>
          <w:sz w:val="28"/>
          <w:szCs w:val="28"/>
          <w:highlight w:val="none"/>
        </w:rPr>
      </w:pPr>
    </w:p>
    <w:p w14:paraId="1A8B08A4">
      <w:pPr>
        <w:spacing w:line="500" w:lineRule="exact"/>
        <w:jc w:val="center"/>
        <w:rPr>
          <w:rFonts w:hint="default" w:ascii="Times New Roman" w:hAnsi="Times New Roman" w:eastAsia="宋体" w:cs="Times New Roman"/>
          <w:b/>
          <w:bCs/>
          <w:color w:val="auto"/>
          <w:spacing w:val="6"/>
          <w:sz w:val="36"/>
          <w:szCs w:val="36"/>
          <w:highlight w:val="none"/>
        </w:rPr>
      </w:pPr>
    </w:p>
    <w:p w14:paraId="3FED70C5">
      <w:pPr>
        <w:spacing w:line="500" w:lineRule="exact"/>
        <w:jc w:val="center"/>
        <w:rPr>
          <w:rFonts w:hint="default" w:ascii="Times New Roman" w:hAnsi="Times New Roman" w:eastAsia="宋体" w:cs="Times New Roman"/>
          <w:b/>
          <w:bCs/>
          <w:color w:val="auto"/>
          <w:spacing w:val="6"/>
          <w:sz w:val="36"/>
          <w:szCs w:val="36"/>
          <w:highlight w:val="none"/>
        </w:rPr>
      </w:pPr>
      <w:r>
        <w:rPr>
          <w:rFonts w:hint="default" w:ascii="Times New Roman" w:hAnsi="Times New Roman" w:eastAsia="宋体" w:cs="Times New Roman"/>
          <w:b/>
          <w:bCs/>
          <w:color w:val="auto"/>
          <w:spacing w:val="6"/>
          <w:sz w:val="36"/>
          <w:szCs w:val="36"/>
          <w:highlight w:val="none"/>
        </w:rPr>
        <w:t>中小企业声明函（服务）</w:t>
      </w:r>
    </w:p>
    <w:p w14:paraId="3FCCC4F3">
      <w:pPr>
        <w:spacing w:line="500" w:lineRule="exact"/>
        <w:jc w:val="center"/>
        <w:rPr>
          <w:rFonts w:hint="default" w:ascii="Times New Roman" w:hAnsi="Times New Roman" w:eastAsia="宋体" w:cs="Times New Roman"/>
          <w:i w:val="0"/>
          <w:iCs w:val="0"/>
          <w:color w:val="auto"/>
          <w:sz w:val="28"/>
          <w:szCs w:val="28"/>
          <w:highlight w:val="none"/>
        </w:rPr>
      </w:pPr>
      <w:r>
        <w:rPr>
          <w:rFonts w:hint="default" w:ascii="Times New Roman" w:hAnsi="Times New Roman" w:eastAsia="宋体" w:cs="Times New Roman"/>
          <w:i w:val="0"/>
          <w:iCs w:val="0"/>
          <w:color w:val="auto"/>
          <w:sz w:val="28"/>
          <w:szCs w:val="28"/>
          <w:highlight w:val="none"/>
        </w:rPr>
        <w:t xml:space="preserve"> </w:t>
      </w:r>
    </w:p>
    <w:p w14:paraId="4EF11FCC">
      <w:pPr>
        <w:widowControl/>
        <w:shd w:val="clear" w:color="auto" w:fill="FFFFFF"/>
        <w:spacing w:after="240"/>
        <w:ind w:firstLine="480"/>
        <w:jc w:val="left"/>
        <w:rPr>
          <w:rFonts w:hint="default" w:ascii="Times New Roman" w:hAnsi="Times New Roman" w:eastAsia="宋体" w:cs="Times New Roman"/>
          <w:i w:val="0"/>
          <w:iCs w:val="0"/>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rPr>
        <w:t>本公司（联合体）郑重声明，根据《政府采购促进中小企业发展管理办法》（财库﹝2020﹞46号）的规定，本公司（联合体）参加</w:t>
      </w:r>
      <w:r>
        <w:rPr>
          <w:rFonts w:hint="default" w:ascii="Times New Roman" w:hAnsi="Times New Roman" w:eastAsia="宋体" w:cs="Times New Roman"/>
          <w:i w:val="0"/>
          <w:iCs w:val="0"/>
          <w:color w:val="auto"/>
          <w:kern w:val="0"/>
          <w:sz w:val="24"/>
          <w:szCs w:val="24"/>
          <w:highlight w:val="none"/>
          <w:u w:val="single"/>
        </w:rPr>
        <w:t xml:space="preserve"> （单位名称） </w:t>
      </w:r>
      <w:r>
        <w:rPr>
          <w:rFonts w:hint="default" w:ascii="Times New Roman" w:hAnsi="Times New Roman" w:eastAsia="宋体" w:cs="Times New Roman"/>
          <w:i w:val="0"/>
          <w:iCs w:val="0"/>
          <w:color w:val="auto"/>
          <w:kern w:val="0"/>
          <w:sz w:val="24"/>
          <w:szCs w:val="24"/>
          <w:highlight w:val="none"/>
        </w:rPr>
        <w:t xml:space="preserve">的 </w:t>
      </w:r>
      <w:r>
        <w:rPr>
          <w:rFonts w:hint="default" w:ascii="Times New Roman" w:hAnsi="Times New Roman" w:eastAsia="宋体" w:cs="Times New Roman"/>
          <w:i w:val="0"/>
          <w:iCs w:val="0"/>
          <w:color w:val="auto"/>
          <w:kern w:val="0"/>
          <w:sz w:val="24"/>
          <w:szCs w:val="24"/>
          <w:highlight w:val="none"/>
          <w:u w:val="single"/>
        </w:rPr>
        <w:t xml:space="preserve">（项目名称） </w:t>
      </w:r>
      <w:r>
        <w:rPr>
          <w:rFonts w:hint="default" w:ascii="Times New Roman" w:hAnsi="Times New Roman" w:eastAsia="宋体" w:cs="Times New Roman"/>
          <w:i w:val="0"/>
          <w:iCs w:val="0"/>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D9231B">
      <w:pPr>
        <w:widowControl/>
        <w:shd w:val="clear" w:color="auto" w:fill="FFFFFF"/>
        <w:spacing w:after="240" w:line="360" w:lineRule="atLeast"/>
        <w:ind w:firstLine="480"/>
        <w:jc w:val="left"/>
        <w:rPr>
          <w:rFonts w:hint="default" w:ascii="Times New Roman" w:hAnsi="Times New Roman" w:eastAsia="宋体" w:cs="Times New Roman"/>
          <w:i w:val="0"/>
          <w:iCs w:val="0"/>
          <w:color w:val="auto"/>
          <w:kern w:val="0"/>
          <w:sz w:val="24"/>
          <w:szCs w:val="24"/>
          <w:highlight w:val="none"/>
          <w:u w:val="single"/>
        </w:rPr>
      </w:pPr>
      <w:r>
        <w:rPr>
          <w:rFonts w:hint="default" w:ascii="Times New Roman" w:hAnsi="Times New Roman" w:eastAsia="宋体" w:cs="Times New Roman"/>
          <w:i w:val="0"/>
          <w:iCs w:val="0"/>
          <w:color w:val="auto"/>
          <w:kern w:val="0"/>
          <w:sz w:val="24"/>
          <w:szCs w:val="24"/>
          <w:highlight w:val="none"/>
        </w:rPr>
        <w:t xml:space="preserve">1. </w:t>
      </w:r>
      <w:r>
        <w:rPr>
          <w:rFonts w:hint="default" w:ascii="Times New Roman" w:hAnsi="Times New Roman" w:eastAsia="宋体" w:cs="Times New Roman"/>
          <w:i w:val="0"/>
          <w:iCs w:val="0"/>
          <w:color w:val="auto"/>
          <w:kern w:val="0"/>
          <w:sz w:val="24"/>
          <w:szCs w:val="24"/>
          <w:highlight w:val="none"/>
          <w:u w:val="single"/>
        </w:rPr>
        <w:t xml:space="preserve">（标的名称） </w:t>
      </w:r>
      <w:r>
        <w:rPr>
          <w:rFonts w:hint="default" w:ascii="Times New Roman" w:hAnsi="Times New Roman" w:eastAsia="宋体" w:cs="Times New Roman"/>
          <w:i w:val="0"/>
          <w:iCs w:val="0"/>
          <w:color w:val="auto"/>
          <w:kern w:val="0"/>
          <w:sz w:val="24"/>
          <w:szCs w:val="24"/>
          <w:highlight w:val="none"/>
        </w:rPr>
        <w:t>，属于</w:t>
      </w:r>
      <w:r>
        <w:rPr>
          <w:rFonts w:hint="default" w:ascii="Times New Roman" w:hAnsi="Times New Roman" w:eastAsia="宋体" w:cs="Times New Roman"/>
          <w:i w:val="0"/>
          <w:iCs w:val="0"/>
          <w:color w:val="auto"/>
          <w:kern w:val="0"/>
          <w:sz w:val="24"/>
          <w:szCs w:val="24"/>
          <w:highlight w:val="none"/>
          <w:u w:val="single"/>
        </w:rPr>
        <w:t xml:space="preserve"> （采购文件中明确的所属行业） </w:t>
      </w:r>
      <w:r>
        <w:rPr>
          <w:rFonts w:hint="default" w:ascii="Times New Roman" w:hAnsi="Times New Roman" w:eastAsia="宋体" w:cs="Times New Roman"/>
          <w:i w:val="0"/>
          <w:iCs w:val="0"/>
          <w:color w:val="auto"/>
          <w:kern w:val="0"/>
          <w:sz w:val="24"/>
          <w:szCs w:val="24"/>
          <w:highlight w:val="none"/>
        </w:rPr>
        <w:t>；承建（承接）企业为</w:t>
      </w:r>
      <w:r>
        <w:rPr>
          <w:rFonts w:hint="default" w:ascii="Times New Roman" w:hAnsi="Times New Roman" w:eastAsia="宋体" w:cs="Times New Roman"/>
          <w:i w:val="0"/>
          <w:iCs w:val="0"/>
          <w:color w:val="auto"/>
          <w:kern w:val="0"/>
          <w:sz w:val="24"/>
          <w:szCs w:val="24"/>
          <w:highlight w:val="none"/>
          <w:u w:val="single"/>
        </w:rPr>
        <w:t xml:space="preserve"> （企业名称） </w:t>
      </w:r>
      <w:r>
        <w:rPr>
          <w:rFonts w:hint="default" w:ascii="Times New Roman" w:hAnsi="Times New Roman" w:eastAsia="宋体" w:cs="Times New Roman"/>
          <w:i w:val="0"/>
          <w:iCs w:val="0"/>
          <w:color w:val="auto"/>
          <w:kern w:val="0"/>
          <w:sz w:val="24"/>
          <w:szCs w:val="24"/>
          <w:highlight w:val="none"/>
        </w:rPr>
        <w:t>，从业人员</w:t>
      </w:r>
      <w:r>
        <w:rPr>
          <w:rFonts w:hint="default" w:ascii="Times New Roman" w:hAnsi="Times New Roman" w:eastAsia="宋体" w:cs="Times New Roman"/>
          <w:i w:val="0"/>
          <w:iCs w:val="0"/>
          <w:color w:val="auto"/>
          <w:kern w:val="0"/>
          <w:sz w:val="24"/>
          <w:szCs w:val="24"/>
          <w:highlight w:val="none"/>
          <w:u w:val="single"/>
        </w:rPr>
        <w:t xml:space="preserve">   </w:t>
      </w:r>
      <w:r>
        <w:rPr>
          <w:rFonts w:hint="default" w:ascii="Times New Roman" w:hAnsi="Times New Roman" w:eastAsia="宋体" w:cs="Times New Roman"/>
          <w:i w:val="0"/>
          <w:iCs w:val="0"/>
          <w:color w:val="auto"/>
          <w:kern w:val="0"/>
          <w:sz w:val="24"/>
          <w:szCs w:val="24"/>
          <w:highlight w:val="none"/>
        </w:rPr>
        <w:t>人，营业收入为</w:t>
      </w:r>
      <w:r>
        <w:rPr>
          <w:rFonts w:hint="default" w:ascii="Times New Roman" w:hAnsi="Times New Roman" w:eastAsia="宋体" w:cs="Times New Roman"/>
          <w:i w:val="0"/>
          <w:iCs w:val="0"/>
          <w:color w:val="auto"/>
          <w:kern w:val="0"/>
          <w:sz w:val="24"/>
          <w:szCs w:val="24"/>
          <w:highlight w:val="none"/>
          <w:u w:val="single"/>
        </w:rPr>
        <w:t xml:space="preserve">   </w:t>
      </w:r>
      <w:r>
        <w:rPr>
          <w:rFonts w:hint="default" w:ascii="Times New Roman" w:hAnsi="Times New Roman" w:eastAsia="宋体" w:cs="Times New Roman"/>
          <w:i w:val="0"/>
          <w:iCs w:val="0"/>
          <w:color w:val="auto"/>
          <w:kern w:val="0"/>
          <w:sz w:val="24"/>
          <w:szCs w:val="24"/>
          <w:highlight w:val="none"/>
        </w:rPr>
        <w:t>万元¹，资产总额为</w:t>
      </w:r>
      <w:r>
        <w:rPr>
          <w:rFonts w:hint="default" w:ascii="Times New Roman" w:hAnsi="Times New Roman" w:eastAsia="宋体" w:cs="Times New Roman"/>
          <w:i w:val="0"/>
          <w:iCs w:val="0"/>
          <w:color w:val="auto"/>
          <w:kern w:val="0"/>
          <w:sz w:val="24"/>
          <w:szCs w:val="24"/>
          <w:highlight w:val="none"/>
          <w:u w:val="single"/>
        </w:rPr>
        <w:t xml:space="preserve">   </w:t>
      </w:r>
      <w:r>
        <w:rPr>
          <w:rFonts w:hint="default" w:ascii="Times New Roman" w:hAnsi="Times New Roman" w:eastAsia="宋体" w:cs="Times New Roman"/>
          <w:i w:val="0"/>
          <w:iCs w:val="0"/>
          <w:color w:val="auto"/>
          <w:kern w:val="0"/>
          <w:sz w:val="24"/>
          <w:szCs w:val="24"/>
          <w:highlight w:val="none"/>
        </w:rPr>
        <w:t>万元，属于</w:t>
      </w:r>
      <w:r>
        <w:rPr>
          <w:rFonts w:hint="default" w:ascii="Times New Roman" w:hAnsi="Times New Roman" w:eastAsia="宋体" w:cs="Times New Roman"/>
          <w:i w:val="0"/>
          <w:iCs w:val="0"/>
          <w:color w:val="auto"/>
          <w:kern w:val="0"/>
          <w:sz w:val="24"/>
          <w:szCs w:val="24"/>
          <w:highlight w:val="none"/>
          <w:u w:val="single"/>
        </w:rPr>
        <w:t xml:space="preserve"> （中型企业、小型企业、微型企业）；</w:t>
      </w:r>
    </w:p>
    <w:p w14:paraId="6F9D01A8">
      <w:pPr>
        <w:widowControl/>
        <w:shd w:val="clear" w:color="auto" w:fill="FFFFFF"/>
        <w:spacing w:after="240" w:line="360" w:lineRule="atLeast"/>
        <w:ind w:firstLine="480"/>
        <w:jc w:val="left"/>
        <w:rPr>
          <w:rFonts w:hint="default" w:ascii="Times New Roman" w:hAnsi="Times New Roman" w:eastAsia="宋体" w:cs="Times New Roman"/>
          <w:i w:val="0"/>
          <w:iCs w:val="0"/>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rPr>
        <w:t>2.</w:t>
      </w:r>
      <w:r>
        <w:rPr>
          <w:rFonts w:hint="default" w:ascii="Times New Roman" w:hAnsi="Times New Roman" w:eastAsia="宋体" w:cs="Times New Roman"/>
          <w:i w:val="0"/>
          <w:iCs w:val="0"/>
          <w:color w:val="auto"/>
          <w:kern w:val="0"/>
          <w:sz w:val="24"/>
          <w:szCs w:val="24"/>
          <w:highlight w:val="none"/>
          <w:u w:val="single"/>
        </w:rPr>
        <w:t xml:space="preserve"> （标的名称） </w:t>
      </w:r>
      <w:r>
        <w:rPr>
          <w:rFonts w:hint="default" w:ascii="Times New Roman" w:hAnsi="Times New Roman" w:eastAsia="宋体" w:cs="Times New Roman"/>
          <w:i w:val="0"/>
          <w:iCs w:val="0"/>
          <w:color w:val="auto"/>
          <w:kern w:val="0"/>
          <w:sz w:val="24"/>
          <w:szCs w:val="24"/>
          <w:highlight w:val="none"/>
        </w:rPr>
        <w:t>，属于</w:t>
      </w:r>
      <w:r>
        <w:rPr>
          <w:rFonts w:hint="default" w:ascii="Times New Roman" w:hAnsi="Times New Roman" w:eastAsia="宋体" w:cs="Times New Roman"/>
          <w:i w:val="0"/>
          <w:iCs w:val="0"/>
          <w:color w:val="auto"/>
          <w:kern w:val="0"/>
          <w:sz w:val="24"/>
          <w:szCs w:val="24"/>
          <w:highlight w:val="none"/>
          <w:u w:val="single"/>
        </w:rPr>
        <w:t xml:space="preserve"> （采购文件中明确的所属行业）</w:t>
      </w:r>
      <w:r>
        <w:rPr>
          <w:rFonts w:hint="default" w:ascii="Times New Roman" w:hAnsi="Times New Roman" w:eastAsia="宋体" w:cs="Times New Roman"/>
          <w:i w:val="0"/>
          <w:iCs w:val="0"/>
          <w:color w:val="auto"/>
          <w:kern w:val="0"/>
          <w:sz w:val="24"/>
          <w:szCs w:val="24"/>
          <w:highlight w:val="none"/>
        </w:rPr>
        <w:t xml:space="preserve"> ；承建（承接）企业为</w:t>
      </w:r>
      <w:r>
        <w:rPr>
          <w:rFonts w:hint="default" w:ascii="Times New Roman" w:hAnsi="Times New Roman" w:eastAsia="宋体" w:cs="Times New Roman"/>
          <w:i w:val="0"/>
          <w:iCs w:val="0"/>
          <w:color w:val="auto"/>
          <w:kern w:val="0"/>
          <w:sz w:val="24"/>
          <w:szCs w:val="24"/>
          <w:highlight w:val="none"/>
          <w:u w:val="single"/>
        </w:rPr>
        <w:t xml:space="preserve"> （企业名称） </w:t>
      </w:r>
      <w:r>
        <w:rPr>
          <w:rFonts w:hint="default" w:ascii="Times New Roman" w:hAnsi="Times New Roman" w:eastAsia="宋体" w:cs="Times New Roman"/>
          <w:i w:val="0"/>
          <w:iCs w:val="0"/>
          <w:color w:val="auto"/>
          <w:kern w:val="0"/>
          <w:sz w:val="24"/>
          <w:szCs w:val="24"/>
          <w:highlight w:val="none"/>
        </w:rPr>
        <w:t>，从业人员</w:t>
      </w:r>
      <w:r>
        <w:rPr>
          <w:rFonts w:hint="default" w:ascii="Times New Roman" w:hAnsi="Times New Roman" w:eastAsia="宋体" w:cs="Times New Roman"/>
          <w:i w:val="0"/>
          <w:iCs w:val="0"/>
          <w:color w:val="auto"/>
          <w:kern w:val="0"/>
          <w:sz w:val="24"/>
          <w:szCs w:val="24"/>
          <w:highlight w:val="none"/>
          <w:u w:val="single"/>
        </w:rPr>
        <w:t xml:space="preserve">     </w:t>
      </w:r>
      <w:r>
        <w:rPr>
          <w:rFonts w:hint="default" w:ascii="Times New Roman" w:hAnsi="Times New Roman" w:eastAsia="宋体" w:cs="Times New Roman"/>
          <w:i w:val="0"/>
          <w:iCs w:val="0"/>
          <w:color w:val="auto"/>
          <w:kern w:val="0"/>
          <w:sz w:val="24"/>
          <w:szCs w:val="24"/>
          <w:highlight w:val="none"/>
        </w:rPr>
        <w:t>人，营业收入为</w:t>
      </w:r>
      <w:r>
        <w:rPr>
          <w:rFonts w:hint="default" w:ascii="Times New Roman" w:hAnsi="Times New Roman" w:eastAsia="宋体" w:cs="Times New Roman"/>
          <w:i w:val="0"/>
          <w:iCs w:val="0"/>
          <w:color w:val="auto"/>
          <w:kern w:val="0"/>
          <w:sz w:val="24"/>
          <w:szCs w:val="24"/>
          <w:highlight w:val="none"/>
          <w:u w:val="single"/>
        </w:rPr>
        <w:t xml:space="preserve">   </w:t>
      </w:r>
      <w:r>
        <w:rPr>
          <w:rFonts w:hint="default" w:ascii="Times New Roman" w:hAnsi="Times New Roman" w:eastAsia="宋体" w:cs="Times New Roman"/>
          <w:i w:val="0"/>
          <w:iCs w:val="0"/>
          <w:color w:val="auto"/>
          <w:kern w:val="0"/>
          <w:sz w:val="24"/>
          <w:szCs w:val="24"/>
          <w:highlight w:val="none"/>
        </w:rPr>
        <w:t>万元，资产总额为</w:t>
      </w:r>
      <w:r>
        <w:rPr>
          <w:rFonts w:hint="default" w:ascii="Times New Roman" w:hAnsi="Times New Roman" w:eastAsia="宋体" w:cs="Times New Roman"/>
          <w:i w:val="0"/>
          <w:iCs w:val="0"/>
          <w:color w:val="auto"/>
          <w:kern w:val="0"/>
          <w:sz w:val="24"/>
          <w:szCs w:val="24"/>
          <w:highlight w:val="none"/>
          <w:u w:val="single"/>
        </w:rPr>
        <w:t xml:space="preserve">   </w:t>
      </w:r>
      <w:r>
        <w:rPr>
          <w:rFonts w:hint="default" w:ascii="Times New Roman" w:hAnsi="Times New Roman" w:eastAsia="宋体" w:cs="Times New Roman"/>
          <w:i w:val="0"/>
          <w:iCs w:val="0"/>
          <w:color w:val="auto"/>
          <w:kern w:val="0"/>
          <w:sz w:val="24"/>
          <w:szCs w:val="24"/>
          <w:highlight w:val="none"/>
        </w:rPr>
        <w:t>万元，属于</w:t>
      </w:r>
      <w:r>
        <w:rPr>
          <w:rFonts w:hint="default" w:ascii="Times New Roman" w:hAnsi="Times New Roman" w:eastAsia="宋体" w:cs="Times New Roman"/>
          <w:i w:val="0"/>
          <w:iCs w:val="0"/>
          <w:color w:val="auto"/>
          <w:kern w:val="0"/>
          <w:sz w:val="24"/>
          <w:szCs w:val="24"/>
          <w:highlight w:val="none"/>
          <w:u w:val="single"/>
        </w:rPr>
        <w:t xml:space="preserve"> （中型企业、小型企业、微型企业） </w:t>
      </w:r>
      <w:r>
        <w:rPr>
          <w:rFonts w:hint="default" w:ascii="Times New Roman" w:hAnsi="Times New Roman" w:eastAsia="宋体" w:cs="Times New Roman"/>
          <w:i w:val="0"/>
          <w:iCs w:val="0"/>
          <w:color w:val="auto"/>
          <w:kern w:val="0"/>
          <w:sz w:val="24"/>
          <w:szCs w:val="24"/>
          <w:highlight w:val="none"/>
        </w:rPr>
        <w:t>；</w:t>
      </w:r>
    </w:p>
    <w:p w14:paraId="33E62AD6">
      <w:pPr>
        <w:widowControl/>
        <w:shd w:val="clear" w:color="auto" w:fill="FFFFFF"/>
        <w:spacing w:after="240" w:line="360" w:lineRule="atLeast"/>
        <w:ind w:firstLine="480"/>
        <w:jc w:val="left"/>
        <w:rPr>
          <w:rFonts w:hint="default" w:ascii="Times New Roman" w:hAnsi="Times New Roman" w:eastAsia="宋体" w:cs="Times New Roman"/>
          <w:i w:val="0"/>
          <w:iCs w:val="0"/>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rPr>
        <w:t> .........</w:t>
      </w:r>
    </w:p>
    <w:p w14:paraId="4DD667BC">
      <w:pPr>
        <w:widowControl/>
        <w:shd w:val="clear" w:color="auto" w:fill="FFFFFF"/>
        <w:spacing w:after="240" w:line="360" w:lineRule="atLeast"/>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以上企业，不属于大企业的分支机构，不存在控股股东为大企业的情形，也不存在与大企业的负责人为同一人的情形。　　　　　　　　　　　　</w:t>
      </w:r>
    </w:p>
    <w:p w14:paraId="3648388D">
      <w:pPr>
        <w:widowControl/>
        <w:shd w:val="clear" w:color="auto" w:fill="FFFFFF"/>
        <w:spacing w:after="240" w:line="360" w:lineRule="atLeas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本企业对上述声明内容的真实性负责。如有虚假，将依法承担相应责任。　　　　　　　　　　　</w:t>
      </w:r>
    </w:p>
    <w:p w14:paraId="514F5997">
      <w:pPr>
        <w:widowControl/>
        <w:shd w:val="clear" w:color="auto" w:fill="FFFFFF"/>
        <w:spacing w:after="240" w:line="360" w:lineRule="atLeast"/>
        <w:ind w:firstLine="6000" w:firstLineChars="2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企业名称（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kern w:val="0"/>
          <w:sz w:val="24"/>
          <w:szCs w:val="24"/>
          <w:highlight w:val="none"/>
        </w:rPr>
        <w:t>）：</w:t>
      </w:r>
    </w:p>
    <w:p w14:paraId="2C191D81">
      <w:pPr>
        <w:widowControl/>
        <w:shd w:val="clear" w:color="auto" w:fill="FFFFFF"/>
        <w:spacing w:after="240" w:line="360" w:lineRule="atLeast"/>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日期：     年   月   日</w:t>
      </w:r>
    </w:p>
    <w:p w14:paraId="77706B1E">
      <w:pPr>
        <w:snapToGrid w:val="0"/>
        <w:spacing w:line="400" w:lineRule="exact"/>
        <w:jc w:val="left"/>
        <w:rPr>
          <w:rFonts w:hint="default" w:ascii="Times New Roman" w:hAnsi="Times New Roman" w:eastAsia="宋体" w:cs="Times New Roman"/>
          <w:color w:val="auto"/>
          <w:sz w:val="22"/>
          <w:szCs w:val="22"/>
          <w:highlight w:val="none"/>
        </w:rPr>
      </w:pPr>
    </w:p>
    <w:p w14:paraId="0E33902D">
      <w:pPr>
        <w:snapToGrid w:val="0"/>
        <w:spacing w:line="400" w:lineRule="exact"/>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167640</wp:posOffset>
                </wp:positionV>
                <wp:extent cx="1854200" cy="19050"/>
                <wp:effectExtent l="0" t="4445" r="12700" b="5080"/>
                <wp:wrapNone/>
                <wp:docPr id="4" name="直接连接符 4"/>
                <wp:cNvGraphicFramePr/>
                <a:graphic xmlns:a="http://schemas.openxmlformats.org/drawingml/2006/main">
                  <a:graphicData uri="http://schemas.microsoft.com/office/word/2010/wordprocessingShape">
                    <wps:wsp>
                      <wps:cNvCnPr/>
                      <wps:spPr>
                        <a:xfrm>
                          <a:off x="0" y="0"/>
                          <a:ext cx="185420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3.2pt;height:1.5pt;width:146pt;z-index:251660288;mso-width-relative:page;mso-height-relative:page;" filled="f" stroked="t" coordsize="21600,21600" o:gfxdata="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nVLI1QAAAAcBAAAPAAAAAAAAAAEAIAAAACIAAABkcnMvZG93bnJldi54bWxQ&#10;SwECFAAUAAAACACHTuJA164MwfoBAADoAwAADgAAAAAAAAABACAAAAAkAQAAZHJzL2Uyb0RvYy54&#10;bWxQSwUGAAAAAAYABgBZAQAAkAUAAAAA&#10;">
                <v:fill on="f" focussize="0,0"/>
                <v:stroke color="#000000" joinstyle="round"/>
                <v:imagedata o:title=""/>
                <o:lock v:ext="edit" aspectratio="f"/>
              </v:line>
            </w:pict>
          </mc:Fallback>
        </mc:AlternateContent>
      </w:r>
    </w:p>
    <w:p w14:paraId="085957C3">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2"/>
          <w:szCs w:val="22"/>
          <w:highlight w:val="none"/>
        </w:rPr>
        <w:t>¹</w:t>
      </w:r>
      <w:r>
        <w:rPr>
          <w:rFonts w:hint="default" w:ascii="Times New Roman" w:hAnsi="Times New Roman" w:eastAsia="宋体" w:cs="Times New Roman"/>
          <w:color w:val="auto"/>
          <w:sz w:val="21"/>
          <w:szCs w:val="21"/>
          <w:highlight w:val="none"/>
        </w:rPr>
        <w:t>从业人员、营业收入、资产总额填报上一年度数据，无上一年度数据的新成立企业可不填报。</w:t>
      </w:r>
    </w:p>
    <w:p w14:paraId="47C3B022">
      <w:pPr>
        <w:spacing w:line="36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highlight w:val="none"/>
          <w:vertAlign w:val="superscript"/>
          <w:lang w:val="en-US" w:eastAsia="zh-CN"/>
        </w:rPr>
        <w:t>2</w:t>
      </w:r>
      <w:r>
        <w:rPr>
          <w:rFonts w:hint="default" w:ascii="Times New Roman" w:hAnsi="Times New Roman" w:eastAsia="宋体" w:cs="Times New Roman"/>
          <w:color w:val="auto"/>
          <w:kern w:val="2"/>
          <w:sz w:val="21"/>
          <w:szCs w:val="21"/>
          <w:highlight w:val="none"/>
          <w:lang w:val="en-US" w:eastAsia="zh-CN" w:bidi="ar-SA"/>
        </w:rPr>
        <w:t>本项目服务所属行业为：</w:t>
      </w:r>
      <w:r>
        <w:rPr>
          <w:rFonts w:hint="eastAsia" w:cs="Times New Roman"/>
          <w:color w:val="auto"/>
          <w:kern w:val="2"/>
          <w:sz w:val="21"/>
          <w:szCs w:val="21"/>
          <w:highlight w:val="none"/>
          <w:lang w:val="en-US" w:eastAsia="zh-CN" w:bidi="ar-SA"/>
        </w:rPr>
        <w:t>其他未列明行业</w:t>
      </w:r>
      <w:r>
        <w:rPr>
          <w:rFonts w:hint="default" w:ascii="Times New Roman" w:hAnsi="Times New Roman" w:eastAsia="宋体" w:cs="Times New Roman"/>
          <w:color w:val="auto"/>
          <w:kern w:val="2"/>
          <w:sz w:val="21"/>
          <w:szCs w:val="21"/>
          <w:highlight w:val="none"/>
          <w:lang w:val="en-US" w:eastAsia="zh-CN" w:bidi="ar-SA"/>
        </w:rPr>
        <w:t>。</w:t>
      </w:r>
    </w:p>
    <w:p w14:paraId="6271C1EF">
      <w:pPr>
        <w:rPr>
          <w:rFonts w:hint="default" w:ascii="Times New Roman" w:hAnsi="Times New Roman" w:cs="Times New Roman"/>
          <w:color w:val="auto"/>
          <w:highlight w:val="none"/>
        </w:rPr>
      </w:pPr>
      <w:r>
        <w:rPr>
          <w:rFonts w:hint="eastAsia" w:cs="Times New Roman"/>
          <w:color w:val="auto"/>
          <w:sz w:val="21"/>
          <w:highlight w:val="none"/>
          <w:vertAlign w:val="superscript"/>
          <w:lang w:val="en-US" w:eastAsia="zh-CN"/>
        </w:rPr>
        <w:t>3</w:t>
      </w:r>
      <w:r>
        <w:rPr>
          <w:rFonts w:hint="eastAsia"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须按上述格式要求如实填写中小企业声明函，并对该声明函的真实性负责，否则不得享受相关中小企业扶持政策；</w:t>
      </w:r>
    </w:p>
    <w:p w14:paraId="3094561C">
      <w:pPr>
        <w:rPr>
          <w:rFonts w:hint="default" w:ascii="Times New Roman" w:hAnsi="Times New Roman" w:cs="Times New Roman"/>
          <w:color w:val="auto"/>
          <w:highlight w:val="none"/>
        </w:rPr>
      </w:pPr>
      <w:r>
        <w:rPr>
          <w:rFonts w:hint="eastAsia" w:cs="Times New Roman"/>
          <w:color w:val="auto"/>
          <w:sz w:val="21"/>
          <w:highlight w:val="none"/>
          <w:vertAlign w:val="superscript"/>
          <w:lang w:val="en-US" w:eastAsia="zh-CN"/>
        </w:rPr>
        <w:t>4</w:t>
      </w:r>
      <w:r>
        <w:rPr>
          <w:rFonts w:hint="eastAsia" w:ascii="Times New Roman" w:hAnsi="Times New Roman" w:cs="Times New Roman"/>
          <w:color w:val="auto"/>
          <w:highlight w:val="none"/>
          <w:lang w:eastAsia="zh-CN"/>
        </w:rPr>
        <w:t>成交</w:t>
      </w:r>
      <w:r>
        <w:rPr>
          <w:rFonts w:hint="default" w:ascii="Times New Roman" w:hAnsi="Times New Roman" w:cs="Times New Roman"/>
          <w:color w:val="auto"/>
          <w:highlight w:val="none"/>
        </w:rPr>
        <w:t>人依法享受中小企业扶持政策的，采购代理机构将在成交结果公告中公告其《中小企业声明函》。</w:t>
      </w:r>
    </w:p>
    <w:p w14:paraId="442DED8F">
      <w:pPr>
        <w:pStyle w:val="15"/>
        <w:rPr>
          <w:rFonts w:hint="default" w:ascii="Times New Roman" w:hAnsi="Times New Roman" w:eastAsia="宋体" w:cs="Times New Roman"/>
          <w:color w:val="auto"/>
          <w:kern w:val="2"/>
          <w:sz w:val="22"/>
          <w:szCs w:val="22"/>
          <w:highlight w:val="none"/>
          <w:lang w:val="en-US" w:eastAsia="zh-CN" w:bidi="ar-SA"/>
        </w:rPr>
      </w:pPr>
    </w:p>
    <w:p w14:paraId="2B6FD740">
      <w:pPr>
        <w:pStyle w:val="31"/>
        <w:rPr>
          <w:rFonts w:hint="default" w:ascii="Times New Roman" w:hAnsi="Times New Roman" w:eastAsia="宋体" w:cs="Times New Roman"/>
          <w:color w:val="auto"/>
          <w:highlight w:val="none"/>
        </w:rPr>
      </w:pPr>
    </w:p>
    <w:p w14:paraId="68379F78">
      <w:pPr>
        <w:pStyle w:val="14"/>
        <w:rPr>
          <w:rFonts w:hint="default" w:ascii="Times New Roman" w:hAnsi="Times New Roman" w:eastAsia="宋体" w:cs="Times New Roman"/>
          <w:color w:val="auto"/>
          <w:highlight w:val="none"/>
        </w:rPr>
      </w:pPr>
    </w:p>
    <w:p w14:paraId="53F8B833">
      <w:pPr>
        <w:spacing w:line="588" w:lineRule="exact"/>
        <w:jc w:val="both"/>
        <w:rPr>
          <w:rFonts w:hint="default" w:ascii="Times New Roman" w:hAnsi="Times New Roman" w:eastAsia="宋体" w:cs="Times New Roman"/>
          <w:b/>
          <w:color w:val="auto"/>
          <w:spacing w:val="6"/>
          <w:sz w:val="36"/>
          <w:szCs w:val="36"/>
          <w:highlight w:val="none"/>
        </w:rPr>
      </w:pPr>
    </w:p>
    <w:p w14:paraId="0786B579">
      <w:pPr>
        <w:spacing w:line="588" w:lineRule="exact"/>
        <w:jc w:val="center"/>
        <w:rPr>
          <w:rFonts w:hint="default" w:ascii="Times New Roman" w:hAnsi="Times New Roman" w:eastAsia="宋体" w:cs="Times New Roman"/>
          <w:b/>
          <w:color w:val="auto"/>
          <w:spacing w:val="6"/>
          <w:sz w:val="36"/>
          <w:szCs w:val="36"/>
          <w:highlight w:val="none"/>
        </w:rPr>
      </w:pPr>
      <w:r>
        <w:rPr>
          <w:rFonts w:hint="default" w:ascii="Times New Roman" w:hAnsi="Times New Roman" w:eastAsia="宋体" w:cs="Times New Roman"/>
          <w:b/>
          <w:color w:val="auto"/>
          <w:spacing w:val="6"/>
          <w:sz w:val="36"/>
          <w:szCs w:val="36"/>
          <w:highlight w:val="none"/>
        </w:rPr>
        <w:t>残疾人福利性单位声明函</w:t>
      </w:r>
      <w:r>
        <w:rPr>
          <w:rFonts w:hint="default" w:ascii="Times New Roman" w:hAnsi="Times New Roman" w:eastAsia="宋体" w:cs="Times New Roman"/>
          <w:b/>
          <w:color w:val="auto"/>
          <w:sz w:val="36"/>
          <w:szCs w:val="36"/>
          <w:highlight w:val="none"/>
        </w:rPr>
        <w:t>（格式）</w:t>
      </w:r>
    </w:p>
    <w:p w14:paraId="2BEFC182">
      <w:pPr>
        <w:spacing w:line="588" w:lineRule="exact"/>
        <w:rPr>
          <w:rFonts w:hint="default" w:ascii="Times New Roman" w:hAnsi="Times New Roman" w:eastAsia="宋体" w:cs="Times New Roman"/>
          <w:b/>
          <w:color w:val="auto"/>
          <w:spacing w:val="6"/>
          <w:sz w:val="24"/>
          <w:highlight w:val="none"/>
        </w:rPr>
      </w:pPr>
    </w:p>
    <w:p w14:paraId="260E0C58">
      <w:pPr>
        <w:spacing w:line="588" w:lineRule="exact"/>
        <w:ind w:firstLine="504" w:firstLineChars="200"/>
        <w:rPr>
          <w:rFonts w:hint="default" w:ascii="Times New Roman" w:hAnsi="Times New Roman" w:eastAsia="宋体" w:cs="Times New Roman"/>
          <w:color w:val="auto"/>
          <w:spacing w:val="6"/>
          <w:sz w:val="24"/>
          <w:highlight w:val="none"/>
        </w:rPr>
      </w:pPr>
      <w:r>
        <w:rPr>
          <w:rFonts w:hint="default" w:ascii="Times New Roman" w:hAnsi="Times New Roman" w:eastAsia="宋体" w:cs="Times New Roman"/>
          <w:color w:val="auto"/>
          <w:spacing w:val="6"/>
          <w:sz w:val="24"/>
          <w:highlight w:val="none"/>
        </w:rPr>
        <w:t>本单位郑重声明，根据《财政部 民政部 中国残疾人联合会关于促进残疾人就业政府采购政策的通知》（财库</w:t>
      </w:r>
      <w:r>
        <w:rPr>
          <w:rFonts w:hint="default" w:ascii="Times New Roman" w:hAnsi="Times New Roman" w:eastAsia="宋体" w:cs="Times New Roman"/>
          <w:color w:val="auto"/>
          <w:sz w:val="24"/>
          <w:highlight w:val="none"/>
        </w:rPr>
        <w:t>〔2017〕 141</w:t>
      </w:r>
      <w:r>
        <w:rPr>
          <w:rFonts w:hint="default" w:ascii="Times New Roman" w:hAnsi="Times New Roman" w:eastAsia="宋体" w:cs="Times New Roman"/>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8808DE">
      <w:pPr>
        <w:spacing w:line="588" w:lineRule="exact"/>
        <w:ind w:firstLine="504" w:firstLineChars="200"/>
        <w:rPr>
          <w:rFonts w:hint="default" w:ascii="Times New Roman" w:hAnsi="Times New Roman" w:eastAsia="宋体" w:cs="Times New Roman"/>
          <w:color w:val="auto"/>
          <w:spacing w:val="6"/>
          <w:sz w:val="24"/>
          <w:highlight w:val="none"/>
        </w:rPr>
      </w:pPr>
      <w:r>
        <w:rPr>
          <w:rFonts w:hint="default" w:ascii="Times New Roman" w:hAnsi="Times New Roman" w:eastAsia="宋体" w:cs="Times New Roman"/>
          <w:color w:val="auto"/>
          <w:spacing w:val="6"/>
          <w:sz w:val="24"/>
          <w:highlight w:val="none"/>
        </w:rPr>
        <w:t>本单位对上述声明的真实性负责。如有虚假，将依法承担相应责任。</w:t>
      </w:r>
    </w:p>
    <w:p w14:paraId="633FDA36">
      <w:pPr>
        <w:spacing w:line="588" w:lineRule="exact"/>
        <w:ind w:firstLine="504" w:firstLineChars="200"/>
        <w:rPr>
          <w:rFonts w:hint="default" w:ascii="Times New Roman" w:hAnsi="Times New Roman" w:eastAsia="宋体" w:cs="Times New Roman"/>
          <w:color w:val="auto"/>
          <w:spacing w:val="6"/>
          <w:sz w:val="24"/>
          <w:highlight w:val="none"/>
        </w:rPr>
      </w:pPr>
    </w:p>
    <w:p w14:paraId="5405AB89">
      <w:pPr>
        <w:spacing w:line="588" w:lineRule="exact"/>
        <w:ind w:firstLine="504" w:firstLineChars="200"/>
        <w:rPr>
          <w:rFonts w:hint="default" w:ascii="Times New Roman" w:hAnsi="Times New Roman" w:eastAsia="宋体" w:cs="Times New Roman"/>
          <w:color w:val="auto"/>
          <w:spacing w:val="6"/>
          <w:sz w:val="24"/>
          <w:highlight w:val="none"/>
        </w:rPr>
      </w:pPr>
    </w:p>
    <w:p w14:paraId="52F668F8">
      <w:pPr>
        <w:pStyle w:val="13"/>
        <w:spacing w:before="120" w:line="360" w:lineRule="auto"/>
        <w:ind w:firstLine="2520" w:firstLineChars="10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pacing w:val="6"/>
          <w:sz w:val="24"/>
          <w:highlight w:val="none"/>
        </w:rPr>
        <w:t xml:space="preserve"> </w:t>
      </w:r>
      <w:r>
        <w:rPr>
          <w:rFonts w:hint="default" w:ascii="Times New Roman" w:hAnsi="Times New Roman" w:eastAsia="宋体" w:cs="Times New Roman"/>
          <w:color w:val="auto"/>
          <w:sz w:val="24"/>
          <w:szCs w:val="24"/>
          <w:highlight w:val="none"/>
        </w:rPr>
        <w:t>法定代表人或委托代理人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p>
    <w:p w14:paraId="7AC49386">
      <w:pPr>
        <w:pStyle w:val="13"/>
        <w:spacing w:before="120" w:line="360" w:lineRule="auto"/>
        <w:ind w:firstLine="2640" w:firstLineChars="1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79CE7FE7">
      <w:pPr>
        <w:pStyle w:val="13"/>
        <w:spacing w:before="120" w:line="360" w:lineRule="auto"/>
        <w:ind w:firstLine="2640" w:firstLineChars="1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xml:space="preserve"> 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59FF824C">
      <w:pPr>
        <w:pStyle w:val="15"/>
        <w:rPr>
          <w:rFonts w:hint="default" w:ascii="Times New Roman" w:hAnsi="Times New Roman" w:eastAsia="宋体" w:cs="Times New Roman"/>
          <w:color w:val="auto"/>
          <w:sz w:val="28"/>
          <w:szCs w:val="28"/>
          <w:highlight w:val="none"/>
        </w:rPr>
      </w:pPr>
    </w:p>
    <w:p w14:paraId="6F038D7F">
      <w:pPr>
        <w:pStyle w:val="14"/>
        <w:rPr>
          <w:rFonts w:hint="default" w:ascii="Times New Roman" w:hAnsi="Times New Roman" w:eastAsia="宋体" w:cs="Times New Roman"/>
          <w:color w:val="auto"/>
          <w:highlight w:val="none"/>
        </w:rPr>
      </w:pPr>
    </w:p>
    <w:p w14:paraId="4F36910B">
      <w:pPr>
        <w:rPr>
          <w:rFonts w:hint="default" w:ascii="Times New Roman" w:hAnsi="Times New Roman" w:eastAsia="宋体" w:cs="Times New Roman"/>
          <w:color w:val="auto"/>
          <w:highlight w:val="none"/>
        </w:rPr>
      </w:pPr>
    </w:p>
    <w:p w14:paraId="06245B34">
      <w:pPr>
        <w:pStyle w:val="15"/>
        <w:rPr>
          <w:rFonts w:hint="default" w:ascii="Times New Roman" w:hAnsi="Times New Roman" w:eastAsia="宋体" w:cs="Times New Roman"/>
          <w:color w:val="auto"/>
          <w:highlight w:val="none"/>
        </w:rPr>
      </w:pPr>
    </w:p>
    <w:p w14:paraId="580A3495">
      <w:pPr>
        <w:pStyle w:val="14"/>
        <w:ind w:left="0"/>
        <w:rPr>
          <w:rFonts w:hint="default" w:ascii="Times New Roman" w:hAnsi="Times New Roman" w:eastAsia="宋体" w:cs="Times New Roman"/>
          <w:color w:val="auto"/>
          <w:highlight w:val="none"/>
        </w:rPr>
      </w:pPr>
    </w:p>
    <w:p w14:paraId="50AE64B2">
      <w:pPr>
        <w:rPr>
          <w:rFonts w:hint="default" w:ascii="Times New Roman" w:hAnsi="Times New Roman" w:eastAsia="宋体" w:cs="Times New Roman"/>
          <w:color w:val="auto"/>
          <w:highlight w:val="none"/>
        </w:rPr>
      </w:pPr>
    </w:p>
    <w:p w14:paraId="4082BF82">
      <w:pPr>
        <w:spacing w:line="276" w:lineRule="auto"/>
        <w:ind w:firstLine="480" w:firstLineChars="200"/>
        <w:rPr>
          <w:rFonts w:hint="default" w:ascii="Times New Roman" w:hAnsi="Times New Roman" w:eastAsia="宋体" w:cs="Times New Roman"/>
          <w:color w:val="auto"/>
          <w:sz w:val="24"/>
          <w:highlight w:val="none"/>
        </w:rPr>
      </w:pPr>
    </w:p>
    <w:p w14:paraId="2FED2720">
      <w:pPr>
        <w:spacing w:line="300" w:lineRule="auto"/>
        <w:rPr>
          <w:rFonts w:hint="default" w:ascii="Times New Roman" w:hAnsi="Times New Roman" w:eastAsia="宋体" w:cs="Times New Roman"/>
          <w:color w:val="auto"/>
          <w:sz w:val="28"/>
          <w:szCs w:val="28"/>
          <w:highlight w:val="none"/>
        </w:rPr>
      </w:pPr>
    </w:p>
    <w:p w14:paraId="6653D3EA">
      <w:pPr>
        <w:pStyle w:val="5"/>
        <w:rPr>
          <w:rFonts w:hint="default"/>
          <w:color w:val="auto"/>
          <w:highlight w:val="none"/>
        </w:rPr>
      </w:pPr>
    </w:p>
    <w:p w14:paraId="7A1EEBB0">
      <w:pPr>
        <w:pStyle w:val="15"/>
        <w:rPr>
          <w:rFonts w:hint="default" w:ascii="Times New Roman" w:hAnsi="Times New Roman" w:eastAsia="宋体" w:cs="Times New Roman"/>
          <w:color w:val="auto"/>
          <w:highlight w:val="none"/>
        </w:rPr>
      </w:pPr>
    </w:p>
    <w:p w14:paraId="57D4BB80">
      <w:pPr>
        <w:pStyle w:val="15"/>
        <w:rPr>
          <w:rFonts w:hint="default" w:ascii="Times New Roman" w:hAnsi="Times New Roman" w:eastAsia="宋体" w:cs="Times New Roman"/>
          <w:color w:val="auto"/>
          <w:highlight w:val="none"/>
        </w:rPr>
      </w:pPr>
    </w:p>
    <w:p w14:paraId="09D00E4E">
      <w:pPr>
        <w:pStyle w:val="15"/>
        <w:rPr>
          <w:rFonts w:hint="default" w:ascii="Times New Roman" w:hAnsi="Times New Roman" w:eastAsia="宋体" w:cs="Times New Roman"/>
          <w:color w:val="auto"/>
          <w:highlight w:val="none"/>
        </w:rPr>
      </w:pPr>
    </w:p>
    <w:p w14:paraId="6B92D895">
      <w:pPr>
        <w:pStyle w:val="15"/>
        <w:rPr>
          <w:rFonts w:hint="default" w:ascii="Times New Roman" w:hAnsi="Times New Roman" w:eastAsia="宋体" w:cs="Times New Roman"/>
          <w:color w:val="auto"/>
          <w:highlight w:val="none"/>
        </w:rPr>
      </w:pPr>
    </w:p>
    <w:p w14:paraId="6DC3C45C">
      <w:pPr>
        <w:pStyle w:val="15"/>
        <w:rPr>
          <w:rFonts w:hint="default" w:ascii="Times New Roman" w:hAnsi="Times New Roman" w:eastAsia="宋体" w:cs="Times New Roman"/>
          <w:color w:val="auto"/>
          <w:highlight w:val="none"/>
        </w:rPr>
      </w:pPr>
    </w:p>
    <w:p w14:paraId="52DE565F">
      <w:pPr>
        <w:pStyle w:val="15"/>
        <w:rPr>
          <w:rFonts w:hint="default" w:ascii="Times New Roman" w:hAnsi="Times New Roman" w:eastAsia="宋体" w:cs="Times New Roman"/>
          <w:color w:val="auto"/>
          <w:highlight w:val="none"/>
        </w:rPr>
      </w:pPr>
    </w:p>
    <w:p w14:paraId="3244AA77">
      <w:pPr>
        <w:pStyle w:val="15"/>
        <w:rPr>
          <w:rFonts w:hint="default" w:ascii="Times New Roman" w:hAnsi="Times New Roman" w:eastAsia="宋体" w:cs="Times New Roman"/>
          <w:color w:val="auto"/>
          <w:highlight w:val="none"/>
        </w:rPr>
      </w:pPr>
    </w:p>
    <w:p w14:paraId="5C71132B">
      <w:pPr>
        <w:spacing w:line="500" w:lineRule="exact"/>
        <w:jc w:val="center"/>
        <w:rPr>
          <w:rFonts w:hint="default" w:ascii="Times New Roman" w:hAnsi="Times New Roman" w:eastAsia="宋体" w:cs="Times New Roman"/>
          <w:b/>
          <w:bCs/>
          <w:color w:val="auto"/>
          <w:sz w:val="36"/>
          <w:szCs w:val="36"/>
          <w:highlight w:val="none"/>
        </w:rPr>
      </w:pPr>
    </w:p>
    <w:p w14:paraId="66A7E275">
      <w:pPr>
        <w:spacing w:line="500" w:lineRule="exact"/>
        <w:jc w:val="center"/>
        <w:rPr>
          <w:rFonts w:hint="default" w:ascii="Times New Roman" w:hAnsi="Times New Roman" w:eastAsia="宋体" w:cs="Times New Roman"/>
          <w:b/>
          <w:bCs/>
          <w:color w:val="auto"/>
          <w:sz w:val="36"/>
          <w:szCs w:val="36"/>
          <w:highlight w:val="none"/>
        </w:rPr>
      </w:pPr>
    </w:p>
    <w:p w14:paraId="502E8FC6">
      <w:pPr>
        <w:adjustRightInd w:val="0"/>
        <w:snapToGrid w:val="0"/>
        <w:spacing w:line="300" w:lineRule="auto"/>
        <w:jc w:val="center"/>
        <w:rPr>
          <w:rFonts w:hint="default" w:ascii="Times New Roman" w:hAnsi="Times New Roman" w:eastAsia="宋体" w:cs="Times New Roman"/>
          <w:b/>
          <w:bCs w:val="0"/>
          <w:color w:val="auto"/>
          <w:sz w:val="36"/>
          <w:szCs w:val="36"/>
          <w:highlight w:val="none"/>
          <w:lang w:eastAsia="zh-CN"/>
        </w:rPr>
      </w:pPr>
    </w:p>
    <w:p w14:paraId="6B75FA22">
      <w:pPr>
        <w:adjustRightInd w:val="0"/>
        <w:snapToGrid w:val="0"/>
        <w:spacing w:line="300" w:lineRule="auto"/>
        <w:jc w:val="center"/>
        <w:rPr>
          <w:rFonts w:hint="default" w:ascii="Times New Roman" w:hAnsi="Times New Roman" w:eastAsia="宋体" w:cs="Times New Roman"/>
          <w:b/>
          <w:bCs w:val="0"/>
          <w:color w:val="auto"/>
          <w:sz w:val="36"/>
          <w:szCs w:val="36"/>
          <w:highlight w:val="none"/>
          <w:lang w:eastAsia="zh-CN"/>
        </w:rPr>
      </w:pPr>
      <w:r>
        <w:rPr>
          <w:rFonts w:hint="default" w:ascii="Times New Roman" w:hAnsi="Times New Roman" w:eastAsia="宋体" w:cs="Times New Roman"/>
          <w:b/>
          <w:bCs w:val="0"/>
          <w:color w:val="auto"/>
          <w:sz w:val="36"/>
          <w:szCs w:val="36"/>
          <w:highlight w:val="none"/>
          <w:lang w:eastAsia="zh-CN"/>
        </w:rPr>
        <w:t>服务</w:t>
      </w:r>
      <w:r>
        <w:rPr>
          <w:rFonts w:hint="default" w:ascii="Times New Roman" w:hAnsi="Times New Roman" w:eastAsia="宋体" w:cs="Times New Roman"/>
          <w:b/>
          <w:bCs w:val="0"/>
          <w:color w:val="auto"/>
          <w:sz w:val="36"/>
          <w:szCs w:val="36"/>
          <w:highlight w:val="none"/>
        </w:rPr>
        <w:t>响应偏离表</w:t>
      </w:r>
      <w:r>
        <w:rPr>
          <w:rFonts w:hint="default" w:ascii="Times New Roman" w:hAnsi="Times New Roman" w:eastAsia="宋体" w:cs="Times New Roman"/>
          <w:b/>
          <w:bCs w:val="0"/>
          <w:color w:val="auto"/>
          <w:sz w:val="36"/>
          <w:szCs w:val="36"/>
          <w:highlight w:val="none"/>
          <w:lang w:eastAsia="zh-CN"/>
        </w:rPr>
        <w:t>（格式）</w:t>
      </w:r>
    </w:p>
    <w:p w14:paraId="65056E6B">
      <w:pPr>
        <w:spacing w:line="520" w:lineRule="exact"/>
        <w:rPr>
          <w:rFonts w:hint="default" w:ascii="Times New Roman" w:hAnsi="Times New Roman" w:eastAsia="宋体" w:cs="Times New Roman"/>
          <w:color w:val="auto"/>
          <w:sz w:val="28"/>
          <w:szCs w:val="28"/>
          <w:highlight w:val="none"/>
        </w:rPr>
      </w:pPr>
    </w:p>
    <w:p w14:paraId="4D51C056">
      <w:pPr>
        <w:spacing w:line="520" w:lineRule="exac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采购项目编号：</w:t>
      </w:r>
      <w:r>
        <w:rPr>
          <w:rFonts w:hint="default" w:ascii="Times New Roman" w:hAnsi="Times New Roman" w:eastAsia="宋体" w:cs="Times New Roman"/>
          <w:color w:val="auto"/>
          <w:sz w:val="24"/>
          <w:szCs w:val="24"/>
          <w:highlight w:val="none"/>
          <w:u w:val="single"/>
        </w:rPr>
        <w:t xml:space="preserve">                 </w:t>
      </w:r>
    </w:p>
    <w:p w14:paraId="67FF99F6">
      <w:pPr>
        <w:spacing w:line="520" w:lineRule="exac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采购项目名称：</w:t>
      </w:r>
      <w:r>
        <w:rPr>
          <w:rFonts w:hint="default" w:ascii="Times New Roman" w:hAnsi="Times New Roman" w:eastAsia="宋体" w:cs="Times New Roman"/>
          <w:color w:val="auto"/>
          <w:sz w:val="24"/>
          <w:szCs w:val="24"/>
          <w:highlight w:val="none"/>
          <w:u w:val="single"/>
        </w:rPr>
        <w:t xml:space="preserve">                 </w:t>
      </w:r>
    </w:p>
    <w:p w14:paraId="14B49906">
      <w:pPr>
        <w:pStyle w:val="5"/>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分标号：</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 xml:space="preserve">         </w:t>
      </w:r>
    </w:p>
    <w:tbl>
      <w:tblPr>
        <w:tblStyle w:val="24"/>
        <w:tblpPr w:leftFromText="180" w:rightFromText="180" w:vertAnchor="text" w:horzAnchor="page" w:tblpX="1588"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367"/>
        <w:gridCol w:w="3260"/>
        <w:gridCol w:w="1843"/>
      </w:tblGrid>
      <w:tr w14:paraId="111C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2" w:type="dxa"/>
            <w:noWrap w:val="0"/>
            <w:vAlign w:val="center"/>
          </w:tcPr>
          <w:p w14:paraId="6B300AF3">
            <w:pPr>
              <w:pStyle w:val="13"/>
              <w:spacing w:line="400" w:lineRule="exac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项号</w:t>
            </w:r>
          </w:p>
        </w:tc>
        <w:tc>
          <w:tcPr>
            <w:tcW w:w="3367" w:type="dxa"/>
            <w:noWrap w:val="0"/>
            <w:vAlign w:val="center"/>
          </w:tcPr>
          <w:p w14:paraId="1B98E2D3">
            <w:pPr>
              <w:pStyle w:val="13"/>
              <w:spacing w:line="400" w:lineRule="exact"/>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eastAsia="zh-CN"/>
              </w:rPr>
              <w:t>竞争性磋商文件</w:t>
            </w:r>
            <w:r>
              <w:rPr>
                <w:rFonts w:hint="default" w:ascii="Times New Roman" w:hAnsi="Times New Roman" w:eastAsia="宋体" w:cs="Times New Roman"/>
                <w:color w:val="auto"/>
                <w:kern w:val="2"/>
                <w:sz w:val="24"/>
                <w:szCs w:val="24"/>
                <w:highlight w:val="none"/>
              </w:rPr>
              <w:t>服务要求</w:t>
            </w:r>
          </w:p>
        </w:tc>
        <w:tc>
          <w:tcPr>
            <w:tcW w:w="3260" w:type="dxa"/>
            <w:noWrap w:val="0"/>
            <w:vAlign w:val="center"/>
          </w:tcPr>
          <w:p w14:paraId="0456974C">
            <w:pPr>
              <w:pStyle w:val="13"/>
              <w:spacing w:line="400" w:lineRule="exact"/>
              <w:jc w:val="center"/>
              <w:rPr>
                <w:rFonts w:hint="default" w:ascii="Times New Roman" w:hAnsi="Times New Roman" w:eastAsia="宋体" w:cs="Times New Roman"/>
                <w:color w:val="auto"/>
                <w:kern w:val="2"/>
                <w:sz w:val="24"/>
                <w:szCs w:val="24"/>
                <w:highlight w:val="none"/>
              </w:rPr>
            </w:pPr>
            <w:r>
              <w:rPr>
                <w:rFonts w:hint="eastAsia" w:ascii="Times New Roman" w:hAnsi="Times New Roman" w:cs="Times New Roman"/>
                <w:color w:val="auto"/>
                <w:kern w:val="2"/>
                <w:sz w:val="24"/>
                <w:szCs w:val="24"/>
                <w:highlight w:val="none"/>
                <w:lang w:eastAsia="zh-CN"/>
              </w:rPr>
              <w:t>磋商响应</w:t>
            </w:r>
            <w:r>
              <w:rPr>
                <w:rFonts w:hint="default" w:ascii="Times New Roman" w:hAnsi="Times New Roman" w:eastAsia="宋体" w:cs="Times New Roman"/>
                <w:color w:val="auto"/>
                <w:kern w:val="2"/>
                <w:sz w:val="24"/>
                <w:szCs w:val="24"/>
                <w:highlight w:val="none"/>
              </w:rPr>
              <w:t>文件响应情况</w:t>
            </w:r>
          </w:p>
        </w:tc>
        <w:tc>
          <w:tcPr>
            <w:tcW w:w="1843" w:type="dxa"/>
            <w:noWrap w:val="0"/>
            <w:vAlign w:val="center"/>
          </w:tcPr>
          <w:p w14:paraId="4DD73153">
            <w:pPr>
              <w:pStyle w:val="13"/>
              <w:spacing w:line="400" w:lineRule="exact"/>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偏离说明</w:t>
            </w:r>
          </w:p>
        </w:tc>
      </w:tr>
      <w:tr w14:paraId="3B6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06C686C">
            <w:pPr>
              <w:pStyle w:val="13"/>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w:t>
            </w:r>
          </w:p>
        </w:tc>
        <w:tc>
          <w:tcPr>
            <w:tcW w:w="3367" w:type="dxa"/>
            <w:noWrap w:val="0"/>
            <w:vAlign w:val="center"/>
          </w:tcPr>
          <w:p w14:paraId="2F43FA79">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3260" w:type="dxa"/>
            <w:noWrap w:val="0"/>
            <w:vAlign w:val="center"/>
          </w:tcPr>
          <w:p w14:paraId="5C6F5C8E">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1843" w:type="dxa"/>
            <w:noWrap w:val="0"/>
            <w:vAlign w:val="center"/>
          </w:tcPr>
          <w:p w14:paraId="53A32A38">
            <w:pPr>
              <w:pStyle w:val="13"/>
              <w:spacing w:line="600" w:lineRule="exact"/>
              <w:jc w:val="center"/>
              <w:rPr>
                <w:rFonts w:hint="default" w:ascii="Times New Roman" w:hAnsi="Times New Roman" w:eastAsia="宋体" w:cs="Times New Roman"/>
                <w:color w:val="auto"/>
                <w:kern w:val="2"/>
                <w:sz w:val="24"/>
                <w:szCs w:val="24"/>
                <w:highlight w:val="none"/>
              </w:rPr>
            </w:pPr>
          </w:p>
        </w:tc>
      </w:tr>
      <w:tr w14:paraId="74FA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C0D968A">
            <w:pPr>
              <w:pStyle w:val="13"/>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w:t>
            </w:r>
          </w:p>
        </w:tc>
        <w:tc>
          <w:tcPr>
            <w:tcW w:w="3367" w:type="dxa"/>
            <w:noWrap w:val="0"/>
            <w:vAlign w:val="center"/>
          </w:tcPr>
          <w:p w14:paraId="31AA23D3">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3260" w:type="dxa"/>
            <w:noWrap w:val="0"/>
            <w:vAlign w:val="center"/>
          </w:tcPr>
          <w:p w14:paraId="74CBE21A">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1843" w:type="dxa"/>
            <w:noWrap w:val="0"/>
            <w:vAlign w:val="center"/>
          </w:tcPr>
          <w:p w14:paraId="44479591">
            <w:pPr>
              <w:pStyle w:val="13"/>
              <w:spacing w:line="600" w:lineRule="exact"/>
              <w:jc w:val="center"/>
              <w:rPr>
                <w:rFonts w:hint="default" w:ascii="Times New Roman" w:hAnsi="Times New Roman" w:eastAsia="宋体" w:cs="Times New Roman"/>
                <w:color w:val="auto"/>
                <w:kern w:val="2"/>
                <w:sz w:val="24"/>
                <w:szCs w:val="24"/>
                <w:highlight w:val="none"/>
              </w:rPr>
            </w:pPr>
          </w:p>
        </w:tc>
      </w:tr>
      <w:tr w14:paraId="21C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B6C173B">
            <w:pPr>
              <w:pStyle w:val="13"/>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3</w:t>
            </w:r>
          </w:p>
        </w:tc>
        <w:tc>
          <w:tcPr>
            <w:tcW w:w="3367" w:type="dxa"/>
            <w:noWrap w:val="0"/>
            <w:vAlign w:val="center"/>
          </w:tcPr>
          <w:p w14:paraId="197C485B">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3260" w:type="dxa"/>
            <w:noWrap w:val="0"/>
            <w:vAlign w:val="center"/>
          </w:tcPr>
          <w:p w14:paraId="74555544">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1843" w:type="dxa"/>
            <w:noWrap w:val="0"/>
            <w:vAlign w:val="center"/>
          </w:tcPr>
          <w:p w14:paraId="17853274">
            <w:pPr>
              <w:pStyle w:val="13"/>
              <w:spacing w:line="600" w:lineRule="exact"/>
              <w:jc w:val="center"/>
              <w:rPr>
                <w:rFonts w:hint="default" w:ascii="Times New Roman" w:hAnsi="Times New Roman" w:eastAsia="宋体" w:cs="Times New Roman"/>
                <w:color w:val="auto"/>
                <w:kern w:val="2"/>
                <w:sz w:val="24"/>
                <w:szCs w:val="24"/>
                <w:highlight w:val="none"/>
              </w:rPr>
            </w:pPr>
          </w:p>
        </w:tc>
      </w:tr>
      <w:tr w14:paraId="2DEA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06605428">
            <w:pPr>
              <w:pStyle w:val="13"/>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N</w:t>
            </w:r>
          </w:p>
        </w:tc>
        <w:tc>
          <w:tcPr>
            <w:tcW w:w="3367" w:type="dxa"/>
            <w:noWrap w:val="0"/>
            <w:vAlign w:val="center"/>
          </w:tcPr>
          <w:p w14:paraId="19784CC6">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3260" w:type="dxa"/>
            <w:noWrap w:val="0"/>
            <w:vAlign w:val="center"/>
          </w:tcPr>
          <w:p w14:paraId="5F557328">
            <w:pPr>
              <w:pStyle w:val="13"/>
              <w:spacing w:line="600" w:lineRule="exact"/>
              <w:jc w:val="center"/>
              <w:rPr>
                <w:rFonts w:hint="default" w:ascii="Times New Roman" w:hAnsi="Times New Roman" w:eastAsia="宋体" w:cs="Times New Roman"/>
                <w:color w:val="auto"/>
                <w:kern w:val="2"/>
                <w:sz w:val="24"/>
                <w:szCs w:val="24"/>
                <w:highlight w:val="none"/>
              </w:rPr>
            </w:pPr>
          </w:p>
        </w:tc>
        <w:tc>
          <w:tcPr>
            <w:tcW w:w="1843" w:type="dxa"/>
            <w:noWrap w:val="0"/>
            <w:vAlign w:val="center"/>
          </w:tcPr>
          <w:p w14:paraId="387C9FA4">
            <w:pPr>
              <w:pStyle w:val="13"/>
              <w:spacing w:line="600" w:lineRule="exact"/>
              <w:jc w:val="center"/>
              <w:rPr>
                <w:rFonts w:hint="default" w:ascii="Times New Roman" w:hAnsi="Times New Roman" w:eastAsia="宋体" w:cs="Times New Roman"/>
                <w:color w:val="auto"/>
                <w:kern w:val="2"/>
                <w:sz w:val="24"/>
                <w:szCs w:val="24"/>
                <w:highlight w:val="none"/>
              </w:rPr>
            </w:pPr>
          </w:p>
        </w:tc>
      </w:tr>
    </w:tbl>
    <w:p w14:paraId="57D042DE">
      <w:pPr>
        <w:adjustRightInd w:val="0"/>
        <w:snapToGrid w:val="0"/>
        <w:spacing w:line="520" w:lineRule="exact"/>
        <w:rPr>
          <w:rFonts w:hint="default" w:ascii="Times New Roman" w:hAnsi="Times New Roman" w:eastAsia="宋体" w:cs="Times New Roman"/>
          <w:color w:val="auto"/>
          <w:sz w:val="24"/>
          <w:szCs w:val="24"/>
          <w:highlight w:val="none"/>
        </w:rPr>
      </w:pPr>
    </w:p>
    <w:p w14:paraId="2B9DCBC8">
      <w:pPr>
        <w:pStyle w:val="13"/>
        <w:spacing w:line="520" w:lineRule="exact"/>
        <w:rPr>
          <w:rFonts w:hint="default" w:ascii="Times New Roman" w:hAnsi="Times New Roman" w:eastAsia="宋体" w:cs="Times New Roman"/>
          <w:color w:val="auto"/>
          <w:sz w:val="24"/>
          <w:szCs w:val="24"/>
          <w:highlight w:val="none"/>
        </w:rPr>
      </w:pPr>
    </w:p>
    <w:p w14:paraId="5642E7BA">
      <w:pPr>
        <w:snapToGrid w:val="0"/>
        <w:spacing w:before="50" w:after="50" w:line="520" w:lineRule="exact"/>
        <w:ind w:right="-817" w:rightChars="-389"/>
        <w:rPr>
          <w:rFonts w:hint="default" w:ascii="Times New Roman" w:hAnsi="Times New Roman" w:eastAsia="宋体" w:cs="Times New Roman"/>
          <w:color w:val="auto"/>
          <w:sz w:val="24"/>
          <w:szCs w:val="24"/>
          <w:highlight w:val="none"/>
        </w:rPr>
      </w:pPr>
    </w:p>
    <w:p w14:paraId="0680A6D4">
      <w:pPr>
        <w:snapToGrid w:val="0"/>
        <w:spacing w:line="480" w:lineRule="auto"/>
        <w:ind w:firstLine="2160" w:firstLineChars="900"/>
        <w:outlineLvl w:val="4"/>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eastAsia="zh-CN"/>
        </w:rPr>
        <w:t>供应商名称（</w:t>
      </w:r>
      <w:r>
        <w:rPr>
          <w:rFonts w:hint="eastAsia" w:ascii="Times New Roman" w:hAnsi="Times New Roman" w:eastAsia="宋体" w:cs="Times New Roman"/>
          <w:color w:val="auto"/>
          <w:sz w:val="24"/>
          <w:highlight w:val="none"/>
          <w:u w:val="none"/>
          <w:lang w:val="en-US" w:eastAsia="zh-CN"/>
        </w:rPr>
        <w:t>电子签</w:t>
      </w:r>
      <w:r>
        <w:rPr>
          <w:rFonts w:hint="default" w:ascii="Times New Roman" w:hAnsi="Times New Roman" w:eastAsia="宋体" w:cs="Times New Roman"/>
          <w:color w:val="auto"/>
          <w:sz w:val="24"/>
          <w:highlight w:val="none"/>
        </w:rPr>
        <w:t>章</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p>
    <w:p w14:paraId="64595AF5">
      <w:pPr>
        <w:spacing w:line="480" w:lineRule="auto"/>
        <w:ind w:firstLine="2160" w:firstLineChars="90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法定代表人或委托代理人</w:t>
      </w:r>
      <w:r>
        <w:rPr>
          <w:rFonts w:hint="eastAsia" w:ascii="Times New Roman" w:hAnsi="Times New Roman" w:eastAsia="宋体" w:cs="Times New Roman"/>
          <w:color w:val="auto"/>
          <w:sz w:val="24"/>
          <w:szCs w:val="24"/>
          <w:highlight w:val="none"/>
          <w:lang w:eastAsia="zh-CN"/>
        </w:rPr>
        <w:t>（签字或者电子签名）</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u w:val="single"/>
          <w:lang w:val="en-US" w:eastAsia="zh-CN"/>
        </w:rPr>
        <w:t xml:space="preserve">          </w:t>
      </w:r>
    </w:p>
    <w:p w14:paraId="6669FEDC">
      <w:pPr>
        <w:pStyle w:val="13"/>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0F95C0B9">
      <w:pPr>
        <w:spacing w:line="360" w:lineRule="auto"/>
        <w:jc w:val="left"/>
        <w:rPr>
          <w:rFonts w:hint="default" w:ascii="Times New Roman" w:hAnsi="Times New Roman" w:eastAsia="宋体" w:cs="Times New Roman"/>
          <w:b/>
          <w:bCs/>
          <w:color w:val="auto"/>
          <w:sz w:val="24"/>
          <w:highlight w:val="none"/>
          <w:lang w:eastAsia="zh-CN"/>
        </w:rPr>
      </w:pPr>
    </w:p>
    <w:p w14:paraId="5A5A94A4">
      <w:pPr>
        <w:pStyle w:val="13"/>
        <w:spacing w:line="5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5552A7E1">
      <w:pPr>
        <w:rPr>
          <w:rFonts w:hint="default" w:ascii="Times New Roman" w:hAnsi="Times New Roman" w:eastAsia="宋体" w:cs="Times New Roman"/>
          <w:color w:val="auto"/>
          <w:szCs w:val="21"/>
          <w:highlight w:val="none"/>
        </w:rPr>
      </w:pPr>
    </w:p>
    <w:p w14:paraId="6ADAF144">
      <w:pPr>
        <w:pStyle w:val="7"/>
        <w:rPr>
          <w:rFonts w:hint="default" w:ascii="Times New Roman" w:hAnsi="Times New Roman" w:eastAsia="宋体" w:cs="Times New Roman"/>
          <w:color w:val="auto"/>
          <w:szCs w:val="21"/>
          <w:highlight w:val="none"/>
        </w:rPr>
      </w:pPr>
    </w:p>
    <w:p w14:paraId="7DD053A5">
      <w:pPr>
        <w:rPr>
          <w:rFonts w:hint="default" w:ascii="Times New Roman" w:hAnsi="Times New Roman" w:eastAsia="宋体" w:cs="Times New Roman"/>
          <w:color w:val="auto"/>
          <w:highlight w:val="none"/>
        </w:rPr>
      </w:pPr>
    </w:p>
    <w:p w14:paraId="636CC430">
      <w:pPr>
        <w:rPr>
          <w:rFonts w:hint="default" w:ascii="Times New Roman" w:hAnsi="Times New Roman" w:eastAsia="宋体" w:cs="Times New Roman"/>
          <w:color w:val="auto"/>
          <w:highlight w:val="none"/>
        </w:rPr>
      </w:pPr>
    </w:p>
    <w:p w14:paraId="102D590A">
      <w:pPr>
        <w:pStyle w:val="7"/>
        <w:rPr>
          <w:rFonts w:hint="default" w:ascii="Times New Roman" w:hAnsi="Times New Roman" w:eastAsia="宋体" w:cs="Times New Roman"/>
          <w:color w:val="auto"/>
          <w:highlight w:val="none"/>
        </w:rPr>
      </w:pPr>
    </w:p>
    <w:p w14:paraId="0B2B48A0">
      <w:pPr>
        <w:rPr>
          <w:rFonts w:hint="default" w:ascii="Times New Roman" w:hAnsi="Times New Roman" w:eastAsia="宋体" w:cs="Times New Roman"/>
          <w:color w:val="auto"/>
          <w:highlight w:val="none"/>
        </w:rPr>
      </w:pPr>
    </w:p>
    <w:p w14:paraId="59344477">
      <w:pPr>
        <w:rPr>
          <w:rFonts w:hint="default" w:ascii="Times New Roman" w:hAnsi="Times New Roman" w:eastAsia="宋体" w:cs="Times New Roman"/>
          <w:b/>
          <w:color w:val="auto"/>
          <w:sz w:val="32"/>
          <w:highlight w:val="none"/>
        </w:rPr>
      </w:pPr>
    </w:p>
    <w:p w14:paraId="31FF6D27">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color w:val="auto"/>
          <w:highlight w:val="none"/>
        </w:rPr>
      </w:pPr>
      <w:bookmarkStart w:id="44" w:name="_Toc15653"/>
      <w:bookmarkStart w:id="45" w:name="_Toc12216"/>
      <w:r>
        <w:rPr>
          <w:rFonts w:hint="default" w:ascii="Times New Roman" w:hAnsi="Times New Roman" w:eastAsia="宋体" w:cs="Times New Roman"/>
          <w:color w:val="auto"/>
          <w:highlight w:val="none"/>
        </w:rPr>
        <w:t>第</w:t>
      </w:r>
      <w:r>
        <w:rPr>
          <w:rFonts w:hint="default" w:ascii="Times New Roman" w:hAnsi="Times New Roman" w:cs="Times New Roman"/>
          <w:color w:val="auto"/>
          <w:highlight w:val="none"/>
          <w:lang w:eastAsia="zh-CN"/>
        </w:rPr>
        <w:t>五</w:t>
      </w:r>
      <w:r>
        <w:rPr>
          <w:rFonts w:hint="default" w:ascii="Times New Roman" w:hAnsi="Times New Roman" w:eastAsia="宋体" w:cs="Times New Roman"/>
          <w:color w:val="auto"/>
          <w:highlight w:val="none"/>
        </w:rPr>
        <w:t>章  合同主要条款（格式）</w:t>
      </w:r>
      <w:bookmarkEnd w:id="44"/>
      <w:bookmarkEnd w:id="45"/>
    </w:p>
    <w:p w14:paraId="18CCD9A7">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
          <w:color w:val="auto"/>
          <w:sz w:val="24"/>
          <w:highlight w:val="none"/>
        </w:rPr>
        <w:t>注：本合同格式仅为合同的参考文本，合同签订双方可根据项目的具体要求进行修订。</w:t>
      </w:r>
      <w:r>
        <w:rPr>
          <w:rFonts w:hint="default" w:ascii="Times New Roman" w:hAnsi="Times New Roman" w:eastAsia="宋体" w:cs="Times New Roman"/>
          <w:color w:val="auto"/>
          <w:sz w:val="24"/>
          <w:highlight w:val="none"/>
        </w:rPr>
        <w:t>）</w:t>
      </w:r>
    </w:p>
    <w:p w14:paraId="46682FFE">
      <w:pPr>
        <w:snapToGrid w:val="0"/>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194E6389">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24"/>
        <w:tblW w:w="0" w:type="auto"/>
        <w:tblInd w:w="0" w:type="dxa"/>
        <w:tblLayout w:type="autofit"/>
        <w:tblCellMar>
          <w:top w:w="0" w:type="dxa"/>
          <w:left w:w="108" w:type="dxa"/>
          <w:bottom w:w="0" w:type="dxa"/>
          <w:right w:w="108" w:type="dxa"/>
        </w:tblCellMar>
      </w:tblPr>
      <w:tblGrid>
        <w:gridCol w:w="2336"/>
        <w:gridCol w:w="2336"/>
        <w:gridCol w:w="2336"/>
        <w:gridCol w:w="2337"/>
      </w:tblGrid>
      <w:tr w14:paraId="4391D9AD">
        <w:tc>
          <w:tcPr>
            <w:tcW w:w="2336" w:type="dxa"/>
            <w:noWrap w:val="0"/>
            <w:vAlign w:val="top"/>
          </w:tcPr>
          <w:p w14:paraId="3C5E3E22">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510C64E4">
            <w:pPr>
              <w:snapToGrid w:val="0"/>
              <w:spacing w:line="360" w:lineRule="exact"/>
              <w:ind w:right="480"/>
              <w:jc w:val="left"/>
              <w:rPr>
                <w:bCs/>
                <w:color w:val="auto"/>
                <w:szCs w:val="21"/>
                <w:highlight w:val="none"/>
              </w:rPr>
            </w:pPr>
          </w:p>
        </w:tc>
        <w:tc>
          <w:tcPr>
            <w:tcW w:w="2336" w:type="dxa"/>
            <w:noWrap w:val="0"/>
            <w:vAlign w:val="top"/>
          </w:tcPr>
          <w:p w14:paraId="008C6DA6">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5387AF43">
            <w:pPr>
              <w:snapToGrid w:val="0"/>
              <w:spacing w:line="360" w:lineRule="exact"/>
              <w:ind w:right="480"/>
              <w:jc w:val="left"/>
              <w:rPr>
                <w:bCs/>
                <w:color w:val="auto"/>
                <w:szCs w:val="21"/>
                <w:highlight w:val="none"/>
              </w:rPr>
            </w:pPr>
          </w:p>
        </w:tc>
      </w:tr>
      <w:tr w14:paraId="2F69D5B5">
        <w:tblPrEx>
          <w:tblCellMar>
            <w:top w:w="0" w:type="dxa"/>
            <w:left w:w="108" w:type="dxa"/>
            <w:bottom w:w="0" w:type="dxa"/>
            <w:right w:w="108" w:type="dxa"/>
          </w:tblCellMar>
        </w:tblPrEx>
        <w:tc>
          <w:tcPr>
            <w:tcW w:w="2336" w:type="dxa"/>
            <w:noWrap w:val="0"/>
            <w:vAlign w:val="top"/>
          </w:tcPr>
          <w:p w14:paraId="26E5D313">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310F957D">
            <w:pPr>
              <w:snapToGrid w:val="0"/>
              <w:spacing w:line="360" w:lineRule="exact"/>
              <w:ind w:right="480"/>
              <w:jc w:val="left"/>
              <w:rPr>
                <w:bCs/>
                <w:color w:val="auto"/>
                <w:szCs w:val="21"/>
                <w:highlight w:val="none"/>
              </w:rPr>
            </w:pPr>
          </w:p>
        </w:tc>
        <w:tc>
          <w:tcPr>
            <w:tcW w:w="2336" w:type="dxa"/>
            <w:noWrap w:val="0"/>
            <w:vAlign w:val="top"/>
          </w:tcPr>
          <w:p w14:paraId="6FD209F8">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2818F7CD">
            <w:pPr>
              <w:snapToGrid w:val="0"/>
              <w:spacing w:line="360" w:lineRule="exact"/>
              <w:ind w:right="480"/>
              <w:jc w:val="left"/>
              <w:rPr>
                <w:bCs/>
                <w:color w:val="auto"/>
                <w:szCs w:val="21"/>
                <w:highlight w:val="none"/>
              </w:rPr>
            </w:pPr>
          </w:p>
        </w:tc>
      </w:tr>
      <w:tr w14:paraId="22BEE05B">
        <w:tblPrEx>
          <w:tblCellMar>
            <w:top w:w="0" w:type="dxa"/>
            <w:left w:w="108" w:type="dxa"/>
            <w:bottom w:w="0" w:type="dxa"/>
            <w:right w:w="108" w:type="dxa"/>
          </w:tblCellMar>
        </w:tblPrEx>
        <w:tc>
          <w:tcPr>
            <w:tcW w:w="2336" w:type="dxa"/>
            <w:noWrap w:val="0"/>
            <w:vAlign w:val="top"/>
          </w:tcPr>
          <w:p w14:paraId="6C1187DD">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51F6461E">
            <w:pPr>
              <w:snapToGrid w:val="0"/>
              <w:spacing w:line="360" w:lineRule="exact"/>
              <w:ind w:right="480"/>
              <w:jc w:val="left"/>
              <w:rPr>
                <w:bCs/>
                <w:color w:val="auto"/>
                <w:szCs w:val="21"/>
                <w:highlight w:val="none"/>
              </w:rPr>
            </w:pPr>
          </w:p>
        </w:tc>
        <w:tc>
          <w:tcPr>
            <w:tcW w:w="2336" w:type="dxa"/>
            <w:noWrap w:val="0"/>
            <w:vAlign w:val="top"/>
          </w:tcPr>
          <w:p w14:paraId="1A9F4125">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26DDDD25">
            <w:pPr>
              <w:snapToGrid w:val="0"/>
              <w:spacing w:line="360" w:lineRule="exact"/>
              <w:ind w:right="480"/>
              <w:jc w:val="left"/>
              <w:rPr>
                <w:bCs/>
                <w:color w:val="auto"/>
                <w:szCs w:val="21"/>
                <w:highlight w:val="none"/>
              </w:rPr>
            </w:pPr>
          </w:p>
        </w:tc>
      </w:tr>
      <w:tr w14:paraId="0DE59CD1">
        <w:tblPrEx>
          <w:tblCellMar>
            <w:top w:w="0" w:type="dxa"/>
            <w:left w:w="108" w:type="dxa"/>
            <w:bottom w:w="0" w:type="dxa"/>
            <w:right w:w="108" w:type="dxa"/>
          </w:tblCellMar>
        </w:tblPrEx>
        <w:tc>
          <w:tcPr>
            <w:tcW w:w="2336" w:type="dxa"/>
            <w:noWrap w:val="0"/>
            <w:vAlign w:val="top"/>
          </w:tcPr>
          <w:p w14:paraId="2B123654">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7BA4BE1D">
            <w:pPr>
              <w:snapToGrid w:val="0"/>
              <w:spacing w:line="360" w:lineRule="exact"/>
              <w:ind w:right="480"/>
              <w:jc w:val="left"/>
              <w:rPr>
                <w:bCs/>
                <w:color w:val="auto"/>
                <w:szCs w:val="21"/>
                <w:highlight w:val="none"/>
              </w:rPr>
            </w:pPr>
          </w:p>
        </w:tc>
        <w:tc>
          <w:tcPr>
            <w:tcW w:w="2336" w:type="dxa"/>
            <w:noWrap w:val="0"/>
            <w:vAlign w:val="top"/>
          </w:tcPr>
          <w:p w14:paraId="5A69FF1F">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5C282D97">
            <w:pPr>
              <w:snapToGrid w:val="0"/>
              <w:spacing w:line="360" w:lineRule="exact"/>
              <w:ind w:right="480"/>
              <w:jc w:val="left"/>
              <w:rPr>
                <w:bCs/>
                <w:color w:val="auto"/>
                <w:szCs w:val="21"/>
                <w:highlight w:val="none"/>
              </w:rPr>
            </w:pPr>
          </w:p>
        </w:tc>
      </w:tr>
    </w:tbl>
    <w:p w14:paraId="491C0C45">
      <w:pPr>
        <w:snapToGrid w:val="0"/>
        <w:spacing w:line="360" w:lineRule="exact"/>
        <w:ind w:right="480" w:firstLine="5985" w:firstLineChars="2850"/>
        <w:rPr>
          <w:bCs/>
          <w:color w:val="auto"/>
          <w:szCs w:val="21"/>
          <w:highlight w:val="none"/>
        </w:rPr>
      </w:pPr>
    </w:p>
    <w:p w14:paraId="438CF699">
      <w:pPr>
        <w:pStyle w:val="13"/>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14FF7763">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310982CF">
      <w:pPr>
        <w:snapToGrid w:val="0"/>
        <w:spacing w:line="360" w:lineRule="exact"/>
        <w:ind w:firstLine="420" w:firstLineChars="200"/>
        <w:rPr>
          <w:rFonts w:hint="eastAsia" w:eastAsia="宋体"/>
          <w:color w:val="auto"/>
          <w:szCs w:val="21"/>
          <w:highlight w:val="none"/>
          <w:lang w:eastAsia="zh-CN"/>
        </w:rPr>
      </w:pPr>
      <w:r>
        <w:rPr>
          <w:color w:val="auto"/>
          <w:szCs w:val="21"/>
          <w:highlight w:val="none"/>
        </w:rPr>
        <w:t>1.项目名称：</w:t>
      </w:r>
      <w:r>
        <w:rPr>
          <w:rFonts w:hint="eastAsia"/>
          <w:color w:val="auto"/>
          <w:szCs w:val="21"/>
          <w:highlight w:val="none"/>
          <w:lang w:eastAsia="zh-CN"/>
        </w:rPr>
        <w:t>2025年桂平市特殊困难老年人家庭适老化改造</w:t>
      </w:r>
    </w:p>
    <w:p w14:paraId="4C68F203">
      <w:pPr>
        <w:snapToGrid w:val="0"/>
        <w:spacing w:line="360" w:lineRule="exact"/>
        <w:ind w:firstLine="420" w:firstLineChars="200"/>
        <w:rPr>
          <w:color w:val="auto"/>
          <w:szCs w:val="21"/>
          <w:highlight w:val="none"/>
        </w:rPr>
      </w:pPr>
      <w:r>
        <w:rPr>
          <w:color w:val="auto"/>
          <w:szCs w:val="21"/>
          <w:highlight w:val="none"/>
        </w:rPr>
        <w:t>2.服务内容及范围：</w:t>
      </w:r>
      <w:r>
        <w:rPr>
          <w:color w:val="auto"/>
          <w:szCs w:val="21"/>
          <w:highlight w:val="none"/>
          <w:u w:val="single"/>
        </w:rPr>
        <w:t xml:space="preserve">                                                    ；</w:t>
      </w:r>
      <w:r>
        <w:rPr>
          <w:color w:val="auto"/>
          <w:szCs w:val="21"/>
          <w:highlight w:val="none"/>
        </w:rPr>
        <w:t xml:space="preserve">  </w:t>
      </w:r>
    </w:p>
    <w:p w14:paraId="2322667A">
      <w:pPr>
        <w:snapToGrid w:val="0"/>
        <w:spacing w:line="360" w:lineRule="exact"/>
        <w:ind w:firstLine="420" w:firstLineChars="200"/>
        <w:rPr>
          <w:color w:val="auto"/>
          <w:szCs w:val="21"/>
          <w:highlight w:val="none"/>
        </w:rPr>
      </w:pPr>
      <w:r>
        <w:rPr>
          <w:color w:val="auto"/>
          <w:szCs w:val="21"/>
          <w:highlight w:val="none"/>
        </w:rPr>
        <w:t>3.服务期：</w:t>
      </w:r>
      <w:r>
        <w:rPr>
          <w:color w:val="auto"/>
          <w:szCs w:val="21"/>
          <w:highlight w:val="none"/>
          <w:u w:val="single"/>
        </w:rPr>
        <w:t xml:space="preserve">                                                           </w:t>
      </w:r>
      <w:r>
        <w:rPr>
          <w:color w:val="auto"/>
          <w:szCs w:val="21"/>
          <w:highlight w:val="none"/>
        </w:rPr>
        <w:t>；</w:t>
      </w:r>
    </w:p>
    <w:p w14:paraId="44C46517">
      <w:pPr>
        <w:snapToGrid w:val="0"/>
        <w:spacing w:line="360" w:lineRule="exact"/>
        <w:ind w:firstLine="420" w:firstLineChars="200"/>
        <w:rPr>
          <w:color w:val="auto"/>
          <w:szCs w:val="21"/>
          <w:highlight w:val="none"/>
        </w:rPr>
      </w:pPr>
      <w:r>
        <w:rPr>
          <w:color w:val="auto"/>
          <w:szCs w:val="21"/>
          <w:highlight w:val="none"/>
        </w:rPr>
        <w:t>4.交付时间及地点：</w:t>
      </w:r>
      <w:r>
        <w:rPr>
          <w:color w:val="auto"/>
          <w:szCs w:val="21"/>
          <w:highlight w:val="none"/>
          <w:u w:val="single"/>
        </w:rPr>
        <w:t xml:space="preserve">                                                    </w:t>
      </w:r>
      <w:r>
        <w:rPr>
          <w:color w:val="auto"/>
          <w:szCs w:val="21"/>
          <w:highlight w:val="none"/>
        </w:rPr>
        <w:t xml:space="preserve">； </w:t>
      </w:r>
    </w:p>
    <w:p w14:paraId="36B20D62">
      <w:pPr>
        <w:snapToGrid w:val="0"/>
        <w:spacing w:line="360" w:lineRule="exact"/>
        <w:ind w:firstLine="420" w:firstLineChars="200"/>
        <w:rPr>
          <w:color w:val="auto"/>
          <w:szCs w:val="21"/>
          <w:highlight w:val="none"/>
        </w:rPr>
      </w:pPr>
      <w:r>
        <w:rPr>
          <w:color w:val="auto"/>
          <w:szCs w:val="21"/>
          <w:highlight w:val="none"/>
        </w:rPr>
        <w:t>5.报价要求：</w:t>
      </w:r>
      <w:r>
        <w:rPr>
          <w:rFonts w:hint="eastAsia"/>
          <w:color w:val="auto"/>
          <w:szCs w:val="21"/>
          <w:highlight w:val="none"/>
        </w:rPr>
        <w:t>包括</w:t>
      </w:r>
      <w:r>
        <w:rPr>
          <w:rFonts w:hint="eastAsia"/>
          <w:color w:val="auto"/>
          <w:szCs w:val="21"/>
          <w:highlight w:val="none"/>
          <w:lang w:eastAsia="zh-CN"/>
        </w:rPr>
        <w:t>但</w:t>
      </w:r>
      <w:r>
        <w:rPr>
          <w:rFonts w:hint="eastAsia"/>
          <w:color w:val="auto"/>
          <w:szCs w:val="21"/>
          <w:highlight w:val="none"/>
        </w:rPr>
        <w:t>不限于</w:t>
      </w:r>
      <w:r>
        <w:rPr>
          <w:rFonts w:hint="eastAsia"/>
          <w:color w:val="auto"/>
          <w:szCs w:val="21"/>
          <w:highlight w:val="none"/>
          <w:lang w:eastAsia="zh-CN"/>
        </w:rPr>
        <w:t>实施对象筛选、</w:t>
      </w:r>
      <w:r>
        <w:rPr>
          <w:rFonts w:hint="eastAsia"/>
          <w:color w:val="auto"/>
          <w:szCs w:val="21"/>
          <w:highlight w:val="none"/>
        </w:rPr>
        <w:t>上门评估、方案设计、材料设备、标准附件、备品备件、专用工具、包装、拆除、材料损耗、材料保管、运输、安装、调试、施工、保险、人工费用、机械费用、食宿与交通、施工环境保护、施工后垃圾清理、管理、质保、税费、利润、</w:t>
      </w:r>
      <w:r>
        <w:rPr>
          <w:rFonts w:hint="eastAsia"/>
          <w:b/>
          <w:bCs/>
          <w:color w:val="auto"/>
          <w:szCs w:val="21"/>
          <w:highlight w:val="none"/>
        </w:rPr>
        <w:t>第三方验收费用</w:t>
      </w:r>
      <w:r>
        <w:rPr>
          <w:rFonts w:hint="eastAsia"/>
          <w:b/>
          <w:bCs/>
          <w:color w:val="auto"/>
          <w:szCs w:val="21"/>
          <w:highlight w:val="none"/>
          <w:lang w:eastAsia="zh-CN"/>
        </w:rPr>
        <w:t>，</w:t>
      </w:r>
      <w:r>
        <w:rPr>
          <w:rFonts w:hint="eastAsia"/>
          <w:color w:val="auto"/>
          <w:szCs w:val="21"/>
          <w:highlight w:val="none"/>
        </w:rPr>
        <w:t>完成合同所需的一切本身和不可或缺的所有工作开支、政策性文件规定及合同包含的所有风险、责任等各项全部费用。在合同实施时，采购人将不予支付成交供应商没有列入的项目费用，并认为此项目的费用已包括在总报价中</w:t>
      </w:r>
      <w:r>
        <w:rPr>
          <w:color w:val="auto"/>
          <w:szCs w:val="21"/>
          <w:highlight w:val="none"/>
        </w:rPr>
        <w:t>。</w:t>
      </w:r>
    </w:p>
    <w:p w14:paraId="508785E4">
      <w:pPr>
        <w:pStyle w:val="13"/>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 xml:space="preserve">.合同价格形式：□固定总价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☑固定单价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□成本补偿 □绩效激励 □其他</w:t>
      </w:r>
    </w:p>
    <w:p w14:paraId="0A5FCE93">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2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5A11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48D9947A">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633BCC58">
            <w:pPr>
              <w:snapToGrid w:val="0"/>
              <w:spacing w:line="360" w:lineRule="exact"/>
              <w:jc w:val="center"/>
              <w:rPr>
                <w:color w:val="auto"/>
                <w:szCs w:val="21"/>
                <w:highlight w:val="none"/>
              </w:rPr>
            </w:pPr>
            <w:r>
              <w:rPr>
                <w:color w:val="auto"/>
                <w:szCs w:val="21"/>
                <w:highlight w:val="none"/>
              </w:rPr>
              <w:t>服务交付成果或产品名称</w:t>
            </w:r>
          </w:p>
        </w:tc>
        <w:tc>
          <w:tcPr>
            <w:tcW w:w="926" w:type="dxa"/>
            <w:noWrap w:val="0"/>
            <w:vAlign w:val="center"/>
          </w:tcPr>
          <w:p w14:paraId="7320FBEF">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6C6D795C">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2DD6C42B">
            <w:pPr>
              <w:snapToGrid w:val="0"/>
              <w:spacing w:line="360" w:lineRule="exact"/>
              <w:jc w:val="center"/>
              <w:rPr>
                <w:color w:val="auto"/>
                <w:szCs w:val="21"/>
                <w:highlight w:val="none"/>
              </w:rPr>
            </w:pPr>
            <w:r>
              <w:rPr>
                <w:color w:val="auto"/>
                <w:szCs w:val="21"/>
                <w:highlight w:val="none"/>
              </w:rPr>
              <w:t>单  价</w:t>
            </w:r>
          </w:p>
          <w:p w14:paraId="66E033F4">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37BCDD0C">
            <w:pPr>
              <w:snapToGrid w:val="0"/>
              <w:spacing w:line="360" w:lineRule="exact"/>
              <w:jc w:val="center"/>
              <w:rPr>
                <w:color w:val="auto"/>
                <w:szCs w:val="21"/>
                <w:highlight w:val="none"/>
              </w:rPr>
            </w:pPr>
            <w:r>
              <w:rPr>
                <w:color w:val="auto"/>
                <w:szCs w:val="21"/>
                <w:highlight w:val="none"/>
              </w:rPr>
              <w:t>金  额</w:t>
            </w:r>
          </w:p>
          <w:p w14:paraId="79824A55">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7755E99B">
            <w:pPr>
              <w:snapToGrid w:val="0"/>
              <w:spacing w:line="360" w:lineRule="exact"/>
              <w:jc w:val="center"/>
              <w:rPr>
                <w:color w:val="auto"/>
                <w:szCs w:val="21"/>
                <w:highlight w:val="none"/>
              </w:rPr>
            </w:pPr>
            <w:r>
              <w:rPr>
                <w:color w:val="auto"/>
                <w:szCs w:val="21"/>
                <w:highlight w:val="none"/>
              </w:rPr>
              <w:t>备注</w:t>
            </w:r>
          </w:p>
        </w:tc>
      </w:tr>
      <w:tr w14:paraId="5D86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BFD770E">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5FAF301E">
            <w:pPr>
              <w:snapToGrid w:val="0"/>
              <w:spacing w:line="360" w:lineRule="exact"/>
              <w:jc w:val="center"/>
              <w:rPr>
                <w:color w:val="auto"/>
                <w:szCs w:val="21"/>
                <w:highlight w:val="none"/>
              </w:rPr>
            </w:pPr>
          </w:p>
        </w:tc>
        <w:tc>
          <w:tcPr>
            <w:tcW w:w="926" w:type="dxa"/>
            <w:noWrap w:val="0"/>
            <w:vAlign w:val="top"/>
          </w:tcPr>
          <w:p w14:paraId="7142A54F">
            <w:pPr>
              <w:snapToGrid w:val="0"/>
              <w:spacing w:line="360" w:lineRule="exact"/>
              <w:jc w:val="center"/>
              <w:rPr>
                <w:color w:val="auto"/>
                <w:szCs w:val="21"/>
                <w:highlight w:val="none"/>
              </w:rPr>
            </w:pPr>
          </w:p>
        </w:tc>
        <w:tc>
          <w:tcPr>
            <w:tcW w:w="1201" w:type="dxa"/>
            <w:noWrap w:val="0"/>
            <w:vAlign w:val="top"/>
          </w:tcPr>
          <w:p w14:paraId="743436A1">
            <w:pPr>
              <w:snapToGrid w:val="0"/>
              <w:spacing w:line="360" w:lineRule="exact"/>
              <w:jc w:val="center"/>
              <w:rPr>
                <w:color w:val="auto"/>
                <w:szCs w:val="21"/>
                <w:highlight w:val="none"/>
              </w:rPr>
            </w:pPr>
          </w:p>
        </w:tc>
        <w:tc>
          <w:tcPr>
            <w:tcW w:w="1311" w:type="dxa"/>
            <w:noWrap w:val="0"/>
            <w:vAlign w:val="center"/>
          </w:tcPr>
          <w:p w14:paraId="1D57C7CE">
            <w:pPr>
              <w:snapToGrid w:val="0"/>
              <w:spacing w:line="360" w:lineRule="exact"/>
              <w:jc w:val="center"/>
              <w:rPr>
                <w:color w:val="auto"/>
                <w:szCs w:val="21"/>
                <w:highlight w:val="none"/>
              </w:rPr>
            </w:pPr>
          </w:p>
        </w:tc>
        <w:tc>
          <w:tcPr>
            <w:tcW w:w="1748" w:type="dxa"/>
            <w:noWrap w:val="0"/>
            <w:vAlign w:val="center"/>
          </w:tcPr>
          <w:p w14:paraId="4C3AC6A1">
            <w:pPr>
              <w:snapToGrid w:val="0"/>
              <w:spacing w:line="360" w:lineRule="exact"/>
              <w:jc w:val="center"/>
              <w:rPr>
                <w:color w:val="auto"/>
                <w:szCs w:val="21"/>
                <w:highlight w:val="none"/>
              </w:rPr>
            </w:pPr>
          </w:p>
        </w:tc>
        <w:tc>
          <w:tcPr>
            <w:tcW w:w="1748" w:type="dxa"/>
            <w:vMerge w:val="restart"/>
            <w:noWrap w:val="0"/>
            <w:vAlign w:val="top"/>
          </w:tcPr>
          <w:p w14:paraId="5479A82C">
            <w:pPr>
              <w:snapToGrid w:val="0"/>
              <w:spacing w:line="360" w:lineRule="exact"/>
              <w:jc w:val="left"/>
              <w:rPr>
                <w:color w:val="auto"/>
                <w:szCs w:val="21"/>
                <w:highlight w:val="none"/>
              </w:rPr>
            </w:pPr>
            <w:r>
              <w:rPr>
                <w:color w:val="auto"/>
                <w:szCs w:val="21"/>
                <w:highlight w:val="none"/>
              </w:rPr>
              <w:t>如有商标品牌、型号参数、生产厂家等信息请注明</w:t>
            </w:r>
          </w:p>
        </w:tc>
      </w:tr>
      <w:tr w14:paraId="5F76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31E8B03">
            <w:pPr>
              <w:snapToGrid w:val="0"/>
              <w:spacing w:line="360" w:lineRule="exact"/>
              <w:jc w:val="center"/>
              <w:rPr>
                <w:color w:val="auto"/>
                <w:szCs w:val="21"/>
                <w:highlight w:val="none"/>
              </w:rPr>
            </w:pPr>
            <w:r>
              <w:rPr>
                <w:color w:val="auto"/>
                <w:szCs w:val="21"/>
                <w:highlight w:val="none"/>
              </w:rPr>
              <w:t>2</w:t>
            </w:r>
          </w:p>
        </w:tc>
        <w:tc>
          <w:tcPr>
            <w:tcW w:w="1583" w:type="dxa"/>
            <w:noWrap w:val="0"/>
            <w:vAlign w:val="center"/>
          </w:tcPr>
          <w:p w14:paraId="5319385B">
            <w:pPr>
              <w:snapToGrid w:val="0"/>
              <w:spacing w:line="360" w:lineRule="exact"/>
              <w:jc w:val="center"/>
              <w:rPr>
                <w:color w:val="auto"/>
                <w:szCs w:val="21"/>
                <w:highlight w:val="none"/>
              </w:rPr>
            </w:pPr>
          </w:p>
        </w:tc>
        <w:tc>
          <w:tcPr>
            <w:tcW w:w="926" w:type="dxa"/>
            <w:noWrap w:val="0"/>
            <w:vAlign w:val="top"/>
          </w:tcPr>
          <w:p w14:paraId="7483FDAE">
            <w:pPr>
              <w:snapToGrid w:val="0"/>
              <w:spacing w:line="360" w:lineRule="exact"/>
              <w:jc w:val="center"/>
              <w:rPr>
                <w:color w:val="auto"/>
                <w:szCs w:val="21"/>
                <w:highlight w:val="none"/>
              </w:rPr>
            </w:pPr>
          </w:p>
        </w:tc>
        <w:tc>
          <w:tcPr>
            <w:tcW w:w="1201" w:type="dxa"/>
            <w:noWrap w:val="0"/>
            <w:vAlign w:val="top"/>
          </w:tcPr>
          <w:p w14:paraId="6A9F4123">
            <w:pPr>
              <w:snapToGrid w:val="0"/>
              <w:spacing w:line="360" w:lineRule="exact"/>
              <w:jc w:val="center"/>
              <w:rPr>
                <w:color w:val="auto"/>
                <w:szCs w:val="21"/>
                <w:highlight w:val="none"/>
              </w:rPr>
            </w:pPr>
          </w:p>
        </w:tc>
        <w:tc>
          <w:tcPr>
            <w:tcW w:w="1311" w:type="dxa"/>
            <w:noWrap w:val="0"/>
            <w:vAlign w:val="center"/>
          </w:tcPr>
          <w:p w14:paraId="6C644A83">
            <w:pPr>
              <w:snapToGrid w:val="0"/>
              <w:spacing w:line="360" w:lineRule="exact"/>
              <w:jc w:val="center"/>
              <w:rPr>
                <w:color w:val="auto"/>
                <w:szCs w:val="21"/>
                <w:highlight w:val="none"/>
              </w:rPr>
            </w:pPr>
          </w:p>
        </w:tc>
        <w:tc>
          <w:tcPr>
            <w:tcW w:w="1748" w:type="dxa"/>
            <w:noWrap w:val="0"/>
            <w:vAlign w:val="center"/>
          </w:tcPr>
          <w:p w14:paraId="1D8E5CEF">
            <w:pPr>
              <w:snapToGrid w:val="0"/>
              <w:spacing w:line="360" w:lineRule="exact"/>
              <w:jc w:val="center"/>
              <w:rPr>
                <w:color w:val="auto"/>
                <w:szCs w:val="21"/>
                <w:highlight w:val="none"/>
              </w:rPr>
            </w:pPr>
          </w:p>
        </w:tc>
        <w:tc>
          <w:tcPr>
            <w:tcW w:w="1748" w:type="dxa"/>
            <w:vMerge w:val="continue"/>
            <w:noWrap w:val="0"/>
            <w:vAlign w:val="top"/>
          </w:tcPr>
          <w:p w14:paraId="600E5575">
            <w:pPr>
              <w:snapToGrid w:val="0"/>
              <w:spacing w:line="360" w:lineRule="exact"/>
              <w:jc w:val="center"/>
              <w:rPr>
                <w:color w:val="auto"/>
                <w:szCs w:val="21"/>
                <w:highlight w:val="none"/>
              </w:rPr>
            </w:pPr>
          </w:p>
        </w:tc>
      </w:tr>
      <w:tr w14:paraId="110F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6B92D680">
            <w:pPr>
              <w:snapToGrid w:val="0"/>
              <w:spacing w:line="360" w:lineRule="exact"/>
              <w:jc w:val="center"/>
              <w:rPr>
                <w:color w:val="auto"/>
                <w:szCs w:val="21"/>
                <w:highlight w:val="none"/>
              </w:rPr>
            </w:pPr>
            <w:r>
              <w:rPr>
                <w:color w:val="auto"/>
                <w:szCs w:val="21"/>
                <w:highlight w:val="none"/>
              </w:rPr>
              <w:t>3</w:t>
            </w:r>
          </w:p>
        </w:tc>
        <w:tc>
          <w:tcPr>
            <w:tcW w:w="1583" w:type="dxa"/>
            <w:noWrap w:val="0"/>
            <w:vAlign w:val="center"/>
          </w:tcPr>
          <w:p w14:paraId="564607C8">
            <w:pPr>
              <w:snapToGrid w:val="0"/>
              <w:spacing w:line="360" w:lineRule="exact"/>
              <w:jc w:val="center"/>
              <w:rPr>
                <w:color w:val="auto"/>
                <w:szCs w:val="21"/>
                <w:highlight w:val="none"/>
              </w:rPr>
            </w:pPr>
          </w:p>
        </w:tc>
        <w:tc>
          <w:tcPr>
            <w:tcW w:w="926" w:type="dxa"/>
            <w:noWrap w:val="0"/>
            <w:vAlign w:val="top"/>
          </w:tcPr>
          <w:p w14:paraId="5C2D745C">
            <w:pPr>
              <w:snapToGrid w:val="0"/>
              <w:spacing w:line="360" w:lineRule="exact"/>
              <w:jc w:val="center"/>
              <w:rPr>
                <w:color w:val="auto"/>
                <w:szCs w:val="21"/>
                <w:highlight w:val="none"/>
              </w:rPr>
            </w:pPr>
          </w:p>
        </w:tc>
        <w:tc>
          <w:tcPr>
            <w:tcW w:w="1201" w:type="dxa"/>
            <w:noWrap w:val="0"/>
            <w:vAlign w:val="top"/>
          </w:tcPr>
          <w:p w14:paraId="77876A50">
            <w:pPr>
              <w:snapToGrid w:val="0"/>
              <w:spacing w:line="360" w:lineRule="exact"/>
              <w:jc w:val="center"/>
              <w:rPr>
                <w:color w:val="auto"/>
                <w:szCs w:val="21"/>
                <w:highlight w:val="none"/>
              </w:rPr>
            </w:pPr>
          </w:p>
        </w:tc>
        <w:tc>
          <w:tcPr>
            <w:tcW w:w="1311" w:type="dxa"/>
            <w:noWrap w:val="0"/>
            <w:vAlign w:val="center"/>
          </w:tcPr>
          <w:p w14:paraId="5D1A9CA2">
            <w:pPr>
              <w:snapToGrid w:val="0"/>
              <w:spacing w:line="360" w:lineRule="exact"/>
              <w:jc w:val="center"/>
              <w:rPr>
                <w:color w:val="auto"/>
                <w:szCs w:val="21"/>
                <w:highlight w:val="none"/>
              </w:rPr>
            </w:pPr>
          </w:p>
        </w:tc>
        <w:tc>
          <w:tcPr>
            <w:tcW w:w="1748" w:type="dxa"/>
            <w:noWrap w:val="0"/>
            <w:vAlign w:val="center"/>
          </w:tcPr>
          <w:p w14:paraId="352FBC42">
            <w:pPr>
              <w:snapToGrid w:val="0"/>
              <w:spacing w:line="360" w:lineRule="exact"/>
              <w:jc w:val="center"/>
              <w:rPr>
                <w:color w:val="auto"/>
                <w:szCs w:val="21"/>
                <w:highlight w:val="none"/>
              </w:rPr>
            </w:pPr>
          </w:p>
        </w:tc>
        <w:tc>
          <w:tcPr>
            <w:tcW w:w="1748" w:type="dxa"/>
            <w:vMerge w:val="continue"/>
            <w:noWrap w:val="0"/>
            <w:vAlign w:val="top"/>
          </w:tcPr>
          <w:p w14:paraId="32D9430D">
            <w:pPr>
              <w:snapToGrid w:val="0"/>
              <w:spacing w:line="360" w:lineRule="exact"/>
              <w:jc w:val="center"/>
              <w:rPr>
                <w:color w:val="auto"/>
                <w:szCs w:val="21"/>
                <w:highlight w:val="none"/>
              </w:rPr>
            </w:pPr>
          </w:p>
        </w:tc>
      </w:tr>
      <w:tr w14:paraId="5AB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5B774B14">
            <w:pPr>
              <w:snapToGrid w:val="0"/>
              <w:spacing w:line="360" w:lineRule="exact"/>
              <w:jc w:val="center"/>
              <w:rPr>
                <w:color w:val="auto"/>
                <w:szCs w:val="21"/>
                <w:highlight w:val="none"/>
              </w:rPr>
            </w:pPr>
          </w:p>
        </w:tc>
        <w:tc>
          <w:tcPr>
            <w:tcW w:w="8517" w:type="dxa"/>
            <w:gridSpan w:val="6"/>
            <w:noWrap w:val="0"/>
            <w:vAlign w:val="center"/>
          </w:tcPr>
          <w:p w14:paraId="620C6192">
            <w:pPr>
              <w:snapToGrid w:val="0"/>
              <w:spacing w:line="360" w:lineRule="exact"/>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tbl>
    <w:p w14:paraId="12B928BE">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685CA252">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40F9CE76">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7B7DF9F5">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乙方配备的项目投入人员应得到甲方的认可；对派遣到甲方的服务人员进行管理、考核、检查与奖惩。</w:t>
      </w:r>
    </w:p>
    <w:p w14:paraId="147C98EC">
      <w:pPr>
        <w:snapToGrid w:val="0"/>
        <w:spacing w:line="360" w:lineRule="exact"/>
        <w:ind w:firstLine="420" w:firstLineChars="200"/>
        <w:rPr>
          <w:strike/>
          <w:color w:val="auto"/>
          <w:szCs w:val="21"/>
          <w:highlight w:val="none"/>
        </w:rPr>
      </w:pPr>
      <w:r>
        <w:rPr>
          <w:color w:val="auto"/>
          <w:szCs w:val="21"/>
          <w:highlight w:val="none"/>
        </w:rPr>
        <w:t>4.甲方有权要求乙方更换不合格的工作人员。</w:t>
      </w:r>
    </w:p>
    <w:p w14:paraId="0501CED9">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6B0B44E0">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7A17BF15">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采购人在中华人民共和国境内使用供应商提供的产品及服务时免受第三方提出的侵犯其专利权或其它知识产权的起诉。如果第三方提出侵权指控，乙方应妥善处理纠纷并承担由此而引起的一切法律责任和费用。</w:t>
      </w:r>
    </w:p>
    <w:p w14:paraId="559A2C32">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3ACD7D3C">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3B2266D6">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4BC773E4">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3B513730">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7FE7554">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6E477A1A">
      <w:pPr>
        <w:snapToGrid w:val="0"/>
        <w:spacing w:line="360" w:lineRule="exact"/>
        <w:ind w:firstLine="420" w:firstLineChars="200"/>
        <w:rPr>
          <w:rFonts w:hint="eastAsia"/>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32373836">
      <w:pPr>
        <w:snapToGrid w:val="0"/>
        <w:spacing w:line="360" w:lineRule="exact"/>
        <w:ind w:firstLine="422" w:firstLineChars="200"/>
        <w:rPr>
          <w:b/>
          <w:color w:val="auto"/>
          <w:szCs w:val="21"/>
          <w:highlight w:val="none"/>
        </w:rPr>
      </w:pPr>
      <w:r>
        <w:rPr>
          <w:b/>
          <w:color w:val="auto"/>
          <w:szCs w:val="21"/>
          <w:highlight w:val="none"/>
        </w:rPr>
        <w:t>第五条  包装和运输</w:t>
      </w:r>
    </w:p>
    <w:p w14:paraId="6F59834F">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3114EE9D">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4F50175E">
      <w:pPr>
        <w:pStyle w:val="13"/>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乙方提供的产品包装及快递包装应满足《财政部等三部门联合印发商品包装和快递包装政府采购需求标准（试行）》财办库【2020】123号文要求。</w:t>
      </w:r>
    </w:p>
    <w:p w14:paraId="6F42E8A0">
      <w:pPr>
        <w:snapToGrid w:val="0"/>
        <w:spacing w:line="360" w:lineRule="exact"/>
        <w:ind w:firstLine="422" w:firstLineChars="200"/>
        <w:rPr>
          <w:color w:val="auto"/>
          <w:szCs w:val="21"/>
          <w:highlight w:val="none"/>
        </w:rPr>
      </w:pPr>
      <w:r>
        <w:rPr>
          <w:b/>
          <w:color w:val="auto"/>
          <w:szCs w:val="21"/>
          <w:highlight w:val="none"/>
        </w:rPr>
        <w:t>第六条  交付和验收</w:t>
      </w:r>
    </w:p>
    <w:p w14:paraId="26F51291">
      <w:pPr>
        <w:snapToGrid w:val="0"/>
        <w:spacing w:line="36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6545BAEB">
      <w:pPr>
        <w:snapToGrid w:val="0"/>
        <w:spacing w:line="30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1909505E">
      <w:pPr>
        <w:snapToGrid w:val="0"/>
        <w:spacing w:line="30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验收程序：验收一般分为到货验收和最终验收两次单项验收。经甲方同意，两次单项验收可以合并进行。本项目采用的验收方式为：</w:t>
      </w:r>
      <w:r>
        <w:rPr>
          <w:rFonts w:hint="eastAsia"/>
          <w:color w:val="auto"/>
          <w:highlight w:val="none"/>
        </w:rPr>
        <w:sym w:font="Wingdings" w:char="00A8"/>
      </w:r>
      <w:r>
        <w:rPr>
          <w:rFonts w:hint="eastAsia"/>
          <w:color w:val="auto"/>
          <w:highlight w:val="none"/>
        </w:rPr>
        <w:t xml:space="preserve">到货验收（如有）  </w:t>
      </w:r>
      <w:r>
        <w:rPr>
          <w:rFonts w:hint="eastAsia"/>
          <w:color w:val="auto"/>
          <w:highlight w:val="none"/>
        </w:rPr>
        <w:sym w:font="Wingdings" w:char="00FE"/>
      </w:r>
      <w:r>
        <w:rPr>
          <w:rFonts w:hint="eastAsia"/>
          <w:color w:val="auto"/>
          <w:highlight w:val="none"/>
        </w:rPr>
        <w:t>最终验收  □合并验收</w:t>
      </w:r>
    </w:p>
    <w:p w14:paraId="2076AD48">
      <w:pPr>
        <w:snapToGrid w:val="0"/>
        <w:spacing w:line="300" w:lineRule="exact"/>
        <w:ind w:firstLine="420" w:firstLineChars="200"/>
        <w:rPr>
          <w:color w:val="auto"/>
          <w:highlight w:val="none"/>
        </w:rPr>
      </w:pPr>
      <w:r>
        <w:rPr>
          <w:rFonts w:hint="eastAsia"/>
          <w:color w:val="auto"/>
          <w:highlight w:val="none"/>
        </w:rPr>
        <w:t>（1）到货验收：</w:t>
      </w:r>
      <w:r>
        <w:rPr>
          <w:rFonts w:hint="eastAsia"/>
          <w:color w:val="auto"/>
          <w:szCs w:val="21"/>
          <w:highlight w:val="none"/>
        </w:rPr>
        <w:t>在项目中如有提供货物的，</w:t>
      </w:r>
      <w:r>
        <w:rPr>
          <w:color w:val="auto"/>
          <w:highlight w:val="none"/>
        </w:rPr>
        <w:t>甲方</w:t>
      </w:r>
      <w:r>
        <w:rPr>
          <w:rFonts w:hint="eastAsia"/>
          <w:color w:val="auto"/>
          <w:highlight w:val="none"/>
        </w:rPr>
        <w:t>在接到</w:t>
      </w:r>
      <w:r>
        <w:rPr>
          <w:color w:val="auto"/>
          <w:highlight w:val="none"/>
        </w:rPr>
        <w:t>乙方</w:t>
      </w:r>
      <w:r>
        <w:rPr>
          <w:rFonts w:hint="eastAsia"/>
          <w:color w:val="auto"/>
          <w:highlight w:val="none"/>
        </w:rPr>
        <w:t>通知后对交付</w:t>
      </w:r>
      <w:r>
        <w:rPr>
          <w:color w:val="auto"/>
          <w:highlight w:val="none"/>
        </w:rPr>
        <w:t>的</w:t>
      </w:r>
      <w:r>
        <w:rPr>
          <w:color w:val="auto"/>
          <w:szCs w:val="21"/>
          <w:highlight w:val="none"/>
        </w:rPr>
        <w:t>产品</w:t>
      </w:r>
      <w:r>
        <w:rPr>
          <w:color w:val="auto"/>
          <w:highlight w:val="none"/>
        </w:rPr>
        <w:t>依据</w:t>
      </w:r>
      <w:r>
        <w:rPr>
          <w:rFonts w:hint="eastAsia"/>
          <w:color w:val="auto"/>
          <w:highlight w:val="none"/>
        </w:rPr>
        <w:t>验收标准</w:t>
      </w:r>
      <w:r>
        <w:rPr>
          <w:color w:val="auto"/>
          <w:highlight w:val="none"/>
        </w:rPr>
        <w:t>进行</w:t>
      </w:r>
      <w:r>
        <w:rPr>
          <w:rFonts w:hint="eastAsia"/>
          <w:color w:val="auto"/>
          <w:highlight w:val="none"/>
        </w:rPr>
        <w:t>到货验收</w:t>
      </w:r>
      <w:r>
        <w:rPr>
          <w:color w:val="auto"/>
          <w:highlight w:val="none"/>
        </w:rPr>
        <w:t>，</w:t>
      </w:r>
      <w:r>
        <w:rPr>
          <w:rFonts w:hint="eastAsia"/>
          <w:color w:val="auto"/>
          <w:highlight w:val="none"/>
        </w:rPr>
        <w:t>对品牌、规格型号、</w:t>
      </w:r>
      <w:r>
        <w:rPr>
          <w:color w:val="auto"/>
          <w:highlight w:val="none"/>
        </w:rPr>
        <w:t>外观、</w:t>
      </w:r>
      <w:r>
        <w:rPr>
          <w:rFonts w:hint="eastAsia"/>
          <w:color w:val="auto"/>
          <w:highlight w:val="none"/>
        </w:rPr>
        <w:t>有关资料及备品备件、包装要求</w:t>
      </w:r>
      <w:r>
        <w:rPr>
          <w:color w:val="auto"/>
          <w:highlight w:val="none"/>
        </w:rPr>
        <w:t>符合采购文件</w:t>
      </w:r>
      <w:r>
        <w:rPr>
          <w:rFonts w:hint="eastAsia"/>
          <w:color w:val="auto"/>
          <w:highlight w:val="none"/>
        </w:rPr>
        <w:t>及合同</w:t>
      </w:r>
      <w:r>
        <w:rPr>
          <w:color w:val="auto"/>
          <w:highlight w:val="none"/>
        </w:rPr>
        <w:t>要求的，</w:t>
      </w:r>
      <w:r>
        <w:rPr>
          <w:rFonts w:hint="eastAsia"/>
          <w:color w:val="auto"/>
          <w:highlight w:val="none"/>
        </w:rPr>
        <w:t>视为到货验收合格</w:t>
      </w:r>
      <w:r>
        <w:rPr>
          <w:color w:val="auto"/>
          <w:highlight w:val="none"/>
        </w:rPr>
        <w:t>给予签收</w:t>
      </w:r>
      <w:r>
        <w:rPr>
          <w:rFonts w:hint="eastAsia"/>
          <w:color w:val="auto"/>
          <w:highlight w:val="none"/>
        </w:rPr>
        <w:t>。</w:t>
      </w:r>
    </w:p>
    <w:p w14:paraId="50FA3F91">
      <w:pPr>
        <w:snapToGrid w:val="0"/>
        <w:spacing w:line="300" w:lineRule="exact"/>
        <w:ind w:firstLine="420" w:firstLineChars="200"/>
        <w:rPr>
          <w:rFonts w:hint="eastAsia"/>
          <w:color w:val="auto"/>
          <w:highlight w:val="none"/>
        </w:rPr>
      </w:pPr>
      <w:r>
        <w:rPr>
          <w:rFonts w:hint="eastAsia"/>
          <w:color w:val="auto"/>
          <w:highlight w:val="none"/>
        </w:rPr>
        <w:t>（2）最终验收：交付的</w:t>
      </w:r>
      <w:r>
        <w:rPr>
          <w:color w:val="auto"/>
          <w:szCs w:val="21"/>
          <w:highlight w:val="none"/>
        </w:rPr>
        <w:t>产品或服务成果</w:t>
      </w:r>
      <w:r>
        <w:rPr>
          <w:rFonts w:hint="eastAsia"/>
          <w:color w:val="auto"/>
          <w:szCs w:val="21"/>
          <w:highlight w:val="none"/>
        </w:rPr>
        <w:t>在</w:t>
      </w:r>
      <w:r>
        <w:rPr>
          <w:rFonts w:hint="eastAsia"/>
          <w:color w:val="auto"/>
          <w:highlight w:val="none"/>
        </w:rPr>
        <w:t>满足合同交付标准后，依照本合同验收标准进行最终验收。甲方在乙方通知后进行最终验收。</w:t>
      </w:r>
    </w:p>
    <w:p w14:paraId="25A5AD5C">
      <w:pPr>
        <w:snapToGrid w:val="0"/>
        <w:spacing w:line="300" w:lineRule="exact"/>
        <w:ind w:firstLine="420" w:firstLineChars="200"/>
        <w:rPr>
          <w:rFonts w:hint="eastAsia"/>
          <w:color w:val="auto"/>
          <w:highlight w:val="none"/>
        </w:rPr>
      </w:pPr>
      <w:r>
        <w:rPr>
          <w:rFonts w:hint="eastAsia"/>
          <w:color w:val="auto"/>
          <w:highlight w:val="none"/>
        </w:rPr>
        <w:t>（3）合并验收：</w:t>
      </w:r>
      <w:r>
        <w:rPr>
          <w:rStyle w:val="28"/>
          <w:rFonts w:hint="eastAsia"/>
          <w:color w:val="auto"/>
          <w:highlight w:val="none"/>
        </w:rPr>
        <w:t>将以上两项验收合并进行。</w:t>
      </w:r>
    </w:p>
    <w:p w14:paraId="60B08037">
      <w:pPr>
        <w:snapToGrid w:val="0"/>
        <w:spacing w:line="300" w:lineRule="exact"/>
        <w:ind w:firstLine="420" w:firstLineChars="200"/>
        <w:rPr>
          <w:rFonts w:hint="eastAsia"/>
          <w:color w:val="auto"/>
          <w:highlight w:val="none"/>
        </w:rPr>
      </w:pPr>
      <w:r>
        <w:rPr>
          <w:rFonts w:hint="eastAsia"/>
          <w:color w:val="auto"/>
          <w:highlight w:val="none"/>
        </w:rPr>
        <w:t>4.</w:t>
      </w:r>
      <w:r>
        <w:rPr>
          <w:color w:val="auto"/>
          <w:highlight w:val="none"/>
        </w:rPr>
        <w:t>验收标准：按国家有关</w:t>
      </w:r>
      <w:r>
        <w:rPr>
          <w:rFonts w:hint="eastAsia"/>
          <w:color w:val="auto"/>
          <w:highlight w:val="none"/>
        </w:rPr>
        <w:t>标准</w:t>
      </w:r>
      <w:r>
        <w:rPr>
          <w:color w:val="auto"/>
          <w:highlight w:val="none"/>
        </w:rPr>
        <w:t>以及甲方采购文件的</w:t>
      </w:r>
      <w:r>
        <w:rPr>
          <w:rFonts w:hint="eastAsia"/>
          <w:color w:val="auto"/>
          <w:highlight w:val="none"/>
        </w:rPr>
        <w:t>采购需求</w:t>
      </w:r>
      <w:r>
        <w:rPr>
          <w:color w:val="auto"/>
          <w:highlight w:val="none"/>
        </w:rPr>
        <w:t>、乙方的响应文件</w:t>
      </w:r>
      <w:r>
        <w:rPr>
          <w:rFonts w:hint="eastAsia"/>
          <w:color w:val="auto"/>
          <w:highlight w:val="none"/>
        </w:rPr>
        <w:t>响应</w:t>
      </w:r>
      <w:r>
        <w:rPr>
          <w:color w:val="auto"/>
          <w:highlight w:val="none"/>
        </w:rPr>
        <w:t>及承诺与本合同约定进行验收；</w:t>
      </w:r>
      <w:r>
        <w:rPr>
          <w:rFonts w:hint="eastAsia"/>
          <w:color w:val="auto"/>
          <w:highlight w:val="none"/>
        </w:rPr>
        <w:t>上述标准如</w:t>
      </w:r>
      <w:r>
        <w:rPr>
          <w:color w:val="auto"/>
          <w:highlight w:val="none"/>
        </w:rPr>
        <w:t>有</w:t>
      </w:r>
      <w:r>
        <w:rPr>
          <w:rFonts w:hint="eastAsia"/>
          <w:color w:val="auto"/>
          <w:highlight w:val="none"/>
        </w:rPr>
        <w:t>不一致事项</w:t>
      </w:r>
      <w:r>
        <w:rPr>
          <w:color w:val="auto"/>
          <w:highlight w:val="none"/>
        </w:rPr>
        <w:t>，</w:t>
      </w:r>
      <w:r>
        <w:rPr>
          <w:rFonts w:hint="eastAsia"/>
          <w:color w:val="auto"/>
          <w:highlight w:val="none"/>
        </w:rPr>
        <w:t>以</w:t>
      </w:r>
      <w:r>
        <w:rPr>
          <w:color w:val="auto"/>
          <w:highlight w:val="none"/>
        </w:rPr>
        <w:t>采购文件与响应文件中</w:t>
      </w:r>
      <w:r>
        <w:rPr>
          <w:rFonts w:hint="eastAsia"/>
          <w:color w:val="auto"/>
          <w:highlight w:val="none"/>
        </w:rPr>
        <w:t>对应要求或指标中</w:t>
      </w:r>
      <w:r>
        <w:rPr>
          <w:color w:val="auto"/>
          <w:highlight w:val="none"/>
        </w:rPr>
        <w:t>较优</w:t>
      </w:r>
      <w:r>
        <w:rPr>
          <w:rFonts w:hint="eastAsia"/>
          <w:color w:val="auto"/>
          <w:highlight w:val="none"/>
        </w:rPr>
        <w:t>作为验收标准。如果交付的</w:t>
      </w:r>
      <w:r>
        <w:rPr>
          <w:color w:val="auto"/>
          <w:szCs w:val="21"/>
          <w:highlight w:val="none"/>
        </w:rPr>
        <w:t>产品或服务成果</w:t>
      </w:r>
      <w:r>
        <w:rPr>
          <w:rFonts w:hint="eastAsia"/>
          <w:color w:val="auto"/>
          <w:highlight w:val="none"/>
        </w:rPr>
        <w:t>中有执行国家强制标准的，则验收标准不得低于国家强制标准。</w:t>
      </w:r>
    </w:p>
    <w:p w14:paraId="07F973F4">
      <w:pPr>
        <w:pStyle w:val="13"/>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验收地点及验收期限：验收地点为产品</w:t>
      </w:r>
      <w:r>
        <w:rPr>
          <w:color w:val="auto"/>
          <w:highlight w:val="none"/>
        </w:rPr>
        <w:t>或服务成果</w:t>
      </w:r>
      <w:r>
        <w:rPr>
          <w:rFonts w:hint="eastAsia" w:ascii="Times New Roman" w:hAnsi="Times New Roman" w:cs="Times New Roman"/>
          <w:color w:val="auto"/>
          <w:highlight w:val="none"/>
        </w:rPr>
        <w:t>交付地点；</w:t>
      </w:r>
      <w:r>
        <w:rPr>
          <w:rFonts w:hint="eastAsia"/>
          <w:color w:val="auto"/>
          <w:highlight w:val="none"/>
        </w:rPr>
        <w:t>各单项验收应在甲方收到乙方的书面验收申请后5个工作日内组织。乙方在提出验收申请时，应确保已具备验收条件。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6B4098FB">
      <w:pPr>
        <w:pStyle w:val="13"/>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结果：在任一单项验收环节，甲、乙双方代表均应在场，交付的产品</w:t>
      </w:r>
      <w:r>
        <w:rPr>
          <w:color w:val="auto"/>
          <w:highlight w:val="none"/>
        </w:rPr>
        <w:t>或服务成果</w:t>
      </w:r>
      <w:r>
        <w:rPr>
          <w:rFonts w:hint="eastAsia" w:ascii="Times New Roman" w:hAnsi="Times New Roman" w:cs="Times New Roman"/>
          <w:color w:val="auto"/>
          <w:highlight w:val="none"/>
        </w:rPr>
        <w:t>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036029D6">
      <w:pPr>
        <w:pStyle w:val="13"/>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7.不予签收或单项验收不合格的，</w:t>
      </w:r>
      <w:r>
        <w:rPr>
          <w:rFonts w:hint="eastAsia"/>
          <w:color w:val="auto"/>
          <w:highlight w:val="none"/>
        </w:rPr>
        <w:t>乙方应在当次验收后</w:t>
      </w:r>
      <w:r>
        <w:rPr>
          <w:rFonts w:hint="eastAsia"/>
          <w:color w:val="auto"/>
          <w:highlight w:val="none"/>
          <w:u w:val="single"/>
        </w:rPr>
        <w:t>5</w:t>
      </w:r>
      <w:r>
        <w:rPr>
          <w:rFonts w:hint="eastAsia"/>
          <w:color w:val="auto"/>
          <w:highlight w:val="none"/>
        </w:rPr>
        <w:t>个工作日内就不符合要求项以补充、更换、修理等甲方认可的方式进行整改并重新验收，未按时进行整改或整改后重新验收仍不合格的</w:t>
      </w:r>
      <w:r>
        <w:rPr>
          <w:color w:val="auto"/>
          <w:highlight w:val="none"/>
        </w:rPr>
        <w:t>视为逾期</w:t>
      </w:r>
      <w:r>
        <w:rPr>
          <w:rFonts w:hint="eastAsia"/>
          <w:color w:val="auto"/>
          <w:highlight w:val="none"/>
        </w:rPr>
        <w:t>交付，逾期交付最长不得超过</w:t>
      </w:r>
      <w:r>
        <w:rPr>
          <w:rFonts w:hint="eastAsia"/>
          <w:color w:val="auto"/>
          <w:highlight w:val="none"/>
          <w:u w:val="single"/>
        </w:rPr>
        <w:t>3</w:t>
      </w:r>
      <w:r>
        <w:rPr>
          <w:color w:val="auto"/>
          <w:highlight w:val="none"/>
          <w:u w:val="single"/>
        </w:rPr>
        <w:t>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逾期交付不影响本条第1款约定的使用时间。</w:t>
      </w:r>
    </w:p>
    <w:p w14:paraId="20ADFA89">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w:t>
      </w:r>
    </w:p>
    <w:p w14:paraId="6157446D">
      <w:pPr>
        <w:snapToGrid w:val="0"/>
        <w:spacing w:line="360" w:lineRule="exact"/>
        <w:ind w:firstLine="420" w:firstLineChars="200"/>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2237C556">
      <w:pPr>
        <w:snapToGrid w:val="0"/>
        <w:spacing w:line="30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36B927EA">
      <w:pPr>
        <w:pStyle w:val="13"/>
        <w:snapToGrid w:val="0"/>
        <w:spacing w:before="120" w:after="120" w:line="300" w:lineRule="exact"/>
        <w:ind w:firstLine="420" w:firstLineChars="200"/>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11</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p w14:paraId="3A438155">
      <w:pPr>
        <w:snapToGrid w:val="0"/>
        <w:spacing w:line="360" w:lineRule="exact"/>
        <w:ind w:firstLine="422" w:firstLineChars="200"/>
        <w:rPr>
          <w:b/>
          <w:color w:val="auto"/>
          <w:szCs w:val="21"/>
          <w:highlight w:val="none"/>
        </w:rPr>
      </w:pPr>
      <w:r>
        <w:rPr>
          <w:b/>
          <w:color w:val="auto"/>
          <w:szCs w:val="21"/>
          <w:highlight w:val="none"/>
        </w:rPr>
        <w:t>第七条  安装和培训</w:t>
      </w:r>
    </w:p>
    <w:p w14:paraId="25145417">
      <w:pPr>
        <w:snapToGrid w:val="0"/>
        <w:spacing w:line="360" w:lineRule="exact"/>
        <w:ind w:firstLine="420" w:firstLineChars="200"/>
        <w:rPr>
          <w:color w:val="auto"/>
          <w:szCs w:val="21"/>
          <w:highlight w:val="none"/>
        </w:rPr>
      </w:pPr>
      <w:r>
        <w:rPr>
          <w:color w:val="auto"/>
          <w:szCs w:val="21"/>
          <w:highlight w:val="none"/>
        </w:rPr>
        <w:t>1.甲方应提供必要安装条件（如场地、电源、水源等）。</w:t>
      </w:r>
    </w:p>
    <w:p w14:paraId="725A7CFD">
      <w:pPr>
        <w:snapToGrid w:val="0"/>
        <w:spacing w:line="36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5E532E1B">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4CAF369B">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2C20C694">
      <w:pPr>
        <w:snapToGrid w:val="0"/>
        <w:spacing w:line="276" w:lineRule="auto"/>
        <w:ind w:firstLine="420" w:firstLineChars="200"/>
        <w:rPr>
          <w:color w:val="auto"/>
          <w:szCs w:val="21"/>
          <w:highlight w:val="none"/>
          <w:u w:val="single"/>
        </w:rPr>
      </w:pPr>
      <w:r>
        <w:rPr>
          <w:color w:val="auto"/>
          <w:szCs w:val="21"/>
          <w:highlight w:val="none"/>
        </w:rPr>
        <w:t>2.</w:t>
      </w:r>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按乙方承诺，但是不得低于国家相关标准</w:t>
      </w:r>
      <w:r>
        <w:rPr>
          <w:color w:val="auto"/>
          <w:szCs w:val="21"/>
          <w:highlight w:val="none"/>
        </w:rPr>
        <w:t>。</w:t>
      </w:r>
    </w:p>
    <w:p w14:paraId="7455189C">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3.按采购文件规定的服务质量标准，并达到或优于中标人承诺的标准。</w:t>
      </w:r>
    </w:p>
    <w:p w14:paraId="3057F655">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3F7B5A8C">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42DA75C2">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p>
    <w:p w14:paraId="0D1D8B1F">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.乙方提供的服务承诺和售后服务及质保期责任等其它具体约定事项。</w:t>
      </w:r>
    </w:p>
    <w:p w14:paraId="11024880">
      <w:pPr>
        <w:snapToGrid w:val="0"/>
        <w:spacing w:line="360" w:lineRule="exact"/>
        <w:ind w:firstLine="422" w:firstLineChars="200"/>
        <w:rPr>
          <w:color w:val="auto"/>
          <w:szCs w:val="21"/>
          <w:highlight w:val="none"/>
        </w:rPr>
      </w:pPr>
      <w:r>
        <w:rPr>
          <w:b/>
          <w:color w:val="auto"/>
          <w:szCs w:val="21"/>
          <w:highlight w:val="none"/>
        </w:rPr>
        <w:t>第九条　付款方式</w:t>
      </w:r>
    </w:p>
    <w:p w14:paraId="2AB26006">
      <w:pPr>
        <w:snapToGrid w:val="0"/>
        <w:spacing w:line="360" w:lineRule="exact"/>
        <w:ind w:firstLine="420" w:firstLineChars="200"/>
        <w:rPr>
          <w:rFonts w:hint="default" w:eastAsia="宋体"/>
          <w:color w:val="auto"/>
          <w:szCs w:val="21"/>
          <w:highlight w:val="none"/>
          <w:lang w:val="en-US" w:eastAsia="zh-CN"/>
        </w:rPr>
      </w:pPr>
      <w:r>
        <w:rPr>
          <w:color w:val="auto"/>
          <w:szCs w:val="21"/>
          <w:highlight w:val="none"/>
        </w:rPr>
        <w:t>1.资金性质：</w:t>
      </w:r>
      <w:r>
        <w:rPr>
          <w:rFonts w:hint="eastAsia"/>
          <w:color w:val="auto"/>
          <w:szCs w:val="21"/>
          <w:highlight w:val="none"/>
          <w:u w:val="single"/>
          <w:lang w:val="en-US" w:eastAsia="zh-CN"/>
        </w:rPr>
        <w:t>政府性基金预算资金</w:t>
      </w:r>
    </w:p>
    <w:p w14:paraId="34AD639D">
      <w:pPr>
        <w:snapToGrid w:val="0"/>
        <w:spacing w:line="360" w:lineRule="exact"/>
        <w:ind w:firstLine="420" w:firstLineChars="200"/>
        <w:rPr>
          <w:color w:val="auto"/>
          <w:szCs w:val="21"/>
          <w:highlight w:val="none"/>
        </w:rPr>
      </w:pPr>
      <w:r>
        <w:rPr>
          <w:color w:val="auto"/>
          <w:szCs w:val="21"/>
          <w:highlight w:val="none"/>
        </w:rPr>
        <w:t>2.付款方式：</w:t>
      </w:r>
    </w:p>
    <w:p w14:paraId="2ADF3CEB">
      <w:pPr>
        <w:spacing w:line="360" w:lineRule="auto"/>
        <w:ind w:firstLine="632" w:firstLineChars="300"/>
        <w:rPr>
          <w:rFonts w:hint="eastAsia" w:eastAsia="宋体"/>
          <w:b/>
          <w:bCs/>
          <w:color w:val="auto"/>
          <w:szCs w:val="21"/>
          <w:highlight w:val="none"/>
          <w:lang w:eastAsia="zh-CN"/>
        </w:rPr>
      </w:pPr>
      <w:r>
        <w:rPr>
          <w:rFonts w:hint="eastAsia"/>
          <w:b/>
          <w:bCs/>
          <w:color w:val="auto"/>
          <w:szCs w:val="21"/>
          <w:highlight w:val="none"/>
          <w:lang w:eastAsia="zh-CN"/>
        </w:rPr>
        <w:t>项目资金分两期支付，第一期：合同签订后30日内按合同总价的50%支付预付款，第二期：验收合格后30日内按最终结算金额支付剩余款项，最终结算金额不得超过投标报价。</w:t>
      </w:r>
    </w:p>
    <w:p w14:paraId="33FC9397">
      <w:pPr>
        <w:snapToGrid w:val="0"/>
        <w:spacing w:line="300" w:lineRule="exact"/>
        <w:ind w:firstLine="420" w:firstLineChars="200"/>
        <w:rPr>
          <w:rFonts w:hint="eastAsia"/>
          <w:color w:val="auto"/>
          <w:szCs w:val="21"/>
          <w:highlight w:val="none"/>
        </w:rPr>
      </w:pPr>
    </w:p>
    <w:p w14:paraId="77BA2C2B">
      <w:pPr>
        <w:snapToGrid w:val="0"/>
        <w:spacing w:line="300" w:lineRule="exact"/>
        <w:ind w:firstLine="420" w:firstLineChars="200"/>
        <w:rPr>
          <w:color w:val="auto"/>
          <w:szCs w:val="21"/>
          <w:highlight w:val="none"/>
        </w:rPr>
      </w:pPr>
      <w:r>
        <w:rPr>
          <w:rFonts w:hint="eastAsia"/>
          <w:color w:val="auto"/>
          <w:szCs w:val="21"/>
          <w:highlight w:val="none"/>
        </w:rPr>
        <w:t>（2）合同款支付形式为：</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转账</w:t>
      </w:r>
      <w:r>
        <w:rPr>
          <w:color w:val="auto"/>
          <w:szCs w:val="21"/>
          <w:highlight w:val="none"/>
          <w:u w:val="single"/>
        </w:rPr>
        <w:t xml:space="preserve">  </w:t>
      </w:r>
    </w:p>
    <w:p w14:paraId="33F7D961">
      <w:pPr>
        <w:snapToGrid w:val="0"/>
        <w:spacing w:line="360" w:lineRule="exact"/>
        <w:ind w:firstLine="422" w:firstLineChars="200"/>
        <w:rPr>
          <w:b/>
          <w:color w:val="auto"/>
          <w:szCs w:val="21"/>
          <w:highlight w:val="none"/>
        </w:rPr>
      </w:pPr>
      <w:r>
        <w:rPr>
          <w:b/>
          <w:color w:val="auto"/>
          <w:szCs w:val="21"/>
          <w:highlight w:val="none"/>
        </w:rPr>
        <w:t>第十条履约保证金</w:t>
      </w:r>
      <w:r>
        <w:rPr>
          <w:rFonts w:hint="eastAsia"/>
          <w:b/>
          <w:color w:val="auto"/>
          <w:szCs w:val="21"/>
          <w:highlight w:val="none"/>
        </w:rPr>
        <w:t>及响应保证金</w:t>
      </w:r>
      <w:r>
        <w:rPr>
          <w:b/>
          <w:color w:val="auto"/>
          <w:szCs w:val="21"/>
          <w:highlight w:val="none"/>
        </w:rPr>
        <w:t xml:space="preserve">   </w:t>
      </w:r>
    </w:p>
    <w:p w14:paraId="31BA2A75">
      <w:pPr>
        <w:spacing w:line="300" w:lineRule="exact"/>
        <w:ind w:firstLine="420" w:firstLineChars="200"/>
        <w:jc w:val="left"/>
        <w:rPr>
          <w:color w:val="auto"/>
          <w:szCs w:val="21"/>
          <w:highlight w:val="none"/>
        </w:rPr>
      </w:pPr>
      <w:r>
        <w:rPr>
          <w:color w:val="auto"/>
          <w:szCs w:val="21"/>
          <w:highlight w:val="none"/>
        </w:rPr>
        <w:t>履约保证金</w:t>
      </w:r>
      <w:r>
        <w:rPr>
          <w:rFonts w:hint="eastAsia"/>
          <w:color w:val="auto"/>
          <w:szCs w:val="21"/>
          <w:highlight w:val="none"/>
        </w:rPr>
        <w:t>金额：</w:t>
      </w:r>
      <w:r>
        <w:rPr>
          <w:rFonts w:hint="eastAsia"/>
          <w:color w:val="auto"/>
          <w:szCs w:val="21"/>
          <w:highlight w:val="none"/>
          <w:u w:val="single"/>
        </w:rPr>
        <w:t>无</w:t>
      </w:r>
      <w:r>
        <w:rPr>
          <w:color w:val="auto"/>
          <w:szCs w:val="21"/>
          <w:highlight w:val="none"/>
          <w:u w:val="single"/>
        </w:rPr>
        <w:t xml:space="preserve">  </w:t>
      </w:r>
      <w:r>
        <w:rPr>
          <w:rFonts w:hint="eastAsia"/>
          <w:color w:val="auto"/>
          <w:szCs w:val="21"/>
          <w:highlight w:val="none"/>
          <w:u w:val="single"/>
        </w:rPr>
        <w:t xml:space="preserve"> </w:t>
      </w:r>
    </w:p>
    <w:p w14:paraId="77762927">
      <w:pPr>
        <w:spacing w:line="300" w:lineRule="exact"/>
        <w:ind w:firstLine="420" w:firstLineChars="200"/>
        <w:jc w:val="left"/>
        <w:rPr>
          <w:color w:val="auto"/>
          <w:szCs w:val="21"/>
          <w:highlight w:val="none"/>
        </w:rPr>
      </w:pPr>
      <w:r>
        <w:rPr>
          <w:rFonts w:hint="eastAsia"/>
          <w:color w:val="auto"/>
          <w:szCs w:val="21"/>
          <w:highlight w:val="none"/>
        </w:rPr>
        <w:t>履约保证金缴纳形式：供应商可以选择</w:t>
      </w:r>
      <w:r>
        <w:rPr>
          <w:color w:val="auto"/>
          <w:szCs w:val="21"/>
          <w:highlight w:val="none"/>
        </w:rPr>
        <w:t>电汇、转账</w:t>
      </w:r>
      <w:r>
        <w:rPr>
          <w:rFonts w:hint="eastAsia"/>
          <w:color w:val="auto"/>
          <w:szCs w:val="21"/>
          <w:highlight w:val="none"/>
        </w:rPr>
        <w:t>、</w:t>
      </w:r>
      <w:r>
        <w:rPr>
          <w:color w:val="auto"/>
          <w:szCs w:val="21"/>
          <w:highlight w:val="none"/>
        </w:rPr>
        <w:t>支票、汇票、本票、保函等形式缴纳或提交</w:t>
      </w:r>
      <w:r>
        <w:rPr>
          <w:rFonts w:hint="eastAsia"/>
          <w:color w:val="auto"/>
          <w:szCs w:val="21"/>
          <w:highlight w:val="none"/>
        </w:rPr>
        <w:t>；采用保函形式缴纳的，采购人在保证期限届满后及时对收取的保证金进行核实和结算。</w:t>
      </w:r>
    </w:p>
    <w:p w14:paraId="3E037816">
      <w:pPr>
        <w:spacing w:line="276" w:lineRule="auto"/>
        <w:ind w:firstLine="420" w:firstLineChars="200"/>
        <w:rPr>
          <w:color w:val="auto"/>
          <w:szCs w:val="21"/>
          <w:highlight w:val="none"/>
        </w:rPr>
      </w:pPr>
      <w:r>
        <w:rPr>
          <w:color w:val="auto"/>
          <w:szCs w:val="21"/>
          <w:highlight w:val="none"/>
        </w:rPr>
        <w:t>保证金缴纳的账号信息：</w:t>
      </w:r>
    </w:p>
    <w:p w14:paraId="0463423A">
      <w:pPr>
        <w:spacing w:line="276" w:lineRule="auto"/>
        <w:ind w:firstLine="420" w:firstLineChars="200"/>
        <w:rPr>
          <w:color w:val="auto"/>
          <w:szCs w:val="21"/>
          <w:highlight w:val="none"/>
          <w:u w:val="single"/>
        </w:rPr>
      </w:pPr>
      <w:r>
        <w:rPr>
          <w:color w:val="auto"/>
          <w:szCs w:val="21"/>
          <w:highlight w:val="none"/>
        </w:rPr>
        <w:t>开户名称：</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p>
    <w:p w14:paraId="04E1D183">
      <w:pPr>
        <w:spacing w:line="276" w:lineRule="auto"/>
        <w:ind w:firstLine="420" w:firstLineChars="200"/>
        <w:rPr>
          <w:color w:val="auto"/>
          <w:szCs w:val="21"/>
          <w:highlight w:val="none"/>
          <w:u w:val="single"/>
        </w:rPr>
      </w:pPr>
      <w:r>
        <w:rPr>
          <w:color w:val="auto"/>
          <w:szCs w:val="21"/>
          <w:highlight w:val="none"/>
        </w:rPr>
        <w:t>开户银行：</w:t>
      </w:r>
      <w:r>
        <w:rPr>
          <w:rFonts w:hint="eastAsia"/>
          <w:color w:val="auto"/>
          <w:szCs w:val="21"/>
          <w:highlight w:val="none"/>
          <w:u w:val="single"/>
        </w:rPr>
        <w:t xml:space="preserve">/ </w:t>
      </w:r>
    </w:p>
    <w:p w14:paraId="7F8FF035">
      <w:pPr>
        <w:spacing w:line="276" w:lineRule="auto"/>
        <w:ind w:firstLine="420" w:firstLineChars="200"/>
        <w:rPr>
          <w:color w:val="auto"/>
          <w:szCs w:val="21"/>
          <w:highlight w:val="none"/>
          <w:u w:val="single"/>
        </w:rPr>
      </w:pPr>
      <w:r>
        <w:rPr>
          <w:color w:val="auto"/>
          <w:szCs w:val="21"/>
          <w:highlight w:val="none"/>
        </w:rPr>
        <w:t>银行账号：</w:t>
      </w:r>
      <w:r>
        <w:rPr>
          <w:rFonts w:hint="eastAsia"/>
          <w:color w:val="auto"/>
          <w:szCs w:val="21"/>
          <w:highlight w:val="none"/>
        </w:rPr>
        <w:t>/</w:t>
      </w:r>
      <w:r>
        <w:rPr>
          <w:color w:val="auto"/>
          <w:szCs w:val="21"/>
          <w:highlight w:val="none"/>
          <w:u w:val="single"/>
        </w:rPr>
        <w:t xml:space="preserve"> </w:t>
      </w:r>
    </w:p>
    <w:p w14:paraId="7F3FA9E6">
      <w:pPr>
        <w:snapToGrid w:val="0"/>
        <w:spacing w:line="360" w:lineRule="exact"/>
        <w:ind w:firstLine="420" w:firstLineChars="200"/>
        <w:rPr>
          <w:color w:val="auto"/>
          <w:szCs w:val="21"/>
          <w:highlight w:val="none"/>
        </w:rPr>
      </w:pPr>
      <w:r>
        <w:rPr>
          <w:rFonts w:hint="eastAsia"/>
          <w:color w:val="auto"/>
          <w:szCs w:val="21"/>
          <w:highlight w:val="none"/>
        </w:rPr>
        <w:t>履约保证金退还方式及时间、条件、不予退还的情形：履约保证金自合同生效之日起生效至合同材料验收证书或进度款支付函签署之日起2</w:t>
      </w:r>
      <w:r>
        <w:rPr>
          <w:color w:val="auto"/>
          <w:szCs w:val="21"/>
          <w:highlight w:val="none"/>
        </w:rPr>
        <w:t>8</w:t>
      </w:r>
      <w:r>
        <w:rPr>
          <w:rFonts w:hint="eastAsia"/>
          <w:color w:val="auto"/>
          <w:szCs w:val="21"/>
          <w:highlight w:val="none"/>
        </w:rPr>
        <w:t>天后失效，</w:t>
      </w:r>
      <w:r>
        <w:rPr>
          <w:color w:val="auto"/>
          <w:szCs w:val="21"/>
          <w:highlight w:val="none"/>
        </w:rPr>
        <w:t>项目验收合格后，中标人可向采购人申请办理履约保证金的退付手续；</w:t>
      </w:r>
      <w:r>
        <w:rPr>
          <w:color w:val="auto"/>
          <w:highlight w:val="none"/>
        </w:rPr>
        <w:t>如果</w:t>
      </w:r>
      <w:r>
        <w:rPr>
          <w:rFonts w:hint="eastAsia"/>
          <w:color w:val="auto"/>
          <w:highlight w:val="none"/>
        </w:rPr>
        <w:t>中标人</w:t>
      </w:r>
      <w:r>
        <w:rPr>
          <w:color w:val="auto"/>
          <w:highlight w:val="none"/>
        </w:rPr>
        <w:t>不履行合同约定的义务或其履行不符合合同的 约定，</w:t>
      </w:r>
      <w:r>
        <w:rPr>
          <w:rFonts w:hint="eastAsia"/>
          <w:color w:val="auto"/>
          <w:highlight w:val="none"/>
        </w:rPr>
        <w:t>采购人</w:t>
      </w:r>
      <w:r>
        <w:rPr>
          <w:color w:val="auto"/>
          <w:highlight w:val="none"/>
        </w:rPr>
        <w:t>有权扣划</w:t>
      </w:r>
      <w:r>
        <w:rPr>
          <w:rFonts w:hint="eastAsia"/>
          <w:color w:val="auto"/>
          <w:highlight w:val="none"/>
        </w:rPr>
        <w:t>全部或</w:t>
      </w:r>
      <w:r>
        <w:rPr>
          <w:color w:val="auto"/>
          <w:highlight w:val="none"/>
        </w:rPr>
        <w:t>相应金额的履约保证金。</w:t>
      </w:r>
      <w:r>
        <w:rPr>
          <w:color w:val="auto"/>
          <w:szCs w:val="21"/>
          <w:highlight w:val="none"/>
        </w:rPr>
        <w:t xml:space="preserve"> </w:t>
      </w:r>
    </w:p>
    <w:p w14:paraId="4719F3F0">
      <w:pPr>
        <w:snapToGrid w:val="0"/>
        <w:spacing w:line="300" w:lineRule="exact"/>
        <w:ind w:firstLine="420" w:firstLineChars="200"/>
        <w:rPr>
          <w:color w:val="auto"/>
          <w:szCs w:val="21"/>
          <w:highlight w:val="none"/>
        </w:rPr>
      </w:pPr>
      <w:r>
        <w:rPr>
          <w:rFonts w:hint="eastAsia"/>
          <w:color w:val="auto"/>
          <w:szCs w:val="21"/>
          <w:highlight w:val="none"/>
        </w:rPr>
        <w:t>履约保证金符合退还条件的，采购人在收到中标人提交的履约保证金退付申请之日起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天内退还履约保证金，如未在规定时间内退还的，中标人可予以催告，采购人应按中国人民银行发布的同期同类贷款基准利率向中标人支付自催告日期起的利息。</w:t>
      </w:r>
    </w:p>
    <w:p w14:paraId="61886D93">
      <w:pPr>
        <w:snapToGrid w:val="0"/>
        <w:spacing w:line="360" w:lineRule="exact"/>
        <w:ind w:firstLine="422" w:firstLineChars="200"/>
        <w:rPr>
          <w:b/>
          <w:color w:val="auto"/>
          <w:szCs w:val="21"/>
          <w:highlight w:val="none"/>
        </w:rPr>
      </w:pPr>
      <w:r>
        <w:rPr>
          <w:b/>
          <w:color w:val="auto"/>
          <w:szCs w:val="21"/>
          <w:highlight w:val="none"/>
        </w:rPr>
        <w:t>第十一条 税费</w:t>
      </w:r>
    </w:p>
    <w:p w14:paraId="2DACDAFB">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06BF311B">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3C6AF673">
      <w:pPr>
        <w:snapToGrid w:val="0"/>
        <w:spacing w:line="30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6A37EAB5">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.乙方逾期交</w:t>
      </w:r>
      <w:r>
        <w:rPr>
          <w:rFonts w:hint="eastAsia"/>
          <w:color w:val="auto"/>
          <w:szCs w:val="21"/>
          <w:highlight w:val="none"/>
        </w:rPr>
        <w:t>付产品</w:t>
      </w:r>
      <w:r>
        <w:rPr>
          <w:color w:val="auto"/>
          <w:szCs w:val="21"/>
          <w:highlight w:val="none"/>
        </w:rPr>
        <w:t>或服务成果的，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，但违约金累计不得超过</w:t>
      </w:r>
      <w:r>
        <w:rPr>
          <w:rFonts w:hint="eastAsia"/>
          <w:color w:val="auto"/>
          <w:highlight w:val="none"/>
        </w:rPr>
        <w:t>合同总金额</w:t>
      </w:r>
      <w:r>
        <w:rPr>
          <w:color w:val="auto"/>
          <w:szCs w:val="21"/>
          <w:highlight w:val="none"/>
          <w:u w:val="single"/>
        </w:rPr>
        <w:t>5%，</w:t>
      </w:r>
      <w:r>
        <w:rPr>
          <w:color w:val="auto"/>
          <w:szCs w:val="21"/>
          <w:highlight w:val="none"/>
        </w:rPr>
        <w:t>甲方延期付</w:t>
      </w:r>
      <w:r>
        <w:rPr>
          <w:rFonts w:hint="eastAsia"/>
          <w:color w:val="auto"/>
          <w:szCs w:val="21"/>
          <w:highlight w:val="none"/>
        </w:rPr>
        <w:t>产品或服务费用</w:t>
      </w:r>
      <w:r>
        <w:rPr>
          <w:color w:val="auto"/>
          <w:szCs w:val="21"/>
          <w:highlight w:val="none"/>
        </w:rPr>
        <w:t>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w:t>
      </w:r>
      <w:r>
        <w:rPr>
          <w:rFonts w:hint="eastAsia"/>
          <w:color w:val="auto"/>
          <w:highlight w:val="none"/>
        </w:rPr>
        <w:t>合同总金额</w:t>
      </w:r>
      <w:r>
        <w:rPr>
          <w:color w:val="auto"/>
          <w:szCs w:val="21"/>
          <w:highlight w:val="none"/>
          <w:u w:val="single"/>
        </w:rPr>
        <w:t>5%</w:t>
      </w:r>
      <w:r>
        <w:rPr>
          <w:color w:val="auto"/>
          <w:szCs w:val="21"/>
          <w:highlight w:val="none"/>
        </w:rPr>
        <w:t>。</w:t>
      </w:r>
    </w:p>
    <w:p w14:paraId="41E3E923">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6C1386C6">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.乙方或乙方人员违反保密义务时，甲方有权书面通知乙方解除合同，且无需支付合同解除后的合同后续费用。同时，乙方必须退还甲方已付出的所有咨询费用，并赔偿由此给甲方造成的全部损失。</w:t>
      </w:r>
    </w:p>
    <w:p w14:paraId="7AFD9B0A">
      <w:pPr>
        <w:snapToGrid w:val="0"/>
        <w:spacing w:line="36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.乙方未按本合同和响应文件中规定的服务承诺提供售后服务的，乙方应按本合同</w:t>
      </w:r>
      <w:r>
        <w:rPr>
          <w:rStyle w:val="28"/>
          <w:rFonts w:hint="eastAsia"/>
          <w:color w:val="auto"/>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15BBA0ED">
      <w:pPr>
        <w:snapToGrid w:val="0"/>
        <w:spacing w:line="360" w:lineRule="exact"/>
        <w:ind w:firstLine="420" w:firstLineChars="200"/>
        <w:rPr>
          <w:color w:val="auto"/>
          <w:szCs w:val="21"/>
          <w:highlight w:val="none"/>
        </w:rPr>
      </w:pPr>
      <w:r>
        <w:rPr>
          <w:rFonts w:hint="eastAsia"/>
          <w:color w:val="auto"/>
          <w:szCs w:val="21"/>
          <w:highlight w:val="none"/>
        </w:rPr>
        <w:t>6</w:t>
      </w:r>
      <w:r>
        <w:rPr>
          <w:color w:val="auto"/>
          <w:szCs w:val="21"/>
          <w:highlight w:val="none"/>
        </w:rPr>
        <w:t>.乙方提供的</w:t>
      </w:r>
      <w:r>
        <w:rPr>
          <w:rFonts w:hint="eastAsia"/>
          <w:color w:val="auto"/>
          <w:szCs w:val="21"/>
          <w:highlight w:val="none"/>
        </w:rPr>
        <w:t>产品</w:t>
      </w:r>
      <w:r>
        <w:rPr>
          <w:color w:val="auto"/>
          <w:szCs w:val="21"/>
          <w:highlight w:val="none"/>
        </w:rPr>
        <w:t>或服务成果在质量保证期内，因设计、工艺或材料的缺陷和其它质量原因造成的问题，由乙方负责，费用从质量保证金中扣除，质量保证金不足以支付的，由乙方另行支付。</w:t>
      </w:r>
    </w:p>
    <w:p w14:paraId="53EA90FC">
      <w:pPr>
        <w:snapToGrid w:val="0"/>
        <w:spacing w:line="36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或服务如侵犯了第三方合法权益而引发的任何纠纷或诉讼，均由乙方负责交涉并承担全部责任。</w:t>
      </w:r>
    </w:p>
    <w:p w14:paraId="12FDA0AF">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.其它违约行为按违约</w:t>
      </w:r>
      <w:r>
        <w:rPr>
          <w:rFonts w:hint="eastAsia"/>
          <w:color w:val="auto"/>
          <w:szCs w:val="21"/>
          <w:highlight w:val="none"/>
        </w:rPr>
        <w:t>部分产品</w:t>
      </w:r>
      <w:r>
        <w:rPr>
          <w:color w:val="auto"/>
          <w:szCs w:val="21"/>
          <w:highlight w:val="none"/>
        </w:rPr>
        <w:t>或服务费用金额5%收取违约金并赔偿经济损失。</w:t>
      </w:r>
    </w:p>
    <w:p w14:paraId="61BC9C46">
      <w:pPr>
        <w:snapToGrid w:val="0"/>
        <w:spacing w:line="300" w:lineRule="exact"/>
        <w:ind w:firstLine="420" w:firstLineChars="200"/>
        <w:rPr>
          <w:rFonts w:hint="eastAsia"/>
          <w:color w:val="auto"/>
          <w:szCs w:val="21"/>
          <w:highlight w:val="none"/>
        </w:rPr>
      </w:pPr>
      <w:r>
        <w:rPr>
          <w:rFonts w:hint="eastAsia"/>
          <w:color w:val="auto"/>
          <w:szCs w:val="21"/>
          <w:highlight w:val="none"/>
        </w:rPr>
        <w:t>9</w:t>
      </w:r>
      <w:r>
        <w:rPr>
          <w:color w:val="auto"/>
          <w:szCs w:val="21"/>
          <w:highlight w:val="none"/>
        </w:rPr>
        <w:t>.</w:t>
      </w:r>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r>
        <w:rPr>
          <w:rFonts w:hint="eastAsia"/>
          <w:color w:val="auto"/>
          <w:szCs w:val="21"/>
          <w:highlight w:val="none"/>
        </w:rPr>
        <w:t>。</w:t>
      </w:r>
    </w:p>
    <w:p w14:paraId="048D1790">
      <w:pPr>
        <w:pStyle w:val="13"/>
        <w:snapToGrid w:val="0"/>
        <w:spacing w:before="120" w:after="120" w:line="360" w:lineRule="exact"/>
        <w:ind w:firstLine="413" w:firstLineChars="196"/>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条 不可抗力事件处理</w:t>
      </w:r>
    </w:p>
    <w:p w14:paraId="47DACA3C">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5652931D">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23E711DF">
      <w:pPr>
        <w:snapToGrid w:val="0"/>
        <w:spacing w:line="36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44812100">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2AFBC597">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4D07D96F">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46B79989">
      <w:pPr>
        <w:snapToGrid w:val="0"/>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诉讼期间，本合同继续履行。</w:t>
      </w:r>
    </w:p>
    <w:p w14:paraId="585787D1">
      <w:pPr>
        <w:pStyle w:val="13"/>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合同生效及其它</w:t>
      </w:r>
    </w:p>
    <w:p w14:paraId="0A416AE1">
      <w:pPr>
        <w:snapToGrid w:val="0"/>
        <w:spacing w:line="30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r>
        <w:rPr>
          <w:color w:val="auto"/>
          <w:szCs w:val="21"/>
          <w:highlight w:val="none"/>
          <w:u w:val="single"/>
        </w:rPr>
        <w:t>本合同履行期限为：         ；合同履行地点为：                    ；合同履行的方式： 按照本合同约定  。</w:t>
      </w:r>
    </w:p>
    <w:p w14:paraId="7BEBD690">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合同经双方法定代表人或授权代表签字并加盖单位公章后生效。</w:t>
      </w:r>
    </w:p>
    <w:p w14:paraId="56582F06">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color w:val="auto"/>
          <w:szCs w:val="21"/>
          <w:highlight w:val="none"/>
        </w:rPr>
        <w:t>签书面补充协议。</w:t>
      </w:r>
    </w:p>
    <w:p w14:paraId="398D20B1">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2D60D42B">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2776C26B">
      <w:pPr>
        <w:snapToGrid w:val="0"/>
        <w:spacing w:line="30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4A1874B4">
      <w:pPr>
        <w:snapToGrid w:val="0"/>
        <w:spacing w:line="300" w:lineRule="exact"/>
        <w:ind w:firstLine="420" w:firstLineChars="200"/>
        <w:rPr>
          <w:rFonts w:hint="eastAsia"/>
          <w:color w:val="auto"/>
          <w:szCs w:val="21"/>
          <w:highlight w:val="none"/>
        </w:rPr>
      </w:pPr>
      <w:r>
        <w:rPr>
          <w:rFonts w:hint="eastAsia"/>
          <w:color w:val="auto"/>
          <w:szCs w:val="21"/>
          <w:highlight w:val="none"/>
        </w:rPr>
        <w:t xml:space="preserve">7.本合同（☑是  </w:t>
      </w:r>
      <w:r>
        <w:rPr>
          <w:rFonts w:hint="eastAsia"/>
          <w:color w:val="auto"/>
          <w:szCs w:val="21"/>
          <w:highlight w:val="none"/>
        </w:rPr>
        <w:sym w:font="Wingdings" w:char="00FE"/>
      </w:r>
      <w:r>
        <w:rPr>
          <w:rFonts w:hint="eastAsia"/>
          <w:color w:val="auto"/>
          <w:szCs w:val="21"/>
          <w:highlight w:val="none"/>
        </w:rPr>
        <w:t>否）为中小企业预留合同</w:t>
      </w:r>
    </w:p>
    <w:p w14:paraId="20F7E80A">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38DB3A22">
      <w:pPr>
        <w:snapToGrid w:val="0"/>
        <w:spacing w:line="360" w:lineRule="exact"/>
        <w:ind w:firstLine="420" w:firstLineChars="200"/>
        <w:rPr>
          <w:color w:val="auto"/>
          <w:szCs w:val="21"/>
          <w:highlight w:val="none"/>
        </w:rPr>
      </w:pPr>
      <w:r>
        <w:rPr>
          <w:color w:val="auto"/>
          <w:szCs w:val="21"/>
          <w:highlight w:val="none"/>
        </w:rPr>
        <w:t>1.除《中华人民共和国政府采购法》第五十条规定的情形外，本合同一经签订，甲乙双方不得擅自变更、中止或终止。</w:t>
      </w:r>
    </w:p>
    <w:p w14:paraId="349F0997">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677E46AA">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签订本合同依据</w:t>
      </w:r>
    </w:p>
    <w:p w14:paraId="79D9C41B">
      <w:pPr>
        <w:snapToGrid w:val="0"/>
        <w:spacing w:line="360" w:lineRule="exact"/>
        <w:ind w:firstLine="420" w:firstLineChars="200"/>
        <w:rPr>
          <w:rFonts w:hint="eastAsia"/>
          <w:b w:val="0"/>
          <w:bCs/>
          <w:color w:val="auto"/>
          <w:szCs w:val="21"/>
          <w:highlight w:val="none"/>
        </w:rPr>
      </w:pPr>
      <w:r>
        <w:rPr>
          <w:rFonts w:hint="eastAsia"/>
          <w:b w:val="0"/>
          <w:bCs/>
          <w:color w:val="auto"/>
          <w:szCs w:val="21"/>
          <w:highlight w:val="none"/>
        </w:rPr>
        <w:t>1.竞争性磋商文件;</w:t>
      </w:r>
    </w:p>
    <w:p w14:paraId="0C146D8B">
      <w:pPr>
        <w:snapToGrid w:val="0"/>
        <w:spacing w:line="360" w:lineRule="exact"/>
        <w:ind w:firstLine="420" w:firstLineChars="200"/>
        <w:rPr>
          <w:rFonts w:hint="eastAsia"/>
          <w:b w:val="0"/>
          <w:bCs/>
          <w:color w:val="auto"/>
          <w:szCs w:val="21"/>
          <w:highlight w:val="none"/>
        </w:rPr>
      </w:pPr>
      <w:r>
        <w:rPr>
          <w:rFonts w:hint="eastAsia"/>
          <w:b w:val="0"/>
          <w:bCs/>
          <w:color w:val="auto"/>
          <w:szCs w:val="21"/>
          <w:highlight w:val="none"/>
        </w:rPr>
        <w:t>2.乙方提供的响应文件;</w:t>
      </w:r>
    </w:p>
    <w:p w14:paraId="1C542D89">
      <w:pPr>
        <w:snapToGrid w:val="0"/>
        <w:spacing w:line="360" w:lineRule="exact"/>
        <w:ind w:firstLine="420" w:firstLineChars="200"/>
        <w:rPr>
          <w:rFonts w:hint="eastAsia"/>
          <w:b w:val="0"/>
          <w:bCs/>
          <w:color w:val="auto"/>
          <w:szCs w:val="21"/>
          <w:highlight w:val="none"/>
        </w:rPr>
      </w:pPr>
      <w:r>
        <w:rPr>
          <w:rFonts w:hint="eastAsia"/>
          <w:b w:val="0"/>
          <w:bCs/>
          <w:color w:val="auto"/>
          <w:szCs w:val="21"/>
          <w:highlight w:val="none"/>
        </w:rPr>
        <w:t>3.磋商声明书;</w:t>
      </w:r>
    </w:p>
    <w:p w14:paraId="54AB7BC8">
      <w:pPr>
        <w:snapToGrid w:val="0"/>
        <w:spacing w:line="360" w:lineRule="exact"/>
        <w:ind w:firstLine="420" w:firstLineChars="200"/>
        <w:rPr>
          <w:rFonts w:hint="eastAsia"/>
          <w:b/>
          <w:color w:val="auto"/>
          <w:szCs w:val="21"/>
          <w:highlight w:val="none"/>
        </w:rPr>
      </w:pPr>
      <w:r>
        <w:rPr>
          <w:rFonts w:hint="eastAsia"/>
          <w:b w:val="0"/>
          <w:bCs/>
          <w:color w:val="auto"/>
          <w:szCs w:val="21"/>
          <w:highlight w:val="none"/>
        </w:rPr>
        <w:t>4.成交通知书。</w:t>
      </w:r>
    </w:p>
    <w:p w14:paraId="1644CA79">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01D827F1">
      <w:pPr>
        <w:snapToGrid w:val="0"/>
        <w:spacing w:line="36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04B1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54BC2910">
            <w:pPr>
              <w:snapToGrid w:val="0"/>
              <w:spacing w:line="360" w:lineRule="exact"/>
              <w:rPr>
                <w:color w:val="auto"/>
                <w:szCs w:val="21"/>
                <w:highlight w:val="none"/>
              </w:rPr>
            </w:pPr>
            <w:r>
              <w:rPr>
                <w:color w:val="auto"/>
                <w:szCs w:val="21"/>
                <w:highlight w:val="none"/>
              </w:rPr>
              <w:t xml:space="preserve">甲方（章）           </w:t>
            </w:r>
          </w:p>
          <w:p w14:paraId="065D5381">
            <w:pPr>
              <w:snapToGrid w:val="0"/>
              <w:spacing w:line="360" w:lineRule="exact"/>
              <w:ind w:firstLine="945" w:firstLineChars="450"/>
              <w:jc w:val="right"/>
              <w:rPr>
                <w:color w:val="auto"/>
                <w:szCs w:val="21"/>
                <w:highlight w:val="none"/>
              </w:rPr>
            </w:pPr>
          </w:p>
        </w:tc>
        <w:tc>
          <w:tcPr>
            <w:tcW w:w="4688" w:type="dxa"/>
            <w:noWrap w:val="0"/>
            <w:vAlign w:val="center"/>
          </w:tcPr>
          <w:p w14:paraId="5E68B916">
            <w:pPr>
              <w:snapToGrid w:val="0"/>
              <w:spacing w:line="360" w:lineRule="exact"/>
              <w:rPr>
                <w:color w:val="auto"/>
                <w:szCs w:val="21"/>
                <w:highlight w:val="none"/>
              </w:rPr>
            </w:pPr>
            <w:r>
              <w:rPr>
                <w:color w:val="auto"/>
                <w:szCs w:val="21"/>
                <w:highlight w:val="none"/>
              </w:rPr>
              <w:t xml:space="preserve">乙方（章）              </w:t>
            </w:r>
          </w:p>
          <w:p w14:paraId="2309B214">
            <w:pPr>
              <w:snapToGrid w:val="0"/>
              <w:spacing w:line="360" w:lineRule="exact"/>
              <w:jc w:val="right"/>
              <w:rPr>
                <w:color w:val="auto"/>
                <w:szCs w:val="21"/>
                <w:highlight w:val="none"/>
              </w:rPr>
            </w:pPr>
          </w:p>
        </w:tc>
      </w:tr>
      <w:tr w14:paraId="7A4F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08DBDF04">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2DE7A40B">
            <w:pPr>
              <w:snapToGrid w:val="0"/>
              <w:spacing w:line="360" w:lineRule="exact"/>
              <w:rPr>
                <w:color w:val="auto"/>
                <w:szCs w:val="21"/>
                <w:highlight w:val="none"/>
              </w:rPr>
            </w:pPr>
            <w:r>
              <w:rPr>
                <w:color w:val="auto"/>
                <w:szCs w:val="21"/>
                <w:highlight w:val="none"/>
              </w:rPr>
              <w:t>单位地址：</w:t>
            </w:r>
          </w:p>
        </w:tc>
      </w:tr>
      <w:tr w14:paraId="1CFA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30782473">
            <w:pPr>
              <w:snapToGrid w:val="0"/>
              <w:spacing w:line="360" w:lineRule="exact"/>
              <w:rPr>
                <w:color w:val="auto"/>
                <w:szCs w:val="21"/>
                <w:highlight w:val="none"/>
              </w:rPr>
            </w:pPr>
            <w:r>
              <w:rPr>
                <w:color w:val="auto"/>
                <w:szCs w:val="21"/>
                <w:highlight w:val="none"/>
              </w:rPr>
              <w:t>法定代表人：</w:t>
            </w:r>
          </w:p>
        </w:tc>
        <w:tc>
          <w:tcPr>
            <w:tcW w:w="4688" w:type="dxa"/>
            <w:noWrap w:val="0"/>
            <w:vAlign w:val="center"/>
          </w:tcPr>
          <w:p w14:paraId="08B6A032">
            <w:pPr>
              <w:snapToGrid w:val="0"/>
              <w:spacing w:line="360" w:lineRule="exact"/>
              <w:rPr>
                <w:color w:val="auto"/>
                <w:szCs w:val="21"/>
                <w:highlight w:val="none"/>
              </w:rPr>
            </w:pPr>
            <w:r>
              <w:rPr>
                <w:color w:val="auto"/>
                <w:szCs w:val="21"/>
                <w:highlight w:val="none"/>
              </w:rPr>
              <w:t>法定代表人：</w:t>
            </w:r>
          </w:p>
        </w:tc>
      </w:tr>
      <w:tr w14:paraId="13E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0347945F">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0AC52B3A">
            <w:pPr>
              <w:snapToGrid w:val="0"/>
              <w:spacing w:line="360" w:lineRule="exact"/>
              <w:rPr>
                <w:color w:val="auto"/>
                <w:szCs w:val="21"/>
                <w:highlight w:val="none"/>
              </w:rPr>
            </w:pPr>
            <w:r>
              <w:rPr>
                <w:color w:val="auto"/>
                <w:szCs w:val="21"/>
                <w:highlight w:val="none"/>
              </w:rPr>
              <w:t>委托代理人</w:t>
            </w:r>
          </w:p>
        </w:tc>
      </w:tr>
      <w:tr w14:paraId="5C0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0C9C0A0C">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2C1CDBD9">
            <w:pPr>
              <w:snapToGrid w:val="0"/>
              <w:spacing w:line="360" w:lineRule="exact"/>
              <w:rPr>
                <w:color w:val="auto"/>
                <w:szCs w:val="21"/>
                <w:highlight w:val="none"/>
              </w:rPr>
            </w:pPr>
            <w:r>
              <w:rPr>
                <w:color w:val="auto"/>
                <w:szCs w:val="21"/>
                <w:highlight w:val="none"/>
              </w:rPr>
              <w:t>电话：</w:t>
            </w:r>
          </w:p>
        </w:tc>
      </w:tr>
      <w:tr w14:paraId="28E9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01F1E2EF">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276559CA">
            <w:pPr>
              <w:snapToGrid w:val="0"/>
              <w:spacing w:line="360" w:lineRule="exact"/>
              <w:rPr>
                <w:color w:val="auto"/>
                <w:szCs w:val="21"/>
                <w:highlight w:val="none"/>
              </w:rPr>
            </w:pPr>
            <w:r>
              <w:rPr>
                <w:color w:val="auto"/>
                <w:szCs w:val="21"/>
                <w:highlight w:val="none"/>
              </w:rPr>
              <w:t>开户银行：</w:t>
            </w:r>
          </w:p>
        </w:tc>
      </w:tr>
      <w:tr w14:paraId="17C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7B2E67BF">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2134F6C8">
            <w:pPr>
              <w:snapToGrid w:val="0"/>
              <w:spacing w:line="360" w:lineRule="exact"/>
              <w:rPr>
                <w:color w:val="auto"/>
                <w:szCs w:val="21"/>
                <w:highlight w:val="none"/>
              </w:rPr>
            </w:pPr>
            <w:r>
              <w:rPr>
                <w:color w:val="auto"/>
                <w:szCs w:val="21"/>
                <w:highlight w:val="none"/>
              </w:rPr>
              <w:t>账号：</w:t>
            </w:r>
          </w:p>
        </w:tc>
      </w:tr>
    </w:tbl>
    <w:p w14:paraId="30E26269">
      <w:pPr>
        <w:rPr>
          <w:rFonts w:ascii="宋体" w:hAnsi="宋体" w:cs="宋体"/>
          <w:color w:val="auto"/>
          <w:highlight w:val="none"/>
        </w:rPr>
      </w:pPr>
    </w:p>
    <w:p w14:paraId="29E95114">
      <w:pPr>
        <w:rPr>
          <w:rFonts w:ascii="宋体" w:hAnsi="宋体" w:cs="宋体"/>
          <w:color w:val="auto"/>
          <w:highlight w:val="none"/>
        </w:rPr>
      </w:pPr>
    </w:p>
    <w:p w14:paraId="1BCB95E9">
      <w:pPr>
        <w:rPr>
          <w:rFonts w:hint="default" w:ascii="Times New Roman" w:hAnsi="Times New Roman" w:eastAsia="宋体" w:cs="Times New Roman"/>
          <w:color w:val="auto"/>
          <w:highlight w:val="none"/>
        </w:rPr>
      </w:pPr>
      <w:r>
        <w:rPr>
          <w:rFonts w:hint="eastAsia" w:ascii="宋体" w:hAnsi="宋体" w:cs="宋体"/>
          <w:b/>
          <w:color w:val="auto"/>
          <w:sz w:val="28"/>
          <w:szCs w:val="28"/>
          <w:highlight w:val="none"/>
        </w:rPr>
        <w:br w:type="page"/>
      </w:r>
    </w:p>
    <w:p w14:paraId="4B366AB1">
      <w:pPr>
        <w:pStyle w:val="13"/>
        <w:spacing w:line="360" w:lineRule="auto"/>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color w:val="auto"/>
          <w:sz w:val="36"/>
          <w:szCs w:val="36"/>
          <w:highlight w:val="none"/>
        </w:rPr>
        <w:t>政府采购项目合同验收报告（格式）</w:t>
      </w:r>
    </w:p>
    <w:p w14:paraId="3E168A60">
      <w:pPr>
        <w:widowControl/>
        <w:snapToGrid w:val="0"/>
        <w:spacing w:before="100" w:beforeAutospacing="1" w:after="100" w:afterAutospacing="1" w:line="440" w:lineRule="exact"/>
        <w:ind w:firstLine="659"/>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根据政府采购合同</w:t>
      </w:r>
      <w:r>
        <w:rPr>
          <w:rFonts w:hint="default" w:ascii="Times New Roman" w:hAnsi="Times New Roman" w:eastAsia="宋体" w:cs="Times New Roman"/>
          <w:color w:val="auto"/>
          <w:kern w:val="0"/>
          <w:szCs w:val="21"/>
          <w:highlight w:val="none"/>
          <w:u w:val="single"/>
        </w:rPr>
        <w:t xml:space="preserve">（采购合同编号：    ）的约定，我单位对（项目名称）       政府采购项目成交供应商（公司名称）       </w:t>
      </w:r>
      <w:r>
        <w:rPr>
          <w:rFonts w:hint="default" w:ascii="Times New Roman" w:hAnsi="Times New Roman" w:eastAsia="宋体" w:cs="Times New Roman"/>
          <w:color w:val="auto"/>
          <w:kern w:val="0"/>
          <w:szCs w:val="21"/>
          <w:highlight w:val="none"/>
        </w:rPr>
        <w:t>提供的或服务进行了验收，验收情况如下：</w:t>
      </w:r>
    </w:p>
    <w:tbl>
      <w:tblPr>
        <w:tblStyle w:val="24"/>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779"/>
      </w:tblGrid>
      <w:tr w14:paraId="247E8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noWrap w:val="0"/>
            <w:vAlign w:val="center"/>
          </w:tcPr>
          <w:p w14:paraId="61B4541B">
            <w:pPr>
              <w:widowControl/>
              <w:snapToGrid w:val="0"/>
              <w:ind w:left="-3"/>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验收方式：</w:t>
            </w:r>
          </w:p>
        </w:tc>
        <w:tc>
          <w:tcPr>
            <w:tcW w:w="6218" w:type="dxa"/>
            <w:gridSpan w:val="5"/>
            <w:noWrap w:val="0"/>
            <w:vAlign w:val="center"/>
          </w:tcPr>
          <w:p w14:paraId="546DC2B5">
            <w:pPr>
              <w:widowControl/>
              <w:snapToGrid w:val="0"/>
              <w:ind w:left="-3"/>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自行验收         </w:t>
            </w: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联合验收</w:t>
            </w:r>
          </w:p>
        </w:tc>
      </w:tr>
      <w:tr w14:paraId="5B054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noWrap w:val="0"/>
            <w:vAlign w:val="center"/>
          </w:tcPr>
          <w:p w14:paraId="4A30DA72">
            <w:pPr>
              <w:widowControl/>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963" w:type="dxa"/>
            <w:noWrap w:val="0"/>
            <w:vAlign w:val="center"/>
          </w:tcPr>
          <w:p w14:paraId="23735675">
            <w:pPr>
              <w:widowControl/>
              <w:snapToGrid w:val="0"/>
              <w:ind w:left="-3"/>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名  称</w:t>
            </w:r>
          </w:p>
        </w:tc>
        <w:tc>
          <w:tcPr>
            <w:tcW w:w="3441" w:type="dxa"/>
            <w:gridSpan w:val="2"/>
            <w:noWrap w:val="0"/>
            <w:vAlign w:val="center"/>
          </w:tcPr>
          <w:p w14:paraId="0D75DDD4">
            <w:pPr>
              <w:widowControl/>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服务内容、标准</w:t>
            </w:r>
          </w:p>
        </w:tc>
        <w:tc>
          <w:tcPr>
            <w:tcW w:w="998" w:type="dxa"/>
            <w:gridSpan w:val="2"/>
            <w:noWrap w:val="0"/>
            <w:vAlign w:val="center"/>
          </w:tcPr>
          <w:p w14:paraId="76A0ADD9">
            <w:pPr>
              <w:widowControl/>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1779" w:type="dxa"/>
            <w:noWrap w:val="0"/>
            <w:vAlign w:val="center"/>
          </w:tcPr>
          <w:p w14:paraId="14C5751C">
            <w:pPr>
              <w:widowControl/>
              <w:snapToGrid w:val="0"/>
              <w:ind w:left="-3"/>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与合同约定</w:t>
            </w:r>
          </w:p>
          <w:p w14:paraId="7AB60885">
            <w:pPr>
              <w:widowControl/>
              <w:snapToGrid w:val="0"/>
              <w:ind w:left="-3"/>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是否一致</w:t>
            </w:r>
          </w:p>
        </w:tc>
      </w:tr>
      <w:tr w14:paraId="5DA83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3E8A5B57">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963" w:type="dxa"/>
            <w:noWrap w:val="0"/>
            <w:vAlign w:val="center"/>
          </w:tcPr>
          <w:p w14:paraId="6B329CE4">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3441" w:type="dxa"/>
            <w:gridSpan w:val="2"/>
            <w:noWrap w:val="0"/>
            <w:vAlign w:val="center"/>
          </w:tcPr>
          <w:p w14:paraId="3B036C54">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998" w:type="dxa"/>
            <w:gridSpan w:val="2"/>
            <w:noWrap w:val="0"/>
            <w:vAlign w:val="center"/>
          </w:tcPr>
          <w:p w14:paraId="1FF643BF">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779" w:type="dxa"/>
            <w:noWrap w:val="0"/>
            <w:vAlign w:val="center"/>
          </w:tcPr>
          <w:p w14:paraId="690DE983">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r>
      <w:tr w14:paraId="18C83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151E5622">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963" w:type="dxa"/>
            <w:noWrap w:val="0"/>
            <w:vAlign w:val="center"/>
          </w:tcPr>
          <w:p w14:paraId="341CDF16">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3441" w:type="dxa"/>
            <w:gridSpan w:val="2"/>
            <w:noWrap w:val="0"/>
            <w:vAlign w:val="center"/>
          </w:tcPr>
          <w:p w14:paraId="1822E28B">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998" w:type="dxa"/>
            <w:gridSpan w:val="2"/>
            <w:noWrap w:val="0"/>
            <w:vAlign w:val="center"/>
          </w:tcPr>
          <w:p w14:paraId="0B01CFE7">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779" w:type="dxa"/>
            <w:noWrap w:val="0"/>
            <w:vAlign w:val="center"/>
          </w:tcPr>
          <w:p w14:paraId="0271B900">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r>
      <w:tr w14:paraId="72C4C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52246BA4">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963" w:type="dxa"/>
            <w:noWrap w:val="0"/>
            <w:vAlign w:val="center"/>
          </w:tcPr>
          <w:p w14:paraId="5A92F12F">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3441" w:type="dxa"/>
            <w:gridSpan w:val="2"/>
            <w:noWrap w:val="0"/>
            <w:vAlign w:val="center"/>
          </w:tcPr>
          <w:p w14:paraId="121299C4">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998" w:type="dxa"/>
            <w:gridSpan w:val="2"/>
            <w:noWrap w:val="0"/>
            <w:vAlign w:val="center"/>
          </w:tcPr>
          <w:p w14:paraId="1D5D1CED">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779" w:type="dxa"/>
            <w:noWrap w:val="0"/>
            <w:vAlign w:val="center"/>
          </w:tcPr>
          <w:p w14:paraId="514A1E26">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r>
      <w:tr w14:paraId="03570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5C522604">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963" w:type="dxa"/>
            <w:noWrap w:val="0"/>
            <w:vAlign w:val="center"/>
          </w:tcPr>
          <w:p w14:paraId="01C3D2E3">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3441" w:type="dxa"/>
            <w:gridSpan w:val="2"/>
            <w:noWrap w:val="0"/>
            <w:vAlign w:val="center"/>
          </w:tcPr>
          <w:p w14:paraId="250DACDD">
            <w:pPr>
              <w:widowControl/>
              <w:snapToGrid w:val="0"/>
              <w:ind w:left="-3" w:firstLine="576"/>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998" w:type="dxa"/>
            <w:gridSpan w:val="2"/>
            <w:noWrap w:val="0"/>
            <w:vAlign w:val="center"/>
          </w:tcPr>
          <w:p w14:paraId="59FE91BF">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c>
          <w:tcPr>
            <w:tcW w:w="1779" w:type="dxa"/>
            <w:noWrap w:val="0"/>
            <w:vAlign w:val="center"/>
          </w:tcPr>
          <w:p w14:paraId="28ADA37B">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r>
      <w:tr w14:paraId="25108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589CEE8A">
            <w:pPr>
              <w:widowControl/>
              <w:snapToGrid w:val="0"/>
              <w:ind w:left="-3" w:firstLine="576"/>
              <w:jc w:val="left"/>
              <w:rPr>
                <w:rFonts w:hint="default" w:ascii="Times New Roman" w:hAnsi="Times New Roman" w:eastAsia="宋体" w:cs="Times New Roman"/>
                <w:color w:val="auto"/>
                <w:kern w:val="0"/>
                <w:szCs w:val="21"/>
                <w:highlight w:val="none"/>
              </w:rPr>
            </w:pPr>
          </w:p>
        </w:tc>
        <w:tc>
          <w:tcPr>
            <w:tcW w:w="1963" w:type="dxa"/>
            <w:noWrap w:val="0"/>
            <w:vAlign w:val="center"/>
          </w:tcPr>
          <w:p w14:paraId="6DDDD733">
            <w:pPr>
              <w:widowControl/>
              <w:snapToGrid w:val="0"/>
              <w:ind w:left="-3" w:firstLine="576"/>
              <w:jc w:val="left"/>
              <w:rPr>
                <w:rFonts w:hint="default" w:ascii="Times New Roman" w:hAnsi="Times New Roman" w:eastAsia="宋体" w:cs="Times New Roman"/>
                <w:color w:val="auto"/>
                <w:kern w:val="0"/>
                <w:szCs w:val="21"/>
                <w:highlight w:val="none"/>
              </w:rPr>
            </w:pPr>
          </w:p>
        </w:tc>
        <w:tc>
          <w:tcPr>
            <w:tcW w:w="3441" w:type="dxa"/>
            <w:gridSpan w:val="2"/>
            <w:noWrap w:val="0"/>
            <w:vAlign w:val="center"/>
          </w:tcPr>
          <w:p w14:paraId="437B3BAC">
            <w:pPr>
              <w:widowControl/>
              <w:snapToGrid w:val="0"/>
              <w:ind w:left="-3" w:firstLine="576"/>
              <w:jc w:val="left"/>
              <w:rPr>
                <w:rFonts w:hint="default" w:ascii="Times New Roman" w:hAnsi="Times New Roman" w:eastAsia="宋体" w:cs="Times New Roman"/>
                <w:color w:val="auto"/>
                <w:kern w:val="0"/>
                <w:szCs w:val="21"/>
                <w:highlight w:val="none"/>
              </w:rPr>
            </w:pPr>
          </w:p>
        </w:tc>
        <w:tc>
          <w:tcPr>
            <w:tcW w:w="998" w:type="dxa"/>
            <w:gridSpan w:val="2"/>
            <w:noWrap w:val="0"/>
            <w:vAlign w:val="center"/>
          </w:tcPr>
          <w:p w14:paraId="3364A38D">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c>
          <w:tcPr>
            <w:tcW w:w="1779" w:type="dxa"/>
            <w:noWrap w:val="0"/>
            <w:vAlign w:val="center"/>
          </w:tcPr>
          <w:p w14:paraId="1A908F8C">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r>
      <w:tr w14:paraId="47F96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17750DF3">
            <w:pPr>
              <w:widowControl/>
              <w:snapToGrid w:val="0"/>
              <w:ind w:left="-3" w:firstLine="576"/>
              <w:jc w:val="left"/>
              <w:rPr>
                <w:rFonts w:hint="default" w:ascii="Times New Roman" w:hAnsi="Times New Roman" w:eastAsia="宋体" w:cs="Times New Roman"/>
                <w:color w:val="auto"/>
                <w:kern w:val="0"/>
                <w:szCs w:val="21"/>
                <w:highlight w:val="none"/>
              </w:rPr>
            </w:pPr>
          </w:p>
        </w:tc>
        <w:tc>
          <w:tcPr>
            <w:tcW w:w="1963" w:type="dxa"/>
            <w:noWrap w:val="0"/>
            <w:vAlign w:val="center"/>
          </w:tcPr>
          <w:p w14:paraId="05DEB95E">
            <w:pPr>
              <w:widowControl/>
              <w:snapToGrid w:val="0"/>
              <w:ind w:left="-3" w:firstLine="576"/>
              <w:jc w:val="left"/>
              <w:rPr>
                <w:rFonts w:hint="default" w:ascii="Times New Roman" w:hAnsi="Times New Roman" w:eastAsia="宋体" w:cs="Times New Roman"/>
                <w:color w:val="auto"/>
                <w:kern w:val="0"/>
                <w:szCs w:val="21"/>
                <w:highlight w:val="none"/>
              </w:rPr>
            </w:pPr>
          </w:p>
        </w:tc>
        <w:tc>
          <w:tcPr>
            <w:tcW w:w="3441" w:type="dxa"/>
            <w:gridSpan w:val="2"/>
            <w:noWrap w:val="0"/>
            <w:vAlign w:val="center"/>
          </w:tcPr>
          <w:p w14:paraId="2B662CEA">
            <w:pPr>
              <w:widowControl/>
              <w:snapToGrid w:val="0"/>
              <w:ind w:left="-3" w:firstLine="576"/>
              <w:jc w:val="left"/>
              <w:rPr>
                <w:rFonts w:hint="default" w:ascii="Times New Roman" w:hAnsi="Times New Roman" w:eastAsia="宋体" w:cs="Times New Roman"/>
                <w:color w:val="auto"/>
                <w:kern w:val="0"/>
                <w:szCs w:val="21"/>
                <w:highlight w:val="none"/>
              </w:rPr>
            </w:pPr>
          </w:p>
        </w:tc>
        <w:tc>
          <w:tcPr>
            <w:tcW w:w="998" w:type="dxa"/>
            <w:gridSpan w:val="2"/>
            <w:noWrap w:val="0"/>
            <w:vAlign w:val="center"/>
          </w:tcPr>
          <w:p w14:paraId="76483619">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c>
          <w:tcPr>
            <w:tcW w:w="1779" w:type="dxa"/>
            <w:noWrap w:val="0"/>
            <w:vAlign w:val="center"/>
          </w:tcPr>
          <w:p w14:paraId="0BF57E68">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r>
      <w:tr w14:paraId="7E1BDA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noWrap w:val="0"/>
            <w:vAlign w:val="center"/>
          </w:tcPr>
          <w:p w14:paraId="5F8DD245">
            <w:pPr>
              <w:widowControl/>
              <w:snapToGrid w:val="0"/>
              <w:ind w:left="-3" w:firstLine="576"/>
              <w:jc w:val="left"/>
              <w:rPr>
                <w:rFonts w:hint="default" w:ascii="Times New Roman" w:hAnsi="Times New Roman" w:eastAsia="宋体" w:cs="Times New Roman"/>
                <w:color w:val="auto"/>
                <w:kern w:val="0"/>
                <w:szCs w:val="21"/>
                <w:highlight w:val="none"/>
              </w:rPr>
            </w:pPr>
          </w:p>
        </w:tc>
        <w:tc>
          <w:tcPr>
            <w:tcW w:w="1963" w:type="dxa"/>
            <w:noWrap w:val="0"/>
            <w:vAlign w:val="center"/>
          </w:tcPr>
          <w:p w14:paraId="52EB54F9">
            <w:pPr>
              <w:widowControl/>
              <w:snapToGrid w:val="0"/>
              <w:ind w:left="-3" w:firstLine="576"/>
              <w:jc w:val="left"/>
              <w:rPr>
                <w:rFonts w:hint="default" w:ascii="Times New Roman" w:hAnsi="Times New Roman" w:eastAsia="宋体" w:cs="Times New Roman"/>
                <w:color w:val="auto"/>
                <w:kern w:val="0"/>
                <w:szCs w:val="21"/>
                <w:highlight w:val="none"/>
              </w:rPr>
            </w:pPr>
          </w:p>
        </w:tc>
        <w:tc>
          <w:tcPr>
            <w:tcW w:w="3441" w:type="dxa"/>
            <w:gridSpan w:val="2"/>
            <w:noWrap w:val="0"/>
            <w:vAlign w:val="center"/>
          </w:tcPr>
          <w:p w14:paraId="0B6F67E6">
            <w:pPr>
              <w:widowControl/>
              <w:snapToGrid w:val="0"/>
              <w:ind w:left="-3" w:firstLine="576"/>
              <w:jc w:val="left"/>
              <w:rPr>
                <w:rFonts w:hint="default" w:ascii="Times New Roman" w:hAnsi="Times New Roman" w:eastAsia="宋体" w:cs="Times New Roman"/>
                <w:color w:val="auto"/>
                <w:kern w:val="0"/>
                <w:szCs w:val="21"/>
                <w:highlight w:val="none"/>
              </w:rPr>
            </w:pPr>
          </w:p>
        </w:tc>
        <w:tc>
          <w:tcPr>
            <w:tcW w:w="998" w:type="dxa"/>
            <w:gridSpan w:val="2"/>
            <w:noWrap w:val="0"/>
            <w:vAlign w:val="center"/>
          </w:tcPr>
          <w:p w14:paraId="6B35E0C6">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c>
          <w:tcPr>
            <w:tcW w:w="1779" w:type="dxa"/>
            <w:noWrap w:val="0"/>
            <w:vAlign w:val="center"/>
          </w:tcPr>
          <w:p w14:paraId="3C69D2D2">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r>
      <w:tr w14:paraId="4A965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noWrap w:val="0"/>
            <w:vAlign w:val="center"/>
          </w:tcPr>
          <w:p w14:paraId="41E43654">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实际供货日期</w:t>
            </w:r>
          </w:p>
        </w:tc>
        <w:tc>
          <w:tcPr>
            <w:tcW w:w="3542" w:type="dxa"/>
            <w:gridSpan w:val="2"/>
            <w:noWrap w:val="0"/>
            <w:vAlign w:val="center"/>
          </w:tcPr>
          <w:p w14:paraId="0D6E0DAE">
            <w:pPr>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c>
          <w:tcPr>
            <w:tcW w:w="2522" w:type="dxa"/>
            <w:gridSpan w:val="2"/>
            <w:noWrap w:val="0"/>
            <w:vAlign w:val="center"/>
          </w:tcPr>
          <w:p w14:paraId="299B5A05">
            <w:pPr>
              <w:snapToGrid w:val="0"/>
              <w:ind w:left="59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合同交货验收日期</w:t>
            </w:r>
          </w:p>
        </w:tc>
        <w:tc>
          <w:tcPr>
            <w:tcW w:w="2117" w:type="dxa"/>
            <w:gridSpan w:val="2"/>
            <w:noWrap w:val="0"/>
            <w:vAlign w:val="center"/>
          </w:tcPr>
          <w:p w14:paraId="2E1AC661">
            <w:pPr>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 </w:t>
            </w:r>
          </w:p>
        </w:tc>
      </w:tr>
      <w:tr w14:paraId="3F9AD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noWrap w:val="0"/>
            <w:tcMar>
              <w:top w:w="0" w:type="dxa"/>
              <w:left w:w="108" w:type="dxa"/>
              <w:bottom w:w="0" w:type="dxa"/>
              <w:right w:w="108" w:type="dxa"/>
            </w:tcMar>
            <w:vAlign w:val="center"/>
          </w:tcPr>
          <w:p w14:paraId="4AC8C109">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验收具体内容</w:t>
            </w:r>
          </w:p>
        </w:tc>
        <w:tc>
          <w:tcPr>
            <w:tcW w:w="8181" w:type="dxa"/>
            <w:gridSpan w:val="6"/>
            <w:noWrap w:val="0"/>
            <w:tcMar>
              <w:top w:w="0" w:type="dxa"/>
              <w:left w:w="108" w:type="dxa"/>
              <w:bottom w:w="0" w:type="dxa"/>
              <w:right w:w="108" w:type="dxa"/>
            </w:tcMar>
            <w:vAlign w:val="center"/>
          </w:tcPr>
          <w:p w14:paraId="7684DD0D">
            <w:pPr>
              <w:widowControl/>
              <w:snapToGrid w:val="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(按招标采购文件及验收方案等。可附件)</w:t>
            </w:r>
          </w:p>
        </w:tc>
      </w:tr>
      <w:tr w14:paraId="0CE5E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519" w:type="dxa"/>
            <w:noWrap w:val="0"/>
            <w:tcMar>
              <w:top w:w="0" w:type="dxa"/>
              <w:left w:w="108" w:type="dxa"/>
              <w:bottom w:w="0" w:type="dxa"/>
              <w:right w:w="108" w:type="dxa"/>
            </w:tcMar>
            <w:vAlign w:val="center"/>
          </w:tcPr>
          <w:p w14:paraId="21B540C8">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验收小组意见</w:t>
            </w:r>
          </w:p>
        </w:tc>
        <w:tc>
          <w:tcPr>
            <w:tcW w:w="8181" w:type="dxa"/>
            <w:gridSpan w:val="6"/>
            <w:noWrap w:val="0"/>
            <w:vAlign w:val="center"/>
          </w:tcPr>
          <w:p w14:paraId="1778BE51">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p w14:paraId="6D241C0A">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w:t>
            </w:r>
          </w:p>
        </w:tc>
      </w:tr>
      <w:tr w14:paraId="44059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noWrap w:val="0"/>
            <w:tcMar>
              <w:top w:w="0" w:type="dxa"/>
              <w:left w:w="108" w:type="dxa"/>
              <w:bottom w:w="0" w:type="dxa"/>
              <w:right w:w="108" w:type="dxa"/>
            </w:tcMar>
            <w:vAlign w:val="center"/>
          </w:tcPr>
          <w:p w14:paraId="56218966">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验收小组成员签字：</w:t>
            </w:r>
          </w:p>
        </w:tc>
      </w:tr>
      <w:tr w14:paraId="658C31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noWrap w:val="0"/>
            <w:tcMar>
              <w:top w:w="0" w:type="dxa"/>
              <w:left w:w="108" w:type="dxa"/>
              <w:bottom w:w="0" w:type="dxa"/>
              <w:right w:w="108" w:type="dxa"/>
            </w:tcMar>
            <w:vAlign w:val="center"/>
          </w:tcPr>
          <w:p w14:paraId="63C35A10">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参与验收其他或监督人员签字：</w:t>
            </w:r>
          </w:p>
        </w:tc>
      </w:tr>
      <w:tr w14:paraId="6F03B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noWrap w:val="0"/>
            <w:tcMar>
              <w:top w:w="0" w:type="dxa"/>
              <w:left w:w="108" w:type="dxa"/>
              <w:bottom w:w="0" w:type="dxa"/>
              <w:right w:w="108" w:type="dxa"/>
            </w:tcMar>
            <w:vAlign w:val="center"/>
          </w:tcPr>
          <w:p w14:paraId="65CBEABC">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供应商签字或盖章：</w:t>
            </w:r>
          </w:p>
          <w:p w14:paraId="531FF6E1">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联系方式：         年 月 日</w:t>
            </w:r>
          </w:p>
        </w:tc>
        <w:tc>
          <w:tcPr>
            <w:tcW w:w="4639" w:type="dxa"/>
            <w:gridSpan w:val="4"/>
            <w:noWrap w:val="0"/>
            <w:vAlign w:val="center"/>
          </w:tcPr>
          <w:p w14:paraId="5AFFE4D6">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采购单位盖章：</w:t>
            </w:r>
          </w:p>
          <w:p w14:paraId="730CD9F9">
            <w:pPr>
              <w:widowControl/>
              <w:ind w:firstLine="2119"/>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月 日</w:t>
            </w:r>
          </w:p>
        </w:tc>
      </w:tr>
    </w:tbl>
    <w:p w14:paraId="6C8454C7">
      <w:pPr>
        <w:widowControl/>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pacing w:val="-20"/>
          <w:kern w:val="0"/>
          <w:szCs w:val="21"/>
          <w:highlight w:val="none"/>
        </w:rPr>
        <w:t xml:space="preserve">备注：本 报 告 单 一 式 4 份 （ 采 购 单 位 1 份 、 供 应 商 1 份 、 采 购 监 督 部 门 备 案 1 份 、 采 购 代 理 机 构 1 份 </w:t>
      </w:r>
      <w:r>
        <w:rPr>
          <w:rFonts w:hint="default" w:ascii="Times New Roman" w:hAnsi="Times New Roman" w:eastAsia="宋体" w:cs="Times New Roman"/>
          <w:color w:val="auto"/>
          <w:kern w:val="0"/>
          <w:szCs w:val="21"/>
          <w:highlight w:val="none"/>
        </w:rPr>
        <w:t>）。</w:t>
      </w:r>
    </w:p>
    <w:p w14:paraId="015F1602">
      <w:pPr>
        <w:widowControl/>
        <w:shd w:val="clear" w:color="auto" w:fill="FFFFFF"/>
        <w:spacing w:line="360" w:lineRule="auto"/>
        <w:ind w:firstLine="480"/>
        <w:jc w:val="center"/>
        <w:rPr>
          <w:rFonts w:hint="default" w:ascii="Times New Roman" w:hAnsi="Times New Roman" w:eastAsia="宋体" w:cs="Times New Roman"/>
          <w:b/>
          <w:color w:val="auto"/>
          <w:kern w:val="0"/>
          <w:sz w:val="36"/>
          <w:szCs w:val="36"/>
          <w:highlight w:val="none"/>
        </w:rPr>
      </w:pPr>
    </w:p>
    <w:p w14:paraId="6A681D37">
      <w:pPr>
        <w:widowControl/>
        <w:shd w:val="clear" w:color="auto" w:fill="FFFFFF"/>
        <w:spacing w:line="360" w:lineRule="auto"/>
        <w:jc w:val="both"/>
        <w:rPr>
          <w:rFonts w:hint="default" w:ascii="Times New Roman" w:hAnsi="Times New Roman" w:eastAsia="宋体" w:cs="Times New Roman"/>
          <w:b/>
          <w:color w:val="auto"/>
          <w:kern w:val="0"/>
          <w:sz w:val="36"/>
          <w:szCs w:val="36"/>
          <w:highlight w:val="none"/>
        </w:rPr>
      </w:pPr>
    </w:p>
    <w:p w14:paraId="1403D556">
      <w:pPr>
        <w:pStyle w:val="2"/>
        <w:bidi w:val="0"/>
        <w:rPr>
          <w:rFonts w:hint="default" w:ascii="Times New Roman" w:hAnsi="Times New Roman" w:eastAsia="宋体" w:cs="Times New Roman"/>
          <w:color w:val="auto"/>
          <w:highlight w:val="none"/>
          <w:lang w:eastAsia="zh-CN"/>
        </w:rPr>
        <w:sectPr>
          <w:footerReference r:id="rId9" w:type="default"/>
          <w:pgSz w:w="11906" w:h="16838"/>
          <w:pgMar w:top="1440" w:right="1080" w:bottom="1440" w:left="1080" w:header="851" w:footer="992" w:gutter="0"/>
          <w:pgNumType w:fmt="decimal"/>
          <w:cols w:space="720" w:num="1"/>
          <w:docGrid w:type="lines" w:linePitch="312" w:charSpace="0"/>
        </w:sectPr>
      </w:pPr>
      <w:bookmarkStart w:id="46" w:name="_Toc18587"/>
    </w:p>
    <w:bookmarkEnd w:id="46"/>
    <w:p w14:paraId="77431F08">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highlight w:val="none"/>
        </w:rPr>
      </w:pPr>
      <w:bookmarkStart w:id="47" w:name="_Toc21580"/>
      <w:r>
        <w:rPr>
          <w:rFonts w:hint="default" w:ascii="Times New Roman" w:hAnsi="Times New Roman" w:eastAsia="宋体" w:cs="Times New Roman"/>
          <w:color w:val="auto"/>
          <w:highlight w:val="none"/>
          <w:lang w:eastAsia="zh-CN"/>
        </w:rPr>
        <w:t>第</w:t>
      </w:r>
      <w:r>
        <w:rPr>
          <w:rFonts w:hint="default" w:ascii="Times New Roman" w:hAnsi="Times New Roman" w:cs="Times New Roman"/>
          <w:color w:val="auto"/>
          <w:highlight w:val="none"/>
          <w:lang w:eastAsia="zh-CN"/>
        </w:rPr>
        <w:t>六</w:t>
      </w:r>
      <w:r>
        <w:rPr>
          <w:rFonts w:hint="default" w:ascii="Times New Roman" w:hAnsi="Times New Roman" w:eastAsia="宋体" w:cs="Times New Roman"/>
          <w:color w:val="auto"/>
          <w:highlight w:val="none"/>
          <w:lang w:eastAsia="zh-CN"/>
        </w:rPr>
        <w:t>章</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评标方法</w:t>
      </w:r>
      <w:bookmarkEnd w:id="47"/>
      <w:r>
        <w:rPr>
          <w:rFonts w:hint="eastAsia" w:cs="Times New Roman"/>
          <w:b/>
          <w:bCs/>
          <w:color w:val="auto"/>
          <w:sz w:val="24"/>
          <w:highlight w:val="none"/>
          <w:lang w:eastAsia="zh-CN"/>
        </w:rPr>
        <w:t>（</w:t>
      </w:r>
      <w:r>
        <w:rPr>
          <w:rFonts w:hint="eastAsia" w:cs="Times New Roman"/>
          <w:b/>
          <w:bCs/>
          <w:color w:val="auto"/>
          <w:sz w:val="24"/>
          <w:highlight w:val="none"/>
          <w:lang w:val="en-US" w:eastAsia="zh-CN"/>
        </w:rPr>
        <w:t>A分标、B分标适用</w:t>
      </w:r>
      <w:r>
        <w:rPr>
          <w:rFonts w:hint="eastAsia" w:cs="Times New Roman"/>
          <w:b/>
          <w:bCs/>
          <w:color w:val="auto"/>
          <w:sz w:val="24"/>
          <w:highlight w:val="none"/>
          <w:lang w:eastAsia="zh-CN"/>
        </w:rPr>
        <w:t>）</w:t>
      </w:r>
    </w:p>
    <w:p w14:paraId="4C944487">
      <w:pPr>
        <w:pStyle w:val="13"/>
        <w:spacing w:line="44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一、评标原则</w:t>
      </w:r>
    </w:p>
    <w:p w14:paraId="259420E1">
      <w:pPr>
        <w:pStyle w:val="13"/>
        <w:adjustRightInd w:val="0"/>
        <w:snapToGrid w:val="0"/>
        <w:spacing w:line="440" w:lineRule="exact"/>
        <w:ind w:firstLine="480" w:firstLineChars="200"/>
        <w:rPr>
          <w:rFonts w:hint="eastAsia" w:ascii="Arial" w:hAnsi="Arial" w:eastAsia="宋体" w:cs="Arial"/>
          <w:color w:val="auto"/>
          <w:kern w:val="2"/>
          <w:sz w:val="24"/>
          <w:szCs w:val="24"/>
          <w:highlight w:val="none"/>
          <w:lang w:val="en-US" w:eastAsia="zh-CN" w:bidi="ar-SA"/>
        </w:rPr>
      </w:pPr>
      <w:r>
        <w:rPr>
          <w:rFonts w:hint="eastAsia" w:ascii="Arial" w:hAnsi="Arial" w:eastAsia="宋体" w:cs="Arial"/>
          <w:color w:val="auto"/>
          <w:kern w:val="2"/>
          <w:sz w:val="24"/>
          <w:szCs w:val="24"/>
          <w:highlight w:val="none"/>
          <w:lang w:val="en-US" w:eastAsia="zh-CN" w:bidi="ar-SA"/>
        </w:rPr>
        <w:t>(一)磋商小组的构成：本项目的磋商小组由采购人代表和评审专家组成，成员人数应当为三人以上（含三人）单数，其中评审专家人数不得少于成员总数的三分之二。</w:t>
      </w:r>
    </w:p>
    <w:p w14:paraId="3126522D">
      <w:pPr>
        <w:pStyle w:val="13"/>
        <w:adjustRightInd w:val="0"/>
        <w:snapToGrid w:val="0"/>
        <w:spacing w:line="440" w:lineRule="exact"/>
        <w:ind w:firstLine="480" w:firstLineChars="200"/>
        <w:rPr>
          <w:rFonts w:hint="eastAsia" w:ascii="Arial" w:hAnsi="Arial" w:eastAsia="宋体" w:cs="Arial"/>
          <w:color w:val="auto"/>
          <w:kern w:val="2"/>
          <w:sz w:val="24"/>
          <w:szCs w:val="24"/>
          <w:highlight w:val="none"/>
          <w:lang w:val="en-US" w:eastAsia="zh-CN" w:bidi="ar-SA"/>
        </w:rPr>
      </w:pPr>
      <w:r>
        <w:rPr>
          <w:rFonts w:hint="eastAsia" w:ascii="Arial" w:hAnsi="Arial" w:eastAsia="宋体" w:cs="Arial"/>
          <w:color w:val="auto"/>
          <w:kern w:val="2"/>
          <w:sz w:val="24"/>
          <w:szCs w:val="24"/>
          <w:highlight w:val="none"/>
          <w:lang w:val="en-US" w:eastAsia="zh-CN" w:bidi="ar-SA"/>
        </w:rPr>
        <w:t>(二)评审依据：以磋商采购文件、响应文件为评审依据，对供应商的内容按百分制打分。</w:t>
      </w:r>
    </w:p>
    <w:p w14:paraId="7583157B">
      <w:pPr>
        <w:pStyle w:val="13"/>
        <w:adjustRightInd w:val="0"/>
        <w:snapToGrid w:val="0"/>
        <w:spacing w:line="440" w:lineRule="exact"/>
        <w:ind w:firstLine="480" w:firstLineChars="200"/>
        <w:rPr>
          <w:rFonts w:hint="eastAsia" w:ascii="Arial" w:hAnsi="Arial" w:eastAsia="宋体" w:cs="Arial"/>
          <w:color w:val="auto"/>
          <w:kern w:val="2"/>
          <w:sz w:val="24"/>
          <w:szCs w:val="24"/>
          <w:highlight w:val="none"/>
          <w:lang w:val="en-US" w:eastAsia="zh-CN" w:bidi="ar-SA"/>
        </w:rPr>
      </w:pPr>
      <w:r>
        <w:rPr>
          <w:rFonts w:hint="eastAsia" w:ascii="Arial" w:hAnsi="Arial" w:eastAsia="宋体" w:cs="Arial"/>
          <w:color w:val="auto"/>
          <w:kern w:val="2"/>
          <w:sz w:val="24"/>
          <w:szCs w:val="24"/>
          <w:highlight w:val="none"/>
          <w:lang w:val="en-US" w:eastAsia="zh-CN" w:bidi="ar-SA"/>
        </w:rPr>
        <w:t>(三)评标方式：以封闭方式进行。</w:t>
      </w:r>
    </w:p>
    <w:p w14:paraId="13197D2A">
      <w:pPr>
        <w:pStyle w:val="13"/>
        <w:adjustRightInd w:val="0"/>
        <w:snapToGrid w:val="0"/>
        <w:spacing w:line="440" w:lineRule="exact"/>
        <w:ind w:firstLine="482" w:firstLineChars="200"/>
        <w:rPr>
          <w:rFonts w:hint="eastAsia" w:ascii="宋体" w:hAnsi="宋体" w:eastAsia="宋体" w:cs="宋体"/>
          <w:b/>
          <w:color w:val="auto"/>
          <w:sz w:val="24"/>
          <w:szCs w:val="24"/>
          <w:highlight w:val="none"/>
        </w:rPr>
      </w:pPr>
      <w:bookmarkStart w:id="48" w:name="_Toc40864708"/>
      <w:bookmarkStart w:id="49" w:name="_Toc40865100"/>
      <w:bookmarkStart w:id="50" w:name="_Toc40864984"/>
      <w:r>
        <w:rPr>
          <w:rFonts w:hint="eastAsia" w:ascii="宋体" w:hAnsi="宋体" w:eastAsia="宋体" w:cs="宋体"/>
          <w:b/>
          <w:color w:val="auto"/>
          <w:sz w:val="24"/>
          <w:szCs w:val="24"/>
          <w:highlight w:val="none"/>
        </w:rPr>
        <w:t>二、评标方法</w:t>
      </w:r>
      <w:bookmarkEnd w:id="48"/>
      <w:bookmarkEnd w:id="49"/>
      <w:bookmarkEnd w:id="50"/>
    </w:p>
    <w:p w14:paraId="532626C5">
      <w:pPr>
        <w:pStyle w:val="13"/>
        <w:adjustRightInd w:val="0"/>
        <w:snapToGrid w:val="0"/>
        <w:spacing w:line="440" w:lineRule="exact"/>
        <w:ind w:firstLine="480" w:firstLineChars="200"/>
        <w:rPr>
          <w:rFonts w:hint="eastAsia" w:ascii="宋体" w:hAnsi="宋体" w:eastAsia="宋体" w:cs="宋体"/>
          <w:color w:val="auto"/>
          <w:sz w:val="24"/>
          <w:szCs w:val="24"/>
          <w:highlight w:val="none"/>
        </w:rPr>
      </w:pPr>
      <w:bookmarkStart w:id="51" w:name="_Toc40865101"/>
      <w:bookmarkStart w:id="52" w:name="_Toc40864985"/>
      <w:bookmarkStart w:id="53" w:name="_Toc40864709"/>
      <w:r>
        <w:rPr>
          <w:rFonts w:hint="eastAsia" w:ascii="宋体" w:hAnsi="宋体" w:eastAsia="宋体" w:cs="宋体"/>
          <w:color w:val="auto"/>
          <w:sz w:val="24"/>
          <w:szCs w:val="24"/>
          <w:highlight w:val="none"/>
        </w:rPr>
        <w:t>（一）对进入详评的，采用百分制综合评分法。</w:t>
      </w:r>
      <w:bookmarkEnd w:id="51"/>
      <w:bookmarkEnd w:id="52"/>
      <w:bookmarkEnd w:id="53"/>
    </w:p>
    <w:p w14:paraId="1DB6B543">
      <w:pPr>
        <w:pStyle w:val="13"/>
        <w:adjustRightInd w:val="0"/>
        <w:snapToGrid w:val="0"/>
        <w:spacing w:line="440" w:lineRule="exact"/>
        <w:ind w:firstLine="480" w:firstLineChars="200"/>
        <w:rPr>
          <w:rFonts w:hint="eastAsia" w:ascii="宋体" w:hAnsi="宋体" w:eastAsia="宋体" w:cs="宋体"/>
          <w:color w:val="auto"/>
          <w:sz w:val="24"/>
          <w:szCs w:val="24"/>
          <w:highlight w:val="none"/>
        </w:rPr>
      </w:pPr>
      <w:bookmarkStart w:id="54" w:name="_Toc40864986"/>
      <w:bookmarkStart w:id="55" w:name="_Toc40865102"/>
      <w:bookmarkStart w:id="56" w:name="_Toc40864710"/>
      <w:r>
        <w:rPr>
          <w:rFonts w:hint="eastAsia" w:ascii="宋体" w:hAnsi="宋体" w:eastAsia="宋体" w:cs="宋体"/>
          <w:color w:val="auto"/>
          <w:sz w:val="24"/>
          <w:szCs w:val="24"/>
          <w:highlight w:val="none"/>
        </w:rPr>
        <w:t>（二）计分办法（按四舍五入取至百分位）：</w:t>
      </w:r>
      <w:bookmarkEnd w:id="54"/>
      <w:bookmarkEnd w:id="55"/>
      <w:bookmarkEnd w:id="56"/>
    </w:p>
    <w:p w14:paraId="7FE2C699">
      <w:pPr>
        <w:pStyle w:val="19"/>
        <w:snapToGrid w:val="0"/>
        <w:spacing w:line="440" w:lineRule="exact"/>
        <w:ind w:left="0" w:firstLine="482" w:firstLineChars="200"/>
        <w:rPr>
          <w:rFonts w:hint="eastAsia" w:ascii="宋体" w:hAnsi="宋体" w:eastAsia="宋体" w:cs="宋体"/>
          <w:b/>
          <w:color w:val="auto"/>
          <w:sz w:val="24"/>
          <w:szCs w:val="24"/>
          <w:highlight w:val="none"/>
        </w:rPr>
      </w:pPr>
      <w:bookmarkStart w:id="57" w:name="_Toc40864987"/>
      <w:bookmarkStart w:id="58" w:name="_Toc40864711"/>
      <w:bookmarkStart w:id="59" w:name="_Toc40865103"/>
      <w:r>
        <w:rPr>
          <w:rFonts w:hint="eastAsia" w:ascii="宋体" w:hAnsi="宋体" w:eastAsia="宋体" w:cs="宋体"/>
          <w:b/>
          <w:color w:val="auto"/>
          <w:sz w:val="24"/>
          <w:szCs w:val="24"/>
          <w:highlight w:val="none"/>
        </w:rPr>
        <w:t>1、价格分………………………………………………………………………………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bookmarkEnd w:id="57"/>
      <w:bookmarkEnd w:id="58"/>
      <w:bookmarkEnd w:id="59"/>
    </w:p>
    <w:p w14:paraId="1400143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（1）按照《关于进一步加大政府采购支持中小企业力度的通知》（财库〔2022〕19号）的规定，</w:t>
      </w:r>
      <w:r>
        <w:rPr>
          <w:rFonts w:hint="default" w:ascii="Arial" w:hAnsi="Arial" w:cs="Arial"/>
          <w:color w:val="auto"/>
          <w:kern w:val="2"/>
          <w:sz w:val="24"/>
          <w:szCs w:val="24"/>
          <w:highlight w:val="none"/>
        </w:rPr>
        <w:t>磋商供应商认定为小型或微型企业且提供本企业制造的货物、承担的工程或者服务，或者所提供的产品均为小型、微型企业产品的（必须提供中小企业声明函，否则不予以认定）</w:t>
      </w:r>
      <w:r>
        <w:rPr>
          <w:rFonts w:hint="eastAsia" w:ascii="宋体" w:hAnsi="宋体" w:eastAsia="宋体" w:cs="宋体"/>
          <w:bCs/>
          <w:color w:val="auto"/>
          <w:kern w:val="2"/>
          <w:sz w:val="24"/>
          <w:szCs w:val="24"/>
          <w:highlight w:val="none"/>
          <w:lang w:val="en-US" w:eastAsia="zh-CN" w:bidi="ar-SA"/>
        </w:rPr>
        <w:t>，对</w:t>
      </w:r>
      <w:r>
        <w:rPr>
          <w:rFonts w:hint="default" w:ascii="Arial" w:hAnsi="Arial" w:cs="Arial"/>
          <w:color w:val="auto"/>
          <w:kern w:val="2"/>
          <w:sz w:val="24"/>
          <w:szCs w:val="24"/>
          <w:highlight w:val="none"/>
        </w:rPr>
        <w:t>竞争性磋商报价</w:t>
      </w:r>
      <w:r>
        <w:rPr>
          <w:rFonts w:hint="eastAsia" w:ascii="宋体" w:hAnsi="宋体" w:eastAsia="宋体" w:cs="宋体"/>
          <w:bCs/>
          <w:color w:val="auto"/>
          <w:kern w:val="2"/>
          <w:sz w:val="24"/>
          <w:szCs w:val="24"/>
          <w:highlight w:val="none"/>
          <w:lang w:val="en-US" w:eastAsia="zh-CN" w:bidi="ar-SA"/>
        </w:rPr>
        <w:t>给予</w:t>
      </w: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0%</w:t>
      </w:r>
      <w:r>
        <w:rPr>
          <w:rFonts w:hint="eastAsia" w:ascii="宋体" w:hAnsi="宋体" w:eastAsia="宋体" w:cs="宋体"/>
          <w:bCs/>
          <w:color w:val="auto"/>
          <w:kern w:val="2"/>
          <w:sz w:val="24"/>
          <w:szCs w:val="24"/>
          <w:highlight w:val="none"/>
          <w:lang w:val="en-US" w:eastAsia="zh-CN" w:bidi="ar-SA"/>
        </w:rPr>
        <w:t>的扣除，扣除后的价格为评审价，即评审价=</w:t>
      </w:r>
      <w:r>
        <w:rPr>
          <w:rFonts w:hint="default" w:ascii="Arial" w:hAnsi="Arial" w:cs="Arial"/>
          <w:color w:val="auto"/>
          <w:kern w:val="2"/>
          <w:sz w:val="24"/>
          <w:szCs w:val="24"/>
          <w:highlight w:val="none"/>
        </w:rPr>
        <w:t>磋商报价</w:t>
      </w: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0%</w:t>
      </w:r>
      <w:r>
        <w:rPr>
          <w:rFonts w:hint="eastAsia" w:ascii="宋体" w:hAnsi="宋体" w:eastAsia="宋体" w:cs="宋体"/>
          <w:bCs/>
          <w:color w:val="auto"/>
          <w:kern w:val="2"/>
          <w:sz w:val="24"/>
          <w:szCs w:val="24"/>
          <w:highlight w:val="none"/>
          <w:lang w:val="en-US" w:eastAsia="zh-CN" w:bidi="ar-SA"/>
        </w:rPr>
        <w:t xml:space="preserve">）；大中型企业与小型、微型企业组成联合体投标，其中小型、微型企业的协议合同金额占到联合体协议合同总金额 30%以上的，联合体投标报价给予 </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的扣除，扣除后的价格为评审价，即评审价=</w:t>
      </w:r>
      <w:r>
        <w:rPr>
          <w:rFonts w:hint="default" w:ascii="Arial" w:hAnsi="Arial" w:cs="Arial"/>
          <w:color w:val="auto"/>
          <w:kern w:val="2"/>
          <w:sz w:val="24"/>
          <w:szCs w:val="24"/>
          <w:highlight w:val="none"/>
        </w:rPr>
        <w:t>磋商报价</w:t>
      </w: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w:t>
      </w:r>
      <w:r>
        <w:rPr>
          <w:rFonts w:hint="default" w:ascii="Arial" w:hAnsi="Arial" w:cs="Arial"/>
          <w:color w:val="auto"/>
          <w:kern w:val="2"/>
          <w:sz w:val="24"/>
          <w:szCs w:val="24"/>
          <w:highlight w:val="none"/>
        </w:rPr>
        <w:t>以供应商按第</w:t>
      </w:r>
      <w:r>
        <w:rPr>
          <w:rFonts w:hint="eastAsia" w:ascii="Arial" w:hAnsi="Arial" w:cs="Arial"/>
          <w:color w:val="auto"/>
          <w:kern w:val="2"/>
          <w:sz w:val="24"/>
          <w:szCs w:val="24"/>
          <w:highlight w:val="none"/>
          <w:lang w:eastAsia="zh-CN"/>
        </w:rPr>
        <w:t>四</w:t>
      </w:r>
      <w:r>
        <w:rPr>
          <w:rFonts w:hint="default" w:ascii="Arial" w:hAnsi="Arial" w:cs="Arial"/>
          <w:color w:val="auto"/>
          <w:kern w:val="2"/>
          <w:sz w:val="24"/>
          <w:szCs w:val="24"/>
          <w:highlight w:val="none"/>
        </w:rPr>
        <w:t>章</w:t>
      </w:r>
      <w:r>
        <w:rPr>
          <w:rFonts w:hint="default" w:ascii="Arial" w:hAnsi="Arial" w:eastAsia="宋体" w:cs="Arial"/>
          <w:color w:val="auto"/>
          <w:kern w:val="2"/>
          <w:sz w:val="24"/>
          <w:szCs w:val="24"/>
          <w:highlight w:val="none"/>
        </w:rPr>
        <w:t>“</w:t>
      </w:r>
      <w:r>
        <w:rPr>
          <w:rFonts w:hint="eastAsia" w:ascii="Arial" w:hAnsi="Arial" w:eastAsia="宋体" w:cs="Arial"/>
          <w:color w:val="auto"/>
          <w:kern w:val="2"/>
          <w:sz w:val="24"/>
          <w:szCs w:val="24"/>
          <w:highlight w:val="none"/>
        </w:rPr>
        <w:t>竞争性磋商响应文件格式</w:t>
      </w:r>
      <w:r>
        <w:rPr>
          <w:rFonts w:hint="default" w:ascii="Arial" w:hAnsi="Arial" w:eastAsia="宋体" w:cs="Arial"/>
          <w:color w:val="auto"/>
          <w:kern w:val="2"/>
          <w:sz w:val="24"/>
          <w:szCs w:val="24"/>
          <w:highlight w:val="none"/>
        </w:rPr>
        <w:t>”</w:t>
      </w:r>
      <w:r>
        <w:rPr>
          <w:rFonts w:hint="default" w:ascii="Arial" w:hAnsi="Arial" w:cs="Arial"/>
          <w:color w:val="auto"/>
          <w:kern w:val="2"/>
          <w:sz w:val="24"/>
          <w:szCs w:val="24"/>
          <w:highlight w:val="none"/>
        </w:rPr>
        <w:t>要求提供的《磋商报价表》和《中小企业声明函》为评分依据</w:t>
      </w:r>
      <w:r>
        <w:rPr>
          <w:rFonts w:hint="eastAsia" w:ascii="宋体" w:hAnsi="宋体" w:eastAsia="宋体" w:cs="宋体"/>
          <w:bCs/>
          <w:color w:val="auto"/>
          <w:kern w:val="2"/>
          <w:sz w:val="24"/>
          <w:szCs w:val="24"/>
          <w:highlight w:val="none"/>
          <w:lang w:val="en-US" w:eastAsia="zh-CN" w:bidi="ar-SA"/>
        </w:rPr>
        <w:t>）</w:t>
      </w:r>
      <w:r>
        <w:rPr>
          <w:rFonts w:hint="eastAsia" w:ascii="Arial" w:hAnsi="Arial" w:cs="Arial"/>
          <w:color w:val="auto"/>
          <w:kern w:val="2"/>
          <w:sz w:val="24"/>
          <w:szCs w:val="24"/>
          <w:highlight w:val="none"/>
          <w:lang w:eastAsia="zh-CN"/>
        </w:rPr>
        <w:t>。</w:t>
      </w:r>
    </w:p>
    <w:p w14:paraId="0AC370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Arial" w:hAnsi="Arial" w:eastAsia="宋体" w:cs="Arial"/>
          <w:color w:val="auto"/>
          <w:kern w:val="2"/>
          <w:sz w:val="24"/>
          <w:szCs w:val="24"/>
          <w:highlight w:val="none"/>
        </w:rPr>
      </w:pPr>
      <w:bookmarkStart w:id="60" w:name="_Toc21397"/>
      <w:r>
        <w:rPr>
          <w:rFonts w:hint="default" w:ascii="Arial" w:hAnsi="Arial" w:eastAsia="宋体" w:cs="Arial"/>
          <w:color w:val="auto"/>
          <w:kern w:val="2"/>
          <w:sz w:val="24"/>
          <w:szCs w:val="24"/>
          <w:highlight w:val="none"/>
        </w:rPr>
        <w:t>投标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1589D4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Arial" w:hAnsi="Arial" w:eastAsia="宋体" w:cs="Arial"/>
          <w:color w:val="auto"/>
          <w:kern w:val="2"/>
          <w:sz w:val="24"/>
          <w:szCs w:val="24"/>
          <w:highlight w:val="none"/>
        </w:rPr>
      </w:pPr>
      <w:r>
        <w:rPr>
          <w:rFonts w:hint="default" w:ascii="Arial" w:hAnsi="Arial" w:eastAsia="宋体" w:cs="Arial"/>
          <w:color w:val="auto"/>
          <w:kern w:val="2"/>
          <w:sz w:val="24"/>
          <w:szCs w:val="24"/>
          <w:highlight w:val="none"/>
        </w:rPr>
        <w:t>按照《关于促进残疾人就业政府采购政策的通知》（财库〔2017〕141号）的规定，残疾人福利性单位视同小型、微型企业，享受预留份额、评审中价格扣除等促进 中小企业发展的政府采购政策。残疾人福利性单位参加政府采购活动时，应当提供该通知规定的《残疾人福利性单位声明函》，并对声明的真实性负责。残疾人福利性单位属于小型、微型企业的，不重复享受政策。</w:t>
      </w:r>
    </w:p>
    <w:p w14:paraId="1021AED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除上述情况外，未享受优惠政策的投标人的，</w:t>
      </w:r>
      <w:r>
        <w:rPr>
          <w:rFonts w:hint="eastAsia" w:ascii="宋体" w:hAnsi="宋体" w:eastAsia="宋体" w:cs="宋体"/>
          <w:color w:val="auto"/>
          <w:sz w:val="24"/>
          <w:szCs w:val="24"/>
          <w:highlight w:val="none"/>
          <w:lang w:eastAsia="zh-CN"/>
        </w:rPr>
        <w:t>评审价</w:t>
      </w:r>
      <w:r>
        <w:rPr>
          <w:rFonts w:hint="eastAsia" w:ascii="宋体" w:hAnsi="宋体" w:eastAsia="宋体" w:cs="宋体"/>
          <w:color w:val="auto"/>
          <w:sz w:val="24"/>
          <w:szCs w:val="24"/>
          <w:highlight w:val="none"/>
        </w:rPr>
        <w:t>=</w:t>
      </w:r>
      <w:r>
        <w:rPr>
          <w:rFonts w:hint="default" w:ascii="Times New Roman" w:hAnsi="Times New Roman" w:cs="Times New Roman"/>
          <w:color w:val="auto"/>
          <w:kern w:val="2"/>
          <w:sz w:val="24"/>
          <w:szCs w:val="24"/>
          <w:highlight w:val="none"/>
        </w:rPr>
        <w:t>磋商报价</w:t>
      </w:r>
      <w:r>
        <w:rPr>
          <w:rFonts w:hint="eastAsia" w:ascii="宋体" w:hAnsi="宋体" w:eastAsia="宋体" w:cs="宋体"/>
          <w:color w:val="auto"/>
          <w:sz w:val="24"/>
          <w:szCs w:val="24"/>
          <w:highlight w:val="none"/>
        </w:rPr>
        <w:t>。</w:t>
      </w:r>
      <w:bookmarkEnd w:id="60"/>
    </w:p>
    <w:p w14:paraId="40AA3D5C">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（2）评审价为供应商的最后报价，评审价只是作为评审时使用。最终成交供应商的成交金额等于最后报价（如有修正，以确认修正后的最后报价为准）</w:t>
      </w:r>
      <w:r>
        <w:rPr>
          <w:rFonts w:hint="eastAsia" w:ascii="宋体" w:hAnsi="宋体" w:eastAsia="宋体" w:cs="宋体"/>
          <w:color w:val="auto"/>
          <w:sz w:val="24"/>
          <w:szCs w:val="24"/>
          <w:highlight w:val="none"/>
          <w:lang w:eastAsia="zh-CN"/>
        </w:rPr>
        <w:t>。</w:t>
      </w:r>
    </w:p>
    <w:p w14:paraId="3DCADA0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（3）评审价=最后报价</w:t>
      </w:r>
    </w:p>
    <w:p w14:paraId="135DFCE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）以进入综合评分的最低</w:t>
      </w:r>
      <w:r>
        <w:rPr>
          <w:rFonts w:hint="eastAsia"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报价作为</w:t>
      </w:r>
      <w:r>
        <w:rPr>
          <w:rFonts w:hint="eastAsia"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基准价；</w:t>
      </w:r>
    </w:p>
    <w:p w14:paraId="4886D3D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）以进入评标的最低的</w:t>
      </w:r>
      <w:r>
        <w:rPr>
          <w:rFonts w:hint="eastAsia"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报价为</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p>
    <w:p w14:paraId="3164E84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满足</w:t>
      </w:r>
      <w:r>
        <w:rPr>
          <w:rFonts w:hint="default"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文件要求且</w:t>
      </w:r>
      <w:r>
        <w:rPr>
          <w:rFonts w:hint="default"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价格最低的</w:t>
      </w:r>
      <w:r>
        <w:rPr>
          <w:rFonts w:hint="default"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报价为</w:t>
      </w:r>
      <w:r>
        <w:rPr>
          <w:rFonts w:hint="eastAsia"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基准价，其价格分为满分，其他供应商的价格分统一按照下列公式计算：</w:t>
      </w:r>
    </w:p>
    <w:p w14:paraId="6115E121">
      <w:pPr>
        <w:spacing w:line="440" w:lineRule="exact"/>
        <w:ind w:firstLine="3120" w:firstLineChars="1300"/>
        <w:rPr>
          <w:color w:val="auto"/>
          <w:sz w:val="24"/>
          <w:highlight w:val="none"/>
        </w:rPr>
      </w:pPr>
      <w:r>
        <w:rPr>
          <w:rFonts w:hint="eastAsia" w:cs="Times New Roman"/>
          <w:color w:val="auto"/>
          <w:sz w:val="24"/>
          <w:szCs w:val="24"/>
          <w:highlight w:val="none"/>
          <w:lang w:eastAsia="zh-CN"/>
        </w:rPr>
        <w:t>磋商</w:t>
      </w:r>
      <w:r>
        <w:rPr>
          <w:color w:val="auto"/>
          <w:sz w:val="24"/>
          <w:highlight w:val="none"/>
        </w:rPr>
        <w:t>基准价</w:t>
      </w:r>
    </w:p>
    <w:p w14:paraId="5569E3A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1584325</wp:posOffset>
                </wp:positionH>
                <wp:positionV relativeFrom="paragraph">
                  <wp:posOffset>132715</wp:posOffset>
                </wp:positionV>
                <wp:extent cx="1519555"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5195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4.75pt;margin-top:10.45pt;height:0.05pt;width:119.65pt;z-index:251661312;mso-width-relative:page;mso-height-relative:page;" filled="f" stroked="t" coordsize="21600,21600" o:gfxdata="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inVadcAAAAJAQAADwAAAAAAAAABACAAAAAiAAAAZHJzL2Rvd25yZXYu&#10;eG1sUEsBAhQAFAAAAAgAh07iQBCzMcr8AQAA8AMAAA4AAAAAAAAAAQAgAAAAJgEAAGRycy9lMm9E&#10;b2MueG1sUEsFBgAAAAAGAAYAWQEAAJQFA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24"/>
          <w:szCs w:val="24"/>
          <w:highlight w:val="none"/>
          <w:lang w:eastAsia="zh-CN"/>
        </w:rPr>
        <w:t>磋商</w:t>
      </w:r>
      <w:r>
        <w:rPr>
          <w:rFonts w:hint="default" w:ascii="Times New Roman" w:hAnsi="Times New Roman" w:eastAsia="宋体" w:cs="Times New Roman"/>
          <w:color w:val="auto"/>
          <w:sz w:val="24"/>
          <w:szCs w:val="24"/>
          <w:highlight w:val="none"/>
        </w:rPr>
        <w:t>报价得分=                          ×</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分</w:t>
      </w:r>
    </w:p>
    <w:p w14:paraId="53DD6C44">
      <w:pPr>
        <w:keepNext w:val="0"/>
        <w:keepLines w:val="0"/>
        <w:pageBreakBefore w:val="0"/>
        <w:kinsoku/>
        <w:wordWrap/>
        <w:overflowPunct/>
        <w:topLinePunct w:val="0"/>
        <w:autoSpaceDE/>
        <w:autoSpaceDN/>
        <w:bidi w:val="0"/>
        <w:adjustRightInd/>
        <w:snapToGrid/>
        <w:spacing w:line="440" w:lineRule="exact"/>
        <w:ind w:firstLine="3120" w:firstLineChars="13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某</w:t>
      </w:r>
      <w:r>
        <w:rPr>
          <w:rFonts w:hint="eastAsia"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报价</w:t>
      </w:r>
    </w:p>
    <w:p w14:paraId="06747DC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
          <w:bCs/>
          <w:color w:val="auto"/>
          <w:kern w:val="0"/>
          <w:szCs w:val="21"/>
          <w:highlight w:val="none"/>
        </w:rPr>
      </w:pPr>
      <w:r>
        <w:rPr>
          <w:rFonts w:hint="eastAsia" w:ascii="Times New Roman" w:hAnsi="Times New Roman" w:eastAsia="宋体" w:cs="Times New Roman"/>
          <w:b/>
          <w:bCs/>
          <w:color w:val="auto"/>
          <w:sz w:val="24"/>
          <w:highlight w:val="none"/>
          <w:lang w:val="en-US" w:eastAsia="zh-CN"/>
        </w:rPr>
        <w:t>2、</w:t>
      </w:r>
      <w:r>
        <w:rPr>
          <w:rFonts w:hint="eastAsia" w:ascii="Times New Roman" w:hAnsi="Times New Roman" w:eastAsia="宋体" w:cs="Times New Roman"/>
          <w:b/>
          <w:bCs/>
          <w:color w:val="auto"/>
          <w:sz w:val="24"/>
          <w:highlight w:val="none"/>
          <w:lang w:eastAsia="zh-CN"/>
        </w:rPr>
        <w:t>技术分</w:t>
      </w: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rPr>
        <w:t>满分</w:t>
      </w:r>
      <w:r>
        <w:rPr>
          <w:rFonts w:hint="eastAsia" w:cs="Times New Roman"/>
          <w:b/>
          <w:bCs/>
          <w:color w:val="auto"/>
          <w:sz w:val="24"/>
          <w:highlight w:val="none"/>
          <w:lang w:val="en-US" w:eastAsia="zh-CN"/>
        </w:rPr>
        <w:t>90</w:t>
      </w:r>
      <w:r>
        <w:rPr>
          <w:rFonts w:hint="eastAsia" w:ascii="Times New Roman" w:hAnsi="Times New Roman" w:eastAsia="宋体" w:cs="Times New Roman"/>
          <w:b/>
          <w:bCs/>
          <w:color w:val="auto"/>
          <w:sz w:val="24"/>
          <w:highlight w:val="none"/>
        </w:rPr>
        <w:t>分</w:t>
      </w:r>
    </w:p>
    <w:p w14:paraId="0FABB31E">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z w:val="24"/>
          <w:szCs w:val="24"/>
          <w:highlight w:val="none"/>
        </w:rPr>
      </w:pPr>
    </w:p>
    <w:p w14:paraId="6B6D9DD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w:t>
      </w:r>
      <w:r>
        <w:rPr>
          <w:rFonts w:hint="eastAsia"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rPr>
        <w:t>）项目实施方案（满分</w:t>
      </w:r>
      <w:r>
        <w:rPr>
          <w:rFonts w:hint="eastAsia" w:cs="Times New Roman"/>
          <w:b/>
          <w:bCs/>
          <w:color w:val="auto"/>
          <w:sz w:val="24"/>
          <w:szCs w:val="24"/>
          <w:highlight w:val="none"/>
          <w:lang w:val="en-US" w:eastAsia="zh-CN"/>
        </w:rPr>
        <w:t>24</w:t>
      </w:r>
      <w:r>
        <w:rPr>
          <w:rFonts w:hint="eastAsia" w:ascii="Times New Roman" w:hAnsi="Times New Roman" w:eastAsia="宋体" w:cs="Times New Roman"/>
          <w:b/>
          <w:bCs/>
          <w:color w:val="auto"/>
          <w:sz w:val="24"/>
          <w:szCs w:val="24"/>
          <w:highlight w:val="none"/>
        </w:rPr>
        <w:t>分）</w:t>
      </w:r>
    </w:p>
    <w:p w14:paraId="36B747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rPr>
        <w:t>一档（</w:t>
      </w: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分）：</w:t>
      </w:r>
      <w:r>
        <w:rPr>
          <w:rFonts w:hint="eastAsia" w:ascii="Times New Roman" w:hAnsi="Times New Roman" w:eastAsia="宋体" w:cs="Times New Roman"/>
          <w:color w:val="auto"/>
          <w:kern w:val="2"/>
          <w:sz w:val="24"/>
          <w:szCs w:val="24"/>
          <w:highlight w:val="none"/>
          <w:lang w:val="en-US" w:eastAsia="zh-CN" w:bidi="ar-SA"/>
        </w:rPr>
        <w:t>项目实施方案表述不清晰、不完整，部分措施不具体，对改造内容及货物数量、实施改造(包含改造材料、运输、施工等)等有简单描述，有简单服务流程的 ；</w:t>
      </w:r>
    </w:p>
    <w:p w14:paraId="5871FF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二档（</w:t>
      </w:r>
      <w:r>
        <w:rPr>
          <w:rFonts w:hint="eastAsia" w:cs="Times New Roman"/>
          <w:color w:val="auto"/>
          <w:kern w:val="2"/>
          <w:sz w:val="24"/>
          <w:szCs w:val="24"/>
          <w:highlight w:val="none"/>
          <w:lang w:val="en-US" w:eastAsia="zh-CN" w:bidi="ar-SA"/>
        </w:rPr>
        <w:t>16</w:t>
      </w:r>
      <w:r>
        <w:rPr>
          <w:rFonts w:hint="eastAsia" w:ascii="Times New Roman" w:hAnsi="Times New Roman" w:eastAsia="宋体" w:cs="Times New Roman"/>
          <w:color w:val="auto"/>
          <w:kern w:val="2"/>
          <w:sz w:val="24"/>
          <w:szCs w:val="24"/>
          <w:highlight w:val="none"/>
          <w:lang w:val="en-US" w:eastAsia="zh-CN" w:bidi="ar-SA"/>
        </w:rPr>
        <w:t>分）：项目实施方案表述清晰、完整，对改造内容及货物数量、实施改造 (包含改造材料、运输、施工等)等有具体描述，有老年人居家适老化设施和老年用品使用流程、施工工期的计划和实施效果的等；</w:t>
      </w:r>
    </w:p>
    <w:p w14:paraId="673112B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三档（</w:t>
      </w:r>
      <w:r>
        <w:rPr>
          <w:rFonts w:hint="eastAsia" w:cs="Times New Roman"/>
          <w:color w:val="auto"/>
          <w:kern w:val="2"/>
          <w:sz w:val="24"/>
          <w:szCs w:val="24"/>
          <w:highlight w:val="none"/>
          <w:lang w:val="en-US" w:eastAsia="zh-CN" w:bidi="ar-SA"/>
        </w:rPr>
        <w:t>24</w:t>
      </w:r>
      <w:r>
        <w:rPr>
          <w:rFonts w:hint="eastAsia" w:ascii="Times New Roman" w:hAnsi="Times New Roman" w:eastAsia="宋体" w:cs="Times New Roman"/>
          <w:color w:val="auto"/>
          <w:kern w:val="2"/>
          <w:sz w:val="24"/>
          <w:szCs w:val="24"/>
          <w:highlight w:val="none"/>
          <w:lang w:val="en-US" w:eastAsia="zh-CN" w:bidi="ar-SA"/>
        </w:rPr>
        <w:t>分）：项目实施方案表述清晰、完整，对改造内容及货物数量、实施改造   (包含改造材料、运输、施工等)等有具体描述，有老年人居家适老化设施和老年用品使用流程、施工工期的计划和实施效果的等；施工过程中，指派专人负责施工管理， 进行经常性巡查，发现问题及时整改，及时反馈改造进度，确保改造工程能够按时按质完成、有服务监督、评价、考核方案、有数据统计及档案管理的；</w:t>
      </w:r>
    </w:p>
    <w:p w14:paraId="6D1963D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入户需求及改造服务方案</w:t>
      </w:r>
      <w:r>
        <w:rPr>
          <w:rFonts w:hint="eastAsia" w:ascii="Times New Roman" w:hAnsi="Times New Roman" w:eastAsia="宋体" w:cs="Times New Roman"/>
          <w:b/>
          <w:bCs/>
          <w:color w:val="auto"/>
          <w:sz w:val="24"/>
          <w:szCs w:val="24"/>
          <w:highlight w:val="none"/>
        </w:rPr>
        <w:t>（满分</w:t>
      </w:r>
      <w:r>
        <w:rPr>
          <w:rFonts w:hint="eastAsia" w:cs="Times New Roman"/>
          <w:b/>
          <w:bCs/>
          <w:color w:val="auto"/>
          <w:sz w:val="24"/>
          <w:szCs w:val="24"/>
          <w:highlight w:val="none"/>
          <w:lang w:val="en-US" w:eastAsia="zh-CN"/>
        </w:rPr>
        <w:t>20</w:t>
      </w:r>
      <w:r>
        <w:rPr>
          <w:rFonts w:hint="eastAsia" w:ascii="Times New Roman" w:hAnsi="Times New Roman" w:eastAsia="宋体" w:cs="Times New Roman"/>
          <w:b/>
          <w:bCs/>
          <w:color w:val="auto"/>
          <w:sz w:val="24"/>
          <w:szCs w:val="24"/>
          <w:highlight w:val="none"/>
        </w:rPr>
        <w:t>分）</w:t>
      </w:r>
    </w:p>
    <w:p w14:paraId="37FD2DD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一档(7 分):入户需求调查评估方案（包括但不限于入户调查、工作流程、台账管理等）较简单、改造服务方案切合农村地区特点（包括但不限于卫生间改造、厨房改造和智能安全监护）较简单，服务指标及服务程序基本合理的，针对性</w:t>
      </w:r>
      <w:r>
        <w:rPr>
          <w:rFonts w:hint="eastAsia" w:cs="Times New Roman"/>
          <w:color w:val="auto"/>
          <w:sz w:val="24"/>
          <w:szCs w:val="24"/>
          <w:highlight w:val="none"/>
          <w:lang w:val="en-US" w:eastAsia="zh-CN"/>
        </w:rPr>
        <w:t>一般</w:t>
      </w:r>
      <w:r>
        <w:rPr>
          <w:rFonts w:hint="eastAsia" w:ascii="Times New Roman" w:hAnsi="Times New Roman" w:eastAsia="宋体" w:cs="Times New Roman"/>
          <w:color w:val="auto"/>
          <w:sz w:val="24"/>
          <w:szCs w:val="24"/>
          <w:highlight w:val="none"/>
          <w:lang w:val="en-US" w:eastAsia="zh-CN"/>
        </w:rPr>
        <w:t xml:space="preserve">的； </w:t>
      </w:r>
    </w:p>
    <w:p w14:paraId="66840A8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二档(14 分):入户需求调查评估方案（包括但不限于入户调查、工作流程、台账管理等）详细较完整、改造服务方案切合农村地区特点（包括但不限于卫生间改造、厨房改造和智能安全监护）对项目服务、项目运营管理等有一定的分析考虑，有一定的可行性和可操作性，服务指标及内容设计符合项目实际需求，目标明确，服务程序完整、规范； </w:t>
      </w:r>
    </w:p>
    <w:p w14:paraId="5E4DB94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三档(20 分):入户需求调查评估方案（内容包括但不限于入户调查、工作流程、台账管理等）详细且完整切合实际、改造服务方案切合农村地区特点（内容包括但不限于卫生间改造、厨房改造和智能安全监护）对项目服务、项目运营管理、项目社会效益等综合考虑，分析得当，目标明确，结论科学，具有可行性和可操作性，服务指标及内容设计符合项目实际需求，服务程序完整、规范、专业，能够覆盖项目目标群体及具有个性化、创新型和推广性；</w:t>
      </w:r>
    </w:p>
    <w:p w14:paraId="40B63F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69D98655">
      <w:pPr>
        <w:pStyle w:val="13"/>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w:t>
      </w:r>
      <w:r>
        <w:rPr>
          <w:rFonts w:hint="eastAsia" w:ascii="Times New Roman" w:hAnsi="Times New Roman" w:cs="Times New Roman"/>
          <w:b/>
          <w:bCs/>
          <w:color w:val="auto"/>
          <w:kern w:val="2"/>
          <w:sz w:val="24"/>
          <w:szCs w:val="24"/>
          <w:highlight w:val="none"/>
          <w:lang w:val="en-US" w:eastAsia="zh-CN" w:bidi="ar-SA"/>
        </w:rPr>
        <w:t>3</w:t>
      </w:r>
      <w:r>
        <w:rPr>
          <w:rFonts w:hint="eastAsia" w:ascii="Times New Roman" w:hAnsi="Times New Roman" w:eastAsia="宋体" w:cs="Times New Roman"/>
          <w:b/>
          <w:bCs/>
          <w:color w:val="auto"/>
          <w:kern w:val="2"/>
          <w:sz w:val="24"/>
          <w:szCs w:val="24"/>
          <w:highlight w:val="none"/>
          <w:lang w:val="en-US" w:eastAsia="zh-CN" w:bidi="ar-SA"/>
        </w:rPr>
        <w:t>）项目进度计划和保证措施（满分</w:t>
      </w:r>
      <w:r>
        <w:rPr>
          <w:rFonts w:hint="eastAsia" w:ascii="Times New Roman" w:hAnsi="Times New Roman" w:cs="Times New Roman"/>
          <w:b/>
          <w:bCs/>
          <w:color w:val="auto"/>
          <w:kern w:val="2"/>
          <w:sz w:val="24"/>
          <w:szCs w:val="24"/>
          <w:highlight w:val="none"/>
          <w:lang w:val="en-US" w:eastAsia="zh-CN" w:bidi="ar-SA"/>
        </w:rPr>
        <w:t>13</w:t>
      </w:r>
      <w:r>
        <w:rPr>
          <w:rFonts w:hint="eastAsia" w:ascii="Times New Roman" w:hAnsi="Times New Roman" w:eastAsia="宋体" w:cs="Times New Roman"/>
          <w:b/>
          <w:bCs/>
          <w:color w:val="auto"/>
          <w:kern w:val="2"/>
          <w:sz w:val="24"/>
          <w:szCs w:val="24"/>
          <w:highlight w:val="none"/>
          <w:lang w:val="en-US" w:eastAsia="zh-CN" w:bidi="ar-SA"/>
        </w:rPr>
        <w:t>分）</w:t>
      </w:r>
    </w:p>
    <w:p w14:paraId="5B3C762B">
      <w:pPr>
        <w:pStyle w:val="5"/>
        <w:spacing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一档（5分）：工作进度计划不够详细，保证措施描述简单，工作进度计划不能细分到户，且未能按日、周、月进度推进项目，具体细化的时间不够详细、人员等具体应对措施不够完整； </w:t>
      </w:r>
    </w:p>
    <w:p w14:paraId="7252F63A">
      <w:pPr>
        <w:pStyle w:val="5"/>
        <w:spacing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二档（9分）：工作进度计划合理，工作进度计划基本能细分到户，按日、周、月进度推进项目措施描述合理，保证措施可行，具体细化的时间、人员等具体应对措施可行，基本满足项目需求；</w:t>
      </w:r>
    </w:p>
    <w:p w14:paraId="0F3A1F82">
      <w:pPr>
        <w:pStyle w:val="5"/>
        <w:spacing w:line="360" w:lineRule="auto"/>
        <w:ind w:firstLine="480" w:firstLineChars="200"/>
        <w:jc w:val="both"/>
        <w:rPr>
          <w:rFonts w:hint="eastAsia"/>
          <w:color w:val="auto"/>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三档（13分）：工作进度计划合理且量化可控，工作进度计划的细分到户，且能按日、周、月进度推进项目，时间安排紧凑性优于项目需求，各阶段工作推进步骤清晰明了，安排科学合理，保证措施具体可行且有针对性，并附有相关的合理化建议。</w:t>
      </w:r>
    </w:p>
    <w:p w14:paraId="3309C313">
      <w:pPr>
        <w:pStyle w:val="13"/>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w:t>
      </w:r>
      <w:r>
        <w:rPr>
          <w:rFonts w:hint="eastAsia" w:ascii="Times New Roman" w:hAnsi="Times New Roman" w:cs="Times New Roman"/>
          <w:b/>
          <w:bCs/>
          <w:color w:val="auto"/>
          <w:kern w:val="2"/>
          <w:sz w:val="24"/>
          <w:szCs w:val="24"/>
          <w:highlight w:val="none"/>
          <w:lang w:val="en-US" w:eastAsia="zh-CN" w:bidi="ar-SA"/>
        </w:rPr>
        <w:t>4</w:t>
      </w:r>
      <w:r>
        <w:rPr>
          <w:rFonts w:hint="eastAsia" w:ascii="Times New Roman" w:hAnsi="Times New Roman" w:eastAsia="宋体" w:cs="Times New Roman"/>
          <w:b/>
          <w:bCs/>
          <w:color w:val="auto"/>
          <w:kern w:val="2"/>
          <w:sz w:val="24"/>
          <w:szCs w:val="24"/>
          <w:highlight w:val="none"/>
          <w:lang w:val="en-US" w:eastAsia="zh-CN" w:bidi="ar-SA"/>
        </w:rPr>
        <w:t>）质量保证措施（满分</w:t>
      </w:r>
      <w:r>
        <w:rPr>
          <w:rFonts w:hint="eastAsia" w:ascii="Times New Roman" w:hAnsi="Times New Roman" w:cs="Times New Roman"/>
          <w:b/>
          <w:bCs/>
          <w:color w:val="auto"/>
          <w:kern w:val="2"/>
          <w:sz w:val="24"/>
          <w:szCs w:val="24"/>
          <w:highlight w:val="none"/>
          <w:lang w:val="en-US" w:eastAsia="zh-CN" w:bidi="ar-SA"/>
        </w:rPr>
        <w:t>9</w:t>
      </w:r>
      <w:r>
        <w:rPr>
          <w:rFonts w:hint="eastAsia" w:ascii="Times New Roman" w:hAnsi="Times New Roman" w:eastAsia="宋体" w:cs="Times New Roman"/>
          <w:b/>
          <w:bCs/>
          <w:color w:val="auto"/>
          <w:kern w:val="2"/>
          <w:sz w:val="24"/>
          <w:szCs w:val="24"/>
          <w:highlight w:val="none"/>
          <w:lang w:val="en-US" w:eastAsia="zh-CN" w:bidi="ar-SA"/>
        </w:rPr>
        <w:t>分）</w:t>
      </w:r>
    </w:p>
    <w:p w14:paraId="788E59E4">
      <w:pPr>
        <w:pStyle w:val="13"/>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一档（</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分）：质量保证措施简单对服务质量承诺、质量目标及要求无描述，对项目的重点、难点无针对性措施，不能充分满足项目需求；</w:t>
      </w:r>
    </w:p>
    <w:p w14:paraId="0A4DC525">
      <w:pPr>
        <w:pStyle w:val="5"/>
        <w:spacing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二档（6分）：质量保证措施完整对服务质量承诺、质量目标及要求有描述，具有一定的合理性和可行性，对项目的重点、难点有针对性措施，满足项目需求； </w:t>
      </w:r>
    </w:p>
    <w:p w14:paraId="600DEBAC">
      <w:pPr>
        <w:pStyle w:val="5"/>
        <w:spacing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档（9分）：质量保证措施完整，对服务质量做出详细的承诺，工作目标任务明确，质量控制的工作措施方法、质量控制措施有力，特别针对项目的重点、难点分析合理、保证措施科学可行，完全满足项目需求。</w:t>
      </w:r>
    </w:p>
    <w:p w14:paraId="73763541">
      <w:pPr>
        <w:pStyle w:val="13"/>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w:t>
      </w:r>
      <w:r>
        <w:rPr>
          <w:rFonts w:hint="eastAsia" w:ascii="Times New Roman" w:hAnsi="Times New Roman" w:cs="Times New Roman"/>
          <w:b/>
          <w:bCs/>
          <w:color w:val="auto"/>
          <w:kern w:val="2"/>
          <w:sz w:val="24"/>
          <w:szCs w:val="24"/>
          <w:highlight w:val="none"/>
          <w:lang w:val="en-US" w:eastAsia="zh-CN" w:bidi="ar-SA"/>
        </w:rPr>
        <w:t>5</w:t>
      </w:r>
      <w:r>
        <w:rPr>
          <w:rFonts w:hint="eastAsia" w:ascii="Times New Roman" w:hAnsi="Times New Roman" w:eastAsia="宋体" w:cs="Times New Roman"/>
          <w:b/>
          <w:bCs/>
          <w:color w:val="auto"/>
          <w:kern w:val="2"/>
          <w:sz w:val="24"/>
          <w:szCs w:val="24"/>
          <w:highlight w:val="none"/>
          <w:lang w:val="en-US" w:eastAsia="zh-CN" w:bidi="ar-SA"/>
        </w:rPr>
        <w:t>）服务承诺 （满分</w:t>
      </w:r>
      <w:r>
        <w:rPr>
          <w:rFonts w:hint="eastAsia" w:ascii="Times New Roman" w:hAnsi="Times New Roman" w:cs="Times New Roman"/>
          <w:b/>
          <w:bCs/>
          <w:color w:val="auto"/>
          <w:kern w:val="2"/>
          <w:sz w:val="24"/>
          <w:szCs w:val="24"/>
          <w:highlight w:val="none"/>
          <w:lang w:val="en-US" w:eastAsia="zh-CN" w:bidi="ar-SA"/>
        </w:rPr>
        <w:t>16</w:t>
      </w:r>
      <w:r>
        <w:rPr>
          <w:rFonts w:hint="eastAsia" w:ascii="Times New Roman" w:hAnsi="Times New Roman" w:eastAsia="宋体" w:cs="Times New Roman"/>
          <w:b/>
          <w:bCs/>
          <w:color w:val="auto"/>
          <w:kern w:val="2"/>
          <w:sz w:val="24"/>
          <w:szCs w:val="24"/>
          <w:highlight w:val="none"/>
          <w:lang w:val="en-US" w:eastAsia="zh-CN" w:bidi="ar-SA"/>
        </w:rPr>
        <w:t>分）</w:t>
      </w:r>
    </w:p>
    <w:p w14:paraId="05D426F0">
      <w:pPr>
        <w:pStyle w:val="9"/>
        <w:keepNext w:val="0"/>
        <w:keepLines w:val="0"/>
        <w:pageBreakBefore w:val="0"/>
        <w:kinsoku/>
        <w:wordWrap/>
        <w:overflowPunct/>
        <w:topLinePunct w:val="0"/>
        <w:autoSpaceDE/>
        <w:autoSpaceDN/>
        <w:bidi w:val="0"/>
        <w:adjustRightInd/>
        <w:snapToGrid/>
        <w:spacing w:line="360" w:lineRule="auto"/>
        <w:ind w:firstLine="489" w:firstLineChars="204"/>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一档（</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分）：服务承诺能满足磋商文件要求，</w:t>
      </w:r>
      <w:r>
        <w:rPr>
          <w:rFonts w:hint="eastAsia" w:cs="Times New Roman"/>
          <w:color w:val="auto"/>
          <w:kern w:val="2"/>
          <w:sz w:val="24"/>
          <w:szCs w:val="24"/>
          <w:highlight w:val="none"/>
          <w:lang w:val="en-US" w:eastAsia="zh-CN" w:bidi="ar-SA"/>
        </w:rPr>
        <w:t>包括</w:t>
      </w:r>
      <w:r>
        <w:rPr>
          <w:rFonts w:hint="eastAsia"/>
          <w:color w:val="auto"/>
          <w:sz w:val="24"/>
          <w:szCs w:val="24"/>
          <w:highlight w:val="none"/>
        </w:rPr>
        <w:t>售后服务支持、服务流程、响应时间</w:t>
      </w:r>
      <w:r>
        <w:rPr>
          <w:rFonts w:hint="eastAsia"/>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内容完善，且有相应的服务保障措施</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 xml:space="preserve">； </w:t>
      </w:r>
    </w:p>
    <w:p w14:paraId="5A358681">
      <w:pPr>
        <w:pStyle w:val="9"/>
        <w:keepNext w:val="0"/>
        <w:keepLines w:val="0"/>
        <w:pageBreakBefore w:val="0"/>
        <w:kinsoku/>
        <w:wordWrap/>
        <w:overflowPunct/>
        <w:topLinePunct w:val="0"/>
        <w:autoSpaceDE/>
        <w:autoSpaceDN/>
        <w:bidi w:val="0"/>
        <w:adjustRightInd/>
        <w:snapToGrid/>
        <w:spacing w:line="360" w:lineRule="auto"/>
        <w:ind w:firstLine="489" w:firstLineChars="204"/>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二档（</w:t>
      </w:r>
      <w:r>
        <w:rPr>
          <w:rFonts w:hint="eastAsia" w:cs="Times New Roman"/>
          <w:color w:val="auto"/>
          <w:kern w:val="2"/>
          <w:sz w:val="24"/>
          <w:szCs w:val="24"/>
          <w:highlight w:val="none"/>
          <w:lang w:val="en-US" w:eastAsia="zh-CN" w:bidi="ar-SA"/>
        </w:rPr>
        <w:t>10</w:t>
      </w:r>
      <w:r>
        <w:rPr>
          <w:rFonts w:hint="eastAsia" w:ascii="Times New Roman" w:hAnsi="Times New Roman" w:eastAsia="宋体" w:cs="Times New Roman"/>
          <w:color w:val="auto"/>
          <w:kern w:val="2"/>
          <w:sz w:val="24"/>
          <w:szCs w:val="24"/>
          <w:highlight w:val="none"/>
          <w:lang w:val="en-US" w:eastAsia="zh-CN" w:bidi="ar-SA"/>
        </w:rPr>
        <w:t>分）：服务承诺满足磋商文件要求，有明确的服务时效承诺，服务承诺的内容能为采购人考虑周全，可行性高，有较为可行的服务保障措施，对项目的服务有正确深刻理解与充分认识</w:t>
      </w:r>
      <w:r>
        <w:rPr>
          <w:rFonts w:hint="eastAsia" w:cs="Times New Roman"/>
          <w:color w:val="auto"/>
          <w:kern w:val="2"/>
          <w:sz w:val="24"/>
          <w:szCs w:val="24"/>
          <w:highlight w:val="none"/>
          <w:lang w:val="en-US" w:eastAsia="zh-CN" w:bidi="ar-SA"/>
        </w:rPr>
        <w:t>，</w:t>
      </w:r>
      <w:r>
        <w:rPr>
          <w:rFonts w:hint="eastAsia"/>
          <w:color w:val="auto"/>
          <w:sz w:val="24"/>
          <w:szCs w:val="24"/>
          <w:highlight w:val="none"/>
        </w:rPr>
        <w:t>表述较详细，方案灵活，可操作性、完整性较强</w:t>
      </w:r>
      <w:r>
        <w:rPr>
          <w:rFonts w:hint="eastAsia" w:ascii="Times New Roman" w:hAnsi="Times New Roman" w:eastAsia="宋体" w:cs="Times New Roman"/>
          <w:color w:val="auto"/>
          <w:kern w:val="2"/>
          <w:sz w:val="24"/>
          <w:szCs w:val="24"/>
          <w:highlight w:val="none"/>
          <w:lang w:val="en-US" w:eastAsia="zh-CN" w:bidi="ar-SA"/>
        </w:rPr>
        <w:t xml:space="preserve">； </w:t>
      </w:r>
    </w:p>
    <w:p w14:paraId="2D27CCCE">
      <w:pPr>
        <w:pStyle w:val="9"/>
        <w:keepNext w:val="0"/>
        <w:keepLines w:val="0"/>
        <w:pageBreakBefore w:val="0"/>
        <w:kinsoku/>
        <w:wordWrap/>
        <w:overflowPunct/>
        <w:topLinePunct w:val="0"/>
        <w:autoSpaceDE/>
        <w:autoSpaceDN/>
        <w:bidi w:val="0"/>
        <w:adjustRightInd/>
        <w:snapToGrid/>
        <w:spacing w:line="360" w:lineRule="auto"/>
        <w:ind w:firstLine="489" w:firstLineChars="204"/>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三档（</w:t>
      </w:r>
      <w:r>
        <w:rPr>
          <w:rFonts w:hint="eastAsia" w:cs="Times New Roman"/>
          <w:color w:val="auto"/>
          <w:kern w:val="2"/>
          <w:sz w:val="24"/>
          <w:szCs w:val="24"/>
          <w:highlight w:val="none"/>
          <w:lang w:val="en-US" w:eastAsia="zh-CN" w:bidi="ar-SA"/>
        </w:rPr>
        <w:t>16</w:t>
      </w:r>
      <w:r>
        <w:rPr>
          <w:rFonts w:hint="eastAsia" w:ascii="Times New Roman" w:hAnsi="Times New Roman" w:eastAsia="宋体" w:cs="Times New Roman"/>
          <w:color w:val="auto"/>
          <w:kern w:val="2"/>
          <w:sz w:val="24"/>
          <w:szCs w:val="24"/>
          <w:highlight w:val="none"/>
          <w:lang w:val="en-US" w:eastAsia="zh-CN" w:bidi="ar-SA"/>
        </w:rPr>
        <w:t>分）：服务承诺满足磋商文件要求，有明确的服务时效承诺，服务承诺的内容能为采购人考虑周全，可行性高，有较为可行的服务保障措施。对项目的服务有正确深刻理解与充分认识，表述清晰、完整、严谨、合理、有效，服务承诺完全满足项目要求。接到用户服务请求电话，承诺 2 天内到达现场解决问题，24小时内提出问题解决方案，并提供服务联系人姓名、电话、详细地址等信息。</w:t>
      </w:r>
    </w:p>
    <w:p w14:paraId="0C07C35B">
      <w:pPr>
        <w:spacing w:before="69" w:line="360" w:lineRule="auto"/>
        <w:ind w:left="198"/>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w:t>
      </w:r>
      <w:r>
        <w:rPr>
          <w:rFonts w:hint="eastAsia" w:cs="Times New Roman"/>
          <w:b/>
          <w:bCs/>
          <w:color w:val="auto"/>
          <w:kern w:val="2"/>
          <w:sz w:val="24"/>
          <w:szCs w:val="24"/>
          <w:highlight w:val="none"/>
          <w:lang w:val="en-US" w:eastAsia="zh-CN" w:bidi="ar-SA"/>
        </w:rPr>
        <w:t>6</w:t>
      </w:r>
      <w:r>
        <w:rPr>
          <w:rFonts w:hint="eastAsia" w:ascii="Times New Roman" w:hAnsi="Times New Roman" w:eastAsia="宋体" w:cs="Times New Roman"/>
          <w:b/>
          <w:bCs/>
          <w:color w:val="auto"/>
          <w:kern w:val="2"/>
          <w:sz w:val="24"/>
          <w:szCs w:val="24"/>
          <w:highlight w:val="none"/>
          <w:lang w:val="en-US" w:eastAsia="zh-CN" w:bidi="ar-SA"/>
        </w:rPr>
        <w:t>）安全服务保障方案和应急预案（满分</w:t>
      </w:r>
      <w:r>
        <w:rPr>
          <w:rFonts w:hint="eastAsia" w:cs="Times New Roman"/>
          <w:b/>
          <w:bCs/>
          <w:color w:val="auto"/>
          <w:kern w:val="2"/>
          <w:sz w:val="24"/>
          <w:szCs w:val="24"/>
          <w:highlight w:val="none"/>
          <w:lang w:val="en-US" w:eastAsia="zh-CN" w:bidi="ar-SA"/>
        </w:rPr>
        <w:t>8</w:t>
      </w:r>
      <w:r>
        <w:rPr>
          <w:rFonts w:hint="eastAsia" w:ascii="Times New Roman" w:hAnsi="Times New Roman" w:eastAsia="宋体" w:cs="Times New Roman"/>
          <w:b/>
          <w:bCs/>
          <w:color w:val="auto"/>
          <w:kern w:val="2"/>
          <w:sz w:val="24"/>
          <w:szCs w:val="24"/>
          <w:highlight w:val="none"/>
          <w:lang w:val="en-US" w:eastAsia="zh-CN" w:bidi="ar-SA"/>
        </w:rPr>
        <w:t>分）</w:t>
      </w:r>
    </w:p>
    <w:p w14:paraId="45AB2216">
      <w:pPr>
        <w:pStyle w:val="13"/>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针对本项目制定安全服务预防措施及突发事件应急预案(内容包括但不限于在服务过程中老人出现意外情况的应对方案、服务人员出现意外情况的应对方案、 紧急服务、以及突发公共卫生事件的应对方案等),保证在日常运行及突发事件中正常运行 。</w:t>
      </w:r>
    </w:p>
    <w:p w14:paraId="3C85CCD8">
      <w:pPr>
        <w:pStyle w:val="13"/>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一档(</w:t>
      </w:r>
      <w:r>
        <w:rPr>
          <w:rFonts w:hint="eastAsia" w:ascii="Times New Roman" w:hAnsi="Times New Roman"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分):拟定的安全服务预防措施及应急预案简单，安全服务预防、紧急情况应对能力显不足，操作性不强；</w:t>
      </w:r>
    </w:p>
    <w:p w14:paraId="326D1BD2">
      <w:pPr>
        <w:spacing w:before="152" w:line="360" w:lineRule="auto"/>
        <w:ind w:left="110" w:firstLine="240" w:firstLineChars="1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二档</w:t>
      </w:r>
      <w:r>
        <w:rPr>
          <w:rFonts w:hint="eastAsia"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分):拟定的安全服务预防措施及应急预案比较详细，考虑较周全，较符合本项目实际，具备较强针对性及可操作性；</w:t>
      </w:r>
    </w:p>
    <w:p w14:paraId="4822A5F1">
      <w:pPr>
        <w:spacing w:before="189"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三档(</w:t>
      </w:r>
      <w:r>
        <w:rPr>
          <w:rFonts w:hint="eastAsia" w:cs="Times New Roman"/>
          <w:color w:val="auto"/>
          <w:kern w:val="2"/>
          <w:sz w:val="24"/>
          <w:szCs w:val="24"/>
          <w:highlight w:val="none"/>
          <w:lang w:val="en-US" w:eastAsia="zh-CN" w:bidi="ar-SA"/>
        </w:rPr>
        <w:t>8</w:t>
      </w:r>
      <w:r>
        <w:rPr>
          <w:rFonts w:hint="eastAsia" w:ascii="Times New Roman" w:hAnsi="Times New Roman" w:eastAsia="宋体" w:cs="Times New Roman"/>
          <w:color w:val="auto"/>
          <w:kern w:val="2"/>
          <w:sz w:val="24"/>
          <w:szCs w:val="24"/>
          <w:highlight w:val="none"/>
          <w:lang w:val="en-US" w:eastAsia="zh-CN" w:bidi="ar-SA"/>
        </w:rPr>
        <w:t>分):拟定的安全服务预防措施及应急预案切合项目实际，措施得力、方案详实完善且针对性、可操作强；对采购人组织的居家养老相关活动有相应工作安排，在发生突发事件时，能快速调配力量作妥善处理。</w:t>
      </w:r>
    </w:p>
    <w:p w14:paraId="64897053">
      <w:pPr>
        <w:pStyle w:val="13"/>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3428E051">
      <w:pPr>
        <w:pStyle w:val="13"/>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 =1+2</w:t>
      </w:r>
    </w:p>
    <w:p w14:paraId="3190BBC2">
      <w:pPr>
        <w:pStyle w:val="13"/>
        <w:numPr>
          <w:ilvl w:val="0"/>
          <w:numId w:val="0"/>
        </w:numPr>
        <w:textAlignment w:val="baseline"/>
        <w:rPr>
          <w:rFonts w:hint="default" w:ascii="Arial" w:hAnsi="Arial" w:eastAsia="宋体" w:cs="Arial"/>
          <w:b/>
          <w:bCs/>
          <w:color w:val="auto"/>
          <w:sz w:val="24"/>
          <w:szCs w:val="24"/>
          <w:highlight w:val="none"/>
          <w:lang w:val="en-US" w:eastAsia="zh-CN"/>
        </w:rPr>
      </w:pPr>
    </w:p>
    <w:p w14:paraId="64B35F5E">
      <w:pPr>
        <w:pStyle w:val="13"/>
        <w:numPr>
          <w:ilvl w:val="0"/>
          <w:numId w:val="0"/>
        </w:numPr>
        <w:textAlignment w:val="baseline"/>
        <w:rPr>
          <w:rFonts w:hint="default" w:ascii="Arial" w:hAnsi="Arial" w:eastAsia="宋体" w:cs="Arial"/>
          <w:b/>
          <w:bCs/>
          <w:color w:val="auto"/>
          <w:sz w:val="24"/>
          <w:szCs w:val="24"/>
          <w:highlight w:val="none"/>
          <w:lang w:val="en-US" w:eastAsia="zh-CN"/>
        </w:rPr>
      </w:pPr>
      <w:r>
        <w:rPr>
          <w:rFonts w:hint="eastAsia" w:ascii="Arial" w:hAnsi="Arial" w:eastAsia="宋体" w:cs="Arial"/>
          <w:b/>
          <w:bCs/>
          <w:color w:val="auto"/>
          <w:sz w:val="24"/>
          <w:szCs w:val="24"/>
          <w:highlight w:val="none"/>
          <w:lang w:val="en-US" w:eastAsia="zh-CN"/>
        </w:rPr>
        <w:t xml:space="preserve">三 </w:t>
      </w:r>
      <w:r>
        <w:rPr>
          <w:rFonts w:hint="default" w:ascii="Arial" w:hAnsi="Arial" w:eastAsia="宋体" w:cs="Arial"/>
          <w:b/>
          <w:bCs/>
          <w:color w:val="auto"/>
          <w:sz w:val="24"/>
          <w:szCs w:val="24"/>
          <w:highlight w:val="none"/>
          <w:lang w:val="en-US" w:eastAsia="zh-CN"/>
        </w:rPr>
        <w:t>、成交候选</w:t>
      </w:r>
      <w:r>
        <w:rPr>
          <w:rFonts w:hint="eastAsia" w:ascii="Arial" w:hAnsi="Arial" w:cs="Arial"/>
          <w:b/>
          <w:bCs/>
          <w:color w:val="auto"/>
          <w:sz w:val="24"/>
          <w:szCs w:val="24"/>
          <w:highlight w:val="none"/>
          <w:lang w:val="en-US" w:eastAsia="zh-CN"/>
        </w:rPr>
        <w:t>人</w:t>
      </w:r>
      <w:r>
        <w:rPr>
          <w:rFonts w:hint="default" w:ascii="Arial" w:hAnsi="Arial" w:eastAsia="宋体" w:cs="Arial"/>
          <w:b/>
          <w:bCs/>
          <w:color w:val="auto"/>
          <w:sz w:val="24"/>
          <w:szCs w:val="24"/>
          <w:highlight w:val="none"/>
          <w:lang w:val="en-US" w:eastAsia="zh-CN"/>
        </w:rPr>
        <w:t>推荐原则</w:t>
      </w:r>
    </w:p>
    <w:p w14:paraId="631B0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竞争性磋商响应文件在技术和服务均能满足竞争性磋商文件实质性响应要求时磋商小组将根据得分由高到低排列次序并推荐</w:t>
      </w:r>
      <w:r>
        <w:rPr>
          <w:rFonts w:hint="eastAsia" w:ascii="宋体" w:hAnsi="宋体" w:cs="宋体"/>
          <w:color w:val="auto"/>
          <w:sz w:val="24"/>
          <w:szCs w:val="24"/>
          <w:highlight w:val="none"/>
          <w:lang w:val="en-US" w:eastAsia="zh-CN"/>
        </w:rPr>
        <w:t>3名</w:t>
      </w:r>
      <w:r>
        <w:rPr>
          <w:rFonts w:hint="eastAsia" w:ascii="宋体" w:hAnsi="宋体" w:eastAsia="宋体" w:cs="宋体"/>
          <w:color w:val="auto"/>
          <w:sz w:val="24"/>
          <w:szCs w:val="24"/>
          <w:highlight w:val="none"/>
          <w:lang w:val="en-US" w:eastAsia="zh-CN"/>
        </w:rPr>
        <w:t>成交候选供应商。（得分相同时，以最后报价由低到高顺序排列；评审得分且最后报价相同的，按照技术指标优劣顺序推荐，由采购单位确定成交候选供应商）。排名第一的成交候选供应商放弃成交、因不可抗力提出不能履行协议的，或者竞争性磋商文件规定应当提交履约保证金而在规定的期限内未能提交的，采购单位可以确定排名第二的成交候选供应商为成交供应商，也可以重新组织开展采购活动。</w:t>
      </w:r>
      <w:r>
        <w:rPr>
          <w:rFonts w:hint="eastAsia" w:ascii="宋体" w:hAnsi="宋体" w:eastAsia="宋体" w:cs="宋体"/>
          <w:color w:val="auto"/>
          <w:sz w:val="24"/>
          <w:szCs w:val="24"/>
          <w:highlight w:val="none"/>
        </w:rPr>
        <w:t xml:space="preserve">  </w:t>
      </w:r>
    </w:p>
    <w:p w14:paraId="2B98868D">
      <w:p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p>
    <w:p w14:paraId="04AABBE5">
      <w:pPr>
        <w:rPr>
          <w:rFonts w:hint="default" w:ascii="Times New Roman" w:hAnsi="Times New Roman" w:cs="Times New Roman"/>
          <w:color w:val="auto"/>
          <w:highlight w:val="none"/>
          <w:lang w:eastAsia="zh-CN"/>
        </w:rPr>
      </w:pPr>
    </w:p>
    <w:p w14:paraId="3143EACC">
      <w:pPr>
        <w:spacing w:line="428" w:lineRule="exact"/>
        <w:ind w:left="119"/>
        <w:rPr>
          <w:bCs/>
          <w:color w:val="auto"/>
          <w:highlight w:val="none"/>
        </w:rPr>
      </w:pPr>
      <w:r>
        <w:rPr>
          <w:bCs/>
          <w:color w:val="auto"/>
          <w:highlight w:val="none"/>
        </w:rPr>
        <w:t>附件1：</w:t>
      </w:r>
    </w:p>
    <w:p w14:paraId="7E22E9D7">
      <w:pPr>
        <w:spacing w:line="528" w:lineRule="exact"/>
        <w:ind w:left="1871"/>
        <w:rPr>
          <w:bCs/>
          <w:color w:val="auto"/>
          <w:highlight w:val="none"/>
        </w:rPr>
      </w:pPr>
      <w:r>
        <w:rPr>
          <w:bCs/>
          <w:color w:val="auto"/>
          <w:highlight w:val="none"/>
        </w:rPr>
        <w:t>中小微企业划型标准</w:t>
      </w:r>
    </w:p>
    <w:tbl>
      <w:tblPr>
        <w:tblStyle w:val="24"/>
        <w:tblW w:w="0" w:type="auto"/>
        <w:tblInd w:w="250" w:type="dxa"/>
        <w:tblLayout w:type="fixed"/>
        <w:tblCellMar>
          <w:top w:w="0" w:type="dxa"/>
          <w:left w:w="108" w:type="dxa"/>
          <w:bottom w:w="0" w:type="dxa"/>
          <w:right w:w="108" w:type="dxa"/>
        </w:tblCellMar>
      </w:tblPr>
      <w:tblGrid>
        <w:gridCol w:w="1949"/>
        <w:gridCol w:w="1586"/>
        <w:gridCol w:w="1285"/>
        <w:gridCol w:w="1842"/>
        <w:gridCol w:w="1701"/>
        <w:gridCol w:w="1276"/>
      </w:tblGrid>
      <w:tr w14:paraId="03C96EDA">
        <w:tblPrEx>
          <w:tblCellMar>
            <w:top w:w="0" w:type="dxa"/>
            <w:left w:w="108" w:type="dxa"/>
            <w:bottom w:w="0" w:type="dxa"/>
            <w:right w:w="108" w:type="dxa"/>
          </w:tblCellMar>
        </w:tblPrEx>
        <w:trPr>
          <w:trHeight w:val="487" w:hRule="atLeast"/>
        </w:trPr>
        <w:tc>
          <w:tcPr>
            <w:tcW w:w="1949" w:type="dxa"/>
            <w:tcBorders>
              <w:top w:val="single" w:color="auto" w:sz="4" w:space="0"/>
              <w:left w:val="single" w:color="auto" w:sz="4" w:space="0"/>
              <w:bottom w:val="single" w:color="auto" w:sz="4" w:space="0"/>
              <w:right w:val="single" w:color="auto" w:sz="4" w:space="0"/>
            </w:tcBorders>
            <w:noWrap w:val="0"/>
            <w:vAlign w:val="center"/>
          </w:tcPr>
          <w:p w14:paraId="47DE9B6C">
            <w:pPr>
              <w:widowControl/>
              <w:jc w:val="center"/>
              <w:rPr>
                <w:bCs/>
                <w:color w:val="auto"/>
                <w:kern w:val="0"/>
                <w:sz w:val="22"/>
                <w:szCs w:val="22"/>
                <w:highlight w:val="none"/>
              </w:rPr>
            </w:pPr>
            <w:r>
              <w:rPr>
                <w:bCs/>
                <w:color w:val="auto"/>
                <w:kern w:val="0"/>
                <w:sz w:val="22"/>
                <w:szCs w:val="22"/>
                <w:highlight w:val="none"/>
              </w:rPr>
              <w:t>行业名称</w:t>
            </w:r>
          </w:p>
        </w:tc>
        <w:tc>
          <w:tcPr>
            <w:tcW w:w="1586" w:type="dxa"/>
            <w:tcBorders>
              <w:top w:val="single" w:color="auto" w:sz="4" w:space="0"/>
              <w:left w:val="nil"/>
              <w:bottom w:val="single" w:color="auto" w:sz="4" w:space="0"/>
              <w:right w:val="single" w:color="auto" w:sz="4" w:space="0"/>
            </w:tcBorders>
            <w:noWrap w:val="0"/>
            <w:vAlign w:val="center"/>
          </w:tcPr>
          <w:p w14:paraId="26F52CD1">
            <w:pPr>
              <w:widowControl/>
              <w:jc w:val="center"/>
              <w:rPr>
                <w:bCs/>
                <w:color w:val="auto"/>
                <w:kern w:val="0"/>
                <w:sz w:val="22"/>
                <w:szCs w:val="22"/>
                <w:highlight w:val="none"/>
              </w:rPr>
            </w:pPr>
            <w:r>
              <w:rPr>
                <w:bCs/>
                <w:color w:val="auto"/>
                <w:kern w:val="0"/>
                <w:sz w:val="22"/>
                <w:szCs w:val="22"/>
                <w:highlight w:val="none"/>
              </w:rPr>
              <w:t>指标名称</w:t>
            </w:r>
          </w:p>
        </w:tc>
        <w:tc>
          <w:tcPr>
            <w:tcW w:w="1285" w:type="dxa"/>
            <w:tcBorders>
              <w:top w:val="single" w:color="auto" w:sz="4" w:space="0"/>
              <w:left w:val="nil"/>
              <w:bottom w:val="single" w:color="auto" w:sz="4" w:space="0"/>
              <w:right w:val="single" w:color="auto" w:sz="4" w:space="0"/>
            </w:tcBorders>
            <w:noWrap w:val="0"/>
            <w:vAlign w:val="center"/>
          </w:tcPr>
          <w:p w14:paraId="23D04496">
            <w:pPr>
              <w:widowControl/>
              <w:jc w:val="center"/>
              <w:rPr>
                <w:bCs/>
                <w:color w:val="auto"/>
                <w:kern w:val="0"/>
                <w:sz w:val="22"/>
                <w:szCs w:val="22"/>
                <w:highlight w:val="none"/>
              </w:rPr>
            </w:pPr>
            <w:r>
              <w:rPr>
                <w:bCs/>
                <w:color w:val="auto"/>
                <w:kern w:val="0"/>
                <w:sz w:val="22"/>
                <w:szCs w:val="22"/>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F2B8451">
            <w:pPr>
              <w:widowControl/>
              <w:jc w:val="center"/>
              <w:rPr>
                <w:bCs/>
                <w:color w:val="auto"/>
                <w:kern w:val="0"/>
                <w:sz w:val="22"/>
                <w:szCs w:val="22"/>
                <w:highlight w:val="none"/>
              </w:rPr>
            </w:pPr>
            <w:r>
              <w:rPr>
                <w:bCs/>
                <w:color w:val="auto"/>
                <w:kern w:val="0"/>
                <w:sz w:val="22"/>
                <w:szCs w:val="22"/>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10D5DA50">
            <w:pPr>
              <w:widowControl/>
              <w:jc w:val="center"/>
              <w:rPr>
                <w:bCs/>
                <w:color w:val="auto"/>
                <w:kern w:val="0"/>
                <w:sz w:val="22"/>
                <w:szCs w:val="22"/>
                <w:highlight w:val="none"/>
              </w:rPr>
            </w:pPr>
            <w:r>
              <w:rPr>
                <w:bCs/>
                <w:color w:val="auto"/>
                <w:kern w:val="0"/>
                <w:sz w:val="22"/>
                <w:szCs w:val="22"/>
                <w:highlight w:val="none"/>
              </w:rPr>
              <w:t>小型</w:t>
            </w:r>
          </w:p>
        </w:tc>
        <w:tc>
          <w:tcPr>
            <w:tcW w:w="1276" w:type="dxa"/>
            <w:tcBorders>
              <w:top w:val="single" w:color="auto" w:sz="4" w:space="0"/>
              <w:left w:val="nil"/>
              <w:bottom w:val="single" w:color="auto" w:sz="4" w:space="0"/>
              <w:right w:val="single" w:color="auto" w:sz="4" w:space="0"/>
            </w:tcBorders>
            <w:noWrap w:val="0"/>
            <w:vAlign w:val="center"/>
          </w:tcPr>
          <w:p w14:paraId="2DFC9EBC">
            <w:pPr>
              <w:widowControl/>
              <w:jc w:val="center"/>
              <w:rPr>
                <w:bCs/>
                <w:color w:val="auto"/>
                <w:kern w:val="0"/>
                <w:sz w:val="22"/>
                <w:szCs w:val="22"/>
                <w:highlight w:val="none"/>
              </w:rPr>
            </w:pPr>
            <w:r>
              <w:rPr>
                <w:bCs/>
                <w:color w:val="auto"/>
                <w:kern w:val="0"/>
                <w:sz w:val="22"/>
                <w:szCs w:val="22"/>
                <w:highlight w:val="none"/>
              </w:rPr>
              <w:t>微型</w:t>
            </w:r>
          </w:p>
        </w:tc>
      </w:tr>
      <w:tr w14:paraId="04DD02EA">
        <w:tblPrEx>
          <w:tblCellMar>
            <w:top w:w="0" w:type="dxa"/>
            <w:left w:w="108" w:type="dxa"/>
            <w:bottom w:w="0" w:type="dxa"/>
            <w:right w:w="108" w:type="dxa"/>
          </w:tblCellMar>
        </w:tblPrEx>
        <w:trPr>
          <w:trHeight w:val="226" w:hRule="atLeast"/>
        </w:trPr>
        <w:tc>
          <w:tcPr>
            <w:tcW w:w="1949" w:type="dxa"/>
            <w:tcBorders>
              <w:top w:val="nil"/>
              <w:left w:val="single" w:color="auto" w:sz="4" w:space="0"/>
              <w:bottom w:val="single" w:color="auto" w:sz="4" w:space="0"/>
              <w:right w:val="single" w:color="auto" w:sz="4" w:space="0"/>
            </w:tcBorders>
            <w:noWrap w:val="0"/>
            <w:vAlign w:val="center"/>
          </w:tcPr>
          <w:p w14:paraId="1EB0E97D">
            <w:pPr>
              <w:widowControl/>
              <w:jc w:val="center"/>
              <w:rPr>
                <w:bCs/>
                <w:color w:val="auto"/>
                <w:kern w:val="0"/>
                <w:sz w:val="22"/>
                <w:szCs w:val="22"/>
                <w:highlight w:val="none"/>
              </w:rPr>
            </w:pPr>
            <w:r>
              <w:rPr>
                <w:bCs/>
                <w:color w:val="auto"/>
                <w:kern w:val="0"/>
                <w:sz w:val="22"/>
                <w:szCs w:val="22"/>
                <w:highlight w:val="none"/>
              </w:rPr>
              <w:t>农、林、牧、渔</w:t>
            </w:r>
          </w:p>
        </w:tc>
        <w:tc>
          <w:tcPr>
            <w:tcW w:w="1586" w:type="dxa"/>
            <w:tcBorders>
              <w:top w:val="nil"/>
              <w:left w:val="nil"/>
              <w:bottom w:val="single" w:color="auto" w:sz="4" w:space="0"/>
              <w:right w:val="single" w:color="auto" w:sz="4" w:space="0"/>
            </w:tcBorders>
            <w:noWrap w:val="0"/>
            <w:vAlign w:val="center"/>
          </w:tcPr>
          <w:p w14:paraId="51B4894F">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1F621FAE">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2A5B18E4">
            <w:pPr>
              <w:widowControl/>
              <w:jc w:val="center"/>
              <w:rPr>
                <w:bCs/>
                <w:color w:val="auto"/>
                <w:kern w:val="0"/>
                <w:sz w:val="22"/>
                <w:szCs w:val="22"/>
                <w:highlight w:val="none"/>
              </w:rPr>
            </w:pPr>
            <w:r>
              <w:rPr>
                <w:bCs/>
                <w:color w:val="auto"/>
                <w:kern w:val="0"/>
                <w:sz w:val="22"/>
                <w:szCs w:val="22"/>
                <w:highlight w:val="none"/>
              </w:rPr>
              <w:t>500≤Y＜20000</w:t>
            </w:r>
          </w:p>
        </w:tc>
        <w:tc>
          <w:tcPr>
            <w:tcW w:w="1701" w:type="dxa"/>
            <w:tcBorders>
              <w:top w:val="nil"/>
              <w:left w:val="nil"/>
              <w:bottom w:val="single" w:color="auto" w:sz="4" w:space="0"/>
              <w:right w:val="single" w:color="auto" w:sz="4" w:space="0"/>
            </w:tcBorders>
            <w:noWrap w:val="0"/>
            <w:vAlign w:val="center"/>
          </w:tcPr>
          <w:p w14:paraId="6F355D25">
            <w:pPr>
              <w:widowControl/>
              <w:jc w:val="center"/>
              <w:rPr>
                <w:bCs/>
                <w:color w:val="auto"/>
                <w:kern w:val="0"/>
                <w:sz w:val="22"/>
                <w:szCs w:val="22"/>
                <w:highlight w:val="none"/>
              </w:rPr>
            </w:pPr>
            <w:r>
              <w:rPr>
                <w:bCs/>
                <w:color w:val="auto"/>
                <w:kern w:val="0"/>
                <w:sz w:val="22"/>
                <w:szCs w:val="22"/>
                <w:highlight w:val="none"/>
              </w:rPr>
              <w:t>50≤Y＜500</w:t>
            </w:r>
          </w:p>
        </w:tc>
        <w:tc>
          <w:tcPr>
            <w:tcW w:w="1276" w:type="dxa"/>
            <w:tcBorders>
              <w:top w:val="nil"/>
              <w:left w:val="nil"/>
              <w:bottom w:val="single" w:color="auto" w:sz="4" w:space="0"/>
              <w:right w:val="single" w:color="auto" w:sz="4" w:space="0"/>
            </w:tcBorders>
            <w:noWrap w:val="0"/>
            <w:vAlign w:val="center"/>
          </w:tcPr>
          <w:p w14:paraId="682FBB32">
            <w:pPr>
              <w:widowControl/>
              <w:jc w:val="center"/>
              <w:rPr>
                <w:bCs/>
                <w:color w:val="auto"/>
                <w:kern w:val="0"/>
                <w:sz w:val="22"/>
                <w:szCs w:val="22"/>
                <w:highlight w:val="none"/>
              </w:rPr>
            </w:pPr>
            <w:r>
              <w:rPr>
                <w:bCs/>
                <w:color w:val="auto"/>
                <w:kern w:val="0"/>
                <w:sz w:val="22"/>
                <w:szCs w:val="22"/>
                <w:highlight w:val="none"/>
              </w:rPr>
              <w:t>Y＜50</w:t>
            </w:r>
          </w:p>
        </w:tc>
      </w:tr>
      <w:tr w14:paraId="2A85EA13">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64D8F966">
            <w:pPr>
              <w:widowControl/>
              <w:jc w:val="center"/>
              <w:rPr>
                <w:bCs/>
                <w:color w:val="auto"/>
                <w:kern w:val="0"/>
                <w:sz w:val="22"/>
                <w:szCs w:val="22"/>
                <w:highlight w:val="none"/>
              </w:rPr>
            </w:pPr>
            <w:r>
              <w:rPr>
                <w:bCs/>
                <w:color w:val="auto"/>
                <w:kern w:val="0"/>
                <w:sz w:val="22"/>
                <w:szCs w:val="22"/>
                <w:highlight w:val="none"/>
              </w:rPr>
              <w:t>工业</w:t>
            </w:r>
          </w:p>
        </w:tc>
        <w:tc>
          <w:tcPr>
            <w:tcW w:w="1586" w:type="dxa"/>
            <w:tcBorders>
              <w:top w:val="nil"/>
              <w:left w:val="nil"/>
              <w:bottom w:val="single" w:color="auto" w:sz="4" w:space="0"/>
              <w:right w:val="single" w:color="auto" w:sz="4" w:space="0"/>
            </w:tcBorders>
            <w:noWrap w:val="0"/>
            <w:vAlign w:val="center"/>
          </w:tcPr>
          <w:p w14:paraId="7F6D67AA">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53BE1D4D">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7FE8F43D">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634A9478">
            <w:pPr>
              <w:widowControl/>
              <w:jc w:val="center"/>
              <w:rPr>
                <w:bCs/>
                <w:color w:val="auto"/>
                <w:kern w:val="0"/>
                <w:sz w:val="22"/>
                <w:szCs w:val="22"/>
                <w:highlight w:val="none"/>
              </w:rPr>
            </w:pPr>
            <w:r>
              <w:rPr>
                <w:bCs/>
                <w:color w:val="auto"/>
                <w:kern w:val="0"/>
                <w:sz w:val="22"/>
                <w:szCs w:val="22"/>
                <w:highlight w:val="none"/>
              </w:rPr>
              <w:t>20≤X＜300</w:t>
            </w:r>
          </w:p>
        </w:tc>
        <w:tc>
          <w:tcPr>
            <w:tcW w:w="1276" w:type="dxa"/>
            <w:tcBorders>
              <w:top w:val="nil"/>
              <w:left w:val="nil"/>
              <w:bottom w:val="single" w:color="auto" w:sz="4" w:space="0"/>
              <w:right w:val="single" w:color="auto" w:sz="4" w:space="0"/>
            </w:tcBorders>
            <w:noWrap w:val="0"/>
            <w:vAlign w:val="center"/>
          </w:tcPr>
          <w:p w14:paraId="5DCC2DD1">
            <w:pPr>
              <w:widowControl/>
              <w:jc w:val="center"/>
              <w:rPr>
                <w:bCs/>
                <w:color w:val="auto"/>
                <w:kern w:val="0"/>
                <w:sz w:val="22"/>
                <w:szCs w:val="22"/>
                <w:highlight w:val="none"/>
              </w:rPr>
            </w:pPr>
            <w:r>
              <w:rPr>
                <w:bCs/>
                <w:color w:val="auto"/>
                <w:kern w:val="0"/>
                <w:sz w:val="22"/>
                <w:szCs w:val="22"/>
                <w:highlight w:val="none"/>
              </w:rPr>
              <w:t>X＜20</w:t>
            </w:r>
          </w:p>
        </w:tc>
      </w:tr>
      <w:tr w14:paraId="430724F0">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26363F22">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20A0B703">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6FF7B51B">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1B5B24B">
            <w:pPr>
              <w:widowControl/>
              <w:jc w:val="center"/>
              <w:rPr>
                <w:bCs/>
                <w:color w:val="auto"/>
                <w:kern w:val="0"/>
                <w:sz w:val="22"/>
                <w:szCs w:val="22"/>
                <w:highlight w:val="none"/>
              </w:rPr>
            </w:pPr>
            <w:r>
              <w:rPr>
                <w:bCs/>
                <w:color w:val="auto"/>
                <w:kern w:val="0"/>
                <w:sz w:val="22"/>
                <w:szCs w:val="22"/>
                <w:highlight w:val="none"/>
              </w:rPr>
              <w:t>2000≤Y＜40000</w:t>
            </w:r>
          </w:p>
        </w:tc>
        <w:tc>
          <w:tcPr>
            <w:tcW w:w="1701" w:type="dxa"/>
            <w:tcBorders>
              <w:top w:val="nil"/>
              <w:left w:val="nil"/>
              <w:bottom w:val="single" w:color="auto" w:sz="4" w:space="0"/>
              <w:right w:val="single" w:color="auto" w:sz="4" w:space="0"/>
            </w:tcBorders>
            <w:noWrap w:val="0"/>
            <w:vAlign w:val="center"/>
          </w:tcPr>
          <w:p w14:paraId="1A1A30E9">
            <w:pPr>
              <w:widowControl/>
              <w:jc w:val="center"/>
              <w:rPr>
                <w:bCs/>
                <w:color w:val="auto"/>
                <w:kern w:val="0"/>
                <w:sz w:val="22"/>
                <w:szCs w:val="22"/>
                <w:highlight w:val="none"/>
              </w:rPr>
            </w:pPr>
            <w:r>
              <w:rPr>
                <w:bCs/>
                <w:color w:val="auto"/>
                <w:kern w:val="0"/>
                <w:sz w:val="22"/>
                <w:szCs w:val="22"/>
                <w:highlight w:val="none"/>
              </w:rPr>
              <w:t>300≤Y＜2000</w:t>
            </w:r>
          </w:p>
        </w:tc>
        <w:tc>
          <w:tcPr>
            <w:tcW w:w="1276" w:type="dxa"/>
            <w:tcBorders>
              <w:top w:val="nil"/>
              <w:left w:val="nil"/>
              <w:bottom w:val="single" w:color="auto" w:sz="4" w:space="0"/>
              <w:right w:val="single" w:color="auto" w:sz="4" w:space="0"/>
            </w:tcBorders>
            <w:noWrap w:val="0"/>
            <w:vAlign w:val="center"/>
          </w:tcPr>
          <w:p w14:paraId="7E06E3F1">
            <w:pPr>
              <w:widowControl/>
              <w:jc w:val="center"/>
              <w:rPr>
                <w:bCs/>
                <w:color w:val="auto"/>
                <w:kern w:val="0"/>
                <w:sz w:val="22"/>
                <w:szCs w:val="22"/>
                <w:highlight w:val="none"/>
              </w:rPr>
            </w:pPr>
            <w:r>
              <w:rPr>
                <w:bCs/>
                <w:color w:val="auto"/>
                <w:kern w:val="0"/>
                <w:sz w:val="22"/>
                <w:szCs w:val="22"/>
                <w:highlight w:val="none"/>
              </w:rPr>
              <w:t>Y＜300</w:t>
            </w:r>
          </w:p>
        </w:tc>
      </w:tr>
      <w:tr w14:paraId="36C7698B">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591D83D9">
            <w:pPr>
              <w:widowControl/>
              <w:jc w:val="center"/>
              <w:rPr>
                <w:bCs/>
                <w:color w:val="auto"/>
                <w:kern w:val="0"/>
                <w:sz w:val="22"/>
                <w:szCs w:val="22"/>
                <w:highlight w:val="none"/>
              </w:rPr>
            </w:pPr>
            <w:r>
              <w:rPr>
                <w:bCs/>
                <w:color w:val="auto"/>
                <w:kern w:val="0"/>
                <w:sz w:val="22"/>
                <w:szCs w:val="22"/>
                <w:highlight w:val="none"/>
              </w:rPr>
              <w:t>建筑业</w:t>
            </w:r>
          </w:p>
        </w:tc>
        <w:tc>
          <w:tcPr>
            <w:tcW w:w="1586" w:type="dxa"/>
            <w:tcBorders>
              <w:top w:val="nil"/>
              <w:left w:val="nil"/>
              <w:bottom w:val="single" w:color="auto" w:sz="4" w:space="0"/>
              <w:right w:val="single" w:color="auto" w:sz="4" w:space="0"/>
            </w:tcBorders>
            <w:noWrap w:val="0"/>
            <w:vAlign w:val="center"/>
          </w:tcPr>
          <w:p w14:paraId="451A7B86">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4A5285A6">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E43BB47">
            <w:pPr>
              <w:widowControl/>
              <w:jc w:val="center"/>
              <w:rPr>
                <w:bCs/>
                <w:color w:val="auto"/>
                <w:kern w:val="0"/>
                <w:sz w:val="22"/>
                <w:szCs w:val="22"/>
                <w:highlight w:val="none"/>
              </w:rPr>
            </w:pPr>
            <w:r>
              <w:rPr>
                <w:bCs/>
                <w:color w:val="auto"/>
                <w:kern w:val="0"/>
                <w:sz w:val="22"/>
                <w:szCs w:val="22"/>
                <w:highlight w:val="none"/>
              </w:rPr>
              <w:t>6000≤Y＜80000</w:t>
            </w:r>
          </w:p>
        </w:tc>
        <w:tc>
          <w:tcPr>
            <w:tcW w:w="1701" w:type="dxa"/>
            <w:tcBorders>
              <w:top w:val="nil"/>
              <w:left w:val="nil"/>
              <w:bottom w:val="single" w:color="auto" w:sz="4" w:space="0"/>
              <w:right w:val="single" w:color="auto" w:sz="4" w:space="0"/>
            </w:tcBorders>
            <w:noWrap w:val="0"/>
            <w:vAlign w:val="center"/>
          </w:tcPr>
          <w:p w14:paraId="5ED8D3EB">
            <w:pPr>
              <w:widowControl/>
              <w:jc w:val="center"/>
              <w:rPr>
                <w:bCs/>
                <w:color w:val="auto"/>
                <w:kern w:val="0"/>
                <w:sz w:val="22"/>
                <w:szCs w:val="22"/>
                <w:highlight w:val="none"/>
              </w:rPr>
            </w:pPr>
            <w:r>
              <w:rPr>
                <w:bCs/>
                <w:color w:val="auto"/>
                <w:kern w:val="0"/>
                <w:sz w:val="22"/>
                <w:szCs w:val="22"/>
                <w:highlight w:val="none"/>
              </w:rPr>
              <w:t>300≤Y＜6000</w:t>
            </w:r>
          </w:p>
        </w:tc>
        <w:tc>
          <w:tcPr>
            <w:tcW w:w="1276" w:type="dxa"/>
            <w:tcBorders>
              <w:top w:val="nil"/>
              <w:left w:val="nil"/>
              <w:bottom w:val="single" w:color="auto" w:sz="4" w:space="0"/>
              <w:right w:val="single" w:color="auto" w:sz="4" w:space="0"/>
            </w:tcBorders>
            <w:noWrap w:val="0"/>
            <w:vAlign w:val="center"/>
          </w:tcPr>
          <w:p w14:paraId="5B0D9B2C">
            <w:pPr>
              <w:widowControl/>
              <w:jc w:val="center"/>
              <w:rPr>
                <w:bCs/>
                <w:color w:val="auto"/>
                <w:kern w:val="0"/>
                <w:sz w:val="22"/>
                <w:szCs w:val="22"/>
                <w:highlight w:val="none"/>
              </w:rPr>
            </w:pPr>
            <w:r>
              <w:rPr>
                <w:bCs/>
                <w:color w:val="auto"/>
                <w:kern w:val="0"/>
                <w:sz w:val="22"/>
                <w:szCs w:val="22"/>
                <w:highlight w:val="none"/>
              </w:rPr>
              <w:t>Y＜300</w:t>
            </w:r>
          </w:p>
        </w:tc>
      </w:tr>
      <w:tr w14:paraId="1F9E8985">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27560E93">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76B47EDB">
            <w:pPr>
              <w:widowControl/>
              <w:jc w:val="center"/>
              <w:rPr>
                <w:bCs/>
                <w:color w:val="auto"/>
                <w:kern w:val="0"/>
                <w:sz w:val="22"/>
                <w:szCs w:val="22"/>
                <w:highlight w:val="none"/>
              </w:rPr>
            </w:pPr>
            <w:r>
              <w:rPr>
                <w:bCs/>
                <w:color w:val="auto"/>
                <w:kern w:val="0"/>
                <w:sz w:val="22"/>
                <w:szCs w:val="22"/>
                <w:highlight w:val="none"/>
              </w:rPr>
              <w:t>资产总额（Z）</w:t>
            </w:r>
          </w:p>
        </w:tc>
        <w:tc>
          <w:tcPr>
            <w:tcW w:w="1285" w:type="dxa"/>
            <w:tcBorders>
              <w:top w:val="nil"/>
              <w:left w:val="nil"/>
              <w:bottom w:val="single" w:color="auto" w:sz="4" w:space="0"/>
              <w:right w:val="single" w:color="auto" w:sz="4" w:space="0"/>
            </w:tcBorders>
            <w:noWrap w:val="0"/>
            <w:vAlign w:val="center"/>
          </w:tcPr>
          <w:p w14:paraId="039E5241">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E7A1193">
            <w:pPr>
              <w:widowControl/>
              <w:jc w:val="center"/>
              <w:rPr>
                <w:bCs/>
                <w:color w:val="auto"/>
                <w:kern w:val="0"/>
                <w:sz w:val="22"/>
                <w:szCs w:val="22"/>
                <w:highlight w:val="none"/>
              </w:rPr>
            </w:pPr>
            <w:r>
              <w:rPr>
                <w:bCs/>
                <w:color w:val="auto"/>
                <w:kern w:val="0"/>
                <w:sz w:val="22"/>
                <w:szCs w:val="22"/>
                <w:highlight w:val="none"/>
              </w:rPr>
              <w:t>5000≤Z＜80000</w:t>
            </w:r>
          </w:p>
        </w:tc>
        <w:tc>
          <w:tcPr>
            <w:tcW w:w="1701" w:type="dxa"/>
            <w:tcBorders>
              <w:top w:val="nil"/>
              <w:left w:val="nil"/>
              <w:bottom w:val="single" w:color="auto" w:sz="4" w:space="0"/>
              <w:right w:val="single" w:color="auto" w:sz="4" w:space="0"/>
            </w:tcBorders>
            <w:noWrap w:val="0"/>
            <w:vAlign w:val="center"/>
          </w:tcPr>
          <w:p w14:paraId="068983A4">
            <w:pPr>
              <w:widowControl/>
              <w:jc w:val="center"/>
              <w:rPr>
                <w:bCs/>
                <w:color w:val="auto"/>
                <w:kern w:val="0"/>
                <w:sz w:val="22"/>
                <w:szCs w:val="22"/>
                <w:highlight w:val="none"/>
              </w:rPr>
            </w:pPr>
            <w:r>
              <w:rPr>
                <w:bCs/>
                <w:color w:val="auto"/>
                <w:kern w:val="0"/>
                <w:sz w:val="22"/>
                <w:szCs w:val="22"/>
                <w:highlight w:val="none"/>
              </w:rPr>
              <w:t>300≤Z＜5000</w:t>
            </w:r>
          </w:p>
        </w:tc>
        <w:tc>
          <w:tcPr>
            <w:tcW w:w="1276" w:type="dxa"/>
            <w:tcBorders>
              <w:top w:val="nil"/>
              <w:left w:val="nil"/>
              <w:bottom w:val="single" w:color="auto" w:sz="4" w:space="0"/>
              <w:right w:val="single" w:color="auto" w:sz="4" w:space="0"/>
            </w:tcBorders>
            <w:noWrap w:val="0"/>
            <w:vAlign w:val="center"/>
          </w:tcPr>
          <w:p w14:paraId="68CCCC84">
            <w:pPr>
              <w:widowControl/>
              <w:jc w:val="center"/>
              <w:rPr>
                <w:bCs/>
                <w:color w:val="auto"/>
                <w:kern w:val="0"/>
                <w:sz w:val="22"/>
                <w:szCs w:val="22"/>
                <w:highlight w:val="none"/>
              </w:rPr>
            </w:pPr>
            <w:r>
              <w:rPr>
                <w:bCs/>
                <w:color w:val="auto"/>
                <w:kern w:val="0"/>
                <w:sz w:val="22"/>
                <w:szCs w:val="22"/>
                <w:highlight w:val="none"/>
              </w:rPr>
              <w:t>Z＜300</w:t>
            </w:r>
          </w:p>
        </w:tc>
      </w:tr>
      <w:tr w14:paraId="62FBEE43">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39EEA2C5">
            <w:pPr>
              <w:widowControl/>
              <w:jc w:val="center"/>
              <w:rPr>
                <w:bCs/>
                <w:color w:val="auto"/>
                <w:kern w:val="0"/>
                <w:sz w:val="22"/>
                <w:szCs w:val="22"/>
                <w:highlight w:val="none"/>
              </w:rPr>
            </w:pPr>
            <w:r>
              <w:rPr>
                <w:bCs/>
                <w:color w:val="auto"/>
                <w:kern w:val="0"/>
                <w:sz w:val="22"/>
                <w:szCs w:val="22"/>
                <w:highlight w:val="none"/>
              </w:rPr>
              <w:t>批发业</w:t>
            </w:r>
          </w:p>
        </w:tc>
        <w:tc>
          <w:tcPr>
            <w:tcW w:w="1586" w:type="dxa"/>
            <w:tcBorders>
              <w:top w:val="nil"/>
              <w:left w:val="nil"/>
              <w:bottom w:val="single" w:color="auto" w:sz="4" w:space="0"/>
              <w:right w:val="single" w:color="auto" w:sz="4" w:space="0"/>
            </w:tcBorders>
            <w:noWrap w:val="0"/>
            <w:vAlign w:val="center"/>
          </w:tcPr>
          <w:p w14:paraId="34BC8087">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4D9E7392">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467A9E0A">
            <w:pPr>
              <w:widowControl/>
              <w:jc w:val="center"/>
              <w:rPr>
                <w:bCs/>
                <w:color w:val="auto"/>
                <w:kern w:val="0"/>
                <w:sz w:val="22"/>
                <w:szCs w:val="22"/>
                <w:highlight w:val="none"/>
              </w:rPr>
            </w:pPr>
            <w:r>
              <w:rPr>
                <w:bCs/>
                <w:color w:val="auto"/>
                <w:kern w:val="0"/>
                <w:sz w:val="22"/>
                <w:szCs w:val="22"/>
                <w:highlight w:val="none"/>
              </w:rPr>
              <w:t>20≤X＜200</w:t>
            </w:r>
          </w:p>
        </w:tc>
        <w:tc>
          <w:tcPr>
            <w:tcW w:w="1701" w:type="dxa"/>
            <w:tcBorders>
              <w:top w:val="nil"/>
              <w:left w:val="nil"/>
              <w:bottom w:val="single" w:color="auto" w:sz="4" w:space="0"/>
              <w:right w:val="single" w:color="auto" w:sz="4" w:space="0"/>
            </w:tcBorders>
            <w:noWrap w:val="0"/>
            <w:vAlign w:val="center"/>
          </w:tcPr>
          <w:p w14:paraId="59D9F64F">
            <w:pPr>
              <w:widowControl/>
              <w:jc w:val="center"/>
              <w:rPr>
                <w:bCs/>
                <w:color w:val="auto"/>
                <w:kern w:val="0"/>
                <w:sz w:val="22"/>
                <w:szCs w:val="22"/>
                <w:highlight w:val="none"/>
              </w:rPr>
            </w:pPr>
            <w:r>
              <w:rPr>
                <w:bCs/>
                <w:color w:val="auto"/>
                <w:kern w:val="0"/>
                <w:sz w:val="22"/>
                <w:szCs w:val="22"/>
                <w:highlight w:val="none"/>
              </w:rPr>
              <w:t>5≤X＜20</w:t>
            </w:r>
          </w:p>
        </w:tc>
        <w:tc>
          <w:tcPr>
            <w:tcW w:w="1276" w:type="dxa"/>
            <w:tcBorders>
              <w:top w:val="nil"/>
              <w:left w:val="nil"/>
              <w:bottom w:val="single" w:color="auto" w:sz="4" w:space="0"/>
              <w:right w:val="single" w:color="auto" w:sz="4" w:space="0"/>
            </w:tcBorders>
            <w:noWrap w:val="0"/>
            <w:vAlign w:val="center"/>
          </w:tcPr>
          <w:p w14:paraId="4006D6C1">
            <w:pPr>
              <w:widowControl/>
              <w:jc w:val="center"/>
              <w:rPr>
                <w:bCs/>
                <w:color w:val="auto"/>
                <w:kern w:val="0"/>
                <w:sz w:val="22"/>
                <w:szCs w:val="22"/>
                <w:highlight w:val="none"/>
              </w:rPr>
            </w:pPr>
            <w:r>
              <w:rPr>
                <w:bCs/>
                <w:color w:val="auto"/>
                <w:kern w:val="0"/>
                <w:sz w:val="22"/>
                <w:szCs w:val="22"/>
                <w:highlight w:val="none"/>
              </w:rPr>
              <w:t>X＜5</w:t>
            </w:r>
          </w:p>
        </w:tc>
      </w:tr>
      <w:tr w14:paraId="704BF924">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792A6D5B">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74538EBC">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12EF24E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62B5C34E">
            <w:pPr>
              <w:widowControl/>
              <w:jc w:val="center"/>
              <w:rPr>
                <w:bCs/>
                <w:color w:val="auto"/>
                <w:kern w:val="0"/>
                <w:sz w:val="22"/>
                <w:szCs w:val="22"/>
                <w:highlight w:val="none"/>
              </w:rPr>
            </w:pPr>
            <w:r>
              <w:rPr>
                <w:bCs/>
                <w:color w:val="auto"/>
                <w:kern w:val="0"/>
                <w:sz w:val="22"/>
                <w:szCs w:val="22"/>
                <w:highlight w:val="none"/>
              </w:rPr>
              <w:t>5000≤Y＜40000</w:t>
            </w:r>
          </w:p>
        </w:tc>
        <w:tc>
          <w:tcPr>
            <w:tcW w:w="1701" w:type="dxa"/>
            <w:tcBorders>
              <w:top w:val="nil"/>
              <w:left w:val="nil"/>
              <w:bottom w:val="single" w:color="auto" w:sz="4" w:space="0"/>
              <w:right w:val="single" w:color="auto" w:sz="4" w:space="0"/>
            </w:tcBorders>
            <w:noWrap w:val="0"/>
            <w:vAlign w:val="center"/>
          </w:tcPr>
          <w:p w14:paraId="21938284">
            <w:pPr>
              <w:widowControl/>
              <w:jc w:val="center"/>
              <w:rPr>
                <w:bCs/>
                <w:color w:val="auto"/>
                <w:kern w:val="0"/>
                <w:sz w:val="22"/>
                <w:szCs w:val="22"/>
                <w:highlight w:val="none"/>
              </w:rPr>
            </w:pPr>
            <w:r>
              <w:rPr>
                <w:bCs/>
                <w:color w:val="auto"/>
                <w:kern w:val="0"/>
                <w:sz w:val="22"/>
                <w:szCs w:val="22"/>
                <w:highlight w:val="none"/>
              </w:rPr>
              <w:t>1000≤Y＜5000</w:t>
            </w:r>
          </w:p>
        </w:tc>
        <w:tc>
          <w:tcPr>
            <w:tcW w:w="1276" w:type="dxa"/>
            <w:tcBorders>
              <w:top w:val="nil"/>
              <w:left w:val="nil"/>
              <w:bottom w:val="single" w:color="auto" w:sz="4" w:space="0"/>
              <w:right w:val="single" w:color="auto" w:sz="4" w:space="0"/>
            </w:tcBorders>
            <w:noWrap w:val="0"/>
            <w:vAlign w:val="center"/>
          </w:tcPr>
          <w:p w14:paraId="2A4535A7">
            <w:pPr>
              <w:widowControl/>
              <w:jc w:val="center"/>
              <w:rPr>
                <w:bCs/>
                <w:color w:val="auto"/>
                <w:kern w:val="0"/>
                <w:sz w:val="22"/>
                <w:szCs w:val="22"/>
                <w:highlight w:val="none"/>
              </w:rPr>
            </w:pPr>
            <w:r>
              <w:rPr>
                <w:bCs/>
                <w:color w:val="auto"/>
                <w:kern w:val="0"/>
                <w:sz w:val="22"/>
                <w:szCs w:val="22"/>
                <w:highlight w:val="none"/>
              </w:rPr>
              <w:t>Y＜1000</w:t>
            </w:r>
          </w:p>
        </w:tc>
      </w:tr>
      <w:tr w14:paraId="0F2D47EC">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2F7F9C49">
            <w:pPr>
              <w:widowControl/>
              <w:jc w:val="center"/>
              <w:rPr>
                <w:bCs/>
                <w:color w:val="auto"/>
                <w:kern w:val="0"/>
                <w:sz w:val="22"/>
                <w:szCs w:val="22"/>
                <w:highlight w:val="none"/>
              </w:rPr>
            </w:pPr>
            <w:r>
              <w:rPr>
                <w:bCs/>
                <w:color w:val="auto"/>
                <w:kern w:val="0"/>
                <w:sz w:val="22"/>
                <w:szCs w:val="22"/>
                <w:highlight w:val="none"/>
              </w:rPr>
              <w:t>零售业</w:t>
            </w:r>
          </w:p>
        </w:tc>
        <w:tc>
          <w:tcPr>
            <w:tcW w:w="1586" w:type="dxa"/>
            <w:tcBorders>
              <w:top w:val="nil"/>
              <w:left w:val="nil"/>
              <w:bottom w:val="single" w:color="auto" w:sz="4" w:space="0"/>
              <w:right w:val="single" w:color="auto" w:sz="4" w:space="0"/>
            </w:tcBorders>
            <w:noWrap w:val="0"/>
            <w:vAlign w:val="center"/>
          </w:tcPr>
          <w:p w14:paraId="05E4E38A">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73EB4D3A">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2CDEE64D">
            <w:pPr>
              <w:widowControl/>
              <w:jc w:val="center"/>
              <w:rPr>
                <w:bCs/>
                <w:color w:val="auto"/>
                <w:kern w:val="0"/>
                <w:sz w:val="22"/>
                <w:szCs w:val="22"/>
                <w:highlight w:val="none"/>
              </w:rPr>
            </w:pPr>
            <w:r>
              <w:rPr>
                <w:bCs/>
                <w:color w:val="auto"/>
                <w:kern w:val="0"/>
                <w:sz w:val="22"/>
                <w:szCs w:val="22"/>
                <w:highlight w:val="none"/>
              </w:rPr>
              <w:t>50≤X＜300</w:t>
            </w:r>
          </w:p>
        </w:tc>
        <w:tc>
          <w:tcPr>
            <w:tcW w:w="1701" w:type="dxa"/>
            <w:tcBorders>
              <w:top w:val="nil"/>
              <w:left w:val="nil"/>
              <w:bottom w:val="single" w:color="auto" w:sz="4" w:space="0"/>
              <w:right w:val="single" w:color="auto" w:sz="4" w:space="0"/>
            </w:tcBorders>
            <w:noWrap w:val="0"/>
            <w:vAlign w:val="center"/>
          </w:tcPr>
          <w:p w14:paraId="684145D9">
            <w:pPr>
              <w:widowControl/>
              <w:jc w:val="center"/>
              <w:rPr>
                <w:bCs/>
                <w:color w:val="auto"/>
                <w:kern w:val="0"/>
                <w:sz w:val="22"/>
                <w:szCs w:val="22"/>
                <w:highlight w:val="none"/>
              </w:rPr>
            </w:pPr>
            <w:r>
              <w:rPr>
                <w:bCs/>
                <w:color w:val="auto"/>
                <w:kern w:val="0"/>
                <w:sz w:val="22"/>
                <w:szCs w:val="22"/>
                <w:highlight w:val="none"/>
              </w:rPr>
              <w:t>10≤X＜50</w:t>
            </w:r>
          </w:p>
        </w:tc>
        <w:tc>
          <w:tcPr>
            <w:tcW w:w="1276" w:type="dxa"/>
            <w:tcBorders>
              <w:top w:val="nil"/>
              <w:left w:val="nil"/>
              <w:bottom w:val="single" w:color="auto" w:sz="4" w:space="0"/>
              <w:right w:val="single" w:color="auto" w:sz="4" w:space="0"/>
            </w:tcBorders>
            <w:noWrap w:val="0"/>
            <w:vAlign w:val="center"/>
          </w:tcPr>
          <w:p w14:paraId="40832F6B">
            <w:pPr>
              <w:widowControl/>
              <w:jc w:val="center"/>
              <w:rPr>
                <w:bCs/>
                <w:color w:val="auto"/>
                <w:kern w:val="0"/>
                <w:sz w:val="22"/>
                <w:szCs w:val="22"/>
                <w:highlight w:val="none"/>
              </w:rPr>
            </w:pPr>
            <w:r>
              <w:rPr>
                <w:bCs/>
                <w:color w:val="auto"/>
                <w:kern w:val="0"/>
                <w:sz w:val="22"/>
                <w:szCs w:val="22"/>
                <w:highlight w:val="none"/>
              </w:rPr>
              <w:t>X＜10</w:t>
            </w:r>
          </w:p>
        </w:tc>
      </w:tr>
      <w:tr w14:paraId="2CEFCC64">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0D61A0E6">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08B272D2">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325179A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3FDBBA13">
            <w:pPr>
              <w:widowControl/>
              <w:jc w:val="center"/>
              <w:rPr>
                <w:bCs/>
                <w:color w:val="auto"/>
                <w:kern w:val="0"/>
                <w:sz w:val="22"/>
                <w:szCs w:val="22"/>
                <w:highlight w:val="none"/>
              </w:rPr>
            </w:pPr>
            <w:r>
              <w:rPr>
                <w:bCs/>
                <w:color w:val="auto"/>
                <w:kern w:val="0"/>
                <w:sz w:val="22"/>
                <w:szCs w:val="22"/>
                <w:highlight w:val="none"/>
              </w:rPr>
              <w:t>500≤Y＜20000</w:t>
            </w:r>
          </w:p>
        </w:tc>
        <w:tc>
          <w:tcPr>
            <w:tcW w:w="1701" w:type="dxa"/>
            <w:tcBorders>
              <w:top w:val="nil"/>
              <w:left w:val="nil"/>
              <w:bottom w:val="single" w:color="auto" w:sz="4" w:space="0"/>
              <w:right w:val="single" w:color="auto" w:sz="4" w:space="0"/>
            </w:tcBorders>
            <w:noWrap w:val="0"/>
            <w:vAlign w:val="center"/>
          </w:tcPr>
          <w:p w14:paraId="6D2308E7">
            <w:pPr>
              <w:widowControl/>
              <w:jc w:val="center"/>
              <w:rPr>
                <w:bCs/>
                <w:color w:val="auto"/>
                <w:kern w:val="0"/>
                <w:sz w:val="22"/>
                <w:szCs w:val="22"/>
                <w:highlight w:val="none"/>
              </w:rPr>
            </w:pPr>
            <w:r>
              <w:rPr>
                <w:bCs/>
                <w:color w:val="auto"/>
                <w:kern w:val="0"/>
                <w:sz w:val="22"/>
                <w:szCs w:val="22"/>
                <w:highlight w:val="none"/>
              </w:rPr>
              <w:t>100≤Y＜500</w:t>
            </w:r>
          </w:p>
        </w:tc>
        <w:tc>
          <w:tcPr>
            <w:tcW w:w="1276" w:type="dxa"/>
            <w:tcBorders>
              <w:top w:val="nil"/>
              <w:left w:val="nil"/>
              <w:bottom w:val="single" w:color="auto" w:sz="4" w:space="0"/>
              <w:right w:val="single" w:color="auto" w:sz="4" w:space="0"/>
            </w:tcBorders>
            <w:noWrap w:val="0"/>
            <w:vAlign w:val="center"/>
          </w:tcPr>
          <w:p w14:paraId="5DF2375C">
            <w:pPr>
              <w:widowControl/>
              <w:jc w:val="center"/>
              <w:rPr>
                <w:bCs/>
                <w:color w:val="auto"/>
                <w:kern w:val="0"/>
                <w:sz w:val="22"/>
                <w:szCs w:val="22"/>
                <w:highlight w:val="none"/>
              </w:rPr>
            </w:pPr>
            <w:r>
              <w:rPr>
                <w:bCs/>
                <w:color w:val="auto"/>
                <w:kern w:val="0"/>
                <w:sz w:val="22"/>
                <w:szCs w:val="22"/>
                <w:highlight w:val="none"/>
              </w:rPr>
              <w:t>Y＜100</w:t>
            </w:r>
          </w:p>
        </w:tc>
      </w:tr>
      <w:tr w14:paraId="7CBBB18E">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6CCD7C03">
            <w:pPr>
              <w:widowControl/>
              <w:jc w:val="center"/>
              <w:rPr>
                <w:bCs/>
                <w:color w:val="auto"/>
                <w:kern w:val="0"/>
                <w:sz w:val="22"/>
                <w:szCs w:val="22"/>
                <w:highlight w:val="none"/>
              </w:rPr>
            </w:pPr>
            <w:r>
              <w:rPr>
                <w:bCs/>
                <w:color w:val="auto"/>
                <w:kern w:val="0"/>
                <w:sz w:val="22"/>
                <w:szCs w:val="22"/>
                <w:highlight w:val="none"/>
              </w:rPr>
              <w:t>交通运输业</w:t>
            </w:r>
          </w:p>
        </w:tc>
        <w:tc>
          <w:tcPr>
            <w:tcW w:w="1586" w:type="dxa"/>
            <w:tcBorders>
              <w:top w:val="nil"/>
              <w:left w:val="nil"/>
              <w:bottom w:val="single" w:color="auto" w:sz="4" w:space="0"/>
              <w:right w:val="single" w:color="auto" w:sz="4" w:space="0"/>
            </w:tcBorders>
            <w:noWrap w:val="0"/>
            <w:vAlign w:val="center"/>
          </w:tcPr>
          <w:p w14:paraId="71A19438">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64A4EC4C">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74FF160E">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58439E9A">
            <w:pPr>
              <w:widowControl/>
              <w:jc w:val="center"/>
              <w:rPr>
                <w:bCs/>
                <w:color w:val="auto"/>
                <w:kern w:val="0"/>
                <w:sz w:val="22"/>
                <w:szCs w:val="22"/>
                <w:highlight w:val="none"/>
              </w:rPr>
            </w:pPr>
            <w:r>
              <w:rPr>
                <w:bCs/>
                <w:color w:val="auto"/>
                <w:kern w:val="0"/>
                <w:sz w:val="22"/>
                <w:szCs w:val="22"/>
                <w:highlight w:val="none"/>
              </w:rPr>
              <w:t>20≤X＜300</w:t>
            </w:r>
          </w:p>
        </w:tc>
        <w:tc>
          <w:tcPr>
            <w:tcW w:w="1276" w:type="dxa"/>
            <w:tcBorders>
              <w:top w:val="nil"/>
              <w:left w:val="nil"/>
              <w:bottom w:val="single" w:color="auto" w:sz="4" w:space="0"/>
              <w:right w:val="single" w:color="auto" w:sz="4" w:space="0"/>
            </w:tcBorders>
            <w:noWrap w:val="0"/>
            <w:vAlign w:val="center"/>
          </w:tcPr>
          <w:p w14:paraId="1B3487BD">
            <w:pPr>
              <w:widowControl/>
              <w:jc w:val="center"/>
              <w:rPr>
                <w:bCs/>
                <w:color w:val="auto"/>
                <w:kern w:val="0"/>
                <w:sz w:val="22"/>
                <w:szCs w:val="22"/>
                <w:highlight w:val="none"/>
              </w:rPr>
            </w:pPr>
            <w:r>
              <w:rPr>
                <w:bCs/>
                <w:color w:val="auto"/>
                <w:kern w:val="0"/>
                <w:sz w:val="22"/>
                <w:szCs w:val="22"/>
                <w:highlight w:val="none"/>
              </w:rPr>
              <w:t>X＜20</w:t>
            </w:r>
          </w:p>
        </w:tc>
      </w:tr>
      <w:tr w14:paraId="6955B1C3">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4E8FF729">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0A362FDC">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0F298861">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0A53BAA">
            <w:pPr>
              <w:widowControl/>
              <w:jc w:val="center"/>
              <w:rPr>
                <w:bCs/>
                <w:color w:val="auto"/>
                <w:kern w:val="0"/>
                <w:sz w:val="22"/>
                <w:szCs w:val="22"/>
                <w:highlight w:val="none"/>
              </w:rPr>
            </w:pPr>
            <w:r>
              <w:rPr>
                <w:bCs/>
                <w:color w:val="auto"/>
                <w:kern w:val="0"/>
                <w:sz w:val="22"/>
                <w:szCs w:val="22"/>
                <w:highlight w:val="none"/>
              </w:rPr>
              <w:t>3000≤Y＜30000</w:t>
            </w:r>
          </w:p>
        </w:tc>
        <w:tc>
          <w:tcPr>
            <w:tcW w:w="1701" w:type="dxa"/>
            <w:tcBorders>
              <w:top w:val="nil"/>
              <w:left w:val="nil"/>
              <w:bottom w:val="single" w:color="auto" w:sz="4" w:space="0"/>
              <w:right w:val="single" w:color="auto" w:sz="4" w:space="0"/>
            </w:tcBorders>
            <w:noWrap w:val="0"/>
            <w:vAlign w:val="center"/>
          </w:tcPr>
          <w:p w14:paraId="60A6490E">
            <w:pPr>
              <w:widowControl/>
              <w:jc w:val="center"/>
              <w:rPr>
                <w:bCs/>
                <w:color w:val="auto"/>
                <w:kern w:val="0"/>
                <w:sz w:val="22"/>
                <w:szCs w:val="22"/>
                <w:highlight w:val="none"/>
              </w:rPr>
            </w:pPr>
            <w:r>
              <w:rPr>
                <w:bCs/>
                <w:color w:val="auto"/>
                <w:kern w:val="0"/>
                <w:sz w:val="22"/>
                <w:szCs w:val="22"/>
                <w:highlight w:val="none"/>
              </w:rPr>
              <w:t>200≤Y＜3000</w:t>
            </w:r>
          </w:p>
        </w:tc>
        <w:tc>
          <w:tcPr>
            <w:tcW w:w="1276" w:type="dxa"/>
            <w:tcBorders>
              <w:top w:val="nil"/>
              <w:left w:val="nil"/>
              <w:bottom w:val="single" w:color="auto" w:sz="4" w:space="0"/>
              <w:right w:val="single" w:color="auto" w:sz="4" w:space="0"/>
            </w:tcBorders>
            <w:noWrap w:val="0"/>
            <w:vAlign w:val="center"/>
          </w:tcPr>
          <w:p w14:paraId="5A874072">
            <w:pPr>
              <w:widowControl/>
              <w:jc w:val="center"/>
              <w:rPr>
                <w:bCs/>
                <w:color w:val="auto"/>
                <w:kern w:val="0"/>
                <w:sz w:val="22"/>
                <w:szCs w:val="22"/>
                <w:highlight w:val="none"/>
              </w:rPr>
            </w:pPr>
            <w:r>
              <w:rPr>
                <w:bCs/>
                <w:color w:val="auto"/>
                <w:kern w:val="0"/>
                <w:sz w:val="22"/>
                <w:szCs w:val="22"/>
                <w:highlight w:val="none"/>
              </w:rPr>
              <w:t>Y＜200</w:t>
            </w:r>
          </w:p>
        </w:tc>
      </w:tr>
      <w:tr w14:paraId="6E0F7F4E">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34783732">
            <w:pPr>
              <w:widowControl/>
              <w:jc w:val="center"/>
              <w:rPr>
                <w:bCs/>
                <w:color w:val="auto"/>
                <w:kern w:val="0"/>
                <w:sz w:val="22"/>
                <w:szCs w:val="22"/>
                <w:highlight w:val="none"/>
              </w:rPr>
            </w:pPr>
            <w:r>
              <w:rPr>
                <w:bCs/>
                <w:color w:val="auto"/>
                <w:kern w:val="0"/>
                <w:sz w:val="22"/>
                <w:szCs w:val="22"/>
                <w:highlight w:val="none"/>
              </w:rPr>
              <w:t>仓储业</w:t>
            </w:r>
          </w:p>
        </w:tc>
        <w:tc>
          <w:tcPr>
            <w:tcW w:w="1586" w:type="dxa"/>
            <w:tcBorders>
              <w:top w:val="nil"/>
              <w:left w:val="nil"/>
              <w:bottom w:val="single" w:color="auto" w:sz="4" w:space="0"/>
              <w:right w:val="single" w:color="auto" w:sz="4" w:space="0"/>
            </w:tcBorders>
            <w:noWrap w:val="0"/>
            <w:vAlign w:val="center"/>
          </w:tcPr>
          <w:p w14:paraId="4D8C4276">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1B92B7B3">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492546C5">
            <w:pPr>
              <w:widowControl/>
              <w:jc w:val="center"/>
              <w:rPr>
                <w:bCs/>
                <w:color w:val="auto"/>
                <w:kern w:val="0"/>
                <w:sz w:val="22"/>
                <w:szCs w:val="22"/>
                <w:highlight w:val="none"/>
              </w:rPr>
            </w:pPr>
            <w:r>
              <w:rPr>
                <w:bCs/>
                <w:color w:val="auto"/>
                <w:kern w:val="0"/>
                <w:sz w:val="22"/>
                <w:szCs w:val="22"/>
                <w:highlight w:val="none"/>
              </w:rPr>
              <w:t>100≤X＜200</w:t>
            </w:r>
          </w:p>
        </w:tc>
        <w:tc>
          <w:tcPr>
            <w:tcW w:w="1701" w:type="dxa"/>
            <w:tcBorders>
              <w:top w:val="nil"/>
              <w:left w:val="nil"/>
              <w:bottom w:val="single" w:color="auto" w:sz="4" w:space="0"/>
              <w:right w:val="single" w:color="auto" w:sz="4" w:space="0"/>
            </w:tcBorders>
            <w:noWrap w:val="0"/>
            <w:vAlign w:val="center"/>
          </w:tcPr>
          <w:p w14:paraId="5E8407E4">
            <w:pPr>
              <w:widowControl/>
              <w:jc w:val="center"/>
              <w:rPr>
                <w:bCs/>
                <w:color w:val="auto"/>
                <w:kern w:val="0"/>
                <w:sz w:val="22"/>
                <w:szCs w:val="22"/>
                <w:highlight w:val="none"/>
              </w:rPr>
            </w:pPr>
            <w:r>
              <w:rPr>
                <w:bCs/>
                <w:color w:val="auto"/>
                <w:kern w:val="0"/>
                <w:sz w:val="22"/>
                <w:szCs w:val="22"/>
                <w:highlight w:val="none"/>
              </w:rPr>
              <w:t>20≤X＜100</w:t>
            </w:r>
          </w:p>
        </w:tc>
        <w:tc>
          <w:tcPr>
            <w:tcW w:w="1276" w:type="dxa"/>
            <w:tcBorders>
              <w:top w:val="nil"/>
              <w:left w:val="nil"/>
              <w:bottom w:val="single" w:color="auto" w:sz="4" w:space="0"/>
              <w:right w:val="single" w:color="auto" w:sz="4" w:space="0"/>
            </w:tcBorders>
            <w:noWrap w:val="0"/>
            <w:vAlign w:val="center"/>
          </w:tcPr>
          <w:p w14:paraId="3223CEE4">
            <w:pPr>
              <w:widowControl/>
              <w:jc w:val="center"/>
              <w:rPr>
                <w:bCs/>
                <w:color w:val="auto"/>
                <w:kern w:val="0"/>
                <w:sz w:val="22"/>
                <w:szCs w:val="22"/>
                <w:highlight w:val="none"/>
              </w:rPr>
            </w:pPr>
            <w:r>
              <w:rPr>
                <w:bCs/>
                <w:color w:val="auto"/>
                <w:kern w:val="0"/>
                <w:sz w:val="22"/>
                <w:szCs w:val="22"/>
                <w:highlight w:val="none"/>
              </w:rPr>
              <w:t>X＜20</w:t>
            </w:r>
          </w:p>
        </w:tc>
      </w:tr>
      <w:tr w14:paraId="7A804D77">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6D60E77C">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467BFC71">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78BA638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32991D8D">
            <w:pPr>
              <w:widowControl/>
              <w:jc w:val="center"/>
              <w:rPr>
                <w:bCs/>
                <w:color w:val="auto"/>
                <w:kern w:val="0"/>
                <w:sz w:val="22"/>
                <w:szCs w:val="22"/>
                <w:highlight w:val="none"/>
              </w:rPr>
            </w:pPr>
            <w:r>
              <w:rPr>
                <w:bCs/>
                <w:color w:val="auto"/>
                <w:kern w:val="0"/>
                <w:sz w:val="22"/>
                <w:szCs w:val="22"/>
                <w:highlight w:val="none"/>
              </w:rPr>
              <w:t>1000≤Y＜30000</w:t>
            </w:r>
          </w:p>
        </w:tc>
        <w:tc>
          <w:tcPr>
            <w:tcW w:w="1701" w:type="dxa"/>
            <w:tcBorders>
              <w:top w:val="nil"/>
              <w:left w:val="nil"/>
              <w:bottom w:val="single" w:color="auto" w:sz="4" w:space="0"/>
              <w:right w:val="single" w:color="auto" w:sz="4" w:space="0"/>
            </w:tcBorders>
            <w:noWrap w:val="0"/>
            <w:vAlign w:val="center"/>
          </w:tcPr>
          <w:p w14:paraId="12CFE8DD">
            <w:pPr>
              <w:widowControl/>
              <w:jc w:val="center"/>
              <w:rPr>
                <w:bCs/>
                <w:color w:val="auto"/>
                <w:kern w:val="0"/>
                <w:sz w:val="22"/>
                <w:szCs w:val="22"/>
                <w:highlight w:val="none"/>
              </w:rPr>
            </w:pPr>
            <w:r>
              <w:rPr>
                <w:bCs/>
                <w:color w:val="auto"/>
                <w:kern w:val="0"/>
                <w:sz w:val="22"/>
                <w:szCs w:val="22"/>
                <w:highlight w:val="none"/>
              </w:rPr>
              <w:t>100≤Y＜1000</w:t>
            </w:r>
          </w:p>
        </w:tc>
        <w:tc>
          <w:tcPr>
            <w:tcW w:w="1276" w:type="dxa"/>
            <w:tcBorders>
              <w:top w:val="nil"/>
              <w:left w:val="nil"/>
              <w:bottom w:val="single" w:color="auto" w:sz="4" w:space="0"/>
              <w:right w:val="single" w:color="auto" w:sz="4" w:space="0"/>
            </w:tcBorders>
            <w:noWrap w:val="0"/>
            <w:vAlign w:val="center"/>
          </w:tcPr>
          <w:p w14:paraId="7250ED6D">
            <w:pPr>
              <w:widowControl/>
              <w:jc w:val="center"/>
              <w:rPr>
                <w:bCs/>
                <w:color w:val="auto"/>
                <w:kern w:val="0"/>
                <w:sz w:val="22"/>
                <w:szCs w:val="22"/>
                <w:highlight w:val="none"/>
              </w:rPr>
            </w:pPr>
            <w:r>
              <w:rPr>
                <w:bCs/>
                <w:color w:val="auto"/>
                <w:kern w:val="0"/>
                <w:sz w:val="22"/>
                <w:szCs w:val="22"/>
                <w:highlight w:val="none"/>
              </w:rPr>
              <w:t>Y＜100</w:t>
            </w:r>
          </w:p>
        </w:tc>
      </w:tr>
      <w:tr w14:paraId="0046FD74">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1CDCAD62">
            <w:pPr>
              <w:widowControl/>
              <w:jc w:val="center"/>
              <w:rPr>
                <w:bCs/>
                <w:color w:val="auto"/>
                <w:kern w:val="0"/>
                <w:sz w:val="22"/>
                <w:szCs w:val="22"/>
                <w:highlight w:val="none"/>
              </w:rPr>
            </w:pPr>
            <w:r>
              <w:rPr>
                <w:bCs/>
                <w:color w:val="auto"/>
                <w:kern w:val="0"/>
                <w:sz w:val="22"/>
                <w:szCs w:val="22"/>
                <w:highlight w:val="none"/>
              </w:rPr>
              <w:t>邮政业</w:t>
            </w:r>
          </w:p>
        </w:tc>
        <w:tc>
          <w:tcPr>
            <w:tcW w:w="1586" w:type="dxa"/>
            <w:tcBorders>
              <w:top w:val="nil"/>
              <w:left w:val="nil"/>
              <w:bottom w:val="single" w:color="auto" w:sz="4" w:space="0"/>
              <w:right w:val="single" w:color="auto" w:sz="4" w:space="0"/>
            </w:tcBorders>
            <w:noWrap w:val="0"/>
            <w:vAlign w:val="center"/>
          </w:tcPr>
          <w:p w14:paraId="6252532C">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433038C6">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69B35A7B">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12C21B31">
            <w:pPr>
              <w:widowControl/>
              <w:jc w:val="center"/>
              <w:rPr>
                <w:bCs/>
                <w:color w:val="auto"/>
                <w:kern w:val="0"/>
                <w:sz w:val="22"/>
                <w:szCs w:val="22"/>
                <w:highlight w:val="none"/>
              </w:rPr>
            </w:pPr>
            <w:r>
              <w:rPr>
                <w:bCs/>
                <w:color w:val="auto"/>
                <w:kern w:val="0"/>
                <w:sz w:val="22"/>
                <w:szCs w:val="22"/>
                <w:highlight w:val="none"/>
              </w:rPr>
              <w:t>20≤X＜300</w:t>
            </w:r>
          </w:p>
        </w:tc>
        <w:tc>
          <w:tcPr>
            <w:tcW w:w="1276" w:type="dxa"/>
            <w:tcBorders>
              <w:top w:val="nil"/>
              <w:left w:val="nil"/>
              <w:bottom w:val="single" w:color="auto" w:sz="4" w:space="0"/>
              <w:right w:val="single" w:color="auto" w:sz="4" w:space="0"/>
            </w:tcBorders>
            <w:noWrap w:val="0"/>
            <w:vAlign w:val="center"/>
          </w:tcPr>
          <w:p w14:paraId="488CB66A">
            <w:pPr>
              <w:widowControl/>
              <w:jc w:val="center"/>
              <w:rPr>
                <w:bCs/>
                <w:color w:val="auto"/>
                <w:kern w:val="0"/>
                <w:sz w:val="22"/>
                <w:szCs w:val="22"/>
                <w:highlight w:val="none"/>
              </w:rPr>
            </w:pPr>
            <w:r>
              <w:rPr>
                <w:bCs/>
                <w:color w:val="auto"/>
                <w:kern w:val="0"/>
                <w:sz w:val="22"/>
                <w:szCs w:val="22"/>
                <w:highlight w:val="none"/>
              </w:rPr>
              <w:t>X＜20</w:t>
            </w:r>
          </w:p>
        </w:tc>
      </w:tr>
      <w:tr w14:paraId="28342F04">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48DE4E46">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168020F0">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2AFF0E9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1B02C9A">
            <w:pPr>
              <w:widowControl/>
              <w:jc w:val="center"/>
              <w:rPr>
                <w:bCs/>
                <w:color w:val="auto"/>
                <w:kern w:val="0"/>
                <w:sz w:val="22"/>
                <w:szCs w:val="22"/>
                <w:highlight w:val="none"/>
              </w:rPr>
            </w:pPr>
            <w:r>
              <w:rPr>
                <w:bCs/>
                <w:color w:val="auto"/>
                <w:kern w:val="0"/>
                <w:sz w:val="22"/>
                <w:szCs w:val="22"/>
                <w:highlight w:val="none"/>
              </w:rPr>
              <w:t>2000≤Y＜30000</w:t>
            </w:r>
          </w:p>
        </w:tc>
        <w:tc>
          <w:tcPr>
            <w:tcW w:w="1701" w:type="dxa"/>
            <w:tcBorders>
              <w:top w:val="nil"/>
              <w:left w:val="nil"/>
              <w:bottom w:val="single" w:color="auto" w:sz="4" w:space="0"/>
              <w:right w:val="single" w:color="auto" w:sz="4" w:space="0"/>
            </w:tcBorders>
            <w:noWrap w:val="0"/>
            <w:vAlign w:val="center"/>
          </w:tcPr>
          <w:p w14:paraId="35223188">
            <w:pPr>
              <w:widowControl/>
              <w:jc w:val="center"/>
              <w:rPr>
                <w:bCs/>
                <w:color w:val="auto"/>
                <w:kern w:val="0"/>
                <w:sz w:val="22"/>
                <w:szCs w:val="22"/>
                <w:highlight w:val="none"/>
              </w:rPr>
            </w:pPr>
            <w:r>
              <w:rPr>
                <w:bCs/>
                <w:color w:val="auto"/>
                <w:kern w:val="0"/>
                <w:sz w:val="22"/>
                <w:szCs w:val="22"/>
                <w:highlight w:val="none"/>
              </w:rPr>
              <w:t>100≤Y＜2000</w:t>
            </w:r>
          </w:p>
        </w:tc>
        <w:tc>
          <w:tcPr>
            <w:tcW w:w="1276" w:type="dxa"/>
            <w:tcBorders>
              <w:top w:val="nil"/>
              <w:left w:val="nil"/>
              <w:bottom w:val="single" w:color="auto" w:sz="4" w:space="0"/>
              <w:right w:val="single" w:color="auto" w:sz="4" w:space="0"/>
            </w:tcBorders>
            <w:noWrap w:val="0"/>
            <w:vAlign w:val="center"/>
          </w:tcPr>
          <w:p w14:paraId="5A8E916E">
            <w:pPr>
              <w:widowControl/>
              <w:jc w:val="center"/>
              <w:rPr>
                <w:bCs/>
                <w:color w:val="auto"/>
                <w:kern w:val="0"/>
                <w:sz w:val="22"/>
                <w:szCs w:val="22"/>
                <w:highlight w:val="none"/>
              </w:rPr>
            </w:pPr>
            <w:r>
              <w:rPr>
                <w:bCs/>
                <w:color w:val="auto"/>
                <w:kern w:val="0"/>
                <w:sz w:val="22"/>
                <w:szCs w:val="22"/>
                <w:highlight w:val="none"/>
              </w:rPr>
              <w:t>Y＜100</w:t>
            </w:r>
          </w:p>
        </w:tc>
      </w:tr>
      <w:tr w14:paraId="083E76B3">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4CEB58DD">
            <w:pPr>
              <w:widowControl/>
              <w:jc w:val="center"/>
              <w:rPr>
                <w:bCs/>
                <w:color w:val="auto"/>
                <w:kern w:val="0"/>
                <w:sz w:val="22"/>
                <w:szCs w:val="22"/>
                <w:highlight w:val="none"/>
              </w:rPr>
            </w:pPr>
            <w:r>
              <w:rPr>
                <w:bCs/>
                <w:color w:val="auto"/>
                <w:kern w:val="0"/>
                <w:sz w:val="22"/>
                <w:szCs w:val="22"/>
                <w:highlight w:val="none"/>
              </w:rPr>
              <w:t>住宿业</w:t>
            </w:r>
          </w:p>
        </w:tc>
        <w:tc>
          <w:tcPr>
            <w:tcW w:w="1586" w:type="dxa"/>
            <w:tcBorders>
              <w:top w:val="nil"/>
              <w:left w:val="nil"/>
              <w:bottom w:val="single" w:color="auto" w:sz="4" w:space="0"/>
              <w:right w:val="single" w:color="auto" w:sz="4" w:space="0"/>
            </w:tcBorders>
            <w:noWrap w:val="0"/>
            <w:vAlign w:val="center"/>
          </w:tcPr>
          <w:p w14:paraId="4A2522D1">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2436FA02">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120DF126">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31BC5EEE">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noWrap w:val="0"/>
            <w:vAlign w:val="center"/>
          </w:tcPr>
          <w:p w14:paraId="14B65130">
            <w:pPr>
              <w:widowControl/>
              <w:jc w:val="center"/>
              <w:rPr>
                <w:bCs/>
                <w:color w:val="auto"/>
                <w:kern w:val="0"/>
                <w:sz w:val="22"/>
                <w:szCs w:val="22"/>
                <w:highlight w:val="none"/>
              </w:rPr>
            </w:pPr>
            <w:r>
              <w:rPr>
                <w:bCs/>
                <w:color w:val="auto"/>
                <w:kern w:val="0"/>
                <w:sz w:val="22"/>
                <w:szCs w:val="22"/>
                <w:highlight w:val="none"/>
              </w:rPr>
              <w:t>X＜10</w:t>
            </w:r>
          </w:p>
        </w:tc>
      </w:tr>
      <w:tr w14:paraId="42556E3C">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72F3B8C9">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3458A429">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3D958B03">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4B16032">
            <w:pPr>
              <w:widowControl/>
              <w:jc w:val="center"/>
              <w:rPr>
                <w:bCs/>
                <w:color w:val="auto"/>
                <w:kern w:val="0"/>
                <w:sz w:val="22"/>
                <w:szCs w:val="22"/>
                <w:highlight w:val="none"/>
              </w:rPr>
            </w:pPr>
            <w:r>
              <w:rPr>
                <w:bCs/>
                <w:color w:val="auto"/>
                <w:kern w:val="0"/>
                <w:sz w:val="22"/>
                <w:szCs w:val="22"/>
                <w:highlight w:val="none"/>
              </w:rPr>
              <w:t>2000≤Y＜10000</w:t>
            </w:r>
          </w:p>
        </w:tc>
        <w:tc>
          <w:tcPr>
            <w:tcW w:w="1701" w:type="dxa"/>
            <w:tcBorders>
              <w:top w:val="nil"/>
              <w:left w:val="nil"/>
              <w:bottom w:val="single" w:color="auto" w:sz="4" w:space="0"/>
              <w:right w:val="single" w:color="auto" w:sz="4" w:space="0"/>
            </w:tcBorders>
            <w:noWrap w:val="0"/>
            <w:vAlign w:val="center"/>
          </w:tcPr>
          <w:p w14:paraId="1C70AC81">
            <w:pPr>
              <w:widowControl/>
              <w:jc w:val="center"/>
              <w:rPr>
                <w:bCs/>
                <w:color w:val="auto"/>
                <w:kern w:val="0"/>
                <w:sz w:val="22"/>
                <w:szCs w:val="22"/>
                <w:highlight w:val="none"/>
              </w:rPr>
            </w:pPr>
            <w:r>
              <w:rPr>
                <w:bCs/>
                <w:color w:val="auto"/>
                <w:kern w:val="0"/>
                <w:sz w:val="22"/>
                <w:szCs w:val="22"/>
                <w:highlight w:val="none"/>
              </w:rPr>
              <w:t>100≤Y＜2000</w:t>
            </w:r>
          </w:p>
        </w:tc>
        <w:tc>
          <w:tcPr>
            <w:tcW w:w="1276" w:type="dxa"/>
            <w:tcBorders>
              <w:top w:val="nil"/>
              <w:left w:val="nil"/>
              <w:bottom w:val="single" w:color="auto" w:sz="4" w:space="0"/>
              <w:right w:val="single" w:color="auto" w:sz="4" w:space="0"/>
            </w:tcBorders>
            <w:noWrap w:val="0"/>
            <w:vAlign w:val="center"/>
          </w:tcPr>
          <w:p w14:paraId="251493E6">
            <w:pPr>
              <w:widowControl/>
              <w:jc w:val="center"/>
              <w:rPr>
                <w:bCs/>
                <w:color w:val="auto"/>
                <w:kern w:val="0"/>
                <w:sz w:val="22"/>
                <w:szCs w:val="22"/>
                <w:highlight w:val="none"/>
              </w:rPr>
            </w:pPr>
            <w:r>
              <w:rPr>
                <w:bCs/>
                <w:color w:val="auto"/>
                <w:kern w:val="0"/>
                <w:sz w:val="22"/>
                <w:szCs w:val="22"/>
                <w:highlight w:val="none"/>
              </w:rPr>
              <w:t>Y＜100</w:t>
            </w:r>
          </w:p>
        </w:tc>
      </w:tr>
      <w:tr w14:paraId="420E1298">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07CDD12A">
            <w:pPr>
              <w:widowControl/>
              <w:jc w:val="center"/>
              <w:rPr>
                <w:bCs/>
                <w:color w:val="auto"/>
                <w:kern w:val="0"/>
                <w:sz w:val="22"/>
                <w:szCs w:val="22"/>
                <w:highlight w:val="none"/>
              </w:rPr>
            </w:pPr>
            <w:r>
              <w:rPr>
                <w:bCs/>
                <w:color w:val="auto"/>
                <w:kern w:val="0"/>
                <w:sz w:val="22"/>
                <w:szCs w:val="22"/>
                <w:highlight w:val="none"/>
              </w:rPr>
              <w:t>餐饮业</w:t>
            </w:r>
          </w:p>
        </w:tc>
        <w:tc>
          <w:tcPr>
            <w:tcW w:w="1586" w:type="dxa"/>
            <w:tcBorders>
              <w:top w:val="nil"/>
              <w:left w:val="nil"/>
              <w:bottom w:val="single" w:color="auto" w:sz="4" w:space="0"/>
              <w:right w:val="single" w:color="auto" w:sz="4" w:space="0"/>
            </w:tcBorders>
            <w:noWrap w:val="0"/>
            <w:vAlign w:val="center"/>
          </w:tcPr>
          <w:p w14:paraId="6FF539E6">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53253159">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0C10D70A">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6624E3CE">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noWrap w:val="0"/>
            <w:vAlign w:val="center"/>
          </w:tcPr>
          <w:p w14:paraId="2A808D16">
            <w:pPr>
              <w:widowControl/>
              <w:jc w:val="center"/>
              <w:rPr>
                <w:bCs/>
                <w:color w:val="auto"/>
                <w:kern w:val="0"/>
                <w:sz w:val="22"/>
                <w:szCs w:val="22"/>
                <w:highlight w:val="none"/>
              </w:rPr>
            </w:pPr>
            <w:r>
              <w:rPr>
                <w:bCs/>
                <w:color w:val="auto"/>
                <w:kern w:val="0"/>
                <w:sz w:val="22"/>
                <w:szCs w:val="22"/>
                <w:highlight w:val="none"/>
              </w:rPr>
              <w:t>X＜10</w:t>
            </w:r>
          </w:p>
        </w:tc>
      </w:tr>
      <w:tr w14:paraId="74AFCB6E">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1998E632">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4F708A77">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6B948B82">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B1837F7">
            <w:pPr>
              <w:widowControl/>
              <w:jc w:val="center"/>
              <w:rPr>
                <w:bCs/>
                <w:color w:val="auto"/>
                <w:kern w:val="0"/>
                <w:sz w:val="22"/>
                <w:szCs w:val="22"/>
                <w:highlight w:val="none"/>
              </w:rPr>
            </w:pPr>
            <w:r>
              <w:rPr>
                <w:bCs/>
                <w:color w:val="auto"/>
                <w:kern w:val="0"/>
                <w:sz w:val="22"/>
                <w:szCs w:val="22"/>
                <w:highlight w:val="none"/>
              </w:rPr>
              <w:t>2000≤Y＜10000</w:t>
            </w:r>
          </w:p>
        </w:tc>
        <w:tc>
          <w:tcPr>
            <w:tcW w:w="1701" w:type="dxa"/>
            <w:tcBorders>
              <w:top w:val="nil"/>
              <w:left w:val="nil"/>
              <w:bottom w:val="single" w:color="auto" w:sz="4" w:space="0"/>
              <w:right w:val="single" w:color="auto" w:sz="4" w:space="0"/>
            </w:tcBorders>
            <w:noWrap w:val="0"/>
            <w:vAlign w:val="center"/>
          </w:tcPr>
          <w:p w14:paraId="41D4732A">
            <w:pPr>
              <w:widowControl/>
              <w:jc w:val="center"/>
              <w:rPr>
                <w:bCs/>
                <w:color w:val="auto"/>
                <w:kern w:val="0"/>
                <w:sz w:val="22"/>
                <w:szCs w:val="22"/>
                <w:highlight w:val="none"/>
              </w:rPr>
            </w:pPr>
            <w:r>
              <w:rPr>
                <w:bCs/>
                <w:color w:val="auto"/>
                <w:kern w:val="0"/>
                <w:sz w:val="22"/>
                <w:szCs w:val="22"/>
                <w:highlight w:val="none"/>
              </w:rPr>
              <w:t>100≤Y＜2000</w:t>
            </w:r>
          </w:p>
        </w:tc>
        <w:tc>
          <w:tcPr>
            <w:tcW w:w="1276" w:type="dxa"/>
            <w:tcBorders>
              <w:top w:val="nil"/>
              <w:left w:val="nil"/>
              <w:bottom w:val="single" w:color="auto" w:sz="4" w:space="0"/>
              <w:right w:val="single" w:color="auto" w:sz="4" w:space="0"/>
            </w:tcBorders>
            <w:noWrap w:val="0"/>
            <w:vAlign w:val="center"/>
          </w:tcPr>
          <w:p w14:paraId="380E325B">
            <w:pPr>
              <w:widowControl/>
              <w:jc w:val="center"/>
              <w:rPr>
                <w:bCs/>
                <w:color w:val="auto"/>
                <w:kern w:val="0"/>
                <w:sz w:val="22"/>
                <w:szCs w:val="22"/>
                <w:highlight w:val="none"/>
              </w:rPr>
            </w:pPr>
            <w:r>
              <w:rPr>
                <w:bCs/>
                <w:color w:val="auto"/>
                <w:kern w:val="0"/>
                <w:sz w:val="22"/>
                <w:szCs w:val="22"/>
                <w:highlight w:val="none"/>
              </w:rPr>
              <w:t>Y＜100</w:t>
            </w:r>
          </w:p>
        </w:tc>
      </w:tr>
      <w:tr w14:paraId="266238B3">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5F3072DC">
            <w:pPr>
              <w:widowControl/>
              <w:jc w:val="center"/>
              <w:rPr>
                <w:bCs/>
                <w:color w:val="auto"/>
                <w:kern w:val="0"/>
                <w:sz w:val="22"/>
                <w:szCs w:val="22"/>
                <w:highlight w:val="none"/>
              </w:rPr>
            </w:pPr>
            <w:r>
              <w:rPr>
                <w:bCs/>
                <w:color w:val="auto"/>
                <w:kern w:val="0"/>
                <w:sz w:val="22"/>
                <w:szCs w:val="22"/>
                <w:highlight w:val="none"/>
              </w:rPr>
              <w:t>信息传输业</w:t>
            </w:r>
          </w:p>
        </w:tc>
        <w:tc>
          <w:tcPr>
            <w:tcW w:w="1586" w:type="dxa"/>
            <w:tcBorders>
              <w:top w:val="nil"/>
              <w:left w:val="nil"/>
              <w:bottom w:val="single" w:color="auto" w:sz="4" w:space="0"/>
              <w:right w:val="single" w:color="auto" w:sz="4" w:space="0"/>
            </w:tcBorders>
            <w:noWrap w:val="0"/>
            <w:vAlign w:val="center"/>
          </w:tcPr>
          <w:p w14:paraId="72DE6069">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32E89045">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5EB29AAD">
            <w:pPr>
              <w:widowControl/>
              <w:jc w:val="center"/>
              <w:rPr>
                <w:bCs/>
                <w:color w:val="auto"/>
                <w:kern w:val="0"/>
                <w:sz w:val="22"/>
                <w:szCs w:val="22"/>
                <w:highlight w:val="none"/>
              </w:rPr>
            </w:pPr>
            <w:r>
              <w:rPr>
                <w:bCs/>
                <w:color w:val="auto"/>
                <w:kern w:val="0"/>
                <w:sz w:val="22"/>
                <w:szCs w:val="22"/>
                <w:highlight w:val="none"/>
              </w:rPr>
              <w:t>100≤X＜2000</w:t>
            </w:r>
          </w:p>
        </w:tc>
        <w:tc>
          <w:tcPr>
            <w:tcW w:w="1701" w:type="dxa"/>
            <w:tcBorders>
              <w:top w:val="nil"/>
              <w:left w:val="nil"/>
              <w:bottom w:val="single" w:color="auto" w:sz="4" w:space="0"/>
              <w:right w:val="single" w:color="auto" w:sz="4" w:space="0"/>
            </w:tcBorders>
            <w:noWrap w:val="0"/>
            <w:vAlign w:val="center"/>
          </w:tcPr>
          <w:p w14:paraId="098D03CB">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noWrap w:val="0"/>
            <w:vAlign w:val="center"/>
          </w:tcPr>
          <w:p w14:paraId="5CF899F5">
            <w:pPr>
              <w:widowControl/>
              <w:jc w:val="center"/>
              <w:rPr>
                <w:bCs/>
                <w:color w:val="auto"/>
                <w:kern w:val="0"/>
                <w:sz w:val="22"/>
                <w:szCs w:val="22"/>
                <w:highlight w:val="none"/>
              </w:rPr>
            </w:pPr>
            <w:r>
              <w:rPr>
                <w:bCs/>
                <w:color w:val="auto"/>
                <w:kern w:val="0"/>
                <w:sz w:val="22"/>
                <w:szCs w:val="22"/>
                <w:highlight w:val="none"/>
              </w:rPr>
              <w:t>X＜10</w:t>
            </w:r>
          </w:p>
        </w:tc>
      </w:tr>
      <w:tr w14:paraId="1BD25DE2">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1ABD888B">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5E46B582">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609BC79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3BA8EF3B">
            <w:pPr>
              <w:widowControl/>
              <w:jc w:val="center"/>
              <w:rPr>
                <w:bCs/>
                <w:color w:val="auto"/>
                <w:kern w:val="0"/>
                <w:sz w:val="22"/>
                <w:szCs w:val="22"/>
                <w:highlight w:val="none"/>
              </w:rPr>
            </w:pPr>
            <w:r>
              <w:rPr>
                <w:bCs/>
                <w:color w:val="auto"/>
                <w:kern w:val="0"/>
                <w:sz w:val="22"/>
                <w:szCs w:val="22"/>
                <w:highlight w:val="none"/>
              </w:rPr>
              <w:t>1000≤Y＜100000</w:t>
            </w:r>
          </w:p>
        </w:tc>
        <w:tc>
          <w:tcPr>
            <w:tcW w:w="1701" w:type="dxa"/>
            <w:tcBorders>
              <w:top w:val="nil"/>
              <w:left w:val="nil"/>
              <w:bottom w:val="single" w:color="auto" w:sz="4" w:space="0"/>
              <w:right w:val="single" w:color="auto" w:sz="4" w:space="0"/>
            </w:tcBorders>
            <w:noWrap w:val="0"/>
            <w:vAlign w:val="center"/>
          </w:tcPr>
          <w:p w14:paraId="7F5A4CB5">
            <w:pPr>
              <w:widowControl/>
              <w:jc w:val="center"/>
              <w:rPr>
                <w:bCs/>
                <w:color w:val="auto"/>
                <w:kern w:val="0"/>
                <w:sz w:val="22"/>
                <w:szCs w:val="22"/>
                <w:highlight w:val="none"/>
              </w:rPr>
            </w:pPr>
            <w:r>
              <w:rPr>
                <w:bCs/>
                <w:color w:val="auto"/>
                <w:kern w:val="0"/>
                <w:sz w:val="22"/>
                <w:szCs w:val="22"/>
                <w:highlight w:val="none"/>
              </w:rPr>
              <w:t>100≤Y＜1000</w:t>
            </w:r>
          </w:p>
        </w:tc>
        <w:tc>
          <w:tcPr>
            <w:tcW w:w="1276" w:type="dxa"/>
            <w:tcBorders>
              <w:top w:val="nil"/>
              <w:left w:val="nil"/>
              <w:bottom w:val="single" w:color="auto" w:sz="4" w:space="0"/>
              <w:right w:val="single" w:color="auto" w:sz="4" w:space="0"/>
            </w:tcBorders>
            <w:noWrap w:val="0"/>
            <w:vAlign w:val="center"/>
          </w:tcPr>
          <w:p w14:paraId="0E1081C5">
            <w:pPr>
              <w:widowControl/>
              <w:jc w:val="center"/>
              <w:rPr>
                <w:bCs/>
                <w:color w:val="auto"/>
                <w:kern w:val="0"/>
                <w:sz w:val="22"/>
                <w:szCs w:val="22"/>
                <w:highlight w:val="none"/>
              </w:rPr>
            </w:pPr>
            <w:r>
              <w:rPr>
                <w:bCs/>
                <w:color w:val="auto"/>
                <w:kern w:val="0"/>
                <w:sz w:val="22"/>
                <w:szCs w:val="22"/>
                <w:highlight w:val="none"/>
              </w:rPr>
              <w:t>Y＜100</w:t>
            </w:r>
          </w:p>
        </w:tc>
      </w:tr>
      <w:tr w14:paraId="2515721C">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2C2F7B80">
            <w:pPr>
              <w:widowControl/>
              <w:jc w:val="center"/>
              <w:rPr>
                <w:bCs/>
                <w:color w:val="auto"/>
                <w:kern w:val="0"/>
                <w:sz w:val="22"/>
                <w:szCs w:val="22"/>
                <w:highlight w:val="none"/>
              </w:rPr>
            </w:pPr>
            <w:r>
              <w:rPr>
                <w:bCs/>
                <w:color w:val="auto"/>
                <w:kern w:val="0"/>
                <w:sz w:val="22"/>
                <w:szCs w:val="22"/>
                <w:highlight w:val="none"/>
              </w:rPr>
              <w:t>软件和信息技术服务业</w:t>
            </w:r>
          </w:p>
        </w:tc>
        <w:tc>
          <w:tcPr>
            <w:tcW w:w="1586" w:type="dxa"/>
            <w:tcBorders>
              <w:top w:val="nil"/>
              <w:left w:val="nil"/>
              <w:bottom w:val="single" w:color="auto" w:sz="4" w:space="0"/>
              <w:right w:val="single" w:color="auto" w:sz="4" w:space="0"/>
            </w:tcBorders>
            <w:noWrap w:val="0"/>
            <w:vAlign w:val="center"/>
          </w:tcPr>
          <w:p w14:paraId="47334D88">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14E01460">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54E382F1">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16BB0A5F">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noWrap w:val="0"/>
            <w:vAlign w:val="center"/>
          </w:tcPr>
          <w:p w14:paraId="5A1C5E3C">
            <w:pPr>
              <w:widowControl/>
              <w:jc w:val="center"/>
              <w:rPr>
                <w:bCs/>
                <w:color w:val="auto"/>
                <w:kern w:val="0"/>
                <w:sz w:val="22"/>
                <w:szCs w:val="22"/>
                <w:highlight w:val="none"/>
              </w:rPr>
            </w:pPr>
            <w:r>
              <w:rPr>
                <w:bCs/>
                <w:color w:val="auto"/>
                <w:kern w:val="0"/>
                <w:sz w:val="22"/>
                <w:szCs w:val="22"/>
                <w:highlight w:val="none"/>
              </w:rPr>
              <w:t>X＜10</w:t>
            </w:r>
          </w:p>
        </w:tc>
      </w:tr>
      <w:tr w14:paraId="6B3C6A9A">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4040A53E">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69E95CF1">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15E54FCF">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74A76274">
            <w:pPr>
              <w:widowControl/>
              <w:jc w:val="center"/>
              <w:rPr>
                <w:bCs/>
                <w:color w:val="auto"/>
                <w:kern w:val="0"/>
                <w:sz w:val="22"/>
                <w:szCs w:val="22"/>
                <w:highlight w:val="none"/>
              </w:rPr>
            </w:pPr>
            <w:r>
              <w:rPr>
                <w:bCs/>
                <w:color w:val="auto"/>
                <w:kern w:val="0"/>
                <w:sz w:val="22"/>
                <w:szCs w:val="22"/>
                <w:highlight w:val="none"/>
              </w:rPr>
              <w:t>1000≤Y＜10000</w:t>
            </w:r>
          </w:p>
        </w:tc>
        <w:tc>
          <w:tcPr>
            <w:tcW w:w="1701" w:type="dxa"/>
            <w:tcBorders>
              <w:top w:val="nil"/>
              <w:left w:val="nil"/>
              <w:bottom w:val="single" w:color="auto" w:sz="4" w:space="0"/>
              <w:right w:val="single" w:color="auto" w:sz="4" w:space="0"/>
            </w:tcBorders>
            <w:noWrap w:val="0"/>
            <w:vAlign w:val="center"/>
          </w:tcPr>
          <w:p w14:paraId="25C8EE92">
            <w:pPr>
              <w:widowControl/>
              <w:jc w:val="center"/>
              <w:rPr>
                <w:bCs/>
                <w:color w:val="auto"/>
                <w:kern w:val="0"/>
                <w:sz w:val="22"/>
                <w:szCs w:val="22"/>
                <w:highlight w:val="none"/>
              </w:rPr>
            </w:pPr>
            <w:r>
              <w:rPr>
                <w:bCs/>
                <w:color w:val="auto"/>
                <w:kern w:val="0"/>
                <w:sz w:val="22"/>
                <w:szCs w:val="22"/>
                <w:highlight w:val="none"/>
              </w:rPr>
              <w:t>50≤Y＜1000</w:t>
            </w:r>
          </w:p>
        </w:tc>
        <w:tc>
          <w:tcPr>
            <w:tcW w:w="1276" w:type="dxa"/>
            <w:tcBorders>
              <w:top w:val="nil"/>
              <w:left w:val="nil"/>
              <w:bottom w:val="single" w:color="auto" w:sz="4" w:space="0"/>
              <w:right w:val="single" w:color="auto" w:sz="4" w:space="0"/>
            </w:tcBorders>
            <w:noWrap w:val="0"/>
            <w:vAlign w:val="center"/>
          </w:tcPr>
          <w:p w14:paraId="58C314B1">
            <w:pPr>
              <w:widowControl/>
              <w:jc w:val="center"/>
              <w:rPr>
                <w:bCs/>
                <w:color w:val="auto"/>
                <w:kern w:val="0"/>
                <w:sz w:val="22"/>
                <w:szCs w:val="22"/>
                <w:highlight w:val="none"/>
              </w:rPr>
            </w:pPr>
            <w:r>
              <w:rPr>
                <w:bCs/>
                <w:color w:val="auto"/>
                <w:kern w:val="0"/>
                <w:sz w:val="22"/>
                <w:szCs w:val="22"/>
                <w:highlight w:val="none"/>
              </w:rPr>
              <w:t>Y＜50</w:t>
            </w:r>
          </w:p>
        </w:tc>
      </w:tr>
      <w:tr w14:paraId="16B2C79A">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3499963F">
            <w:pPr>
              <w:widowControl/>
              <w:jc w:val="center"/>
              <w:rPr>
                <w:bCs/>
                <w:color w:val="auto"/>
                <w:kern w:val="0"/>
                <w:sz w:val="22"/>
                <w:szCs w:val="22"/>
                <w:highlight w:val="none"/>
              </w:rPr>
            </w:pPr>
            <w:r>
              <w:rPr>
                <w:bCs/>
                <w:color w:val="auto"/>
                <w:kern w:val="0"/>
                <w:sz w:val="22"/>
                <w:szCs w:val="22"/>
                <w:highlight w:val="none"/>
              </w:rPr>
              <w:t>房地产开发经营</w:t>
            </w:r>
          </w:p>
        </w:tc>
        <w:tc>
          <w:tcPr>
            <w:tcW w:w="1586" w:type="dxa"/>
            <w:tcBorders>
              <w:top w:val="nil"/>
              <w:left w:val="nil"/>
              <w:bottom w:val="single" w:color="auto" w:sz="4" w:space="0"/>
              <w:right w:val="single" w:color="auto" w:sz="4" w:space="0"/>
            </w:tcBorders>
            <w:noWrap w:val="0"/>
            <w:vAlign w:val="center"/>
          </w:tcPr>
          <w:p w14:paraId="308297D1">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6AA52994">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30C861DB">
            <w:pPr>
              <w:widowControl/>
              <w:jc w:val="center"/>
              <w:rPr>
                <w:bCs/>
                <w:color w:val="auto"/>
                <w:kern w:val="0"/>
                <w:sz w:val="22"/>
                <w:szCs w:val="22"/>
                <w:highlight w:val="none"/>
              </w:rPr>
            </w:pPr>
            <w:r>
              <w:rPr>
                <w:bCs/>
                <w:color w:val="auto"/>
                <w:kern w:val="0"/>
                <w:sz w:val="22"/>
                <w:szCs w:val="22"/>
                <w:highlight w:val="none"/>
              </w:rPr>
              <w:t>1000≤Y＜200000</w:t>
            </w:r>
          </w:p>
        </w:tc>
        <w:tc>
          <w:tcPr>
            <w:tcW w:w="1701" w:type="dxa"/>
            <w:tcBorders>
              <w:top w:val="nil"/>
              <w:left w:val="nil"/>
              <w:bottom w:val="single" w:color="auto" w:sz="4" w:space="0"/>
              <w:right w:val="single" w:color="auto" w:sz="4" w:space="0"/>
            </w:tcBorders>
            <w:noWrap w:val="0"/>
            <w:vAlign w:val="center"/>
          </w:tcPr>
          <w:p w14:paraId="00A981A2">
            <w:pPr>
              <w:widowControl/>
              <w:jc w:val="center"/>
              <w:rPr>
                <w:bCs/>
                <w:color w:val="auto"/>
                <w:kern w:val="0"/>
                <w:sz w:val="22"/>
                <w:szCs w:val="22"/>
                <w:highlight w:val="none"/>
              </w:rPr>
            </w:pPr>
            <w:r>
              <w:rPr>
                <w:bCs/>
                <w:color w:val="auto"/>
                <w:kern w:val="0"/>
                <w:sz w:val="22"/>
                <w:szCs w:val="22"/>
                <w:highlight w:val="none"/>
              </w:rPr>
              <w:t>100≤X＜1000</w:t>
            </w:r>
          </w:p>
        </w:tc>
        <w:tc>
          <w:tcPr>
            <w:tcW w:w="1276" w:type="dxa"/>
            <w:tcBorders>
              <w:top w:val="nil"/>
              <w:left w:val="nil"/>
              <w:bottom w:val="single" w:color="auto" w:sz="4" w:space="0"/>
              <w:right w:val="single" w:color="auto" w:sz="4" w:space="0"/>
            </w:tcBorders>
            <w:noWrap w:val="0"/>
            <w:vAlign w:val="center"/>
          </w:tcPr>
          <w:p w14:paraId="5F497801">
            <w:pPr>
              <w:widowControl/>
              <w:jc w:val="center"/>
              <w:rPr>
                <w:bCs/>
                <w:color w:val="auto"/>
                <w:kern w:val="0"/>
                <w:sz w:val="22"/>
                <w:szCs w:val="22"/>
                <w:highlight w:val="none"/>
              </w:rPr>
            </w:pPr>
            <w:r>
              <w:rPr>
                <w:bCs/>
                <w:color w:val="auto"/>
                <w:kern w:val="0"/>
                <w:sz w:val="22"/>
                <w:szCs w:val="22"/>
                <w:highlight w:val="none"/>
              </w:rPr>
              <w:t>X＜100</w:t>
            </w:r>
          </w:p>
        </w:tc>
      </w:tr>
      <w:tr w14:paraId="3BB0204E">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2C0B74F5">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417EF3B4">
            <w:pPr>
              <w:widowControl/>
              <w:jc w:val="center"/>
              <w:rPr>
                <w:bCs/>
                <w:color w:val="auto"/>
                <w:kern w:val="0"/>
                <w:sz w:val="22"/>
                <w:szCs w:val="22"/>
                <w:highlight w:val="none"/>
              </w:rPr>
            </w:pPr>
            <w:r>
              <w:rPr>
                <w:bCs/>
                <w:color w:val="auto"/>
                <w:kern w:val="0"/>
                <w:sz w:val="22"/>
                <w:szCs w:val="22"/>
                <w:highlight w:val="none"/>
              </w:rPr>
              <w:t>资产总额（Z）</w:t>
            </w:r>
          </w:p>
        </w:tc>
        <w:tc>
          <w:tcPr>
            <w:tcW w:w="1285" w:type="dxa"/>
            <w:tcBorders>
              <w:top w:val="nil"/>
              <w:left w:val="nil"/>
              <w:bottom w:val="single" w:color="auto" w:sz="4" w:space="0"/>
              <w:right w:val="single" w:color="auto" w:sz="4" w:space="0"/>
            </w:tcBorders>
            <w:noWrap w:val="0"/>
            <w:vAlign w:val="center"/>
          </w:tcPr>
          <w:p w14:paraId="2C10BE91">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9ED880E">
            <w:pPr>
              <w:widowControl/>
              <w:jc w:val="center"/>
              <w:rPr>
                <w:bCs/>
                <w:color w:val="auto"/>
                <w:kern w:val="0"/>
                <w:sz w:val="22"/>
                <w:szCs w:val="22"/>
                <w:highlight w:val="none"/>
              </w:rPr>
            </w:pPr>
            <w:r>
              <w:rPr>
                <w:bCs/>
                <w:color w:val="auto"/>
                <w:kern w:val="0"/>
                <w:sz w:val="22"/>
                <w:szCs w:val="22"/>
                <w:highlight w:val="none"/>
              </w:rPr>
              <w:t>5000≤Z＜10000</w:t>
            </w:r>
          </w:p>
        </w:tc>
        <w:tc>
          <w:tcPr>
            <w:tcW w:w="1701" w:type="dxa"/>
            <w:tcBorders>
              <w:top w:val="nil"/>
              <w:left w:val="nil"/>
              <w:bottom w:val="single" w:color="auto" w:sz="4" w:space="0"/>
              <w:right w:val="single" w:color="auto" w:sz="4" w:space="0"/>
            </w:tcBorders>
            <w:noWrap w:val="0"/>
            <w:vAlign w:val="center"/>
          </w:tcPr>
          <w:p w14:paraId="0EA137ED">
            <w:pPr>
              <w:widowControl/>
              <w:jc w:val="center"/>
              <w:rPr>
                <w:bCs/>
                <w:color w:val="auto"/>
                <w:kern w:val="0"/>
                <w:sz w:val="22"/>
                <w:szCs w:val="22"/>
                <w:highlight w:val="none"/>
              </w:rPr>
            </w:pPr>
            <w:r>
              <w:rPr>
                <w:bCs/>
                <w:color w:val="auto"/>
                <w:kern w:val="0"/>
                <w:sz w:val="22"/>
                <w:szCs w:val="22"/>
                <w:highlight w:val="none"/>
              </w:rPr>
              <w:t>2000≤Y＜5000</w:t>
            </w:r>
          </w:p>
        </w:tc>
        <w:tc>
          <w:tcPr>
            <w:tcW w:w="1276" w:type="dxa"/>
            <w:tcBorders>
              <w:top w:val="nil"/>
              <w:left w:val="nil"/>
              <w:bottom w:val="single" w:color="auto" w:sz="4" w:space="0"/>
              <w:right w:val="single" w:color="auto" w:sz="4" w:space="0"/>
            </w:tcBorders>
            <w:noWrap w:val="0"/>
            <w:vAlign w:val="center"/>
          </w:tcPr>
          <w:p w14:paraId="306A4241">
            <w:pPr>
              <w:widowControl/>
              <w:jc w:val="center"/>
              <w:rPr>
                <w:bCs/>
                <w:color w:val="auto"/>
                <w:kern w:val="0"/>
                <w:sz w:val="22"/>
                <w:szCs w:val="22"/>
                <w:highlight w:val="none"/>
              </w:rPr>
            </w:pPr>
            <w:r>
              <w:rPr>
                <w:bCs/>
                <w:color w:val="auto"/>
                <w:kern w:val="0"/>
                <w:sz w:val="22"/>
                <w:szCs w:val="22"/>
                <w:highlight w:val="none"/>
              </w:rPr>
              <w:t>Y＜2000</w:t>
            </w:r>
          </w:p>
        </w:tc>
      </w:tr>
      <w:tr w14:paraId="055ECD20">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6A1BF358">
            <w:pPr>
              <w:widowControl/>
              <w:jc w:val="center"/>
              <w:rPr>
                <w:bCs/>
                <w:color w:val="auto"/>
                <w:kern w:val="0"/>
                <w:sz w:val="22"/>
                <w:szCs w:val="22"/>
                <w:highlight w:val="none"/>
              </w:rPr>
            </w:pPr>
            <w:r>
              <w:rPr>
                <w:bCs/>
                <w:color w:val="auto"/>
                <w:kern w:val="0"/>
                <w:sz w:val="22"/>
                <w:szCs w:val="22"/>
                <w:highlight w:val="none"/>
              </w:rPr>
              <w:t>物业管理</w:t>
            </w:r>
          </w:p>
        </w:tc>
        <w:tc>
          <w:tcPr>
            <w:tcW w:w="1586" w:type="dxa"/>
            <w:tcBorders>
              <w:top w:val="nil"/>
              <w:left w:val="nil"/>
              <w:bottom w:val="single" w:color="auto" w:sz="4" w:space="0"/>
              <w:right w:val="single" w:color="auto" w:sz="4" w:space="0"/>
            </w:tcBorders>
            <w:noWrap w:val="0"/>
            <w:vAlign w:val="center"/>
          </w:tcPr>
          <w:p w14:paraId="4164B491">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3118E982">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448DA629">
            <w:pPr>
              <w:widowControl/>
              <w:jc w:val="center"/>
              <w:rPr>
                <w:bCs/>
                <w:color w:val="auto"/>
                <w:kern w:val="0"/>
                <w:sz w:val="22"/>
                <w:szCs w:val="22"/>
                <w:highlight w:val="none"/>
              </w:rPr>
            </w:pPr>
            <w:r>
              <w:rPr>
                <w:bCs/>
                <w:color w:val="auto"/>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5E7C3410">
            <w:pPr>
              <w:widowControl/>
              <w:jc w:val="center"/>
              <w:rPr>
                <w:bCs/>
                <w:color w:val="auto"/>
                <w:kern w:val="0"/>
                <w:sz w:val="22"/>
                <w:szCs w:val="22"/>
                <w:highlight w:val="none"/>
              </w:rPr>
            </w:pPr>
            <w:r>
              <w:rPr>
                <w:bCs/>
                <w:color w:val="auto"/>
                <w:kern w:val="0"/>
                <w:sz w:val="22"/>
                <w:szCs w:val="22"/>
                <w:highlight w:val="none"/>
              </w:rPr>
              <w:t>100≤X＜300</w:t>
            </w:r>
          </w:p>
        </w:tc>
        <w:tc>
          <w:tcPr>
            <w:tcW w:w="1276" w:type="dxa"/>
            <w:tcBorders>
              <w:top w:val="nil"/>
              <w:left w:val="nil"/>
              <w:bottom w:val="single" w:color="auto" w:sz="4" w:space="0"/>
              <w:right w:val="single" w:color="auto" w:sz="4" w:space="0"/>
            </w:tcBorders>
            <w:noWrap w:val="0"/>
            <w:vAlign w:val="center"/>
          </w:tcPr>
          <w:p w14:paraId="2C2BCDB5">
            <w:pPr>
              <w:widowControl/>
              <w:jc w:val="center"/>
              <w:rPr>
                <w:bCs/>
                <w:color w:val="auto"/>
                <w:kern w:val="0"/>
                <w:sz w:val="22"/>
                <w:szCs w:val="22"/>
                <w:highlight w:val="none"/>
              </w:rPr>
            </w:pPr>
            <w:r>
              <w:rPr>
                <w:bCs/>
                <w:color w:val="auto"/>
                <w:kern w:val="0"/>
                <w:sz w:val="22"/>
                <w:szCs w:val="22"/>
                <w:highlight w:val="none"/>
              </w:rPr>
              <w:t>X＜100</w:t>
            </w:r>
          </w:p>
        </w:tc>
      </w:tr>
      <w:tr w14:paraId="220DAA29">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760C246A">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5EC3779B">
            <w:pPr>
              <w:widowControl/>
              <w:jc w:val="center"/>
              <w:rPr>
                <w:bCs/>
                <w:color w:val="auto"/>
                <w:kern w:val="0"/>
                <w:sz w:val="22"/>
                <w:szCs w:val="22"/>
                <w:highlight w:val="none"/>
              </w:rPr>
            </w:pPr>
            <w:r>
              <w:rPr>
                <w:bCs/>
                <w:color w:val="auto"/>
                <w:kern w:val="0"/>
                <w:sz w:val="22"/>
                <w:szCs w:val="22"/>
                <w:highlight w:val="none"/>
              </w:rPr>
              <w:t>营业收入（Y）</w:t>
            </w:r>
          </w:p>
        </w:tc>
        <w:tc>
          <w:tcPr>
            <w:tcW w:w="1285" w:type="dxa"/>
            <w:tcBorders>
              <w:top w:val="nil"/>
              <w:left w:val="nil"/>
              <w:bottom w:val="single" w:color="auto" w:sz="4" w:space="0"/>
              <w:right w:val="single" w:color="auto" w:sz="4" w:space="0"/>
            </w:tcBorders>
            <w:noWrap w:val="0"/>
            <w:vAlign w:val="center"/>
          </w:tcPr>
          <w:p w14:paraId="24E11557">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BACB2F7">
            <w:pPr>
              <w:widowControl/>
              <w:jc w:val="center"/>
              <w:rPr>
                <w:bCs/>
                <w:color w:val="auto"/>
                <w:kern w:val="0"/>
                <w:sz w:val="22"/>
                <w:szCs w:val="22"/>
                <w:highlight w:val="none"/>
              </w:rPr>
            </w:pPr>
            <w:r>
              <w:rPr>
                <w:bCs/>
                <w:color w:val="auto"/>
                <w:kern w:val="0"/>
                <w:sz w:val="22"/>
                <w:szCs w:val="22"/>
                <w:highlight w:val="none"/>
              </w:rPr>
              <w:t>1000≤Y＜5000</w:t>
            </w:r>
          </w:p>
        </w:tc>
        <w:tc>
          <w:tcPr>
            <w:tcW w:w="1701" w:type="dxa"/>
            <w:tcBorders>
              <w:top w:val="nil"/>
              <w:left w:val="nil"/>
              <w:bottom w:val="single" w:color="auto" w:sz="4" w:space="0"/>
              <w:right w:val="single" w:color="auto" w:sz="4" w:space="0"/>
            </w:tcBorders>
            <w:noWrap w:val="0"/>
            <w:vAlign w:val="center"/>
          </w:tcPr>
          <w:p w14:paraId="3C8A776D">
            <w:pPr>
              <w:widowControl/>
              <w:jc w:val="center"/>
              <w:rPr>
                <w:bCs/>
                <w:color w:val="auto"/>
                <w:kern w:val="0"/>
                <w:sz w:val="22"/>
                <w:szCs w:val="22"/>
                <w:highlight w:val="none"/>
              </w:rPr>
            </w:pPr>
            <w:r>
              <w:rPr>
                <w:bCs/>
                <w:color w:val="auto"/>
                <w:kern w:val="0"/>
                <w:sz w:val="22"/>
                <w:szCs w:val="22"/>
                <w:highlight w:val="none"/>
              </w:rPr>
              <w:t>500≤Y＜1000</w:t>
            </w:r>
          </w:p>
        </w:tc>
        <w:tc>
          <w:tcPr>
            <w:tcW w:w="1276" w:type="dxa"/>
            <w:tcBorders>
              <w:top w:val="nil"/>
              <w:left w:val="nil"/>
              <w:bottom w:val="single" w:color="auto" w:sz="4" w:space="0"/>
              <w:right w:val="single" w:color="auto" w:sz="4" w:space="0"/>
            </w:tcBorders>
            <w:noWrap w:val="0"/>
            <w:vAlign w:val="center"/>
          </w:tcPr>
          <w:p w14:paraId="1AE01742">
            <w:pPr>
              <w:widowControl/>
              <w:jc w:val="center"/>
              <w:rPr>
                <w:bCs/>
                <w:color w:val="auto"/>
                <w:kern w:val="0"/>
                <w:sz w:val="22"/>
                <w:szCs w:val="22"/>
                <w:highlight w:val="none"/>
              </w:rPr>
            </w:pPr>
            <w:r>
              <w:rPr>
                <w:bCs/>
                <w:color w:val="auto"/>
                <w:kern w:val="0"/>
                <w:sz w:val="22"/>
                <w:szCs w:val="22"/>
                <w:highlight w:val="none"/>
              </w:rPr>
              <w:t>Y＜500</w:t>
            </w:r>
          </w:p>
        </w:tc>
      </w:tr>
      <w:tr w14:paraId="7E5FEAEE">
        <w:tblPrEx>
          <w:tblCellMar>
            <w:top w:w="0" w:type="dxa"/>
            <w:left w:w="108" w:type="dxa"/>
            <w:bottom w:w="0" w:type="dxa"/>
            <w:right w:w="108" w:type="dxa"/>
          </w:tblCellMar>
        </w:tblPrEx>
        <w:trPr>
          <w:trHeight w:val="226" w:hRule="atLeast"/>
        </w:trPr>
        <w:tc>
          <w:tcPr>
            <w:tcW w:w="1949" w:type="dxa"/>
            <w:vMerge w:val="restart"/>
            <w:tcBorders>
              <w:top w:val="nil"/>
              <w:left w:val="single" w:color="auto" w:sz="4" w:space="0"/>
              <w:bottom w:val="single" w:color="auto" w:sz="4" w:space="0"/>
              <w:right w:val="single" w:color="auto" w:sz="4" w:space="0"/>
            </w:tcBorders>
            <w:noWrap w:val="0"/>
            <w:vAlign w:val="center"/>
          </w:tcPr>
          <w:p w14:paraId="18FFD3AA">
            <w:pPr>
              <w:widowControl/>
              <w:jc w:val="center"/>
              <w:rPr>
                <w:bCs/>
                <w:color w:val="auto"/>
                <w:kern w:val="0"/>
                <w:sz w:val="22"/>
                <w:szCs w:val="22"/>
                <w:highlight w:val="none"/>
              </w:rPr>
            </w:pPr>
            <w:r>
              <w:rPr>
                <w:bCs/>
                <w:color w:val="auto"/>
                <w:kern w:val="0"/>
                <w:sz w:val="22"/>
                <w:szCs w:val="22"/>
                <w:highlight w:val="none"/>
              </w:rPr>
              <w:t>租赁和商务服务业</w:t>
            </w:r>
          </w:p>
        </w:tc>
        <w:tc>
          <w:tcPr>
            <w:tcW w:w="1586" w:type="dxa"/>
            <w:tcBorders>
              <w:top w:val="nil"/>
              <w:left w:val="nil"/>
              <w:bottom w:val="single" w:color="auto" w:sz="4" w:space="0"/>
              <w:right w:val="single" w:color="auto" w:sz="4" w:space="0"/>
            </w:tcBorders>
            <w:noWrap w:val="0"/>
            <w:vAlign w:val="center"/>
          </w:tcPr>
          <w:p w14:paraId="537ED84C">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1A418DDF">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18BCC100">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2CC58DC4">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noWrap w:val="0"/>
            <w:vAlign w:val="center"/>
          </w:tcPr>
          <w:p w14:paraId="3314A34F">
            <w:pPr>
              <w:widowControl/>
              <w:jc w:val="center"/>
              <w:rPr>
                <w:bCs/>
                <w:color w:val="auto"/>
                <w:kern w:val="0"/>
                <w:sz w:val="22"/>
                <w:szCs w:val="22"/>
                <w:highlight w:val="none"/>
              </w:rPr>
            </w:pPr>
            <w:r>
              <w:rPr>
                <w:bCs/>
                <w:color w:val="auto"/>
                <w:kern w:val="0"/>
                <w:sz w:val="22"/>
                <w:szCs w:val="22"/>
                <w:highlight w:val="none"/>
              </w:rPr>
              <w:t>X＜10</w:t>
            </w:r>
          </w:p>
        </w:tc>
      </w:tr>
      <w:tr w14:paraId="009F6D06">
        <w:tblPrEx>
          <w:tblCellMar>
            <w:top w:w="0" w:type="dxa"/>
            <w:left w:w="108" w:type="dxa"/>
            <w:bottom w:w="0" w:type="dxa"/>
            <w:right w:w="108" w:type="dxa"/>
          </w:tblCellMar>
        </w:tblPrEx>
        <w:trPr>
          <w:trHeight w:val="226" w:hRule="atLeast"/>
        </w:trPr>
        <w:tc>
          <w:tcPr>
            <w:tcW w:w="1949" w:type="dxa"/>
            <w:vMerge w:val="continue"/>
            <w:tcBorders>
              <w:top w:val="nil"/>
              <w:left w:val="single" w:color="auto" w:sz="4" w:space="0"/>
              <w:bottom w:val="single" w:color="auto" w:sz="4" w:space="0"/>
              <w:right w:val="single" w:color="auto" w:sz="4" w:space="0"/>
            </w:tcBorders>
            <w:noWrap w:val="0"/>
            <w:vAlign w:val="center"/>
          </w:tcPr>
          <w:p w14:paraId="086DEBE9">
            <w:pPr>
              <w:widowControl/>
              <w:jc w:val="center"/>
              <w:rPr>
                <w:bCs/>
                <w:color w:val="auto"/>
                <w:kern w:val="0"/>
                <w:sz w:val="22"/>
                <w:szCs w:val="22"/>
                <w:highlight w:val="none"/>
              </w:rPr>
            </w:pPr>
          </w:p>
        </w:tc>
        <w:tc>
          <w:tcPr>
            <w:tcW w:w="1586" w:type="dxa"/>
            <w:tcBorders>
              <w:top w:val="nil"/>
              <w:left w:val="nil"/>
              <w:bottom w:val="single" w:color="auto" w:sz="4" w:space="0"/>
              <w:right w:val="single" w:color="auto" w:sz="4" w:space="0"/>
            </w:tcBorders>
            <w:noWrap w:val="0"/>
            <w:vAlign w:val="center"/>
          </w:tcPr>
          <w:p w14:paraId="4DD32F2F">
            <w:pPr>
              <w:widowControl/>
              <w:jc w:val="center"/>
              <w:rPr>
                <w:bCs/>
                <w:color w:val="auto"/>
                <w:kern w:val="0"/>
                <w:sz w:val="22"/>
                <w:szCs w:val="22"/>
                <w:highlight w:val="none"/>
              </w:rPr>
            </w:pPr>
            <w:r>
              <w:rPr>
                <w:bCs/>
                <w:color w:val="auto"/>
                <w:kern w:val="0"/>
                <w:sz w:val="22"/>
                <w:szCs w:val="22"/>
                <w:highlight w:val="none"/>
              </w:rPr>
              <w:t>资产总额（Z）</w:t>
            </w:r>
          </w:p>
        </w:tc>
        <w:tc>
          <w:tcPr>
            <w:tcW w:w="1285" w:type="dxa"/>
            <w:tcBorders>
              <w:top w:val="nil"/>
              <w:left w:val="nil"/>
              <w:bottom w:val="single" w:color="auto" w:sz="4" w:space="0"/>
              <w:right w:val="single" w:color="auto" w:sz="4" w:space="0"/>
            </w:tcBorders>
            <w:noWrap w:val="0"/>
            <w:vAlign w:val="center"/>
          </w:tcPr>
          <w:p w14:paraId="757A4BC9">
            <w:pPr>
              <w:widowControl/>
              <w:jc w:val="center"/>
              <w:rPr>
                <w:bCs/>
                <w:color w:val="auto"/>
                <w:kern w:val="0"/>
                <w:sz w:val="22"/>
                <w:szCs w:val="22"/>
                <w:highlight w:val="none"/>
              </w:rPr>
            </w:pPr>
            <w:r>
              <w:rPr>
                <w:bCs/>
                <w:color w:val="auto"/>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075FB4C6">
            <w:pPr>
              <w:widowControl/>
              <w:jc w:val="center"/>
              <w:rPr>
                <w:bCs/>
                <w:color w:val="auto"/>
                <w:kern w:val="0"/>
                <w:sz w:val="22"/>
                <w:szCs w:val="22"/>
                <w:highlight w:val="none"/>
              </w:rPr>
            </w:pPr>
            <w:r>
              <w:rPr>
                <w:bCs/>
                <w:color w:val="auto"/>
                <w:kern w:val="0"/>
                <w:sz w:val="22"/>
                <w:szCs w:val="22"/>
                <w:highlight w:val="none"/>
              </w:rPr>
              <w:t>8000≤Z＜120000</w:t>
            </w:r>
          </w:p>
        </w:tc>
        <w:tc>
          <w:tcPr>
            <w:tcW w:w="1701" w:type="dxa"/>
            <w:tcBorders>
              <w:top w:val="nil"/>
              <w:left w:val="nil"/>
              <w:bottom w:val="single" w:color="auto" w:sz="4" w:space="0"/>
              <w:right w:val="single" w:color="auto" w:sz="4" w:space="0"/>
            </w:tcBorders>
            <w:noWrap w:val="0"/>
            <w:vAlign w:val="center"/>
          </w:tcPr>
          <w:p w14:paraId="15EC0225">
            <w:pPr>
              <w:widowControl/>
              <w:jc w:val="center"/>
              <w:rPr>
                <w:bCs/>
                <w:color w:val="auto"/>
                <w:kern w:val="0"/>
                <w:sz w:val="22"/>
                <w:szCs w:val="22"/>
                <w:highlight w:val="none"/>
              </w:rPr>
            </w:pPr>
            <w:r>
              <w:rPr>
                <w:bCs/>
                <w:color w:val="auto"/>
                <w:kern w:val="0"/>
                <w:sz w:val="22"/>
                <w:szCs w:val="22"/>
                <w:highlight w:val="none"/>
              </w:rPr>
              <w:t>100≤Z＜8000</w:t>
            </w:r>
          </w:p>
        </w:tc>
        <w:tc>
          <w:tcPr>
            <w:tcW w:w="1276" w:type="dxa"/>
            <w:tcBorders>
              <w:top w:val="nil"/>
              <w:left w:val="nil"/>
              <w:bottom w:val="single" w:color="auto" w:sz="4" w:space="0"/>
              <w:right w:val="single" w:color="auto" w:sz="4" w:space="0"/>
            </w:tcBorders>
            <w:noWrap w:val="0"/>
            <w:vAlign w:val="center"/>
          </w:tcPr>
          <w:p w14:paraId="21D1AFEA">
            <w:pPr>
              <w:widowControl/>
              <w:jc w:val="center"/>
              <w:rPr>
                <w:bCs/>
                <w:color w:val="auto"/>
                <w:kern w:val="0"/>
                <w:sz w:val="22"/>
                <w:szCs w:val="22"/>
                <w:highlight w:val="none"/>
              </w:rPr>
            </w:pPr>
            <w:r>
              <w:rPr>
                <w:bCs/>
                <w:color w:val="auto"/>
                <w:kern w:val="0"/>
                <w:sz w:val="22"/>
                <w:szCs w:val="22"/>
                <w:highlight w:val="none"/>
              </w:rPr>
              <w:t>Y＜100</w:t>
            </w:r>
          </w:p>
        </w:tc>
      </w:tr>
      <w:tr w14:paraId="7FC66E49">
        <w:tblPrEx>
          <w:tblCellMar>
            <w:top w:w="0" w:type="dxa"/>
            <w:left w:w="108" w:type="dxa"/>
            <w:bottom w:w="0" w:type="dxa"/>
            <w:right w:w="108" w:type="dxa"/>
          </w:tblCellMar>
        </w:tblPrEx>
        <w:trPr>
          <w:trHeight w:val="226" w:hRule="atLeast"/>
        </w:trPr>
        <w:tc>
          <w:tcPr>
            <w:tcW w:w="1949" w:type="dxa"/>
            <w:tcBorders>
              <w:top w:val="nil"/>
              <w:left w:val="single" w:color="auto" w:sz="4" w:space="0"/>
              <w:bottom w:val="single" w:color="auto" w:sz="4" w:space="0"/>
              <w:right w:val="single" w:color="auto" w:sz="4" w:space="0"/>
            </w:tcBorders>
            <w:noWrap w:val="0"/>
            <w:vAlign w:val="center"/>
          </w:tcPr>
          <w:p w14:paraId="7575F49E">
            <w:pPr>
              <w:widowControl/>
              <w:jc w:val="center"/>
              <w:rPr>
                <w:bCs/>
                <w:color w:val="auto"/>
                <w:kern w:val="0"/>
                <w:sz w:val="22"/>
                <w:szCs w:val="22"/>
                <w:highlight w:val="none"/>
              </w:rPr>
            </w:pPr>
            <w:r>
              <w:rPr>
                <w:bCs/>
                <w:color w:val="auto"/>
                <w:kern w:val="0"/>
                <w:sz w:val="22"/>
                <w:szCs w:val="22"/>
                <w:highlight w:val="none"/>
              </w:rPr>
              <w:t>其他未列明行业</w:t>
            </w:r>
          </w:p>
        </w:tc>
        <w:tc>
          <w:tcPr>
            <w:tcW w:w="1586" w:type="dxa"/>
            <w:tcBorders>
              <w:top w:val="nil"/>
              <w:left w:val="nil"/>
              <w:bottom w:val="single" w:color="auto" w:sz="4" w:space="0"/>
              <w:right w:val="single" w:color="auto" w:sz="4" w:space="0"/>
            </w:tcBorders>
            <w:noWrap w:val="0"/>
            <w:vAlign w:val="center"/>
          </w:tcPr>
          <w:p w14:paraId="3D17740B">
            <w:pPr>
              <w:widowControl/>
              <w:jc w:val="center"/>
              <w:rPr>
                <w:bCs/>
                <w:color w:val="auto"/>
                <w:kern w:val="0"/>
                <w:sz w:val="22"/>
                <w:szCs w:val="22"/>
                <w:highlight w:val="none"/>
              </w:rPr>
            </w:pPr>
            <w:r>
              <w:rPr>
                <w:bCs/>
                <w:color w:val="auto"/>
                <w:kern w:val="0"/>
                <w:sz w:val="22"/>
                <w:szCs w:val="22"/>
                <w:highlight w:val="none"/>
              </w:rPr>
              <w:t>从业人员（X）</w:t>
            </w:r>
          </w:p>
        </w:tc>
        <w:tc>
          <w:tcPr>
            <w:tcW w:w="1285" w:type="dxa"/>
            <w:tcBorders>
              <w:top w:val="nil"/>
              <w:left w:val="nil"/>
              <w:bottom w:val="single" w:color="auto" w:sz="4" w:space="0"/>
              <w:right w:val="single" w:color="auto" w:sz="4" w:space="0"/>
            </w:tcBorders>
            <w:noWrap w:val="0"/>
            <w:vAlign w:val="center"/>
          </w:tcPr>
          <w:p w14:paraId="5954EBE5">
            <w:pPr>
              <w:widowControl/>
              <w:jc w:val="center"/>
              <w:rPr>
                <w:bCs/>
                <w:color w:val="auto"/>
                <w:kern w:val="0"/>
                <w:sz w:val="22"/>
                <w:szCs w:val="22"/>
                <w:highlight w:val="none"/>
              </w:rPr>
            </w:pPr>
            <w:r>
              <w:rPr>
                <w:bCs/>
                <w:color w:val="auto"/>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08EF0CCB">
            <w:pPr>
              <w:widowControl/>
              <w:jc w:val="center"/>
              <w:rPr>
                <w:bCs/>
                <w:color w:val="auto"/>
                <w:kern w:val="0"/>
                <w:sz w:val="22"/>
                <w:szCs w:val="22"/>
                <w:highlight w:val="none"/>
              </w:rPr>
            </w:pPr>
            <w:r>
              <w:rPr>
                <w:bCs/>
                <w:color w:val="auto"/>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022B966D">
            <w:pPr>
              <w:widowControl/>
              <w:jc w:val="center"/>
              <w:rPr>
                <w:bCs/>
                <w:color w:val="auto"/>
                <w:kern w:val="0"/>
                <w:sz w:val="22"/>
                <w:szCs w:val="22"/>
                <w:highlight w:val="none"/>
              </w:rPr>
            </w:pPr>
            <w:r>
              <w:rPr>
                <w:bCs/>
                <w:color w:val="auto"/>
                <w:kern w:val="0"/>
                <w:sz w:val="22"/>
                <w:szCs w:val="22"/>
                <w:highlight w:val="none"/>
              </w:rPr>
              <w:t>10≤X＜100</w:t>
            </w:r>
          </w:p>
        </w:tc>
        <w:tc>
          <w:tcPr>
            <w:tcW w:w="1276" w:type="dxa"/>
            <w:tcBorders>
              <w:top w:val="nil"/>
              <w:left w:val="nil"/>
              <w:bottom w:val="single" w:color="auto" w:sz="4" w:space="0"/>
              <w:right w:val="single" w:color="auto" w:sz="4" w:space="0"/>
            </w:tcBorders>
            <w:noWrap w:val="0"/>
            <w:vAlign w:val="center"/>
          </w:tcPr>
          <w:p w14:paraId="355CFD5D">
            <w:pPr>
              <w:widowControl/>
              <w:jc w:val="center"/>
              <w:rPr>
                <w:bCs/>
                <w:color w:val="auto"/>
                <w:kern w:val="0"/>
                <w:sz w:val="22"/>
                <w:szCs w:val="22"/>
                <w:highlight w:val="none"/>
              </w:rPr>
            </w:pPr>
            <w:r>
              <w:rPr>
                <w:bCs/>
                <w:color w:val="auto"/>
                <w:kern w:val="0"/>
                <w:sz w:val="22"/>
                <w:szCs w:val="22"/>
                <w:highlight w:val="none"/>
              </w:rPr>
              <w:t>X＜10</w:t>
            </w:r>
          </w:p>
        </w:tc>
      </w:tr>
    </w:tbl>
    <w:p w14:paraId="7A9D6D4B">
      <w:pPr>
        <w:spacing w:line="360" w:lineRule="auto"/>
        <w:ind w:firstLine="525" w:firstLineChars="250"/>
        <w:rPr>
          <w:bCs/>
          <w:color w:val="auto"/>
          <w:highlight w:val="none"/>
        </w:rPr>
      </w:pPr>
      <w:r>
        <w:rPr>
          <w:bCs/>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B0AC708">
      <w:pPr>
        <w:rPr>
          <w:rFonts w:hint="default" w:ascii="Times New Roman" w:hAnsi="Times New Roman" w:cs="Times New Roman"/>
          <w:color w:val="auto"/>
          <w:highlight w:val="none"/>
          <w:lang w:eastAsia="zh-CN"/>
        </w:rPr>
      </w:pPr>
    </w:p>
    <w:p w14:paraId="3C38C677">
      <w:pPr>
        <w:rPr>
          <w:rFonts w:hint="default" w:ascii="Times New Roman" w:hAnsi="Times New Roman" w:cs="Times New Roman"/>
          <w:color w:val="auto"/>
          <w:highlight w:val="none"/>
          <w:lang w:eastAsia="zh-CN"/>
        </w:rPr>
      </w:pPr>
    </w:p>
    <w:p w14:paraId="62D9A087">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eastAsia="zh-CN"/>
        </w:rPr>
      </w:pPr>
      <w:bookmarkStart w:id="61" w:name="_Toc30976"/>
      <w:r>
        <w:rPr>
          <w:rFonts w:hint="default" w:ascii="Times New Roman" w:hAnsi="Times New Roman" w:cs="Times New Roman"/>
          <w:color w:val="auto"/>
          <w:highlight w:val="none"/>
          <w:lang w:eastAsia="zh-CN"/>
        </w:rPr>
        <w:t>第七章</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质疑书及投诉书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格式</w:t>
      </w:r>
      <w:r>
        <w:rPr>
          <w:rFonts w:hint="default" w:ascii="Times New Roman" w:hAnsi="Times New Roman" w:cs="Times New Roman"/>
          <w:color w:val="auto"/>
          <w:highlight w:val="none"/>
          <w:lang w:eastAsia="zh-CN"/>
        </w:rPr>
        <w:t>）</w:t>
      </w:r>
      <w:bookmarkEnd w:id="61"/>
    </w:p>
    <w:p w14:paraId="2B4C4311">
      <w:pPr>
        <w:tabs>
          <w:tab w:val="left" w:pos="606"/>
        </w:tabs>
        <w:jc w:val="center"/>
        <w:rPr>
          <w:rFonts w:hint="default" w:ascii="Times New Roman" w:hAnsi="Times New Roman" w:eastAsia="宋体" w:cs="Times New Roman"/>
          <w:b/>
          <w:color w:val="auto"/>
          <w:kern w:val="0"/>
          <w:sz w:val="36"/>
          <w:szCs w:val="36"/>
          <w:highlight w:val="none"/>
        </w:rPr>
      </w:pPr>
    </w:p>
    <w:p w14:paraId="0EC6F88F">
      <w:pPr>
        <w:tabs>
          <w:tab w:val="left" w:pos="606"/>
        </w:tabs>
        <w:jc w:val="cente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kern w:val="0"/>
          <w:sz w:val="36"/>
          <w:szCs w:val="36"/>
          <w:highlight w:val="none"/>
        </w:rPr>
        <w:t>质疑书格式</w:t>
      </w:r>
    </w:p>
    <w:p w14:paraId="13A2348F">
      <w:pPr>
        <w:adjustRightInd w:val="0"/>
        <w:snapToGrid w:val="0"/>
        <w:spacing w:beforeLines="100"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一、质疑供应商基本信息</w:t>
      </w:r>
    </w:p>
    <w:p w14:paraId="5402B0B5">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质疑供应商：</w:t>
      </w:r>
    </w:p>
    <w:p w14:paraId="76F4FE97">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邮编：</w:t>
      </w:r>
    </w:p>
    <w:p w14:paraId="45BC6433">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联系电话：</w:t>
      </w:r>
    </w:p>
    <w:p w14:paraId="4F981280">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授权代表：</w:t>
      </w:r>
    </w:p>
    <w:p w14:paraId="5BABF248">
      <w:pPr>
        <w:tabs>
          <w:tab w:val="left" w:pos="3544"/>
        </w:tabs>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p w14:paraId="42B63360">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邮编：</w:t>
      </w:r>
    </w:p>
    <w:p w14:paraId="0CCD6239">
      <w:pPr>
        <w:adjustRightInd w:val="0"/>
        <w:snapToGrid w:val="0"/>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二、质疑项目基本情况</w:t>
      </w:r>
    </w:p>
    <w:p w14:paraId="757BB054">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质疑项目的名称：</w:t>
      </w:r>
    </w:p>
    <w:p w14:paraId="3FBF2437">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质疑项目的编号：包号：</w:t>
      </w:r>
    </w:p>
    <w:p w14:paraId="26B02DDC">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采购人名称：</w:t>
      </w:r>
    </w:p>
    <w:p w14:paraId="1ECE3369">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采购文件获取日期：</w:t>
      </w:r>
    </w:p>
    <w:p w14:paraId="72A25DB7">
      <w:pPr>
        <w:adjustRightInd w:val="0"/>
        <w:snapToGrid w:val="0"/>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三、质疑事项具体内容</w:t>
      </w:r>
    </w:p>
    <w:p w14:paraId="77CFEB05">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质疑事项1：</w:t>
      </w:r>
    </w:p>
    <w:p w14:paraId="23891AD1">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事实依据：</w:t>
      </w:r>
    </w:p>
    <w:p w14:paraId="4DF39BC7">
      <w:pPr>
        <w:adjustRightInd w:val="0"/>
        <w:snapToGrid w:val="0"/>
        <w:spacing w:line="360" w:lineRule="auto"/>
        <w:rPr>
          <w:rFonts w:hint="default" w:ascii="Times New Roman" w:hAnsi="Times New Roman" w:eastAsia="宋体" w:cs="Times New Roman"/>
          <w:color w:val="auto"/>
          <w:sz w:val="24"/>
          <w:szCs w:val="24"/>
          <w:highlight w:val="none"/>
        </w:rPr>
      </w:pPr>
    </w:p>
    <w:p w14:paraId="1371000C">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法律依据：</w:t>
      </w:r>
    </w:p>
    <w:p w14:paraId="1FDA0A62">
      <w:pPr>
        <w:adjustRightInd w:val="0"/>
        <w:snapToGrid w:val="0"/>
        <w:spacing w:line="360" w:lineRule="auto"/>
        <w:rPr>
          <w:rFonts w:hint="default" w:ascii="Times New Roman" w:hAnsi="Times New Roman" w:eastAsia="宋体" w:cs="Times New Roman"/>
          <w:color w:val="auto"/>
          <w:sz w:val="24"/>
          <w:szCs w:val="24"/>
          <w:highlight w:val="none"/>
          <w:u w:val="dotted"/>
        </w:rPr>
      </w:pPr>
    </w:p>
    <w:p w14:paraId="38EB7D53">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质疑事项2</w:t>
      </w:r>
    </w:p>
    <w:p w14:paraId="019C3C86">
      <w:pPr>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14:paraId="6ED8BD6A">
      <w:pPr>
        <w:adjustRightInd w:val="0"/>
        <w:snapToGrid w:val="0"/>
        <w:spacing w:line="360" w:lineRule="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四、与质疑事项相关的质疑请求</w:t>
      </w:r>
    </w:p>
    <w:p w14:paraId="0E3E0D4D">
      <w:pPr>
        <w:adjustRightInd w:val="0"/>
        <w:snapToGrid w:val="0"/>
        <w:spacing w:line="360" w:lineRule="auto"/>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请求：</w:t>
      </w:r>
    </w:p>
    <w:p w14:paraId="65917CEE">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签字(签章)：                   公章：                      </w:t>
      </w:r>
    </w:p>
    <w:p w14:paraId="4E407976">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日期：    </w:t>
      </w:r>
    </w:p>
    <w:p w14:paraId="1BEE504F">
      <w:pPr>
        <w:rPr>
          <w:rFonts w:hint="default" w:ascii="Times New Roman" w:hAnsi="Times New Roman" w:eastAsia="宋体" w:cs="Times New Roman"/>
          <w:b/>
          <w:color w:val="auto"/>
          <w:sz w:val="24"/>
          <w:szCs w:val="24"/>
          <w:highlight w:val="none"/>
        </w:rPr>
      </w:pPr>
    </w:p>
    <w:p w14:paraId="4FDA523A">
      <w:pPr>
        <w:pStyle w:val="15"/>
        <w:rPr>
          <w:rFonts w:hint="default" w:ascii="Times New Roman" w:hAnsi="Times New Roman" w:eastAsia="宋体" w:cs="Times New Roman"/>
          <w:b/>
          <w:color w:val="auto"/>
          <w:sz w:val="24"/>
          <w:szCs w:val="24"/>
          <w:highlight w:val="none"/>
        </w:rPr>
      </w:pPr>
    </w:p>
    <w:p w14:paraId="08E0A0BD">
      <w:pPr>
        <w:pStyle w:val="31"/>
        <w:rPr>
          <w:rFonts w:hint="default" w:ascii="Times New Roman" w:hAnsi="Times New Roman" w:eastAsia="宋体" w:cs="Times New Roman"/>
          <w:b/>
          <w:color w:val="auto"/>
          <w:sz w:val="24"/>
          <w:szCs w:val="24"/>
          <w:highlight w:val="none"/>
        </w:rPr>
      </w:pPr>
    </w:p>
    <w:p w14:paraId="394CA7BF">
      <w:pPr>
        <w:pStyle w:val="14"/>
        <w:rPr>
          <w:rFonts w:hint="default" w:ascii="Times New Roman" w:hAnsi="Times New Roman" w:eastAsia="宋体" w:cs="Times New Roman"/>
          <w:b/>
          <w:color w:val="auto"/>
          <w:sz w:val="24"/>
          <w:szCs w:val="24"/>
          <w:highlight w:val="none"/>
        </w:rPr>
      </w:pPr>
    </w:p>
    <w:p w14:paraId="1886A0DA">
      <w:pPr>
        <w:rPr>
          <w:rFonts w:hint="default" w:ascii="Times New Roman" w:hAnsi="Times New Roman" w:eastAsia="宋体" w:cs="Times New Roman"/>
          <w:b/>
          <w:color w:val="auto"/>
          <w:sz w:val="24"/>
          <w:szCs w:val="24"/>
          <w:highlight w:val="none"/>
        </w:rPr>
      </w:pPr>
    </w:p>
    <w:p w14:paraId="55A54DCF">
      <w:pPr>
        <w:pStyle w:val="15"/>
        <w:rPr>
          <w:rFonts w:hint="default" w:ascii="Times New Roman" w:hAnsi="Times New Roman" w:cs="Times New Roman"/>
          <w:color w:val="auto"/>
          <w:highlight w:val="none"/>
        </w:rPr>
      </w:pPr>
    </w:p>
    <w:p w14:paraId="420940CC">
      <w:pP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质疑函制作说明：</w:t>
      </w:r>
    </w:p>
    <w:p w14:paraId="1EEF5D09">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1.供应商提出质疑时，应提交质疑函和必要的证明材料。</w:t>
      </w:r>
    </w:p>
    <w:p w14:paraId="160544CA">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2.质疑供应商若委托代理人进行质疑的，质疑函应按要求列明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授权代表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的有关内容，并在附件中提交由质疑</w:t>
      </w:r>
      <w:r>
        <w:rPr>
          <w:rFonts w:hint="default" w:ascii="Times New Roman" w:hAnsi="Times New Roman" w:eastAsia="宋体" w:cs="Times New Roman"/>
          <w:color w:val="auto"/>
          <w:kern w:val="0"/>
          <w:sz w:val="24"/>
          <w:szCs w:val="24"/>
          <w:highlight w:val="none"/>
        </w:rPr>
        <w:t>供应商签署的授权委托书。授权委托书应载明代理人的姓名或者名称、代理事项、具体权限、期限和相关事项。</w:t>
      </w:r>
    </w:p>
    <w:p w14:paraId="419C1286">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3.质疑供应商若对项目的某一分包进行质疑，质疑函中应列明具体分包号。</w:t>
      </w:r>
    </w:p>
    <w:p w14:paraId="6F66255B">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4.质疑函的质疑事项应具体、明确，并有必要的事实依据和法律依据。</w:t>
      </w:r>
    </w:p>
    <w:p w14:paraId="73234FF7">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5.质疑函的质疑请求应与质疑事项相关。</w:t>
      </w:r>
    </w:p>
    <w:p w14:paraId="78168D37">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76628AB6">
      <w:pPr>
        <w:rPr>
          <w:rFonts w:hint="default" w:ascii="Times New Roman" w:hAnsi="Times New Roman" w:eastAsia="宋体" w:cs="Times New Roman"/>
          <w:b/>
          <w:bCs/>
          <w:color w:val="auto"/>
          <w:sz w:val="24"/>
          <w:highlight w:val="none"/>
        </w:rPr>
      </w:pPr>
    </w:p>
    <w:p w14:paraId="3114EB16">
      <w:pPr>
        <w:pStyle w:val="10"/>
        <w:rPr>
          <w:rFonts w:hint="default" w:ascii="Times New Roman" w:hAnsi="Times New Roman" w:eastAsia="宋体" w:cs="Times New Roman"/>
          <w:b/>
          <w:bCs/>
          <w:color w:val="auto"/>
          <w:sz w:val="24"/>
          <w:highlight w:val="none"/>
        </w:rPr>
      </w:pPr>
    </w:p>
    <w:p w14:paraId="6A4F2F2A">
      <w:pPr>
        <w:jc w:val="center"/>
        <w:rPr>
          <w:rFonts w:hint="default" w:ascii="Times New Roman" w:hAnsi="Times New Roman" w:eastAsia="宋体" w:cs="Times New Roman"/>
          <w:b/>
          <w:color w:val="auto"/>
          <w:sz w:val="40"/>
          <w:szCs w:val="40"/>
          <w:highlight w:val="none"/>
        </w:rPr>
      </w:pPr>
    </w:p>
    <w:p w14:paraId="480EAD5A">
      <w:pPr>
        <w:jc w:val="center"/>
        <w:rPr>
          <w:rFonts w:hint="default" w:ascii="Times New Roman" w:hAnsi="Times New Roman" w:eastAsia="宋体" w:cs="Times New Roman"/>
          <w:b/>
          <w:color w:val="auto"/>
          <w:sz w:val="40"/>
          <w:szCs w:val="40"/>
          <w:highlight w:val="none"/>
        </w:rPr>
      </w:pPr>
    </w:p>
    <w:p w14:paraId="57E810F8">
      <w:pPr>
        <w:jc w:val="center"/>
        <w:rPr>
          <w:rFonts w:hint="default" w:ascii="Times New Roman" w:hAnsi="Times New Roman" w:eastAsia="宋体" w:cs="Times New Roman"/>
          <w:b/>
          <w:color w:val="auto"/>
          <w:sz w:val="40"/>
          <w:szCs w:val="40"/>
          <w:highlight w:val="none"/>
        </w:rPr>
      </w:pPr>
    </w:p>
    <w:p w14:paraId="32D633E3">
      <w:pPr>
        <w:jc w:val="center"/>
        <w:rPr>
          <w:rFonts w:hint="default" w:ascii="Times New Roman" w:hAnsi="Times New Roman" w:eastAsia="宋体" w:cs="Times New Roman"/>
          <w:b/>
          <w:color w:val="auto"/>
          <w:sz w:val="40"/>
          <w:szCs w:val="40"/>
          <w:highlight w:val="none"/>
        </w:rPr>
      </w:pPr>
    </w:p>
    <w:p w14:paraId="0DB92326">
      <w:pPr>
        <w:jc w:val="center"/>
        <w:rPr>
          <w:rFonts w:hint="default" w:ascii="Times New Roman" w:hAnsi="Times New Roman" w:eastAsia="宋体" w:cs="Times New Roman"/>
          <w:b/>
          <w:color w:val="auto"/>
          <w:sz w:val="40"/>
          <w:szCs w:val="40"/>
          <w:highlight w:val="none"/>
        </w:rPr>
      </w:pPr>
    </w:p>
    <w:p w14:paraId="248189E2">
      <w:pPr>
        <w:jc w:val="center"/>
        <w:rPr>
          <w:rFonts w:hint="default" w:ascii="Times New Roman" w:hAnsi="Times New Roman" w:eastAsia="宋体" w:cs="Times New Roman"/>
          <w:b/>
          <w:color w:val="auto"/>
          <w:sz w:val="40"/>
          <w:szCs w:val="40"/>
          <w:highlight w:val="none"/>
        </w:rPr>
      </w:pPr>
    </w:p>
    <w:p w14:paraId="261EEE50">
      <w:pPr>
        <w:jc w:val="center"/>
        <w:rPr>
          <w:rFonts w:hint="default" w:ascii="Times New Roman" w:hAnsi="Times New Roman" w:eastAsia="宋体" w:cs="Times New Roman"/>
          <w:b/>
          <w:color w:val="auto"/>
          <w:sz w:val="40"/>
          <w:szCs w:val="40"/>
          <w:highlight w:val="none"/>
        </w:rPr>
      </w:pPr>
    </w:p>
    <w:p w14:paraId="2750104D">
      <w:pPr>
        <w:jc w:val="center"/>
        <w:rPr>
          <w:rFonts w:hint="default" w:ascii="Times New Roman" w:hAnsi="Times New Roman" w:eastAsia="宋体" w:cs="Times New Roman"/>
          <w:b/>
          <w:color w:val="auto"/>
          <w:sz w:val="40"/>
          <w:szCs w:val="40"/>
          <w:highlight w:val="none"/>
        </w:rPr>
      </w:pPr>
    </w:p>
    <w:p w14:paraId="4AE7E1BB">
      <w:pPr>
        <w:pStyle w:val="37"/>
        <w:rPr>
          <w:rFonts w:hint="default" w:ascii="Times New Roman" w:hAnsi="Times New Roman" w:eastAsia="宋体" w:cs="Times New Roman"/>
          <w:b/>
          <w:color w:val="auto"/>
          <w:sz w:val="40"/>
          <w:szCs w:val="40"/>
          <w:highlight w:val="none"/>
        </w:rPr>
      </w:pPr>
    </w:p>
    <w:p w14:paraId="36CE1405">
      <w:pPr>
        <w:pStyle w:val="37"/>
        <w:rPr>
          <w:rFonts w:hint="default" w:ascii="Times New Roman" w:hAnsi="Times New Roman" w:eastAsia="宋体" w:cs="Times New Roman"/>
          <w:b/>
          <w:color w:val="auto"/>
          <w:sz w:val="40"/>
          <w:szCs w:val="40"/>
          <w:highlight w:val="none"/>
        </w:rPr>
      </w:pPr>
    </w:p>
    <w:p w14:paraId="3163D95B">
      <w:pPr>
        <w:pStyle w:val="37"/>
        <w:rPr>
          <w:rFonts w:hint="default" w:ascii="Times New Roman" w:hAnsi="Times New Roman" w:eastAsia="宋体" w:cs="Times New Roman"/>
          <w:b/>
          <w:color w:val="auto"/>
          <w:sz w:val="40"/>
          <w:szCs w:val="40"/>
          <w:highlight w:val="none"/>
        </w:rPr>
      </w:pPr>
    </w:p>
    <w:p w14:paraId="736044E5">
      <w:pPr>
        <w:pStyle w:val="37"/>
        <w:rPr>
          <w:rFonts w:hint="default" w:ascii="Times New Roman" w:hAnsi="Times New Roman" w:eastAsia="宋体" w:cs="Times New Roman"/>
          <w:b/>
          <w:color w:val="auto"/>
          <w:sz w:val="40"/>
          <w:szCs w:val="40"/>
          <w:highlight w:val="none"/>
        </w:rPr>
      </w:pPr>
    </w:p>
    <w:p w14:paraId="180A0DF1">
      <w:pPr>
        <w:pStyle w:val="37"/>
        <w:rPr>
          <w:rFonts w:hint="default" w:ascii="Times New Roman" w:hAnsi="Times New Roman" w:eastAsia="宋体" w:cs="Times New Roman"/>
          <w:b/>
          <w:color w:val="auto"/>
          <w:sz w:val="40"/>
          <w:szCs w:val="40"/>
          <w:highlight w:val="none"/>
        </w:rPr>
      </w:pPr>
    </w:p>
    <w:p w14:paraId="630FF963">
      <w:pPr>
        <w:pStyle w:val="37"/>
        <w:rPr>
          <w:rFonts w:hint="default" w:ascii="Times New Roman" w:hAnsi="Times New Roman" w:eastAsia="宋体" w:cs="Times New Roman"/>
          <w:b/>
          <w:color w:val="auto"/>
          <w:sz w:val="40"/>
          <w:szCs w:val="40"/>
          <w:highlight w:val="none"/>
        </w:rPr>
      </w:pPr>
    </w:p>
    <w:p w14:paraId="7CE275BE">
      <w:pPr>
        <w:jc w:val="center"/>
        <w:rPr>
          <w:rFonts w:hint="default" w:ascii="Times New Roman" w:hAnsi="Times New Roman" w:eastAsia="宋体" w:cs="Times New Roman"/>
          <w:b/>
          <w:color w:val="auto"/>
          <w:sz w:val="40"/>
          <w:szCs w:val="40"/>
          <w:highlight w:val="none"/>
        </w:rPr>
      </w:pPr>
    </w:p>
    <w:p w14:paraId="10F8EE8A">
      <w:pPr>
        <w:jc w:val="both"/>
        <w:rPr>
          <w:rFonts w:hint="default" w:ascii="Times New Roman" w:hAnsi="Times New Roman" w:eastAsia="宋体" w:cs="Times New Roman"/>
          <w:b/>
          <w:color w:val="auto"/>
          <w:sz w:val="40"/>
          <w:szCs w:val="40"/>
          <w:highlight w:val="none"/>
        </w:rPr>
      </w:pPr>
    </w:p>
    <w:p w14:paraId="170A8C43">
      <w:pPr>
        <w:jc w:val="center"/>
        <w:rPr>
          <w:rFonts w:hint="default" w:ascii="Times New Roman" w:hAnsi="Times New Roman" w:eastAsia="宋体" w:cs="Times New Roman"/>
          <w:b/>
          <w:color w:val="auto"/>
          <w:sz w:val="40"/>
          <w:szCs w:val="40"/>
          <w:highlight w:val="none"/>
        </w:rPr>
      </w:pPr>
      <w:r>
        <w:rPr>
          <w:rFonts w:hint="default" w:ascii="Times New Roman" w:hAnsi="Times New Roman" w:eastAsia="宋体" w:cs="Times New Roman"/>
          <w:b/>
          <w:color w:val="auto"/>
          <w:sz w:val="40"/>
          <w:szCs w:val="40"/>
          <w:highlight w:val="none"/>
        </w:rPr>
        <w:t>投诉书范本</w:t>
      </w:r>
    </w:p>
    <w:p w14:paraId="785AAB3F">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一、投诉相关主体基本情况</w:t>
      </w:r>
    </w:p>
    <w:p w14:paraId="40A9800C">
      <w:pPr>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投诉人：</w:t>
      </w:r>
    </w:p>
    <w:p w14:paraId="06883A93">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邮编：</w:t>
      </w:r>
    </w:p>
    <w:p w14:paraId="2FE93828">
      <w:pPr>
        <w:tabs>
          <w:tab w:val="left" w:pos="6510"/>
        </w:tabs>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法定代表人/主要负责人：</w:t>
      </w:r>
    </w:p>
    <w:p w14:paraId="3D3C90DC">
      <w:pPr>
        <w:tabs>
          <w:tab w:val="left" w:pos="6510"/>
        </w:tabs>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联系电话：</w:t>
      </w:r>
    </w:p>
    <w:p w14:paraId="1B82ADF4">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授权代表：</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联系电话</w:t>
      </w:r>
    </w:p>
    <w:p w14:paraId="32A88738">
      <w:pPr>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邮编：</w:t>
      </w:r>
    </w:p>
    <w:p w14:paraId="133DA128">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被投诉人1：</w:t>
      </w:r>
    </w:p>
    <w:p w14:paraId="6EFCFBEE">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邮编：</w:t>
      </w:r>
    </w:p>
    <w:p w14:paraId="33994123">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联系电话：</w:t>
      </w:r>
    </w:p>
    <w:p w14:paraId="26D5FDA0">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被投诉人2</w:t>
      </w:r>
    </w:p>
    <w:p w14:paraId="012817A4">
      <w:pPr>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w:t>
      </w:r>
    </w:p>
    <w:p w14:paraId="2F9C7A1E">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相关供应商：</w:t>
      </w:r>
    </w:p>
    <w:p w14:paraId="1987967F">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邮编：</w:t>
      </w:r>
    </w:p>
    <w:p w14:paraId="5BA105AD">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联系电话：</w:t>
      </w:r>
    </w:p>
    <w:p w14:paraId="42096A2F">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二、投诉项目基本情况</w:t>
      </w:r>
    </w:p>
    <w:p w14:paraId="1CBE3317">
      <w:pPr>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采购项目名称：</w:t>
      </w:r>
    </w:p>
    <w:p w14:paraId="13125876">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采购项目编号：包号：</w:t>
      </w:r>
    </w:p>
    <w:p w14:paraId="1D050267">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采购人名称：</w:t>
      </w:r>
    </w:p>
    <w:p w14:paraId="71D4FDEF">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代理机构名称：</w:t>
      </w:r>
    </w:p>
    <w:p w14:paraId="3528736A">
      <w:pPr>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采购文件公告:</w:t>
      </w:r>
      <w:r>
        <w:rPr>
          <w:rFonts w:hint="default" w:ascii="Times New Roman" w:hAnsi="Times New Roman" w:eastAsia="宋体" w:cs="Times New Roman"/>
          <w:color w:val="auto"/>
          <w:sz w:val="24"/>
          <w:szCs w:val="24"/>
          <w:highlight w:val="none"/>
          <w:u w:val="dotted"/>
        </w:rPr>
        <w:t xml:space="preserve">是/否 </w:t>
      </w:r>
      <w:r>
        <w:rPr>
          <w:rFonts w:hint="default" w:ascii="Times New Roman" w:hAnsi="Times New Roman" w:eastAsia="宋体" w:cs="Times New Roman"/>
          <w:color w:val="auto"/>
          <w:sz w:val="24"/>
          <w:szCs w:val="24"/>
          <w:highlight w:val="none"/>
        </w:rPr>
        <w:t>公告期限：</w:t>
      </w:r>
    </w:p>
    <w:p w14:paraId="39EB8E7A">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采购结果公告:</w:t>
      </w:r>
      <w:r>
        <w:rPr>
          <w:rFonts w:hint="default" w:ascii="Times New Roman" w:hAnsi="Times New Roman" w:eastAsia="宋体" w:cs="Times New Roman"/>
          <w:color w:val="auto"/>
          <w:sz w:val="24"/>
          <w:szCs w:val="24"/>
          <w:highlight w:val="none"/>
          <w:u w:val="dotted"/>
        </w:rPr>
        <w:t xml:space="preserve">是/否 </w:t>
      </w:r>
      <w:r>
        <w:rPr>
          <w:rFonts w:hint="default" w:ascii="Times New Roman" w:hAnsi="Times New Roman" w:eastAsia="宋体" w:cs="Times New Roman"/>
          <w:color w:val="auto"/>
          <w:sz w:val="24"/>
          <w:szCs w:val="24"/>
          <w:highlight w:val="none"/>
        </w:rPr>
        <w:t>公告期限：</w:t>
      </w:r>
    </w:p>
    <w:p w14:paraId="4A79D393">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三、质疑基本情况</w:t>
      </w:r>
    </w:p>
    <w:p w14:paraId="0F50D174">
      <w:pPr>
        <w:ind w:firstLine="480" w:firstLineChars="200"/>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投诉人于年月日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向提出质疑，质疑事项为：</w:t>
      </w:r>
    </w:p>
    <w:p w14:paraId="4B383C7C">
      <w:pPr>
        <w:rPr>
          <w:rFonts w:hint="default" w:ascii="Times New Roman" w:hAnsi="Times New Roman" w:eastAsia="宋体" w:cs="Times New Roman"/>
          <w:color w:val="auto"/>
          <w:sz w:val="24"/>
          <w:szCs w:val="24"/>
          <w:highlight w:val="none"/>
          <w:u w:val="dotted"/>
        </w:rPr>
      </w:pPr>
    </w:p>
    <w:p w14:paraId="64F95E20">
      <w:pPr>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dotted"/>
        </w:rPr>
        <w:t>采购人/代理机构</w:t>
      </w:r>
      <w:r>
        <w:rPr>
          <w:rFonts w:hint="default" w:ascii="Times New Roman" w:hAnsi="Times New Roman" w:eastAsia="宋体" w:cs="Times New Roman"/>
          <w:color w:val="auto"/>
          <w:sz w:val="24"/>
          <w:szCs w:val="24"/>
          <w:highlight w:val="none"/>
        </w:rPr>
        <w:t>于年月日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就质疑事项作出了答复/没有在法定期限内作出答复。</w:t>
      </w:r>
    </w:p>
    <w:p w14:paraId="6FF17A22">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四、投诉事项具体内容</w:t>
      </w:r>
    </w:p>
    <w:p w14:paraId="3E8A4835">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投诉事项 1：</w:t>
      </w:r>
    </w:p>
    <w:p w14:paraId="2C943C0D">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事实依据：</w:t>
      </w:r>
    </w:p>
    <w:p w14:paraId="379AB0E7">
      <w:pPr>
        <w:rPr>
          <w:rFonts w:hint="default" w:ascii="Times New Roman" w:hAnsi="Times New Roman" w:eastAsia="宋体" w:cs="Times New Roman"/>
          <w:color w:val="auto"/>
          <w:sz w:val="24"/>
          <w:szCs w:val="24"/>
          <w:highlight w:val="none"/>
          <w:u w:val="dotted"/>
        </w:rPr>
      </w:pPr>
    </w:p>
    <w:p w14:paraId="525A0CC3">
      <w:pPr>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法律依据：</w:t>
      </w:r>
    </w:p>
    <w:p w14:paraId="046D95FB">
      <w:pPr>
        <w:rPr>
          <w:rFonts w:hint="default" w:ascii="Times New Roman" w:hAnsi="Times New Roman" w:eastAsia="宋体" w:cs="Times New Roman"/>
          <w:color w:val="auto"/>
          <w:sz w:val="24"/>
          <w:szCs w:val="24"/>
          <w:highlight w:val="none"/>
          <w:u w:val="dotted"/>
        </w:rPr>
      </w:pPr>
    </w:p>
    <w:p w14:paraId="6CF46B9F">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投诉事项2</w:t>
      </w:r>
    </w:p>
    <w:p w14:paraId="2504223B">
      <w:pPr>
        <w:rPr>
          <w:rFonts w:hint="default" w:ascii="Times New Roman" w:hAnsi="Times New Roman" w:eastAsia="宋体" w:cs="Times New Roman"/>
          <w:color w:val="auto"/>
          <w:sz w:val="24"/>
          <w:szCs w:val="24"/>
          <w:highlight w:val="none"/>
          <w:u w:val="dotted"/>
        </w:rPr>
      </w:pPr>
      <w:r>
        <w:rPr>
          <w:rFonts w:hint="default" w:ascii="Times New Roman" w:hAnsi="Times New Roman" w:eastAsia="宋体" w:cs="Times New Roman"/>
          <w:color w:val="auto"/>
          <w:sz w:val="24"/>
          <w:szCs w:val="24"/>
          <w:highlight w:val="none"/>
        </w:rPr>
        <w:t>……</w:t>
      </w:r>
    </w:p>
    <w:p w14:paraId="5E1A1768">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五、与投诉事项相关的投诉请求</w:t>
      </w:r>
    </w:p>
    <w:p w14:paraId="1EF4C999">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请求：</w:t>
      </w:r>
    </w:p>
    <w:p w14:paraId="3E91D8E7">
      <w:pPr>
        <w:rPr>
          <w:rFonts w:hint="default" w:ascii="Times New Roman" w:hAnsi="Times New Roman" w:eastAsia="宋体" w:cs="Times New Roman"/>
          <w:color w:val="auto"/>
          <w:sz w:val="24"/>
          <w:szCs w:val="24"/>
          <w:highlight w:val="none"/>
          <w:u w:val="single"/>
        </w:rPr>
      </w:pPr>
    </w:p>
    <w:p w14:paraId="0D7BA644">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签字(签章)：                   公章：                      </w:t>
      </w:r>
    </w:p>
    <w:p w14:paraId="4E00F891">
      <w:pP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 xml:space="preserve">日期：    </w:t>
      </w:r>
    </w:p>
    <w:p w14:paraId="540067E5">
      <w:pPr>
        <w:pStyle w:val="7"/>
        <w:rPr>
          <w:rFonts w:hint="default" w:ascii="Times New Roman" w:hAnsi="Times New Roman" w:eastAsia="宋体" w:cs="Times New Roman"/>
          <w:color w:val="auto"/>
          <w:highlight w:val="none"/>
        </w:rPr>
      </w:pPr>
    </w:p>
    <w:p w14:paraId="57A69AAA">
      <w:pPr>
        <w:rPr>
          <w:rFonts w:hint="default" w:ascii="Times New Roman" w:hAnsi="Times New Roman" w:eastAsia="宋体" w:cs="Times New Roman"/>
          <w:b/>
          <w:color w:val="auto"/>
          <w:sz w:val="24"/>
          <w:szCs w:val="24"/>
          <w:highlight w:val="none"/>
        </w:rPr>
      </w:pPr>
    </w:p>
    <w:p w14:paraId="3003CE57">
      <w:pPr>
        <w:rPr>
          <w:rFonts w:hint="default" w:ascii="Times New Roman" w:hAnsi="Times New Roman" w:eastAsia="宋体" w:cs="Times New Roman"/>
          <w:b/>
          <w:color w:val="auto"/>
          <w:sz w:val="24"/>
          <w:szCs w:val="24"/>
          <w:highlight w:val="none"/>
        </w:rPr>
      </w:pPr>
    </w:p>
    <w:p w14:paraId="55EE9BB8">
      <w:pPr>
        <w:rPr>
          <w:rFonts w:hint="default" w:ascii="Times New Roman" w:hAnsi="Times New Roman" w:eastAsia="宋体" w:cs="Times New Roman"/>
          <w:b/>
          <w:color w:val="auto"/>
          <w:sz w:val="24"/>
          <w:szCs w:val="24"/>
          <w:highlight w:val="none"/>
        </w:rPr>
      </w:pPr>
    </w:p>
    <w:p w14:paraId="19679074">
      <w:pPr>
        <w:rPr>
          <w:rFonts w:hint="default" w:ascii="Times New Roman" w:hAnsi="Times New Roman" w:eastAsia="宋体" w:cs="Times New Roman"/>
          <w:b/>
          <w:color w:val="auto"/>
          <w:sz w:val="24"/>
          <w:szCs w:val="24"/>
          <w:highlight w:val="none"/>
        </w:rPr>
      </w:pPr>
    </w:p>
    <w:p w14:paraId="474C91DE">
      <w:pP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投诉书制作说明：</w:t>
      </w:r>
    </w:p>
    <w:p w14:paraId="03448B09">
      <w:pPr>
        <w:widowControl/>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1.投诉人提起投诉时，应当提交投诉书和必要的证明材料，并按照被投诉人和与投诉事项有关的供应商数量提供投诉书副本。</w:t>
      </w:r>
    </w:p>
    <w:p w14:paraId="73885F1D">
      <w:pPr>
        <w:widowControl/>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2.投诉人若委托代理人进行投诉的，投诉书应按照要求列明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授权代表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的有关内容，并在附件中提交由</w:t>
      </w:r>
      <w:r>
        <w:rPr>
          <w:rFonts w:hint="default" w:ascii="Times New Roman" w:hAnsi="Times New Roman" w:eastAsia="宋体" w:cs="Times New Roman"/>
          <w:color w:val="auto"/>
          <w:kern w:val="0"/>
          <w:sz w:val="24"/>
          <w:szCs w:val="24"/>
          <w:highlight w:val="none"/>
        </w:rPr>
        <w:t>投诉人签署的授权委托书。授权委托书应当载明代理人的姓名或者名称、代理事项、具体权限、期限和相关事项。</w:t>
      </w:r>
    </w:p>
    <w:p w14:paraId="77596CE2">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3.投诉人若对项目的某一分包进行投诉，投诉书应列明具体分包号。</w:t>
      </w:r>
    </w:p>
    <w:p w14:paraId="417C90D9">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4.投诉书应简要列明质疑事项，质疑函、质疑答复等作为附件材料提供。</w:t>
      </w:r>
    </w:p>
    <w:p w14:paraId="226BB4FE">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5.投诉书的投诉事项应具体、明确，并有必要的事实依据和法律依据。</w:t>
      </w:r>
    </w:p>
    <w:p w14:paraId="565EC20D">
      <w:pPr>
        <w:widowControl/>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6.投诉书的投诉请求应与投诉事项相关。</w:t>
      </w:r>
    </w:p>
    <w:p w14:paraId="2B100263">
      <w:pPr>
        <w:pStyle w:val="10"/>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7.投诉人为自然人的，投诉书应当由本人签字；投诉人为法人或者其他组织的，投诉书应当由法定代表人、主要负责人，或者其授权代表签字或者盖章，并加盖</w:t>
      </w:r>
      <w:r>
        <w:rPr>
          <w:rFonts w:hint="default" w:ascii="Times New Roman" w:hAnsi="Times New Roman" w:eastAsia="宋体" w:cs="Times New Roman"/>
          <w:color w:val="auto"/>
          <w:sz w:val="24"/>
          <w:szCs w:val="24"/>
          <w:highlight w:val="none"/>
          <w:lang w:eastAsia="zh-CN"/>
        </w:rPr>
        <w:t>公章。</w:t>
      </w:r>
    </w:p>
    <w:p w14:paraId="61244A5B">
      <w:pPr>
        <w:rPr>
          <w:color w:val="auto"/>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43DF">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E22F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5E22F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CC0E">
    <w:pPr>
      <w:pStyle w:val="15"/>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83B9">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57308">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69057308">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849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14:paraId="04AA0CA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ytFEdMAAAAFAQAADwAAAAAAAAABACAAAAAiAAAAZHJz&#10;L2Rvd25yZXYueG1sUEsBAhQAFAAAAAgAh07iQGAGM7vQAQAAowMAAA4AAAAAAAAAAQAgAAAAIgEA&#10;AGRycy9lMm9Eb2MueG1sUEsFBgAAAAAGAAYAWQEAAGQFAAAAAA==&#10;">
              <v:fill on="f" focussize="0,0"/>
              <v:stroke on="f" weight="2pt"/>
              <v:imagedata o:title=""/>
              <o:lock v:ext="edit" aspectratio="f"/>
              <v:textbox inset="0mm,0mm,0mm,0mm" style="mso-fit-shape-to-text:t;">
                <w:txbxContent>
                  <w:p w14:paraId="04AA0CA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FD60">
    <w:pPr>
      <w:pStyle w:val="17"/>
      <w:ind w:firstLine="180" w:firstLineChars="100"/>
      <w:jc w:val="both"/>
      <w:rPr>
        <w:rFonts w:hint="eastAsia" w:eastAsia="等线"/>
      </w:rPr>
    </w:pPr>
    <w:r>
      <w:rPr>
        <w:rFonts w:hint="eastAsia"/>
        <w:lang w:eastAsia="zh-CN"/>
      </w:rPr>
      <w:t>广西创佳项目管理有限公司</w:t>
    </w:r>
    <w:r>
      <w:rPr>
        <w:rFonts w:hint="eastAsia"/>
      </w:rPr>
      <w:t xml:space="preserve">                    </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633A">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F140">
    <w:pPr>
      <w:pStyle w:val="17"/>
      <w:pBdr>
        <w:bottom w:val="single" w:color="auto" w:sz="6" w:space="0"/>
      </w:pBdr>
      <w:jc w:val="left"/>
    </w:pPr>
    <w:r>
      <w:rPr>
        <w:rFonts w:hint="eastAsia"/>
        <w:lang w:eastAsia="zh-CN"/>
      </w:rPr>
      <w:t>广西创佳项目管理</w:t>
    </w:r>
    <w:r>
      <w:rPr>
        <w:rFonts w:hint="eastAsia"/>
      </w:rPr>
      <w:t>有限公司</w:t>
    </w:r>
    <w:r>
      <w:rPr>
        <w:rFonts w:hint="eastAsia"/>
        <w:lang w:val="en-US" w:eastAsia="zh-CN"/>
      </w:rPr>
      <w:t xml:space="preserve">                                                          竞争性磋商</w:t>
    </w:r>
    <w:r>
      <w:rPr>
        <w:rFonts w:hint="eastAsia"/>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5A652"/>
    <w:multiLevelType w:val="singleLevel"/>
    <w:tmpl w:val="81C5A652"/>
    <w:lvl w:ilvl="0" w:tentative="0">
      <w:start w:val="7"/>
      <w:numFmt w:val="chineseCounting"/>
      <w:suff w:val="nothing"/>
      <w:lvlText w:val="%1、"/>
      <w:lvlJc w:val="left"/>
      <w:rPr>
        <w:rFonts w:hint="eastAsia"/>
      </w:rPr>
    </w:lvl>
  </w:abstractNum>
  <w:abstractNum w:abstractNumId="1">
    <w:nsid w:val="908592C8"/>
    <w:multiLevelType w:val="singleLevel"/>
    <w:tmpl w:val="908592C8"/>
    <w:lvl w:ilvl="0" w:tentative="0">
      <w:start w:val="3"/>
      <w:numFmt w:val="chineseCounting"/>
      <w:suff w:val="space"/>
      <w:lvlText w:val="第%1章"/>
      <w:lvlJc w:val="left"/>
      <w:rPr>
        <w:rFonts w:hint="eastAsia"/>
      </w:rPr>
    </w:lvl>
  </w:abstractNum>
  <w:abstractNum w:abstractNumId="2">
    <w:nsid w:val="9912EF37"/>
    <w:multiLevelType w:val="singleLevel"/>
    <w:tmpl w:val="9912EF37"/>
    <w:lvl w:ilvl="0" w:tentative="0">
      <w:start w:val="35"/>
      <w:numFmt w:val="decimal"/>
      <w:suff w:val="nothing"/>
      <w:lvlText w:val="%1、"/>
      <w:lvlJc w:val="left"/>
    </w:lvl>
  </w:abstractNum>
  <w:abstractNum w:abstractNumId="3">
    <w:nsid w:val="CA0ECB7A"/>
    <w:multiLevelType w:val="singleLevel"/>
    <w:tmpl w:val="CA0ECB7A"/>
    <w:lvl w:ilvl="0" w:tentative="0">
      <w:start w:val="2"/>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YWVhY2FiN2M1MTI0MDJmOGRkZDNjZGJiOGJiMDEifQ=="/>
  </w:docVars>
  <w:rsids>
    <w:rsidRoot w:val="5B491A68"/>
    <w:rsid w:val="0037417B"/>
    <w:rsid w:val="025856E6"/>
    <w:rsid w:val="04610B65"/>
    <w:rsid w:val="08053EFD"/>
    <w:rsid w:val="090A1F14"/>
    <w:rsid w:val="0AD90EE7"/>
    <w:rsid w:val="0D674D12"/>
    <w:rsid w:val="0D705975"/>
    <w:rsid w:val="0E820029"/>
    <w:rsid w:val="10B07E2B"/>
    <w:rsid w:val="12F77E1B"/>
    <w:rsid w:val="14BE790E"/>
    <w:rsid w:val="183E4393"/>
    <w:rsid w:val="1BD27F29"/>
    <w:rsid w:val="1BED1B33"/>
    <w:rsid w:val="1C7A05BE"/>
    <w:rsid w:val="1C9A5F1F"/>
    <w:rsid w:val="1E1007AF"/>
    <w:rsid w:val="21AC6F41"/>
    <w:rsid w:val="25C71437"/>
    <w:rsid w:val="26EF3957"/>
    <w:rsid w:val="27475541"/>
    <w:rsid w:val="27CA0957"/>
    <w:rsid w:val="27D71420"/>
    <w:rsid w:val="28153F35"/>
    <w:rsid w:val="282D63DA"/>
    <w:rsid w:val="28612632"/>
    <w:rsid w:val="297840D8"/>
    <w:rsid w:val="2B5F386C"/>
    <w:rsid w:val="2B611FB9"/>
    <w:rsid w:val="2B766C5F"/>
    <w:rsid w:val="2BC113F7"/>
    <w:rsid w:val="2BC60AEE"/>
    <w:rsid w:val="2DBA7663"/>
    <w:rsid w:val="2E632048"/>
    <w:rsid w:val="309D5269"/>
    <w:rsid w:val="31085D41"/>
    <w:rsid w:val="312C7774"/>
    <w:rsid w:val="31A03312"/>
    <w:rsid w:val="32425B14"/>
    <w:rsid w:val="335D1B47"/>
    <w:rsid w:val="344B7AD8"/>
    <w:rsid w:val="36D22C1A"/>
    <w:rsid w:val="383B234D"/>
    <w:rsid w:val="38BD1B07"/>
    <w:rsid w:val="3A777A93"/>
    <w:rsid w:val="3C3765FF"/>
    <w:rsid w:val="3DC2196D"/>
    <w:rsid w:val="3DE609BC"/>
    <w:rsid w:val="3E171CB9"/>
    <w:rsid w:val="40E77DF5"/>
    <w:rsid w:val="418C7E34"/>
    <w:rsid w:val="41F23155"/>
    <w:rsid w:val="430F1598"/>
    <w:rsid w:val="465D3E2D"/>
    <w:rsid w:val="47810198"/>
    <w:rsid w:val="4A797655"/>
    <w:rsid w:val="4E1E3790"/>
    <w:rsid w:val="503C546A"/>
    <w:rsid w:val="50966A6E"/>
    <w:rsid w:val="51AC02FF"/>
    <w:rsid w:val="532449AB"/>
    <w:rsid w:val="53690804"/>
    <w:rsid w:val="53DE489E"/>
    <w:rsid w:val="544C22DC"/>
    <w:rsid w:val="54DA6A6A"/>
    <w:rsid w:val="55AC288F"/>
    <w:rsid w:val="57AF1A9D"/>
    <w:rsid w:val="594A2020"/>
    <w:rsid w:val="5B491A68"/>
    <w:rsid w:val="5C4A558E"/>
    <w:rsid w:val="5C6C0E59"/>
    <w:rsid w:val="5C766EA4"/>
    <w:rsid w:val="5ED555E7"/>
    <w:rsid w:val="5EE30BC8"/>
    <w:rsid w:val="60343BAD"/>
    <w:rsid w:val="634850C5"/>
    <w:rsid w:val="65AF2808"/>
    <w:rsid w:val="663C6F66"/>
    <w:rsid w:val="6BE66188"/>
    <w:rsid w:val="6C037A37"/>
    <w:rsid w:val="6C785B3D"/>
    <w:rsid w:val="6D5C2995"/>
    <w:rsid w:val="6F5E0C47"/>
    <w:rsid w:val="6F695495"/>
    <w:rsid w:val="700358F1"/>
    <w:rsid w:val="71050DFC"/>
    <w:rsid w:val="71600CA6"/>
    <w:rsid w:val="72213199"/>
    <w:rsid w:val="724265FE"/>
    <w:rsid w:val="728B0DD8"/>
    <w:rsid w:val="735D42A5"/>
    <w:rsid w:val="73C3551C"/>
    <w:rsid w:val="74F92760"/>
    <w:rsid w:val="75A64C61"/>
    <w:rsid w:val="77004AE5"/>
    <w:rsid w:val="77D73344"/>
    <w:rsid w:val="7D0E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spacing w:line="340" w:lineRule="exact"/>
      <w:jc w:val="center"/>
      <w:outlineLvl w:val="0"/>
    </w:pPr>
    <w:rPr>
      <w:rFonts w:ascii="Times New Roman" w:hAnsi="Times New Roman" w:eastAsia="宋体"/>
      <w:b/>
      <w:bCs/>
      <w:sz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cs="Times New Roman"/>
      <w:sz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index 8"/>
    <w:basedOn w:val="1"/>
    <w:next w:val="1"/>
    <w:qFormat/>
    <w:uiPriority w:val="0"/>
    <w:pPr>
      <w:ind w:left="2940"/>
    </w:pPr>
  </w:style>
  <w:style w:type="paragraph" w:styleId="9">
    <w:name w:val="Normal Indent"/>
    <w:basedOn w:val="1"/>
    <w:qFormat/>
    <w:uiPriority w:val="0"/>
    <w:pPr>
      <w:ind w:firstLine="420"/>
    </w:pPr>
    <w:rPr>
      <w:szCs w:val="20"/>
    </w:rPr>
  </w:style>
  <w:style w:type="paragraph" w:styleId="10">
    <w:name w:val="Body Text"/>
    <w:basedOn w:val="1"/>
    <w:qFormat/>
    <w:uiPriority w:val="0"/>
    <w:pPr>
      <w:autoSpaceDE w:val="0"/>
      <w:autoSpaceDN w:val="0"/>
      <w:adjustRightInd w:val="0"/>
      <w:spacing w:after="120" w:afterLines="0"/>
      <w:jc w:val="left"/>
    </w:pPr>
    <w:rPr>
      <w:rFonts w:ascii="宋体"/>
      <w:kern w:val="0"/>
      <w:sz w:val="34"/>
      <w:szCs w:val="20"/>
    </w:rPr>
  </w:style>
  <w:style w:type="paragraph" w:styleId="11">
    <w:name w:val="Body Text Indent"/>
    <w:basedOn w:val="1"/>
    <w:next w:val="1"/>
    <w:qFormat/>
    <w:uiPriority w:val="0"/>
    <w:pPr>
      <w:spacing w:line="200" w:lineRule="exact"/>
      <w:ind w:firstLine="301"/>
    </w:pPr>
    <w:rPr>
      <w:rFonts w:ascii="宋体" w:hAnsi="Courier New"/>
      <w:spacing w:val="-4"/>
      <w:sz w:val="18"/>
      <w:szCs w:val="20"/>
    </w:rPr>
  </w:style>
  <w:style w:type="paragraph" w:styleId="12">
    <w:name w:val="List 2"/>
    <w:basedOn w:val="1"/>
    <w:qFormat/>
    <w:uiPriority w:val="0"/>
    <w:pPr>
      <w:ind w:left="100" w:leftChars="200" w:hanging="200" w:hangingChars="200"/>
    </w:pPr>
    <w:rPr>
      <w:sz w:val="28"/>
    </w:rPr>
  </w:style>
  <w:style w:type="paragraph" w:styleId="13">
    <w:name w:val="Plain Text"/>
    <w:basedOn w:val="1"/>
    <w:next w:val="1"/>
    <w:qFormat/>
    <w:uiPriority w:val="0"/>
    <w:rPr>
      <w:rFonts w:ascii="宋体" w:hAnsi="Courier New"/>
      <w:szCs w:val="20"/>
    </w:rPr>
  </w:style>
  <w:style w:type="paragraph" w:styleId="14">
    <w:name w:val="toc 8"/>
    <w:basedOn w:val="1"/>
    <w:next w:val="1"/>
    <w:qFormat/>
    <w:uiPriority w:val="0"/>
    <w:pPr>
      <w:wordWrap w:val="0"/>
      <w:ind w:left="2550"/>
      <w:jc w:val="both"/>
    </w:pPr>
    <w:rPr>
      <w:sz w:val="21"/>
      <w:lang w:val="en-US" w:eastAsia="zh-CN" w:bidi="ar-SA"/>
    </w:rPr>
  </w:style>
  <w:style w:type="paragraph" w:styleId="15">
    <w:name w:val="footer"/>
    <w:basedOn w:val="1"/>
    <w:qFormat/>
    <w:uiPriority w:val="0"/>
    <w:pPr>
      <w:tabs>
        <w:tab w:val="center" w:pos="4153"/>
        <w:tab w:val="right" w:pos="8306"/>
      </w:tabs>
      <w:snapToGrid w:val="0"/>
      <w:jc w:val="left"/>
    </w:pPr>
    <w:rPr>
      <w:rFonts w:ascii="宋体" w:hAnsi="Courier New"/>
      <w:sz w:val="18"/>
      <w:szCs w:val="20"/>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宋体" w:hAnsi="Courier New"/>
      <w:sz w:val="18"/>
      <w:szCs w:val="20"/>
    </w:rPr>
  </w:style>
  <w:style w:type="paragraph" w:styleId="18">
    <w:name w:val="toc 1"/>
    <w:basedOn w:val="1"/>
    <w:next w:val="1"/>
    <w:qFormat/>
    <w:uiPriority w:val="0"/>
  </w:style>
  <w:style w:type="paragraph" w:styleId="19">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20">
    <w:name w:val="List 4"/>
    <w:basedOn w:val="1"/>
    <w:qFormat/>
    <w:uiPriority w:val="0"/>
    <w:pPr>
      <w:autoSpaceDE/>
      <w:autoSpaceDN/>
      <w:ind w:left="100" w:leftChars="600" w:hanging="200" w:hangingChars="200"/>
      <w:jc w:val="both"/>
    </w:pPr>
    <w:rPr>
      <w:rFonts w:ascii="Times New Roman" w:hAnsi="Times New Roman" w:cs="Times New Roman"/>
      <w:kern w:val="2"/>
      <w:sz w:val="21"/>
      <w:szCs w:val="24"/>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2">
    <w:name w:val="Body Text First Indent"/>
    <w:basedOn w:val="10"/>
    <w:qFormat/>
    <w:uiPriority w:val="0"/>
    <w:pPr>
      <w:widowControl w:val="0"/>
      <w:ind w:firstLine="420" w:firstLineChars="100"/>
      <w:jc w:val="both"/>
    </w:pPr>
    <w:rPr>
      <w:rFonts w:ascii="宋体"/>
      <w:sz w:val="34"/>
      <w:szCs w:val="22"/>
    </w:rPr>
  </w:style>
  <w:style w:type="paragraph" w:styleId="23">
    <w:name w:val="Body Text First Indent 2"/>
    <w:basedOn w:val="11"/>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宋体" w:hAnsi="Times New Roman" w:eastAsia="宋体" w:cs="Times New Roman"/>
      <w:kern w:val="0"/>
      <w:sz w:val="24"/>
      <w:szCs w:val="20"/>
      <w:lang w:val="en-US" w:eastAsia="zh-CN" w:bidi="ar"/>
    </w:rPr>
  </w:style>
  <w:style w:type="table" w:styleId="25">
    <w:name w:val="Table Grid"/>
    <w:basedOn w:val="2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88CC"/>
      <w:u w:val="none"/>
    </w:rPr>
  </w:style>
  <w:style w:type="character" w:styleId="28">
    <w:name w:val="annotation reference"/>
    <w:qFormat/>
    <w:uiPriority w:val="0"/>
    <w:rPr>
      <w:sz w:val="21"/>
      <w:szCs w:val="21"/>
    </w:rPr>
  </w:style>
  <w:style w:type="paragraph" w:customStyle="1" w:styleId="29">
    <w:name w:val="样式 标题 2 + 宋体"/>
    <w:basedOn w:val="3"/>
    <w:qFormat/>
    <w:uiPriority w:val="99"/>
    <w:rPr>
      <w:rFonts w:ascii="宋体" w:hAnsi="宋体"/>
      <w:sz w:val="30"/>
    </w:rPr>
  </w:style>
  <w:style w:type="paragraph" w:styleId="30">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1">
    <w:name w:val="font5"/>
    <w:basedOn w:val="1"/>
    <w:next w:val="14"/>
    <w:qFormat/>
    <w:uiPriority w:val="0"/>
    <w:pPr>
      <w:widowControl/>
      <w:autoSpaceDE/>
      <w:autoSpaceDN/>
      <w:spacing w:before="280" w:after="280" w:line="240" w:lineRule="auto"/>
      <w:ind w:left="0" w:firstLine="0"/>
    </w:pPr>
    <w:rPr>
      <w:rFonts w:ascii="宋体" w:eastAsia="宋体"/>
      <w:sz w:val="18"/>
    </w:rPr>
  </w:style>
  <w:style w:type="paragraph" w:customStyle="1" w:styleId="32">
    <w:name w:val="表格文字"/>
    <w:basedOn w:val="1"/>
    <w:qFormat/>
    <w:uiPriority w:val="99"/>
    <w:pPr>
      <w:spacing w:before="25" w:after="25"/>
      <w:jc w:val="left"/>
    </w:pPr>
    <w:rPr>
      <w:bCs/>
      <w:spacing w:val="10"/>
      <w:kern w:val="0"/>
      <w:sz w:val="24"/>
    </w:rPr>
  </w:style>
  <w:style w:type="character" w:customStyle="1" w:styleId="33">
    <w:name w:val="标题 1 Char"/>
    <w:link w:val="2"/>
    <w:qFormat/>
    <w:uiPriority w:val="9"/>
    <w:rPr>
      <w:rFonts w:ascii="Times New Roman" w:hAnsi="Times New Roman" w:eastAsia="宋体"/>
      <w:b/>
      <w:bCs/>
      <w:sz w:val="32"/>
    </w:rPr>
  </w:style>
  <w:style w:type="character" w:customStyle="1" w:styleId="34">
    <w:name w:val="15"/>
    <w:basedOn w:val="26"/>
    <w:qFormat/>
    <w:uiPriority w:val="0"/>
    <w:rPr>
      <w:rFonts w:hint="default" w:ascii="Times New Roman" w:hAnsi="Times New Roman" w:cs="Times New Roman"/>
      <w:b/>
      <w:bCs/>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1"/>
    <w:basedOn w:val="1"/>
    <w:next w:val="13"/>
    <w:qFormat/>
    <w:uiPriority w:val="0"/>
    <w:rPr>
      <w:rFonts w:ascii="宋体" w:hAnsi="Courier New"/>
      <w:szCs w:val="20"/>
    </w:rPr>
  </w:style>
  <w:style w:type="paragraph" w:customStyle="1" w:styleId="3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_Style 0"/>
    <w:qFormat/>
    <w:uiPriority w:val="99"/>
    <w:pPr>
      <w:ind w:firstLine="420" w:firstLineChars="200"/>
    </w:pPr>
    <w:rPr>
      <w:rFonts w:ascii="Times New Roman" w:hAnsi="Times New Roman" w:eastAsia="宋体" w:cs="Times New Roman"/>
      <w:lang w:val="en-US" w:eastAsia="zh-CN" w:bidi="ar-SA"/>
    </w:rPr>
  </w:style>
  <w:style w:type="paragraph" w:customStyle="1" w:styleId="39">
    <w:name w:val="默认段落字体 Para Char Char Char Char Char Char Char Char Char1 Char Char Char Char"/>
    <w:basedOn w:val="1"/>
    <w:qFormat/>
    <w:uiPriority w:val="0"/>
    <w:rPr>
      <w:rFonts w:ascii="Tahoma" w:hAnsi="Tahoma"/>
      <w:sz w:val="24"/>
      <w:szCs w:val="20"/>
    </w:rPr>
  </w:style>
  <w:style w:type="paragraph" w:customStyle="1" w:styleId="40">
    <w:name w:val="toc 12"/>
    <w:next w:val="1"/>
    <w:qFormat/>
    <w:uiPriority w:val="0"/>
    <w:pPr>
      <w:wordWrap w:val="0"/>
      <w:jc w:val="both"/>
    </w:pPr>
    <w:rPr>
      <w:rFonts w:ascii="宋体" w:hAnsi="宋体" w:eastAsia="宋体" w:cs="Times New Roman"/>
      <w:sz w:val="21"/>
      <w:lang w:val="en-US" w:eastAsia="zh-CN" w:bidi="ar-SA"/>
    </w:rPr>
  </w:style>
  <w:style w:type="paragraph" w:customStyle="1" w:styleId="41">
    <w:name w:val="正文段"/>
    <w:basedOn w:val="1"/>
    <w:qFormat/>
    <w:uiPriority w:val="0"/>
    <w:pPr>
      <w:widowControl/>
      <w:snapToGrid w:val="0"/>
      <w:spacing w:after="156" w:afterLines="50"/>
      <w:ind w:firstLine="200" w:firstLineChars="200"/>
    </w:pPr>
    <w:rPr>
      <w:kern w:val="0"/>
      <w:sz w:val="24"/>
      <w:szCs w:val="20"/>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20328</Words>
  <Characters>22226</Characters>
  <Lines>0</Lines>
  <Paragraphs>0</Paragraphs>
  <TotalTime>280</TotalTime>
  <ScaleCrop>false</ScaleCrop>
  <LinksUpToDate>false</LinksUpToDate>
  <CharactersWithSpaces>22463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2023-06-05T03:13:00Z</dcterms:created>
  <dc:creator>Nancy Li</dc:creator>
  <cp:lastModifiedBy>唐～</cp:lastModifiedBy>
  <cp:lastPrinted>2025-11-03T00:30:43Z</cp:lastPrinted>
  <dcterms:modified xsi:type="dcterms:W3CDTF">2025-11-03T07:06:47Z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190BA6556AE14FC3B7DC15047BF7489C_13</vt:lpwstr>
  </property>
  <property fmtid="{D5CDD505-2E9C-101B-9397-08002B2CF9AE}" pid="4" name="KSOTemplateDocerSaveRecord">
    <vt:lpwstr>eyJoZGlkIjoiZmZkZWRiYTZlMzdkN2ZkZGJkNDNmMDQ5ZGZlNDRkNjAiLCJ1c2VySWQiOiIyNjk5MDgzNTIifQ==</vt:lpwstr>
  </property>
</Properties>
</file>