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45451">
      <w:pPr>
        <w:jc w:val="center"/>
        <w:rPr>
          <w:rFonts w:hint="eastAsia" w:ascii="宋体" w:hAnsi="宋体" w:eastAsia="宋体" w:cs="宋体"/>
          <w:color w:val="auto"/>
          <w:highlight w:val="none"/>
        </w:rPr>
      </w:pPr>
    </w:p>
    <w:p w14:paraId="2A6C9803">
      <w:pPr>
        <w:jc w:val="center"/>
        <w:rPr>
          <w:rFonts w:hint="eastAsia" w:ascii="宋体" w:hAnsi="宋体" w:eastAsia="宋体" w:cs="宋体"/>
          <w:color w:val="auto"/>
          <w:highlight w:val="none"/>
        </w:rPr>
      </w:pPr>
    </w:p>
    <w:p w14:paraId="783D95B0">
      <w:pPr>
        <w:jc w:val="center"/>
        <w:rPr>
          <w:rFonts w:hint="eastAsia" w:ascii="宋体" w:hAnsi="宋体" w:eastAsia="宋体" w:cs="宋体"/>
          <w:color w:val="auto"/>
          <w:highlight w:val="none"/>
        </w:rPr>
      </w:pPr>
    </w:p>
    <w:p w14:paraId="6CC03A27">
      <w:pPr>
        <w:jc w:val="center"/>
        <w:rPr>
          <w:rFonts w:hint="eastAsia" w:ascii="宋体" w:hAnsi="宋体" w:eastAsia="宋体" w:cs="宋体"/>
          <w:color w:val="auto"/>
          <w:highlight w:val="none"/>
        </w:rPr>
      </w:pPr>
    </w:p>
    <w:p w14:paraId="76D9B01C">
      <w:pPr>
        <w:jc w:val="center"/>
        <w:rPr>
          <w:rFonts w:hint="eastAsia" w:ascii="宋体" w:hAnsi="宋体" w:eastAsia="宋体" w:cs="宋体"/>
          <w:color w:val="auto"/>
          <w:highlight w:val="none"/>
        </w:rPr>
      </w:pPr>
    </w:p>
    <w:p w14:paraId="1B3AB6DD">
      <w:pPr>
        <w:jc w:val="center"/>
        <w:rPr>
          <w:rFonts w:hint="eastAsia" w:ascii="宋体" w:hAnsi="宋体" w:eastAsia="宋体" w:cs="宋体"/>
          <w:color w:val="auto"/>
          <w:highlight w:val="none"/>
        </w:rPr>
      </w:pPr>
    </w:p>
    <w:p w14:paraId="17782DC2">
      <w:pPr>
        <w:pStyle w:val="12"/>
        <w:jc w:val="center"/>
        <w:rPr>
          <w:rFonts w:hint="eastAsia" w:ascii="宋体" w:hAnsi="宋体" w:eastAsia="宋体" w:cs="宋体"/>
          <w:color w:val="auto"/>
          <w:spacing w:val="30"/>
          <w:kern w:val="52"/>
          <w:sz w:val="56"/>
          <w:szCs w:val="56"/>
          <w:highlight w:val="none"/>
          <w:lang w:eastAsia="zh-CN"/>
        </w:rPr>
      </w:pPr>
      <w:r>
        <w:rPr>
          <w:rFonts w:hint="eastAsia" w:ascii="宋体" w:hAnsi="宋体" w:eastAsia="宋体" w:cs="宋体"/>
          <w:color w:val="auto"/>
          <w:spacing w:val="30"/>
          <w:kern w:val="52"/>
          <w:sz w:val="64"/>
          <w:szCs w:val="64"/>
          <w:highlight w:val="none"/>
        </w:rPr>
        <w:t xml:space="preserve"> </w:t>
      </w:r>
      <w:r>
        <w:rPr>
          <w:rFonts w:hint="eastAsia" w:hAnsi="宋体" w:cs="宋体"/>
          <w:b/>
          <w:bCs/>
          <w:color w:val="auto"/>
          <w:spacing w:val="30"/>
          <w:kern w:val="52"/>
          <w:sz w:val="48"/>
          <w:szCs w:val="48"/>
          <w:highlight w:val="none"/>
          <w:lang w:eastAsia="zh-CN"/>
        </w:rPr>
        <w:t>广西柯源工程项目管理有限公司</w:t>
      </w:r>
    </w:p>
    <w:p w14:paraId="3FB8AA42">
      <w:pPr>
        <w:pStyle w:val="12"/>
        <w:jc w:val="center"/>
        <w:rPr>
          <w:rFonts w:hint="eastAsia" w:ascii="宋体" w:hAnsi="宋体" w:eastAsia="宋体" w:cs="宋体"/>
          <w:b/>
          <w:color w:val="auto"/>
          <w:spacing w:val="-18"/>
          <w:sz w:val="96"/>
          <w:highlight w:val="none"/>
        </w:rPr>
      </w:pPr>
      <w:r>
        <w:rPr>
          <w:rFonts w:hint="eastAsia" w:ascii="宋体" w:hAnsi="宋体" w:eastAsia="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91440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pt;margin-top:7.2pt;height:0pt;width:432pt;z-index:251659264;mso-width-relative:page;mso-height-relative:page;" filled="f" stroked="t" coordsize="21600,21600" o:gfxdata="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17WUtYAAAAIAQAADwAAAAAAAAABACAAAAAiAAAAZHJzL2Rvd25yZXYueG1sUEsBAhQA&#10;FAAAAAgAh07iQKopW7r0AQAA5QMAAA4AAAAAAAAAAQAgAAAAJQEAAGRycy9lMm9Eb2MueG1sUEsF&#10;BgAAAAAGAAYAWQEAAIsFAAAAAA==&#10;">
                <v:fill on="f" focussize="0,0"/>
                <v:stroke weight="1pt" color="#000000" joinstyle="round"/>
                <v:imagedata o:title=""/>
                <o:lock v:ext="edit" aspectratio="f"/>
              </v:line>
            </w:pict>
          </mc:Fallback>
        </mc:AlternateContent>
      </w:r>
    </w:p>
    <w:p w14:paraId="7BDB4AC4">
      <w:pPr>
        <w:pStyle w:val="12"/>
        <w:jc w:val="center"/>
        <w:rPr>
          <w:rFonts w:hint="eastAsia" w:ascii="宋体" w:hAnsi="宋体" w:eastAsia="宋体" w:cs="宋体"/>
          <w:b/>
          <w:color w:val="auto"/>
          <w:spacing w:val="-18"/>
          <w:sz w:val="84"/>
          <w:szCs w:val="84"/>
          <w:highlight w:val="none"/>
        </w:rPr>
      </w:pPr>
      <w:r>
        <w:rPr>
          <w:rFonts w:hint="eastAsia" w:ascii="宋体" w:hAnsi="宋体" w:eastAsia="宋体" w:cs="宋体"/>
          <w:b/>
          <w:color w:val="auto"/>
          <w:sz w:val="84"/>
          <w:szCs w:val="84"/>
          <w:highlight w:val="none"/>
          <w:lang w:eastAsia="zh-CN"/>
        </w:rPr>
        <w:t>单一来源</w:t>
      </w:r>
      <w:r>
        <w:rPr>
          <w:rFonts w:hint="eastAsia" w:ascii="宋体" w:hAnsi="宋体" w:eastAsia="宋体" w:cs="宋体"/>
          <w:b/>
          <w:color w:val="auto"/>
          <w:sz w:val="84"/>
          <w:szCs w:val="84"/>
          <w:highlight w:val="none"/>
        </w:rPr>
        <w:t>采购文件</w:t>
      </w:r>
    </w:p>
    <w:p w14:paraId="27AB8AA0">
      <w:pPr>
        <w:pStyle w:val="12"/>
        <w:rPr>
          <w:rFonts w:hint="eastAsia" w:ascii="宋体" w:hAnsi="宋体" w:eastAsia="宋体" w:cs="宋体"/>
          <w:b/>
          <w:color w:val="auto"/>
          <w:highlight w:val="none"/>
        </w:rPr>
      </w:pPr>
    </w:p>
    <w:p w14:paraId="39DCFAE1">
      <w:pPr>
        <w:pStyle w:val="12"/>
        <w:rPr>
          <w:rFonts w:hint="eastAsia" w:ascii="宋体" w:hAnsi="宋体" w:eastAsia="宋体" w:cs="宋体"/>
          <w:b/>
          <w:color w:val="auto"/>
          <w:highlight w:val="none"/>
        </w:rPr>
      </w:pPr>
    </w:p>
    <w:p w14:paraId="6BBE747B">
      <w:pPr>
        <w:pStyle w:val="12"/>
        <w:rPr>
          <w:rFonts w:hint="eastAsia" w:ascii="宋体" w:hAnsi="宋体" w:eastAsia="宋体" w:cs="宋体"/>
          <w:b/>
          <w:color w:val="auto"/>
          <w:highlight w:val="none"/>
        </w:rPr>
      </w:pPr>
    </w:p>
    <w:p w14:paraId="3FEE6D9A">
      <w:pPr>
        <w:pStyle w:val="12"/>
        <w:rPr>
          <w:rFonts w:hint="eastAsia" w:ascii="宋体" w:hAnsi="宋体" w:eastAsia="宋体" w:cs="宋体"/>
          <w:b/>
          <w:color w:val="auto"/>
          <w:highlight w:val="none"/>
        </w:rPr>
      </w:pPr>
    </w:p>
    <w:p w14:paraId="5DD82801">
      <w:pPr>
        <w:snapToGrid w:val="0"/>
        <w:spacing w:before="156" w:beforeLines="50" w:line="360" w:lineRule="auto"/>
        <w:rPr>
          <w:rFonts w:hint="eastAsia" w:ascii="宋体" w:hAnsi="宋体" w:eastAsia="宋体" w:cs="宋体"/>
          <w:b/>
          <w:color w:val="auto"/>
          <w:sz w:val="32"/>
          <w:szCs w:val="32"/>
          <w:highlight w:val="none"/>
        </w:rPr>
      </w:pPr>
    </w:p>
    <w:p w14:paraId="5DD326EA">
      <w:pPr>
        <w:snapToGrid w:val="0"/>
        <w:spacing w:before="156" w:beforeLines="50" w:line="360" w:lineRule="auto"/>
        <w:rPr>
          <w:rFonts w:hint="eastAsia" w:ascii="宋体" w:hAnsi="宋体" w:eastAsia="宋体" w:cs="宋体"/>
          <w:b/>
          <w:color w:val="auto"/>
          <w:sz w:val="32"/>
          <w:szCs w:val="32"/>
          <w:highlight w:val="none"/>
        </w:rPr>
      </w:pPr>
    </w:p>
    <w:p w14:paraId="4B41A0B1">
      <w:pPr>
        <w:snapToGrid w:val="0"/>
        <w:spacing w:before="156" w:beforeLines="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lang w:eastAsia="zh-CN"/>
        </w:rPr>
        <w:t>支队法医类检验鉴定等服务采购</w:t>
      </w:r>
    </w:p>
    <w:p w14:paraId="2F5806B7">
      <w:pPr>
        <w:snapToGrid w:val="0"/>
        <w:spacing w:before="156" w:beforeLines="50"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GGZC2025-D3-990163-GXKY</w:t>
      </w:r>
    </w:p>
    <w:p w14:paraId="5F04C4E1">
      <w:pPr>
        <w:snapToGrid w:val="0"/>
        <w:spacing w:before="156" w:beforeLines="50" w:line="360" w:lineRule="auto"/>
        <w:ind w:firstLine="2159" w:firstLineChars="672"/>
        <w:rPr>
          <w:rFonts w:hint="eastAsia" w:ascii="宋体" w:hAnsi="宋体" w:eastAsia="宋体" w:cs="宋体"/>
          <w:b/>
          <w:color w:val="auto"/>
          <w:sz w:val="32"/>
          <w:szCs w:val="32"/>
          <w:highlight w:val="none"/>
          <w:lang w:eastAsia="zh-CN"/>
        </w:rPr>
      </w:pPr>
    </w:p>
    <w:p w14:paraId="0E5DD420">
      <w:pPr>
        <w:snapToGrid w:val="0"/>
        <w:spacing w:before="156" w:beforeLines="50" w:line="360" w:lineRule="auto"/>
        <w:ind w:firstLine="2159" w:firstLineChars="672"/>
        <w:rPr>
          <w:rFonts w:hint="eastAsia" w:ascii="宋体" w:hAnsi="宋体" w:eastAsia="宋体" w:cs="宋体"/>
          <w:b/>
          <w:color w:val="auto"/>
          <w:sz w:val="32"/>
          <w:szCs w:val="32"/>
          <w:highlight w:val="none"/>
        </w:rPr>
      </w:pPr>
    </w:p>
    <w:p w14:paraId="1A5BABC6">
      <w:pPr>
        <w:snapToGrid w:val="0"/>
        <w:spacing w:before="156" w:beforeLines="50" w:line="360" w:lineRule="auto"/>
        <w:ind w:firstLine="2159" w:firstLineChars="672"/>
        <w:rPr>
          <w:rFonts w:hint="eastAsia" w:ascii="宋体" w:hAnsi="宋体" w:eastAsia="宋体" w:cs="宋体"/>
          <w:b/>
          <w:color w:val="auto"/>
          <w:sz w:val="32"/>
          <w:szCs w:val="32"/>
          <w:highlight w:val="none"/>
        </w:rPr>
      </w:pPr>
    </w:p>
    <w:p w14:paraId="06735E83">
      <w:pPr>
        <w:snapToGrid w:val="0"/>
        <w:spacing w:before="156" w:beforeLines="50" w:line="360" w:lineRule="auto"/>
        <w:ind w:firstLine="2159" w:firstLineChars="672"/>
        <w:rPr>
          <w:rFonts w:hint="eastAsia" w:ascii="宋体" w:hAnsi="宋体" w:eastAsia="宋体" w:cs="宋体"/>
          <w:b/>
          <w:color w:val="auto"/>
          <w:sz w:val="32"/>
          <w:szCs w:val="32"/>
          <w:highlight w:val="none"/>
        </w:rPr>
      </w:pPr>
    </w:p>
    <w:p w14:paraId="41AB74EF">
      <w:pPr>
        <w:snapToGrid w:val="0"/>
        <w:spacing w:before="156" w:beforeLines="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贵港市公安局交通警察支队</w:t>
      </w:r>
    </w:p>
    <w:p w14:paraId="3BEB8016">
      <w:pPr>
        <w:snapToGrid w:val="0"/>
        <w:spacing w:before="156" w:beforeLines="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广西柯源工程项目管理有限公司</w:t>
      </w:r>
    </w:p>
    <w:p w14:paraId="69F3B470">
      <w:pPr>
        <w:snapToGrid w:val="0"/>
        <w:spacing w:before="156" w:beforeLines="50" w:line="360" w:lineRule="auto"/>
        <w:jc w:val="center"/>
        <w:rPr>
          <w:rFonts w:hint="default" w:ascii="宋体" w:hAnsi="宋体" w:eastAsia="宋体" w:cs="宋体"/>
          <w:b/>
          <w:bCs/>
          <w:color w:val="auto"/>
          <w:kern w:val="0"/>
          <w:sz w:val="30"/>
          <w:szCs w:val="30"/>
          <w:highlight w:val="none"/>
          <w:lang w:val="en-US" w:eastAsia="zh-CN"/>
        </w:rPr>
        <w:sectPr>
          <w:headerReference r:id="rId5" w:type="first"/>
          <w:footerReference r:id="rId6" w:type="first"/>
          <w:headerReference r:id="rId3" w:type="default"/>
          <w:headerReference r:id="rId4" w:type="even"/>
          <w:pgSz w:w="11906" w:h="16838"/>
          <w:pgMar w:top="1134" w:right="1134" w:bottom="1134" w:left="1134" w:header="720" w:footer="720" w:gutter="0"/>
          <w:pgNumType w:start="0"/>
          <w:cols w:space="720" w:num="1"/>
          <w:docGrid w:linePitch="331" w:charSpace="0"/>
        </w:sect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2日</w:t>
      </w:r>
    </w:p>
    <w:sdt>
      <w:sdtPr>
        <w:rPr>
          <w:rFonts w:hint="eastAsia" w:ascii="宋体" w:hAnsi="宋体" w:eastAsia="宋体" w:cs="宋体"/>
          <w:b/>
          <w:bCs/>
          <w:color w:val="auto"/>
          <w:kern w:val="2"/>
          <w:sz w:val="48"/>
          <w:szCs w:val="48"/>
          <w:highlight w:val="none"/>
          <w:lang w:val="en-US" w:eastAsia="zh-CN" w:bidi="ar-SA"/>
        </w:rPr>
        <w:id w:val="147457133"/>
        <w15:color w:val="DBDBDB"/>
        <w:docPartObj>
          <w:docPartGallery w:val="Table of Contents"/>
          <w:docPartUnique/>
        </w:docPartObj>
      </w:sdtPr>
      <w:sdtEndPr>
        <w:rPr>
          <w:rFonts w:hint="eastAsia" w:ascii="宋体" w:hAnsi="宋体" w:eastAsia="宋体" w:cs="Times New Roman"/>
          <w:b/>
          <w:bCs/>
          <w:color w:val="auto"/>
          <w:kern w:val="2"/>
          <w:sz w:val="21"/>
          <w:szCs w:val="44"/>
          <w:highlight w:val="none"/>
          <w:lang w:val="en-US" w:eastAsia="zh-CN" w:bidi="ar-SA"/>
        </w:rPr>
      </w:sdtEndPr>
      <w:sdtContent>
        <w:p w14:paraId="14C324A4">
          <w:pPr>
            <w:keepNext w:val="0"/>
            <w:keepLines w:val="0"/>
            <w:pageBreakBefore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录</w:t>
          </w:r>
        </w:p>
        <w:p w14:paraId="08A00BAB">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p>
        <w:p w14:paraId="0BFBC11F">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TOC \o "1-1" \h \u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_Toc1520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第一章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单一来源采购邀请函</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_Toc1520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0408BAB0">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_Toc18912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第二章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供应商须知</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lang w:val="en-US" w:eastAsia="zh-CN"/>
            </w:rPr>
            <w:t>6</w:t>
          </w:r>
          <w:r>
            <w:rPr>
              <w:rFonts w:hint="eastAsia" w:ascii="宋体" w:hAnsi="宋体" w:eastAsia="宋体" w:cs="宋体"/>
              <w:b/>
              <w:bCs/>
              <w:color w:val="auto"/>
              <w:sz w:val="30"/>
              <w:szCs w:val="30"/>
              <w:highlight w:val="none"/>
            </w:rPr>
            <w:fldChar w:fldCharType="end"/>
          </w:r>
        </w:p>
        <w:p w14:paraId="7758F020">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_Toc10787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第三章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采购需求</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_Toc10787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15</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2948E71C">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_Toc16403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第四章  评审程序和评定成交的标准</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_Toc16403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32</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19DB2B72">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_Toc26950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第五章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响应文件格式</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_Toc26950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36</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6A8976D0">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_Toc16152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第六章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合同文本</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lang w:val="en-US" w:eastAsia="zh-CN"/>
            </w:rPr>
            <w:t>9</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lang w:val="en-US" w:eastAsia="zh-CN"/>
            </w:rPr>
            <w:t>0</w:t>
          </w:r>
        </w:p>
        <w:p w14:paraId="40F97712">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b/>
              <w:color w:val="auto"/>
              <w:sz w:val="44"/>
              <w:szCs w:val="44"/>
              <w:highlight w:val="none"/>
            </w:rPr>
          </w:pPr>
          <w:r>
            <w:rPr>
              <w:rFonts w:hint="eastAsia" w:ascii="宋体" w:hAnsi="宋体" w:eastAsia="宋体" w:cs="宋体"/>
              <w:b/>
              <w:bCs/>
              <w:color w:val="auto"/>
              <w:sz w:val="30"/>
              <w:szCs w:val="30"/>
              <w:highlight w:val="none"/>
            </w:rPr>
            <w:fldChar w:fldCharType="end"/>
          </w:r>
        </w:p>
      </w:sdtContent>
    </w:sdt>
    <w:p w14:paraId="7834AFF1">
      <w:pPr>
        <w:pStyle w:val="1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eastAsia="宋体" w:cs="宋体"/>
          <w:color w:val="auto"/>
          <w:sz w:val="44"/>
          <w:highlight w:val="none"/>
        </w:rPr>
      </w:pPr>
    </w:p>
    <w:p w14:paraId="70BC98BC">
      <w:pPr>
        <w:spacing w:line="540" w:lineRule="exact"/>
        <w:jc w:val="center"/>
        <w:rPr>
          <w:rFonts w:hint="eastAsia" w:ascii="宋体" w:hAnsi="宋体" w:eastAsia="宋体" w:cs="宋体"/>
          <w:b/>
          <w:color w:val="auto"/>
          <w:sz w:val="32"/>
          <w:szCs w:val="32"/>
          <w:highlight w:val="none"/>
          <w:lang w:eastAsia="zh-CN"/>
        </w:rPr>
      </w:pPr>
    </w:p>
    <w:p w14:paraId="21AB5672">
      <w:pPr>
        <w:spacing w:line="540" w:lineRule="exact"/>
        <w:jc w:val="center"/>
        <w:rPr>
          <w:rFonts w:hint="eastAsia" w:ascii="宋体" w:hAnsi="宋体" w:eastAsia="宋体" w:cs="宋体"/>
          <w:b/>
          <w:color w:val="auto"/>
          <w:sz w:val="32"/>
          <w:szCs w:val="32"/>
          <w:highlight w:val="none"/>
          <w:lang w:eastAsia="zh-CN"/>
        </w:rPr>
      </w:pPr>
    </w:p>
    <w:p w14:paraId="48547F39">
      <w:pPr>
        <w:spacing w:line="540" w:lineRule="exact"/>
        <w:jc w:val="center"/>
        <w:rPr>
          <w:rFonts w:hint="eastAsia" w:ascii="宋体" w:hAnsi="宋体" w:eastAsia="宋体" w:cs="宋体"/>
          <w:b/>
          <w:color w:val="auto"/>
          <w:sz w:val="32"/>
          <w:szCs w:val="32"/>
          <w:highlight w:val="none"/>
          <w:lang w:eastAsia="zh-CN"/>
        </w:rPr>
      </w:pPr>
    </w:p>
    <w:p w14:paraId="0CA51FEC">
      <w:pPr>
        <w:spacing w:line="540" w:lineRule="exact"/>
        <w:jc w:val="center"/>
        <w:rPr>
          <w:rFonts w:hint="eastAsia" w:ascii="宋体" w:hAnsi="宋体" w:eastAsia="宋体" w:cs="宋体"/>
          <w:b/>
          <w:color w:val="auto"/>
          <w:sz w:val="32"/>
          <w:szCs w:val="32"/>
          <w:highlight w:val="none"/>
          <w:lang w:eastAsia="zh-CN"/>
        </w:rPr>
      </w:pPr>
    </w:p>
    <w:p w14:paraId="2A97CFCF">
      <w:pPr>
        <w:spacing w:line="540" w:lineRule="exact"/>
        <w:jc w:val="center"/>
        <w:rPr>
          <w:rFonts w:hint="eastAsia" w:ascii="宋体" w:hAnsi="宋体" w:eastAsia="宋体" w:cs="宋体"/>
          <w:b/>
          <w:color w:val="auto"/>
          <w:sz w:val="32"/>
          <w:szCs w:val="32"/>
          <w:highlight w:val="none"/>
          <w:lang w:eastAsia="zh-CN"/>
        </w:rPr>
      </w:pPr>
    </w:p>
    <w:p w14:paraId="40639097">
      <w:pPr>
        <w:spacing w:line="540" w:lineRule="exact"/>
        <w:jc w:val="center"/>
        <w:rPr>
          <w:rFonts w:hint="eastAsia" w:ascii="宋体" w:hAnsi="宋体" w:eastAsia="宋体" w:cs="宋体"/>
          <w:b/>
          <w:color w:val="auto"/>
          <w:sz w:val="32"/>
          <w:szCs w:val="32"/>
          <w:highlight w:val="none"/>
          <w:lang w:eastAsia="zh-CN"/>
        </w:rPr>
      </w:pPr>
    </w:p>
    <w:p w14:paraId="75DD0178">
      <w:pPr>
        <w:spacing w:line="540" w:lineRule="exact"/>
        <w:jc w:val="center"/>
        <w:rPr>
          <w:rFonts w:hint="eastAsia" w:ascii="宋体" w:hAnsi="宋体" w:eastAsia="宋体" w:cs="宋体"/>
          <w:b/>
          <w:color w:val="auto"/>
          <w:sz w:val="32"/>
          <w:szCs w:val="32"/>
          <w:highlight w:val="none"/>
          <w:lang w:eastAsia="zh-CN"/>
        </w:rPr>
      </w:pPr>
    </w:p>
    <w:p w14:paraId="5FAC3633">
      <w:pPr>
        <w:spacing w:line="540" w:lineRule="exact"/>
        <w:jc w:val="center"/>
        <w:rPr>
          <w:rFonts w:hint="eastAsia" w:ascii="宋体" w:hAnsi="宋体" w:eastAsia="宋体" w:cs="宋体"/>
          <w:b/>
          <w:color w:val="auto"/>
          <w:sz w:val="32"/>
          <w:szCs w:val="32"/>
          <w:highlight w:val="none"/>
          <w:lang w:eastAsia="zh-CN"/>
        </w:rPr>
      </w:pPr>
    </w:p>
    <w:p w14:paraId="67BE0ADA">
      <w:pPr>
        <w:spacing w:line="540" w:lineRule="exact"/>
        <w:jc w:val="center"/>
        <w:rPr>
          <w:rFonts w:hint="eastAsia" w:ascii="宋体" w:hAnsi="宋体" w:eastAsia="宋体" w:cs="宋体"/>
          <w:b/>
          <w:color w:val="auto"/>
          <w:sz w:val="32"/>
          <w:szCs w:val="32"/>
          <w:highlight w:val="none"/>
          <w:lang w:eastAsia="zh-CN"/>
        </w:rPr>
      </w:pPr>
    </w:p>
    <w:p w14:paraId="6F29BF38">
      <w:pPr>
        <w:spacing w:line="540" w:lineRule="exact"/>
        <w:jc w:val="center"/>
        <w:rPr>
          <w:rFonts w:hint="eastAsia" w:ascii="宋体" w:hAnsi="宋体" w:eastAsia="宋体" w:cs="宋体"/>
          <w:b/>
          <w:color w:val="auto"/>
          <w:sz w:val="32"/>
          <w:szCs w:val="32"/>
          <w:highlight w:val="none"/>
          <w:lang w:eastAsia="zh-CN"/>
        </w:rPr>
      </w:pPr>
    </w:p>
    <w:p w14:paraId="7D58A0D5">
      <w:pPr>
        <w:spacing w:line="540" w:lineRule="exact"/>
        <w:jc w:val="center"/>
        <w:rPr>
          <w:rFonts w:hint="eastAsia" w:ascii="宋体" w:hAnsi="宋体" w:eastAsia="宋体" w:cs="宋体"/>
          <w:b/>
          <w:color w:val="auto"/>
          <w:sz w:val="32"/>
          <w:szCs w:val="32"/>
          <w:highlight w:val="none"/>
          <w:lang w:eastAsia="zh-CN"/>
        </w:rPr>
      </w:pPr>
    </w:p>
    <w:p w14:paraId="11422A00">
      <w:pPr>
        <w:spacing w:line="540" w:lineRule="exact"/>
        <w:jc w:val="center"/>
        <w:rPr>
          <w:rFonts w:hint="eastAsia" w:ascii="宋体" w:hAnsi="宋体" w:eastAsia="宋体" w:cs="宋体"/>
          <w:b/>
          <w:color w:val="auto"/>
          <w:sz w:val="32"/>
          <w:szCs w:val="32"/>
          <w:highlight w:val="none"/>
          <w:lang w:eastAsia="zh-CN"/>
        </w:rPr>
      </w:pPr>
    </w:p>
    <w:p w14:paraId="7A58A541">
      <w:pPr>
        <w:spacing w:line="540" w:lineRule="exact"/>
        <w:jc w:val="center"/>
        <w:rPr>
          <w:rFonts w:hint="eastAsia" w:ascii="宋体" w:hAnsi="宋体" w:eastAsia="宋体" w:cs="宋体"/>
          <w:b/>
          <w:color w:val="auto"/>
          <w:sz w:val="32"/>
          <w:szCs w:val="32"/>
          <w:highlight w:val="none"/>
          <w:lang w:eastAsia="zh-CN"/>
        </w:rPr>
      </w:pPr>
    </w:p>
    <w:p w14:paraId="0A938679">
      <w:pPr>
        <w:spacing w:line="540" w:lineRule="exact"/>
        <w:jc w:val="center"/>
        <w:rPr>
          <w:rFonts w:hint="eastAsia" w:ascii="宋体" w:hAnsi="宋体" w:eastAsia="宋体" w:cs="宋体"/>
          <w:b/>
          <w:color w:val="auto"/>
          <w:sz w:val="32"/>
          <w:szCs w:val="32"/>
          <w:highlight w:val="none"/>
          <w:lang w:eastAsia="zh-CN"/>
        </w:rPr>
      </w:pPr>
    </w:p>
    <w:p w14:paraId="77D57169">
      <w:pPr>
        <w:spacing w:line="540" w:lineRule="exact"/>
        <w:jc w:val="both"/>
        <w:rPr>
          <w:rFonts w:hint="eastAsia" w:ascii="宋体" w:hAnsi="宋体" w:eastAsia="宋体" w:cs="宋体"/>
          <w:b/>
          <w:color w:val="auto"/>
          <w:sz w:val="32"/>
          <w:szCs w:val="32"/>
          <w:highlight w:val="none"/>
          <w:lang w:eastAsia="zh-CN"/>
        </w:rPr>
      </w:pPr>
    </w:p>
    <w:p w14:paraId="2A6A0AE0">
      <w:pPr>
        <w:pStyle w:val="12"/>
        <w:spacing w:line="500" w:lineRule="exact"/>
        <w:jc w:val="center"/>
        <w:rPr>
          <w:rFonts w:hint="eastAsia" w:ascii="宋体" w:hAnsi="宋体" w:eastAsia="宋体" w:cs="宋体"/>
          <w:b/>
          <w:color w:val="auto"/>
          <w:sz w:val="36"/>
          <w:szCs w:val="36"/>
          <w:highlight w:val="none"/>
        </w:rPr>
      </w:pPr>
      <w:bookmarkStart w:id="0" w:name="_Toc28359001"/>
      <w:bookmarkStart w:id="1" w:name="_Toc35393789"/>
    </w:p>
    <w:p w14:paraId="2BCB5789">
      <w:pPr>
        <w:pStyle w:val="12"/>
        <w:spacing w:line="500" w:lineRule="exact"/>
        <w:jc w:val="center"/>
        <w:outlineLvl w:val="0"/>
        <w:rPr>
          <w:rFonts w:hint="eastAsia" w:ascii="宋体" w:hAnsi="宋体" w:eastAsia="宋体" w:cs="宋体"/>
          <w:b/>
          <w:color w:val="auto"/>
          <w:sz w:val="36"/>
          <w:szCs w:val="36"/>
          <w:highlight w:val="none"/>
          <w:lang w:eastAsia="zh-CN"/>
        </w:rPr>
      </w:pPr>
      <w:bookmarkStart w:id="2" w:name="_Toc1520"/>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bookmarkEnd w:id="2"/>
      <w:r>
        <w:rPr>
          <w:rFonts w:hint="eastAsia" w:ascii="宋体" w:hAnsi="宋体" w:eastAsia="宋体" w:cs="宋体"/>
          <w:b/>
          <w:color w:val="auto"/>
          <w:sz w:val="36"/>
          <w:szCs w:val="36"/>
          <w:highlight w:val="none"/>
          <w:lang w:eastAsia="zh-CN"/>
        </w:rPr>
        <w:t>单一来源采购邀请函</w:t>
      </w:r>
    </w:p>
    <w:bookmarkEnd w:id="0"/>
    <w:bookmarkEnd w:id="1"/>
    <w:p w14:paraId="7886822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1"/>
          <w:szCs w:val="21"/>
          <w:highlight w:val="none"/>
        </w:rPr>
      </w:pPr>
    </w:p>
    <w:p w14:paraId="2FCF6F8A">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1分标：贵港市华宝机动车服务有限公司司法鉴定所；2分标：贵港市方舟司法鉴定所：</w:t>
      </w:r>
    </w:p>
    <w:p w14:paraId="390EEC3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广西柯源工程项目管理有限公司</w:t>
      </w:r>
      <w:r>
        <w:rPr>
          <w:rFonts w:hint="eastAsia" w:ascii="宋体" w:hAnsi="宋体" w:eastAsia="宋体" w:cs="宋体"/>
          <w:b w:val="0"/>
          <w:bCs w:val="0"/>
          <w:color w:val="auto"/>
          <w:sz w:val="21"/>
          <w:szCs w:val="21"/>
          <w:highlight w:val="none"/>
        </w:rPr>
        <w:t>受</w:t>
      </w:r>
      <w:r>
        <w:rPr>
          <w:rFonts w:hint="eastAsia" w:ascii="宋体" w:hAnsi="宋体" w:cs="宋体"/>
          <w:b w:val="0"/>
          <w:bCs w:val="0"/>
          <w:color w:val="auto"/>
          <w:sz w:val="21"/>
          <w:szCs w:val="21"/>
          <w:highlight w:val="none"/>
          <w:lang w:eastAsia="zh-CN"/>
        </w:rPr>
        <w:t>贵港市公安局交通警察支队</w:t>
      </w:r>
      <w:r>
        <w:rPr>
          <w:rFonts w:hint="eastAsia" w:ascii="宋体" w:hAnsi="宋体" w:eastAsia="宋体" w:cs="宋体"/>
          <w:b w:val="0"/>
          <w:bCs w:val="0"/>
          <w:color w:val="auto"/>
          <w:sz w:val="21"/>
          <w:szCs w:val="21"/>
          <w:highlight w:val="none"/>
        </w:rPr>
        <w:t>的委托，拟对</w:t>
      </w:r>
      <w:r>
        <w:rPr>
          <w:rFonts w:hint="eastAsia" w:ascii="宋体" w:hAnsi="宋体" w:cs="宋体"/>
          <w:b w:val="0"/>
          <w:bCs w:val="0"/>
          <w:color w:val="auto"/>
          <w:sz w:val="21"/>
          <w:szCs w:val="21"/>
          <w:highlight w:val="none"/>
          <w:lang w:eastAsia="zh-CN"/>
        </w:rPr>
        <w:t>支队法医类检验鉴定等服务采购</w:t>
      </w:r>
      <w:r>
        <w:rPr>
          <w:rFonts w:hint="eastAsia" w:ascii="宋体" w:hAnsi="宋体" w:eastAsia="宋体" w:cs="宋体"/>
          <w:b w:val="0"/>
          <w:bCs w:val="0"/>
          <w:color w:val="auto"/>
          <w:sz w:val="21"/>
          <w:szCs w:val="21"/>
          <w:highlight w:val="none"/>
        </w:rPr>
        <w:t>进行单一来源采购，特邀请贵单位参加报价协商，现将有关事项通知如下：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AB1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14:paraId="6B0FA5A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80C639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eastAsia="zh-CN"/>
              </w:rPr>
              <w:t>支队法医类检验鉴定等服务采购</w:t>
            </w:r>
            <w:r>
              <w:rPr>
                <w:rFonts w:hint="eastAsia" w:ascii="宋体" w:hAnsi="宋体" w:eastAsia="宋体" w:cs="宋体"/>
                <w:color w:val="auto"/>
                <w:sz w:val="21"/>
                <w:szCs w:val="21"/>
                <w:highlight w:val="none"/>
              </w:rPr>
              <w:t>的单一来源供应商应在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获取单一来源采购文件，并于202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日9</w:t>
            </w:r>
            <w:r>
              <w:rPr>
                <w:rFonts w:hint="eastAsia" w:ascii="宋体" w:hAnsi="宋体" w:cs="宋体"/>
                <w:color w:val="auto"/>
                <w:sz w:val="21"/>
                <w:szCs w:val="21"/>
                <w:highlight w:val="none"/>
                <w:lang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分（北京时间）前提交响应文件。</w:t>
            </w:r>
          </w:p>
        </w:tc>
      </w:tr>
    </w:tbl>
    <w:p w14:paraId="1EC4589F">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1A53C90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GGZC2025-D3-990163-GXKY</w:t>
      </w:r>
    </w:p>
    <w:p w14:paraId="07FBF2E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支队法医类检验鉴定等服务采购</w:t>
      </w:r>
    </w:p>
    <w:p w14:paraId="2D5318C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采购方式：单一来源采购</w:t>
      </w:r>
    </w:p>
    <w:p w14:paraId="0333A6B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83.7万元</w:t>
      </w:r>
      <w:r>
        <w:rPr>
          <w:rFonts w:hint="eastAsia" w:ascii="宋体" w:hAnsi="宋体"/>
          <w:color w:val="auto"/>
          <w:highlight w:val="none"/>
        </w:rPr>
        <w:t>，其中：</w:t>
      </w:r>
      <w:r>
        <w:rPr>
          <w:rFonts w:hint="eastAsia" w:ascii="宋体" w:hAnsi="宋体"/>
          <w:color w:val="auto"/>
          <w:szCs w:val="21"/>
          <w:highlight w:val="none"/>
          <w:lang w:eastAsia="zh-CN"/>
        </w:rPr>
        <w:t>1分标</w:t>
      </w:r>
      <w:r>
        <w:rPr>
          <w:rFonts w:hint="eastAsia" w:ascii="宋体" w:hAnsi="宋体" w:cs="宋体"/>
          <w:color w:val="auto"/>
          <w:highlight w:val="none"/>
          <w:lang w:eastAsia="zh-CN"/>
        </w:rPr>
        <w:t>59.0万元</w:t>
      </w:r>
      <w:r>
        <w:rPr>
          <w:rFonts w:hint="eastAsia" w:ascii="宋体" w:hAnsi="宋体"/>
          <w:color w:val="auto"/>
          <w:szCs w:val="21"/>
          <w:highlight w:val="none"/>
        </w:rPr>
        <w:t>；</w:t>
      </w:r>
      <w:r>
        <w:rPr>
          <w:rFonts w:hint="eastAsia" w:ascii="宋体" w:hAnsi="宋体"/>
          <w:color w:val="auto"/>
          <w:szCs w:val="21"/>
          <w:highlight w:val="none"/>
          <w:lang w:eastAsia="zh-CN"/>
        </w:rPr>
        <w:t>2分标</w:t>
      </w:r>
      <w:r>
        <w:rPr>
          <w:rFonts w:hint="eastAsia" w:ascii="宋体" w:hAnsi="宋体"/>
          <w:color w:val="auto"/>
          <w:szCs w:val="21"/>
          <w:highlight w:val="none"/>
          <w:lang w:val="en-US" w:eastAsia="zh-CN"/>
        </w:rPr>
        <w:t>24.7万元</w:t>
      </w:r>
      <w:r>
        <w:rPr>
          <w:rFonts w:hint="eastAsia" w:ascii="宋体" w:hAnsi="宋体" w:eastAsia="宋体" w:cs="宋体"/>
          <w:color w:val="auto"/>
          <w:sz w:val="21"/>
          <w:szCs w:val="21"/>
          <w:highlight w:val="none"/>
        </w:rPr>
        <w:t>。</w:t>
      </w:r>
    </w:p>
    <w:p w14:paraId="6721AB3A">
      <w:pPr>
        <w:keepNext w:val="0"/>
        <w:keepLines w:val="0"/>
        <w:pageBreakBefore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83.7万元</w:t>
      </w:r>
      <w:r>
        <w:rPr>
          <w:rFonts w:hint="eastAsia" w:ascii="宋体" w:hAnsi="宋体"/>
          <w:color w:val="auto"/>
          <w:highlight w:val="none"/>
        </w:rPr>
        <w:t>，其中：</w:t>
      </w:r>
      <w:r>
        <w:rPr>
          <w:rFonts w:hint="eastAsia" w:ascii="宋体" w:hAnsi="宋体"/>
          <w:color w:val="auto"/>
          <w:szCs w:val="21"/>
          <w:highlight w:val="none"/>
          <w:lang w:eastAsia="zh-CN"/>
        </w:rPr>
        <w:t>1分标</w:t>
      </w:r>
      <w:r>
        <w:rPr>
          <w:rFonts w:hint="eastAsia" w:ascii="宋体" w:hAnsi="宋体" w:cs="宋体"/>
          <w:color w:val="auto"/>
          <w:highlight w:val="none"/>
          <w:lang w:eastAsia="zh-CN"/>
        </w:rPr>
        <w:t>59.0万元</w:t>
      </w:r>
      <w:r>
        <w:rPr>
          <w:rFonts w:hint="eastAsia" w:ascii="宋体" w:hAnsi="宋体"/>
          <w:color w:val="auto"/>
          <w:szCs w:val="21"/>
          <w:highlight w:val="none"/>
        </w:rPr>
        <w:t>；</w:t>
      </w:r>
      <w:r>
        <w:rPr>
          <w:rFonts w:hint="eastAsia" w:ascii="宋体" w:hAnsi="宋体"/>
          <w:color w:val="auto"/>
          <w:szCs w:val="21"/>
          <w:highlight w:val="none"/>
          <w:lang w:eastAsia="zh-CN"/>
        </w:rPr>
        <w:t>2分标</w:t>
      </w:r>
      <w:r>
        <w:rPr>
          <w:rFonts w:hint="eastAsia" w:ascii="宋体" w:hAnsi="宋体"/>
          <w:color w:val="auto"/>
          <w:szCs w:val="21"/>
          <w:highlight w:val="none"/>
          <w:lang w:val="en-US" w:eastAsia="zh-CN"/>
        </w:rPr>
        <w:t>24.7万元</w:t>
      </w:r>
      <w:r>
        <w:rPr>
          <w:rFonts w:hint="eastAsia" w:ascii="宋体" w:hAnsi="宋体" w:cs="宋体"/>
          <w:color w:val="auto"/>
          <w:szCs w:val="21"/>
          <w:highlight w:val="none"/>
        </w:rPr>
        <w:t>。</w:t>
      </w:r>
    </w:p>
    <w:p w14:paraId="17EBA19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r>
        <w:rPr>
          <w:rFonts w:hint="eastAsia" w:ascii="宋体" w:hAnsi="宋体"/>
          <w:color w:val="auto"/>
          <w:szCs w:val="21"/>
          <w:highlight w:val="none"/>
          <w:lang w:eastAsia="zh-CN"/>
        </w:rPr>
        <w:t>1分标：</w:t>
      </w:r>
      <w:r>
        <w:rPr>
          <w:rFonts w:hint="eastAsia"/>
          <w:color w:val="auto"/>
          <w:highlight w:val="none"/>
        </w:rPr>
        <w:t>交通事故车辆安全技术状况鉴定1项；交通事故痕迹鉴定、交通事故痕迹物证综合鉴定、车辆行驶速度鉴定1项；人体血液中乙醇定性定量分析1项；</w:t>
      </w:r>
      <w:r>
        <w:rPr>
          <w:rFonts w:hint="eastAsia" w:ascii="宋体" w:hAnsi="宋体"/>
          <w:color w:val="auto"/>
          <w:szCs w:val="21"/>
          <w:highlight w:val="none"/>
          <w:lang w:eastAsia="zh-CN"/>
        </w:rPr>
        <w:t>2分标：</w:t>
      </w:r>
      <w:r>
        <w:rPr>
          <w:rFonts w:hint="eastAsia" w:ascii="宋体" w:hAnsi="宋体" w:cs="宋体"/>
          <w:color w:val="auto"/>
          <w:highlight w:val="none"/>
        </w:rPr>
        <w:t>亡人交通事故法医病理学检验鉴定1项；交通事故人体损伤程度鉴定1项</w:t>
      </w:r>
      <w:r>
        <w:rPr>
          <w:rFonts w:hint="eastAsia" w:ascii="宋体" w:hAnsi="宋体" w:eastAsia="宋体" w:cs="宋体"/>
          <w:color w:val="auto"/>
          <w:sz w:val="21"/>
          <w:szCs w:val="21"/>
          <w:highlight w:val="none"/>
        </w:rPr>
        <w:t>，具体内容和数量以单一来源采购文件第三章《采购项目需求一览表》为准。</w:t>
      </w:r>
    </w:p>
    <w:p w14:paraId="29B874A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color w:val="auto"/>
          <w:spacing w:val="-9"/>
          <w:sz w:val="21"/>
          <w:szCs w:val="21"/>
          <w:highlight w:val="none"/>
          <w:lang w:eastAsia="zh-CN"/>
        </w:rPr>
        <w:t>自签定合同之日起一年</w:t>
      </w:r>
      <w:r>
        <w:rPr>
          <w:rFonts w:hint="eastAsia" w:ascii="宋体" w:hAnsi="宋体" w:eastAsia="宋体" w:cs="宋体"/>
          <w:color w:val="auto"/>
          <w:sz w:val="21"/>
          <w:szCs w:val="21"/>
          <w:highlight w:val="none"/>
        </w:rPr>
        <w:t>。</w:t>
      </w:r>
    </w:p>
    <w:p w14:paraId="448A3D1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47218D1E">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二、申请人的资格条件</w:t>
      </w:r>
    </w:p>
    <w:p w14:paraId="79A632E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满足《中华人民共和国政府采购法》第二十二条规定；</w:t>
      </w:r>
    </w:p>
    <w:p w14:paraId="17D326E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落实政府采购政策需满足的资格要求：</w:t>
      </w:r>
      <w:r>
        <w:rPr>
          <w:rFonts w:hint="eastAsia" w:ascii="宋体" w:hAnsi="宋体" w:cs="宋体"/>
          <w:color w:val="auto"/>
          <w:szCs w:val="21"/>
          <w:highlight w:val="none"/>
        </w:rPr>
        <w:t>本项目属于专门面向中小企业采购的项目,供应商应为中小微企业、监狱企业、残疾人福利性单位</w:t>
      </w:r>
      <w:r>
        <w:rPr>
          <w:rFonts w:hint="eastAsia" w:ascii="宋体" w:hAnsi="宋体" w:eastAsia="宋体" w:cs="宋体"/>
          <w:color w:val="auto"/>
          <w:sz w:val="21"/>
          <w:szCs w:val="21"/>
          <w:highlight w:val="none"/>
        </w:rPr>
        <w:t>；</w:t>
      </w:r>
    </w:p>
    <w:p w14:paraId="30E1FDB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本项目的特定资格要求：</w:t>
      </w: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2分标</w:t>
      </w:r>
      <w:r>
        <w:rPr>
          <w:rFonts w:hint="eastAsia" w:ascii="宋体" w:hAnsi="宋体"/>
          <w:color w:val="auto"/>
          <w:szCs w:val="21"/>
          <w:highlight w:val="none"/>
          <w:lang w:eastAsia="zh-CN"/>
        </w:rPr>
        <w:t>：</w:t>
      </w:r>
      <w:r>
        <w:rPr>
          <w:rFonts w:hint="eastAsia" w:ascii="宋体" w:hAnsi="宋体" w:cs="宋体"/>
          <w:color w:val="auto"/>
          <w:szCs w:val="21"/>
          <w:highlight w:val="none"/>
        </w:rPr>
        <w:t>具有省级以上（含省级）司法行政机关审核登记颁发的相应有效的《司法鉴定许可证》的供应商；具有省级以上（含省级）质量技术监督局审核登记颁发的《检验检测机构资质认定证书》</w:t>
      </w:r>
      <w:r>
        <w:rPr>
          <w:rFonts w:hint="eastAsia" w:ascii="宋体" w:hAnsi="宋体" w:eastAsia="宋体" w:cs="宋体"/>
          <w:color w:val="auto"/>
          <w:sz w:val="21"/>
          <w:szCs w:val="21"/>
          <w:highlight w:val="none"/>
        </w:rPr>
        <w:t>。</w:t>
      </w:r>
    </w:p>
    <w:p w14:paraId="672018AD">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三、获取单一来源采购文件</w:t>
      </w:r>
    </w:p>
    <w:p w14:paraId="0072D29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日起至</w:t>
      </w:r>
      <w:r>
        <w:rPr>
          <w:rFonts w:hint="eastAsia" w:ascii="宋体" w:hAnsi="宋体" w:cs="Arial"/>
          <w:color w:val="auto"/>
          <w:highlight w:val="none"/>
        </w:rPr>
        <w:t>响应文件提交的截止时间止</w:t>
      </w:r>
      <w:r>
        <w:rPr>
          <w:rFonts w:hint="eastAsia" w:ascii="宋体" w:hAnsi="宋体" w:eastAsia="宋体" w:cs="宋体"/>
          <w:color w:val="auto"/>
          <w:sz w:val="21"/>
          <w:szCs w:val="21"/>
          <w:highlight w:val="none"/>
        </w:rPr>
        <w:t>，</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p>
    <w:p w14:paraId="60D74A5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w:t>
      </w:r>
    </w:p>
    <w:p w14:paraId="77B7834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方式：网上下载。本项目不发放纸质文件，供应商应自行在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下载单一来源采购文件（操作路径：登录</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-项目采购-获取采购文件-找到本项目-点击“申请获取采购文件”），电子响应文件制作需要基于</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获取的单一来源采购文件编制。</w:t>
      </w:r>
    </w:p>
    <w:p w14:paraId="4D891ECF">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42DDFB3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首次响应文件提交截止时间：202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日9</w:t>
      </w:r>
      <w:r>
        <w:rPr>
          <w:rFonts w:hint="eastAsia" w:ascii="宋体" w:hAnsi="宋体" w:cs="宋体"/>
          <w:color w:val="auto"/>
          <w:sz w:val="21"/>
          <w:szCs w:val="21"/>
          <w:highlight w:val="none"/>
          <w:lang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771066D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地点：通过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在线提交。</w:t>
      </w:r>
    </w:p>
    <w:p w14:paraId="2E879EAF">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0ECA634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首次响应文件开启时间：202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日9</w:t>
      </w:r>
      <w:r>
        <w:rPr>
          <w:rFonts w:hint="eastAsia" w:ascii="宋体" w:hAnsi="宋体" w:cs="宋体"/>
          <w:color w:val="auto"/>
          <w:sz w:val="21"/>
          <w:szCs w:val="21"/>
          <w:highlight w:val="none"/>
          <w:lang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r>
        <w:rPr>
          <w:rFonts w:hint="eastAsia" w:ascii="宋体" w:hAnsi="宋体" w:cs="宋体"/>
          <w:color w:val="auto"/>
          <w:sz w:val="21"/>
          <w:szCs w:val="21"/>
          <w:highlight w:val="none"/>
          <w:lang w:val="en-US" w:eastAsia="zh-CN"/>
        </w:rPr>
        <w:t>后</w:t>
      </w:r>
    </w:p>
    <w:p w14:paraId="46D119B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地点：本项目将在</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电子开标大厅解密、开启。</w:t>
      </w:r>
    </w:p>
    <w:p w14:paraId="340F3A2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cs="宋体"/>
          <w:b/>
          <w:bCs/>
          <w:color w:val="auto"/>
          <w:sz w:val="21"/>
          <w:szCs w:val="21"/>
          <w:highlight w:val="none"/>
          <w:lang w:eastAsia="zh-CN"/>
        </w:rPr>
        <w:t>邀请函</w:t>
      </w:r>
      <w:r>
        <w:rPr>
          <w:rFonts w:hint="eastAsia" w:ascii="宋体" w:hAnsi="宋体" w:eastAsia="宋体" w:cs="宋体"/>
          <w:b/>
          <w:bCs/>
          <w:color w:val="auto"/>
          <w:sz w:val="21"/>
          <w:szCs w:val="21"/>
          <w:highlight w:val="none"/>
        </w:rPr>
        <w:t>期限</w:t>
      </w:r>
    </w:p>
    <w:p w14:paraId="5E4D305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w:t>
      </w:r>
      <w:r>
        <w:rPr>
          <w:rFonts w:hint="eastAsia" w:ascii="宋体" w:hAnsi="宋体" w:cs="宋体"/>
          <w:color w:val="auto"/>
          <w:sz w:val="21"/>
          <w:szCs w:val="21"/>
          <w:highlight w:val="none"/>
          <w:lang w:eastAsia="zh-CN"/>
        </w:rPr>
        <w:t>邀请函</w:t>
      </w:r>
      <w:r>
        <w:rPr>
          <w:rFonts w:hint="eastAsia" w:ascii="宋体" w:hAnsi="宋体" w:eastAsia="宋体" w:cs="宋体"/>
          <w:color w:val="auto"/>
          <w:sz w:val="21"/>
          <w:szCs w:val="21"/>
          <w:highlight w:val="none"/>
        </w:rPr>
        <w:t>发</w:t>
      </w:r>
      <w:r>
        <w:rPr>
          <w:rFonts w:hint="eastAsia" w:ascii="宋体" w:hAnsi="宋体" w:cs="宋体"/>
          <w:color w:val="auto"/>
          <w:sz w:val="21"/>
          <w:szCs w:val="21"/>
          <w:highlight w:val="none"/>
          <w:lang w:eastAsia="zh-CN"/>
        </w:rPr>
        <w:t>出</w:t>
      </w:r>
      <w:r>
        <w:rPr>
          <w:rFonts w:hint="eastAsia" w:ascii="宋体" w:hAnsi="宋体" w:eastAsia="宋体" w:cs="宋体"/>
          <w:color w:val="auto"/>
          <w:sz w:val="21"/>
          <w:szCs w:val="21"/>
          <w:highlight w:val="none"/>
        </w:rPr>
        <w:t>之日起3个工作日。</w:t>
      </w:r>
    </w:p>
    <w:p w14:paraId="40212A1B">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七、其他补充事宜</w:t>
      </w:r>
    </w:p>
    <w:p w14:paraId="0C792685">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保证金（人民币）：本项目免收</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保证金。</w:t>
      </w:r>
    </w:p>
    <w:p w14:paraId="73DB3E6D">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B10607A">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DB8A060">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网上查询地址：</w:t>
      </w:r>
      <w:r>
        <w:rPr>
          <w:rFonts w:hint="eastAsia" w:ascii="宋体" w:hAnsi="宋体" w:cs="宋体"/>
          <w:color w:val="auto"/>
          <w:szCs w:val="21"/>
          <w:highlight w:val="none"/>
          <w:lang w:bidi="ar"/>
        </w:rPr>
        <w:t>中国政府采购网（www.ccgp.gov.cn）、广西政府采购网（zfcg.gxzf.gov.cn）</w:t>
      </w:r>
      <w:bookmarkStart w:id="3" w:name="_Hlk73023815"/>
      <w:r>
        <w:rPr>
          <w:rFonts w:hint="eastAsia" w:ascii="宋体" w:hAnsi="宋体" w:cs="宋体"/>
          <w:color w:val="auto"/>
          <w:szCs w:val="21"/>
          <w:highlight w:val="none"/>
          <w:lang w:bidi="ar"/>
        </w:rPr>
        <w:t>、</w:t>
      </w:r>
      <w:r>
        <w:rPr>
          <w:rFonts w:hint="eastAsia" w:ascii="宋体" w:hAnsi="宋体" w:cs="宋体"/>
          <w:color w:val="auto"/>
          <w:kern w:val="0"/>
          <w:szCs w:val="21"/>
          <w:highlight w:val="none"/>
        </w:rPr>
        <w:t>贵港市政府采购网（http</w:t>
      </w:r>
      <w:r>
        <w:rPr>
          <w:rFonts w:ascii="宋体" w:hAnsi="宋体" w:cs="Arial"/>
          <w:color w:val="auto"/>
          <w:szCs w:val="21"/>
          <w:highlight w:val="none"/>
        </w:rPr>
        <w:t>:</w:t>
      </w:r>
      <w:r>
        <w:rPr>
          <w:rFonts w:hint="eastAsia" w:ascii="宋体" w:hAnsi="宋体" w:cs="宋体"/>
          <w:color w:val="auto"/>
          <w:kern w:val="0"/>
          <w:szCs w:val="21"/>
          <w:highlight w:val="none"/>
        </w:rPr>
        <w:t>//zfcg.czj.gxgg.gov.cn）、</w:t>
      </w:r>
      <w:r>
        <w:rPr>
          <w:rFonts w:hint="eastAsia" w:ascii="宋体" w:hAnsi="宋体" w:cs="Arial"/>
          <w:color w:val="auto"/>
          <w:szCs w:val="21"/>
          <w:highlight w:val="none"/>
        </w:rPr>
        <w:t>全国公共资源交易平台（广西•贵港）</w:t>
      </w:r>
      <w:bookmarkEnd w:id="3"/>
      <w:r>
        <w:rPr>
          <w:rFonts w:hint="eastAsia" w:ascii="宋体" w:hAnsi="宋体" w:cs="Arial"/>
          <w:color w:val="auto"/>
          <w:szCs w:val="21"/>
          <w:highlight w:val="none"/>
        </w:rPr>
        <w:t>（http</w:t>
      </w:r>
      <w:r>
        <w:rPr>
          <w:rFonts w:ascii="宋体" w:hAnsi="宋体" w:cs="Arial"/>
          <w:color w:val="auto"/>
          <w:szCs w:val="21"/>
          <w:highlight w:val="none"/>
        </w:rPr>
        <w:t>:</w:t>
      </w:r>
      <w:r>
        <w:rPr>
          <w:rFonts w:hint="eastAsia" w:ascii="宋体" w:hAnsi="宋体" w:cs="Arial"/>
          <w:color w:val="auto"/>
          <w:szCs w:val="21"/>
          <w:highlight w:val="none"/>
        </w:rPr>
        <w:t>//ggzy.jgswj.gxzf.gov.cn/ggggzy/）</w:t>
      </w:r>
      <w:r>
        <w:rPr>
          <w:rFonts w:hint="eastAsia" w:ascii="宋体" w:hAnsi="宋体" w:eastAsia="宋体" w:cs="宋体"/>
          <w:color w:val="auto"/>
          <w:sz w:val="21"/>
          <w:szCs w:val="21"/>
          <w:highlight w:val="none"/>
        </w:rPr>
        <w:t>。</w:t>
      </w:r>
    </w:p>
    <w:p w14:paraId="277B84BC">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5</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本项目需要落实的政府采购政策：</w:t>
      </w:r>
    </w:p>
    <w:p w14:paraId="0DB08317">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14:paraId="295CF63F">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14:paraId="57B29140">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14:paraId="3233287B">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14:paraId="1F824129">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14:paraId="3FAA4123">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bidi="ar"/>
        </w:rPr>
        <w:t>（6）扶持不发达地区和少数民族地区政策</w:t>
      </w:r>
    </w:p>
    <w:p w14:paraId="240E84C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协商注意事项：</w:t>
      </w:r>
    </w:p>
    <w:p w14:paraId="6C99F9A6">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提交方式：本项目为全流程电子化政府采购项目，通过广西政府采购云平台（https://www.gcy.zfcg.gxzf.gov.cn/）实行在线电子</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采购，供应商应先安装“广西政府采购云平台新版客户端”（</w:t>
      </w:r>
      <w:r>
        <w:rPr>
          <w:rFonts w:hint="eastAsia"/>
          <w:color w:val="auto"/>
          <w:highlight w:val="none"/>
        </w:rPr>
        <w:t>客户端下载路径：</w:t>
      </w:r>
      <w:r>
        <w:rPr>
          <w:rFonts w:hint="eastAsia" w:ascii="宋体" w:hAnsi="宋体" w:cs="宋体"/>
          <w:color w:val="auto"/>
          <w:szCs w:val="21"/>
          <w:highlight w:val="none"/>
          <w:lang w:bidi="ar"/>
        </w:rPr>
        <w:t>广西政府采购网（访问地址http://zfcg.gxzf.gov.cn/）—办事服务—下载专区），并按照本项目</w:t>
      </w:r>
      <w:r>
        <w:rPr>
          <w:rFonts w:hint="eastAsia" w:ascii="宋体" w:hAnsi="宋体" w:cs="宋体"/>
          <w:color w:val="auto"/>
          <w:szCs w:val="21"/>
          <w:highlight w:val="none"/>
          <w:lang w:eastAsia="zh-CN" w:bidi="ar"/>
        </w:rPr>
        <w:t>单一来源采购</w:t>
      </w:r>
      <w:r>
        <w:rPr>
          <w:rFonts w:hint="eastAsia" w:ascii="宋体" w:hAnsi="宋体" w:cs="宋体"/>
          <w:color w:val="auto"/>
          <w:szCs w:val="21"/>
          <w:highlight w:val="none"/>
          <w:lang w:bidi="ar"/>
        </w:rPr>
        <w:t>文件和广西政府采购云平台的要求编制、加密后在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2BA7ED8A">
      <w:pPr>
        <w:keepNext w:val="0"/>
        <w:keepLines w:val="0"/>
        <w:pageBreakBefore w:val="0"/>
        <w:widowControl/>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w:t>
      </w:r>
      <w:r>
        <w:rPr>
          <w:rFonts w:hint="eastAsia" w:ascii="宋体" w:hAnsi="宋体" w:cs="宋体"/>
          <w:color w:val="auto"/>
          <w:szCs w:val="21"/>
          <w:highlight w:val="none"/>
          <w:lang w:bidi="ar"/>
        </w:rPr>
        <w:t>广西政府采购云平台</w:t>
      </w:r>
      <w:r>
        <w:rPr>
          <w:rFonts w:ascii="宋体" w:hAnsi="宋体" w:cs="宋体"/>
          <w:color w:val="auto"/>
          <w:szCs w:val="21"/>
          <w:highlight w:val="none"/>
          <w:lang w:bidi="ar"/>
        </w:rPr>
        <w:t>电子卖场首页右上角—服务中心—</w:t>
      </w:r>
      <w:r>
        <w:rPr>
          <w:rFonts w:hint="eastAsia" w:ascii="宋体" w:hAnsi="宋体" w:cs="宋体"/>
          <w:color w:val="auto"/>
          <w:szCs w:val="21"/>
          <w:highlight w:val="none"/>
          <w:lang w:bidi="ar"/>
        </w:rPr>
        <w:t>帮助中心</w:t>
      </w:r>
      <w:r>
        <w:rPr>
          <w:rFonts w:ascii="宋体" w:hAnsi="宋体" w:cs="宋体"/>
          <w:color w:val="auto"/>
          <w:szCs w:val="21"/>
          <w:highlight w:val="none"/>
          <w:lang w:bidi="ar"/>
        </w:rPr>
        <w:t>—项目采购）：https://helpcenter.zcygov.cn/document/#/document/dashboard?siteCode=gx</w:t>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4D6B2191">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前，完成电子交易平台上的CA数字证书办理及响应文件的提交。完成CA数字证书办理预计7日左右，供应商只需办理其中一家CA数字证书及签章，建议供应商抓紧时间办理。</w:t>
      </w:r>
    </w:p>
    <w:p w14:paraId="03B683CA">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过程中能够对相关数据电文进行加密和使用电子签章，妥善保管CA数字证书并使用有效的CA数字证书参与整个采购活动。</w:t>
      </w:r>
    </w:p>
    <w:p w14:paraId="59099C2C">
      <w:pPr>
        <w:keepNext w:val="0"/>
        <w:keepLines w:val="0"/>
        <w:pageBreakBefore w:val="0"/>
        <w:kinsoku/>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以后上传递交的响应文件，广西政府采购云平台将予以拒收。</w:t>
      </w:r>
    </w:p>
    <w:p w14:paraId="07B99B45">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w:t>
      </w:r>
      <w:r>
        <w:rPr>
          <w:rFonts w:hint="eastAsia" w:ascii="宋体" w:hAnsi="宋体" w:cs="宋体"/>
          <w:color w:val="auto"/>
          <w:szCs w:val="21"/>
          <w:highlight w:val="none"/>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6944E74C">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lang w:bidi="ar"/>
        </w:rPr>
        <w:t>8</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供应商需要在具备有摄像头及语音功能且互联网网络状况良好的电脑登录广西政府采购云平台远程开标大厅参与本次</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，否则后果自负。</w:t>
      </w:r>
    </w:p>
    <w:p w14:paraId="58C49500">
      <w:pPr>
        <w:keepNext w:val="0"/>
        <w:keepLines w:val="0"/>
        <w:pageBreakBefore w:val="0"/>
        <w:widowControl/>
        <w:kinsoku/>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9</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667BB31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监督部门：</w:t>
      </w:r>
      <w:r>
        <w:rPr>
          <w:rFonts w:hint="eastAsia" w:cs="Arial"/>
          <w:color w:val="auto"/>
          <w:highlight w:val="none"/>
        </w:rPr>
        <w:t>贵港市财政局政府采购监督管理科</w:t>
      </w:r>
      <w:r>
        <w:rPr>
          <w:rFonts w:hint="eastAsia" w:ascii="宋体" w:hAnsi="宋体" w:cs="宋体"/>
          <w:color w:val="auto"/>
          <w:kern w:val="0"/>
          <w:szCs w:val="21"/>
          <w:highlight w:val="none"/>
          <w:lang w:bidi="ar"/>
        </w:rPr>
        <w:t>；联系电话：</w:t>
      </w:r>
      <w:r>
        <w:rPr>
          <w:rFonts w:hint="eastAsia" w:ascii="宋体" w:hAnsi="宋体" w:cs="宋体"/>
          <w:color w:val="auto"/>
          <w:highlight w:val="none"/>
        </w:rPr>
        <w:t>0775-4555290，0775-4564649</w:t>
      </w:r>
      <w:r>
        <w:rPr>
          <w:rFonts w:hint="eastAsia" w:ascii="宋体" w:hAnsi="宋体" w:cs="宋体"/>
          <w:color w:val="auto"/>
          <w:highlight w:val="none"/>
          <w:lang w:eastAsia="zh-CN"/>
        </w:rPr>
        <w:t>。</w:t>
      </w:r>
    </w:p>
    <w:p w14:paraId="6872DAD1">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六、凡对本次采购提出询问，请按以下方式联系：</w:t>
      </w:r>
    </w:p>
    <w:p w14:paraId="5DEC5457">
      <w:pPr>
        <w:keepNext w:val="0"/>
        <w:keepLines w:val="0"/>
        <w:pageBreakBefore w:val="0"/>
        <w:kinsoku/>
        <w:overflowPunct/>
        <w:topLinePunct w:val="0"/>
        <w:autoSpaceDE/>
        <w:autoSpaceDN/>
        <w:bidi w:val="0"/>
        <w:adjustRightInd/>
        <w:snapToGrid/>
        <w:spacing w:line="400" w:lineRule="exact"/>
        <w:ind w:firstLine="567" w:firstLineChars="27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7318D1FE">
      <w:pPr>
        <w:keepNext w:val="0"/>
        <w:keepLines w:val="0"/>
        <w:pageBreakBefore w:val="0"/>
        <w:kinsoku/>
        <w:overflowPunct/>
        <w:topLinePunct w:val="0"/>
        <w:autoSpaceDE/>
        <w:autoSpaceDN/>
        <w:bidi w:val="0"/>
        <w:adjustRightInd/>
        <w:snapToGrid/>
        <w:spacing w:line="400" w:lineRule="exact"/>
        <w:ind w:firstLine="567" w:firstLineChars="27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highlight w:val="none"/>
          <w:lang w:eastAsia="zh-CN"/>
        </w:rPr>
        <w:t>贵港市公安局交通警察支队</w:t>
      </w:r>
    </w:p>
    <w:p w14:paraId="4495B347">
      <w:pPr>
        <w:keepNext w:val="0"/>
        <w:keepLines w:val="0"/>
        <w:pageBreakBefore w:val="0"/>
        <w:kinsoku/>
        <w:overflowPunct/>
        <w:topLinePunct w:val="0"/>
        <w:autoSpaceDE/>
        <w:autoSpaceDN/>
        <w:bidi w:val="0"/>
        <w:adjustRightInd/>
        <w:snapToGrid/>
        <w:spacing w:line="400" w:lineRule="exact"/>
        <w:ind w:firstLine="567" w:firstLineChars="27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贵港市金港大道1064号</w:t>
      </w:r>
    </w:p>
    <w:p w14:paraId="50BE79C8">
      <w:pPr>
        <w:keepNext w:val="0"/>
        <w:keepLines w:val="0"/>
        <w:pageBreakBefore w:val="0"/>
        <w:kinsoku/>
        <w:overflowPunct/>
        <w:topLinePunct w:val="0"/>
        <w:autoSpaceDE/>
        <w:autoSpaceDN/>
        <w:bidi w:val="0"/>
        <w:adjustRightInd/>
        <w:snapToGrid/>
        <w:spacing w:line="400" w:lineRule="exact"/>
        <w:ind w:firstLine="567" w:firstLineChars="270"/>
        <w:jc w:val="left"/>
        <w:textAlignment w:val="auto"/>
        <w:rPr>
          <w:rFonts w:hint="eastAsia" w:ascii="宋体" w:hAnsi="宋体" w:cs="宋体"/>
          <w:color w:val="auto"/>
          <w:szCs w:val="21"/>
          <w:highlight w:val="none"/>
        </w:rPr>
      </w:pPr>
      <w:bookmarkStart w:id="4" w:name="_Toc28359009"/>
      <w:bookmarkStart w:id="5" w:name="_Toc28359086"/>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朱婷</w:t>
      </w:r>
      <w:r>
        <w:rPr>
          <w:rFonts w:hint="eastAsia" w:ascii="宋体" w:hAnsi="宋体" w:cs="宋体"/>
          <w:color w:val="auto"/>
          <w:szCs w:val="21"/>
          <w:highlight w:val="none"/>
          <w:lang w:val="en-US" w:eastAsia="zh-CN"/>
        </w:rPr>
        <w:t xml:space="preserve"> </w:t>
      </w:r>
    </w:p>
    <w:p w14:paraId="638AF437">
      <w:pPr>
        <w:keepNext w:val="0"/>
        <w:keepLines w:val="0"/>
        <w:pageBreakBefore w:val="0"/>
        <w:kinsoku/>
        <w:overflowPunct/>
        <w:topLinePunct w:val="0"/>
        <w:autoSpaceDE/>
        <w:autoSpaceDN/>
        <w:bidi w:val="0"/>
        <w:adjustRightInd/>
        <w:snapToGrid/>
        <w:spacing w:line="400" w:lineRule="exact"/>
        <w:ind w:firstLine="567" w:firstLineChars="27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项目联系方式：</w:t>
      </w:r>
      <w:r>
        <w:rPr>
          <w:rFonts w:hint="eastAsia" w:ascii="宋体" w:hAnsi="宋体" w:cs="宋体"/>
          <w:color w:val="auto"/>
          <w:szCs w:val="21"/>
          <w:highlight w:val="none"/>
          <w:lang w:eastAsia="zh-CN"/>
        </w:rPr>
        <w:t>0775-4290103</w:t>
      </w:r>
      <w:r>
        <w:rPr>
          <w:rFonts w:hint="eastAsia" w:ascii="宋体" w:hAnsi="宋体" w:cs="宋体"/>
          <w:color w:val="auto"/>
          <w:szCs w:val="21"/>
          <w:highlight w:val="none"/>
          <w:lang w:val="en-US" w:eastAsia="zh-CN"/>
        </w:rPr>
        <w:t xml:space="preserve"> </w:t>
      </w:r>
    </w:p>
    <w:p w14:paraId="36103EDD">
      <w:pPr>
        <w:keepNext w:val="0"/>
        <w:keepLines w:val="0"/>
        <w:pageBreakBefore w:val="0"/>
        <w:kinsoku/>
        <w:overflowPunct/>
        <w:topLinePunct w:val="0"/>
        <w:autoSpaceDE/>
        <w:autoSpaceDN/>
        <w:bidi w:val="0"/>
        <w:adjustRightInd/>
        <w:snapToGrid/>
        <w:spacing w:line="400" w:lineRule="exact"/>
        <w:ind w:firstLine="567" w:firstLineChars="27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4"/>
      <w:bookmarkEnd w:id="5"/>
    </w:p>
    <w:p w14:paraId="1435F12B">
      <w:pPr>
        <w:keepNext w:val="0"/>
        <w:keepLines w:val="0"/>
        <w:pageBreakBefore w:val="0"/>
        <w:kinsoku/>
        <w:overflowPunct/>
        <w:topLinePunct w:val="0"/>
        <w:autoSpaceDE/>
        <w:autoSpaceDN/>
        <w:bidi w:val="0"/>
        <w:adjustRightInd/>
        <w:snapToGrid/>
        <w:spacing w:line="400" w:lineRule="exact"/>
        <w:ind w:firstLine="567" w:firstLineChars="27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广西柯源工程项目管理有限公司</w:t>
      </w:r>
    </w:p>
    <w:p w14:paraId="183105E0">
      <w:pPr>
        <w:keepNext w:val="0"/>
        <w:keepLines w:val="0"/>
        <w:pageBreakBefore w:val="0"/>
        <w:kinsoku/>
        <w:overflowPunct/>
        <w:topLinePunct w:val="0"/>
        <w:autoSpaceDE/>
        <w:autoSpaceDN/>
        <w:bidi w:val="0"/>
        <w:adjustRightInd/>
        <w:snapToGrid/>
        <w:spacing w:line="400" w:lineRule="exact"/>
        <w:ind w:firstLine="567" w:firstLineChars="27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贵港市港北区碧桂园一期32-9</w:t>
      </w:r>
    </w:p>
    <w:p w14:paraId="300DEAE5">
      <w:pPr>
        <w:keepNext w:val="0"/>
        <w:keepLines w:val="0"/>
        <w:pageBreakBefore w:val="0"/>
        <w:kinsoku/>
        <w:overflowPunct/>
        <w:topLinePunct w:val="0"/>
        <w:autoSpaceDE/>
        <w:autoSpaceDN/>
        <w:bidi w:val="0"/>
        <w:adjustRightInd/>
        <w:snapToGrid/>
        <w:spacing w:line="400" w:lineRule="exact"/>
        <w:ind w:firstLine="567" w:firstLineChars="270"/>
        <w:textAlignment w:val="auto"/>
        <w:rPr>
          <w:rFonts w:hint="eastAsia" w:ascii="宋体" w:hAnsi="宋体" w:eastAsia="宋体" w:cs="宋体"/>
          <w:color w:val="auto"/>
          <w:szCs w:val="21"/>
          <w:highlight w:val="none"/>
          <w:lang w:eastAsia="zh-CN"/>
        </w:rPr>
      </w:pPr>
      <w:bookmarkStart w:id="6" w:name="_Toc28359010"/>
      <w:bookmarkStart w:id="7" w:name="_Toc28359087"/>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覃婷雪</w:t>
      </w:r>
    </w:p>
    <w:p w14:paraId="6FC29DCF">
      <w:pPr>
        <w:keepNext w:val="0"/>
        <w:keepLines w:val="0"/>
        <w:pageBreakBefore w:val="0"/>
        <w:kinsoku/>
        <w:overflowPunct/>
        <w:topLinePunct w:val="0"/>
        <w:autoSpaceDE/>
        <w:autoSpaceDN/>
        <w:bidi w:val="0"/>
        <w:adjustRightInd/>
        <w:snapToGrid/>
        <w:spacing w:line="400" w:lineRule="exact"/>
        <w:ind w:firstLine="567" w:firstLineChars="27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项目联系方式：</w:t>
      </w:r>
      <w:r>
        <w:rPr>
          <w:rFonts w:hint="eastAsia" w:ascii="宋体" w:hAnsi="宋体" w:cs="宋体"/>
          <w:color w:val="auto"/>
          <w:szCs w:val="21"/>
          <w:highlight w:val="none"/>
          <w:lang w:eastAsia="zh-CN"/>
        </w:rPr>
        <w:t>17758555201</w:t>
      </w:r>
    </w:p>
    <w:bookmarkEnd w:id="6"/>
    <w:bookmarkEnd w:id="7"/>
    <w:p w14:paraId="2820039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44C096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广西柯源工程项目管理有限公司</w:t>
      </w:r>
    </w:p>
    <w:p w14:paraId="01AD898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w:t>
      </w:r>
    </w:p>
    <w:p w14:paraId="0C5D64BC">
      <w:pPr>
        <w:widowControl/>
        <w:spacing w:line="340" w:lineRule="exact"/>
        <w:ind w:right="210"/>
        <w:jc w:val="right"/>
        <w:rPr>
          <w:rFonts w:hint="eastAsia" w:ascii="宋体" w:hAnsi="宋体" w:eastAsia="宋体" w:cs="宋体"/>
          <w:color w:val="auto"/>
          <w:kern w:val="0"/>
          <w:szCs w:val="21"/>
          <w:highlight w:val="none"/>
        </w:rPr>
      </w:pPr>
    </w:p>
    <w:p w14:paraId="1AF3915F">
      <w:pPr>
        <w:rPr>
          <w:rFonts w:hint="eastAsia" w:ascii="宋体" w:hAnsi="宋体" w:eastAsia="宋体" w:cs="宋体"/>
          <w:b/>
          <w:color w:val="auto"/>
          <w:sz w:val="36"/>
          <w:szCs w:val="36"/>
          <w:highlight w:val="none"/>
        </w:rPr>
      </w:pPr>
      <w:bookmarkStart w:id="8" w:name="_Toc74322009"/>
      <w:bookmarkStart w:id="9" w:name="_Toc18912"/>
      <w:r>
        <w:rPr>
          <w:rFonts w:hint="eastAsia" w:ascii="宋体" w:hAnsi="宋体" w:eastAsia="宋体" w:cs="宋体"/>
          <w:b/>
          <w:color w:val="auto"/>
          <w:sz w:val="36"/>
          <w:szCs w:val="36"/>
          <w:highlight w:val="none"/>
        </w:rPr>
        <w:br w:type="page"/>
      </w:r>
    </w:p>
    <w:p w14:paraId="0E5B460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供应商须知</w:t>
      </w:r>
      <w:bookmarkEnd w:id="8"/>
      <w:bookmarkEnd w:id="9"/>
    </w:p>
    <w:p w14:paraId="1418BF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0"/>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5"/>
      </w:tblGrid>
      <w:tr w14:paraId="5F57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6E18F431">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8695" w:type="dxa"/>
            <w:noWrap w:val="0"/>
            <w:vAlign w:val="top"/>
          </w:tcPr>
          <w:p w14:paraId="48FE9649">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4ABC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1047320">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95" w:type="dxa"/>
            <w:noWrap w:val="0"/>
            <w:vAlign w:val="center"/>
          </w:tcPr>
          <w:p w14:paraId="55BD2AAD">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供应商的资格条件：详见邀请函</w:t>
            </w:r>
          </w:p>
        </w:tc>
      </w:tr>
      <w:tr w14:paraId="4D96A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0D84AC4">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8695" w:type="dxa"/>
            <w:noWrap w:val="0"/>
            <w:vAlign w:val="center"/>
          </w:tcPr>
          <w:p w14:paraId="01AE5E16">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：详见邀请函</w:t>
            </w:r>
          </w:p>
        </w:tc>
      </w:tr>
      <w:tr w14:paraId="7046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449EE8E">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695" w:type="dxa"/>
            <w:noWrap w:val="0"/>
            <w:vAlign w:val="center"/>
          </w:tcPr>
          <w:p w14:paraId="02285980">
            <w:pPr>
              <w:keepNext w:val="0"/>
              <w:keepLines w:val="0"/>
              <w:pageBreakBefore w:val="0"/>
              <w:widowControl w:val="0"/>
              <w:kinsoku/>
              <w:wordWrap/>
              <w:overflowPunct/>
              <w:topLinePunct w:val="0"/>
              <w:bidi w:val="0"/>
              <w:adjustRightInd/>
              <w:spacing w:line="4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本项目不允许分包。</w:t>
            </w:r>
          </w:p>
        </w:tc>
      </w:tr>
      <w:tr w14:paraId="1ABF7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0B9571">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8695" w:type="dxa"/>
            <w:noWrap w:val="0"/>
            <w:vAlign w:val="center"/>
          </w:tcPr>
          <w:p w14:paraId="29F67839">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2CAF7E5C">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DDE31AC">
            <w:pPr>
              <w:keepNext w:val="0"/>
              <w:keepLines w:val="0"/>
              <w:pageBreakBefore w:val="0"/>
              <w:widowControl w:val="0"/>
              <w:kinsoku/>
              <w:wordWrap/>
              <w:overflowPunct/>
              <w:topLinePunct w:val="0"/>
              <w:bidi w:val="0"/>
              <w:adjustRightInd/>
              <w:spacing w:line="420" w:lineRule="exact"/>
              <w:contextualSpacing/>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贵港市政府采购项目投标资格承诺函（格式后附）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4D76FFB">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供应商直接控股、管理关系信息表（格式后附）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050CED5">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420E4FB">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2分标</w:t>
            </w:r>
            <w:r>
              <w:rPr>
                <w:rFonts w:hint="eastAsia" w:ascii="宋体" w:hAnsi="宋体"/>
                <w:color w:val="auto"/>
                <w:szCs w:val="21"/>
                <w:highlight w:val="none"/>
                <w:lang w:eastAsia="zh-CN"/>
              </w:rPr>
              <w:t>：</w:t>
            </w:r>
            <w:r>
              <w:rPr>
                <w:rFonts w:hint="eastAsia" w:ascii="宋体" w:hAnsi="宋体" w:cs="宋体"/>
                <w:color w:val="auto"/>
                <w:szCs w:val="21"/>
                <w:highlight w:val="none"/>
              </w:rPr>
              <w:t>具有省级以上（含省级）司法行政机关审核登记颁发的相应有效的《司法鉴定许可证》的供应商（</w:t>
            </w:r>
            <w:r>
              <w:rPr>
                <w:rFonts w:hint="eastAsia" w:ascii="宋体" w:hAnsi="宋体" w:cs="宋体"/>
                <w:b/>
                <w:color w:val="auto"/>
                <w:szCs w:val="21"/>
                <w:highlight w:val="none"/>
              </w:rPr>
              <w:t>必须提供复印件，加盖供应商公章）</w:t>
            </w:r>
            <w:r>
              <w:rPr>
                <w:rFonts w:hint="eastAsia" w:ascii="宋体" w:hAnsi="宋体" w:cs="宋体"/>
                <w:color w:val="auto"/>
                <w:szCs w:val="21"/>
                <w:highlight w:val="none"/>
              </w:rPr>
              <w:t>；具有省级以上（含省级）质量技术监督局审核登记颁发的《检验检测机构资质认定证书》（</w:t>
            </w:r>
            <w:r>
              <w:rPr>
                <w:rFonts w:hint="eastAsia" w:ascii="宋体" w:hAnsi="宋体" w:cs="宋体"/>
                <w:b/>
                <w:color w:val="auto"/>
                <w:szCs w:val="21"/>
                <w:highlight w:val="none"/>
              </w:rPr>
              <w:t>必须提供复印件，加盖供应商公章）</w:t>
            </w:r>
            <w:r>
              <w:rPr>
                <w:rFonts w:hint="eastAsia" w:ascii="宋体" w:hAnsi="宋体" w:cs="宋体"/>
                <w:color w:val="auto"/>
                <w:szCs w:val="21"/>
                <w:highlight w:val="none"/>
              </w:rPr>
              <w:t>；（</w:t>
            </w:r>
            <w:r>
              <w:rPr>
                <w:rFonts w:hint="eastAsia" w:ascii="宋体" w:hAnsi="宋体" w:cs="宋体"/>
                <w:b/>
                <w:bCs/>
                <w:color w:val="auto"/>
                <w:szCs w:val="21"/>
                <w:highlight w:val="none"/>
              </w:rPr>
              <w:t>要求必须提供的分标必须提供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14:paraId="3E502DE8">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规定必须提供以外，供应商认为需要提供的其他证明材料；</w:t>
            </w:r>
          </w:p>
          <w:p w14:paraId="5EE6FF37">
            <w:pPr>
              <w:keepNext w:val="0"/>
              <w:keepLines w:val="0"/>
              <w:pageBreakBefore w:val="0"/>
              <w:widowControl w:val="0"/>
              <w:kinsoku/>
              <w:wordWrap/>
              <w:overflowPunct/>
              <w:topLinePunct w:val="0"/>
              <w:bidi w:val="0"/>
              <w:adjustRightInd/>
              <w:snapToGrid w:val="0"/>
              <w:spacing w:line="42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DD33CFE">
            <w:pPr>
              <w:keepNext w:val="0"/>
              <w:keepLines w:val="0"/>
              <w:pageBreakBefore w:val="0"/>
              <w:widowControl w:val="0"/>
              <w:kinsoku/>
              <w:wordWrap/>
              <w:overflowPunct/>
              <w:topLinePunct w:val="0"/>
              <w:bidi w:val="0"/>
              <w:adjustRightInd/>
              <w:snapToGrid w:val="0"/>
              <w:spacing w:line="42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1.以上标明“必须提供”的材料属于复印件的，必须加盖供应商公章，否则响应文件按无效响应处理。</w:t>
            </w:r>
          </w:p>
          <w:p w14:paraId="2757B3F2">
            <w:pPr>
              <w:keepNext w:val="0"/>
              <w:keepLines w:val="0"/>
              <w:pageBreakBefore w:val="0"/>
              <w:widowControl w:val="0"/>
              <w:kinsoku/>
              <w:wordWrap/>
              <w:overflowPunct/>
              <w:topLinePunct w:val="0"/>
              <w:bidi w:val="0"/>
              <w:adjustRightInd/>
              <w:snapToGrid w:val="0"/>
              <w:spacing w:line="420" w:lineRule="exact"/>
              <w:ind w:firstLine="422" w:firstLineChars="200"/>
              <w:jc w:val="lef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2.贵港市政府采购项目投标资格承诺函</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供应商直接控股、管理关系信息表</w:t>
            </w:r>
            <w:r>
              <w:rPr>
                <w:rFonts w:hint="eastAsia" w:ascii="宋体" w:hAnsi="宋体" w:cs="宋体"/>
                <w:b/>
                <w:color w:val="auto"/>
                <w:szCs w:val="21"/>
                <w:highlight w:val="none"/>
                <w:lang w:eastAsia="zh-CN"/>
              </w:rPr>
              <w:t>和</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声明必须由法定代表人或者委托代理人在规定签章处签字并加盖供应商公章，否则响应文件按无效响应处理。</w:t>
            </w:r>
          </w:p>
        </w:tc>
      </w:tr>
      <w:tr w14:paraId="17CA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DFA172">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8695" w:type="dxa"/>
            <w:noWrap w:val="0"/>
            <w:vAlign w:val="center"/>
          </w:tcPr>
          <w:p w14:paraId="6DA8DC94">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报价商务技术文件</w:t>
            </w:r>
          </w:p>
          <w:p w14:paraId="6E575B40">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报价表（格式后附）；（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947153E">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法定代表人身份证明及法定代表人有效身份证正反面复印件（格式后附）；（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825D6D">
            <w:pPr>
              <w:keepNext w:val="0"/>
              <w:keepLines w:val="0"/>
              <w:pageBreakBefore w:val="0"/>
              <w:widowControl w:val="0"/>
              <w:kinsoku/>
              <w:wordWrap/>
              <w:overflowPunct/>
              <w:topLinePunct w:val="0"/>
              <w:bidi w:val="0"/>
              <w:adjustRightInd/>
              <w:spacing w:line="42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71496A3B">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商务要求偏离表（格式后附）；（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DD66614">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AF655C8">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.售后服务承诺</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C2831B2">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项目实施人员一览表（格式自拟）；</w:t>
            </w:r>
          </w:p>
          <w:p w14:paraId="1C744FCF">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对应采购需求的技术要求、商务要求提供的其他文件资料（格式自拟）；</w:t>
            </w:r>
          </w:p>
          <w:p w14:paraId="0B98F995">
            <w:pPr>
              <w:keepNext w:val="0"/>
              <w:keepLines w:val="0"/>
              <w:pageBreakBefore w:val="0"/>
              <w:widowControl w:val="0"/>
              <w:kinsoku/>
              <w:wordWrap/>
              <w:overflowPunct/>
              <w:topLinePunct w:val="0"/>
              <w:bidi w:val="0"/>
              <w:adjustRightInd/>
              <w:spacing w:line="420" w:lineRule="exac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供应商认为需要提供的其他有关资料。</w:t>
            </w:r>
          </w:p>
          <w:p w14:paraId="4BFD731B">
            <w:pPr>
              <w:keepNext w:val="0"/>
              <w:keepLines w:val="0"/>
              <w:pageBreakBefore w:val="0"/>
              <w:widowControl w:val="0"/>
              <w:kinsoku/>
              <w:wordWrap/>
              <w:overflowPunct/>
              <w:topLinePunct w:val="0"/>
              <w:bidi w:val="0"/>
              <w:adjustRightInd/>
              <w:snapToGrid w:val="0"/>
              <w:spacing w:line="42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注：以上标明“必须提供”材料复印件的，必须加盖供应商公章，否则响应文件按无效响应处理。</w:t>
            </w:r>
          </w:p>
        </w:tc>
      </w:tr>
      <w:tr w14:paraId="0BFAF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ABDC5ED">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8695" w:type="dxa"/>
            <w:noWrap w:val="0"/>
            <w:vAlign w:val="center"/>
          </w:tcPr>
          <w:p w14:paraId="2DBBE8EF">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协商</w:t>
            </w:r>
            <w:r>
              <w:rPr>
                <w:rFonts w:hint="eastAsia" w:ascii="宋体" w:hAnsi="宋体"/>
                <w:color w:val="auto"/>
                <w:szCs w:val="21"/>
                <w:highlight w:val="none"/>
              </w:rPr>
              <w:t>报价包含</w:t>
            </w:r>
            <w:r>
              <w:rPr>
                <w:rFonts w:hint="eastAsia" w:ascii="宋体" w:hAnsi="宋体"/>
                <w:color w:val="auto"/>
                <w:szCs w:val="21"/>
                <w:highlight w:val="none"/>
                <w:lang w:eastAsia="zh-CN"/>
              </w:rPr>
              <w:t>协商</w:t>
            </w:r>
            <w:r>
              <w:rPr>
                <w:rFonts w:hint="eastAsia" w:ascii="宋体" w:hAnsi="宋体"/>
                <w:color w:val="auto"/>
                <w:szCs w:val="21"/>
                <w:highlight w:val="none"/>
              </w:rPr>
              <w:t>货物（包括备品备件、专用工具等）的价格，</w:t>
            </w:r>
            <w:r>
              <w:rPr>
                <w:rFonts w:hint="eastAsia" w:ascii="宋体" w:hAnsi="宋体"/>
                <w:color w:val="auto"/>
                <w:szCs w:val="21"/>
                <w:highlight w:val="none"/>
                <w:lang w:eastAsia="zh-CN"/>
              </w:rPr>
              <w:t>协商</w:t>
            </w:r>
            <w:r>
              <w:rPr>
                <w:rFonts w:hint="eastAsia" w:ascii="宋体" w:hAnsi="宋体"/>
                <w:color w:val="auto"/>
                <w:szCs w:val="21"/>
                <w:highlight w:val="none"/>
              </w:rPr>
              <w:t>货物运输（含保险）、安装（如有）、调试、检验、技术服务、培训和</w:t>
            </w:r>
            <w:r>
              <w:rPr>
                <w:rFonts w:hint="eastAsia" w:ascii="宋体" w:hAnsi="宋体"/>
                <w:color w:val="auto"/>
                <w:szCs w:val="21"/>
                <w:highlight w:val="none"/>
                <w:lang w:eastAsia="zh-CN"/>
              </w:rPr>
              <w:t>单一来源采购</w:t>
            </w:r>
            <w:r>
              <w:rPr>
                <w:rFonts w:hint="eastAsia" w:ascii="宋体" w:hAnsi="宋体"/>
                <w:color w:val="auto"/>
                <w:szCs w:val="21"/>
                <w:highlight w:val="none"/>
              </w:rPr>
              <w:t>文件要求提供的所有伴随服务、工程等费用和税费。供应商应对本项目的所有内容范围的货物进行总承包报价；采购人不再支付任何费用。</w:t>
            </w:r>
            <w:r>
              <w:rPr>
                <w:rFonts w:hint="eastAsia" w:ascii="宋体" w:hAnsi="宋体"/>
                <w:b/>
                <w:color w:val="auto"/>
                <w:szCs w:val="21"/>
                <w:highlight w:val="none"/>
              </w:rPr>
              <w:t>（采购需求另有约定的，从其约定。）</w:t>
            </w:r>
          </w:p>
        </w:tc>
      </w:tr>
      <w:tr w14:paraId="3A1E1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2ED7257">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8695" w:type="dxa"/>
            <w:noWrap w:val="0"/>
            <w:vAlign w:val="center"/>
          </w:tcPr>
          <w:p w14:paraId="05EA539B">
            <w:pPr>
              <w:pStyle w:val="6"/>
              <w:keepNext w:val="0"/>
              <w:keepLines w:val="0"/>
              <w:pageBreakBefore w:val="0"/>
              <w:widowControl w:val="0"/>
              <w:numPr>
                <w:ilvl w:val="0"/>
                <w:numId w:val="0"/>
              </w:numPr>
              <w:tabs>
                <w:tab w:val="left" w:pos="720"/>
                <w:tab w:val="left" w:pos="840"/>
                <w:tab w:val="clear" w:pos="360"/>
              </w:tabs>
              <w:kinsoku/>
              <w:wordWrap/>
              <w:overflowPunct/>
              <w:topLinePunct w:val="0"/>
              <w:bidi w:val="0"/>
              <w:adjustRightInd/>
              <w:snapToGrid w:val="0"/>
              <w:spacing w:afterLines="0" w:line="42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协商</w:t>
            </w:r>
            <w:r>
              <w:rPr>
                <w:rFonts w:hint="eastAsia" w:ascii="宋体" w:hAnsi="宋体" w:eastAsia="宋体" w:cs="宋体"/>
                <w:color w:val="auto"/>
                <w:kern w:val="2"/>
                <w:sz w:val="21"/>
                <w:szCs w:val="21"/>
                <w:highlight w:val="none"/>
              </w:rPr>
              <w:t xml:space="preserve">有效期：首次响应文件提交截止之日起60天内。 </w:t>
            </w:r>
          </w:p>
        </w:tc>
      </w:tr>
      <w:tr w14:paraId="2E78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A055364">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8695" w:type="dxa"/>
            <w:noWrap w:val="0"/>
            <w:vAlign w:val="center"/>
          </w:tcPr>
          <w:p w14:paraId="2A56E5A6">
            <w:pPr>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w:t>
            </w:r>
            <w:r>
              <w:rPr>
                <w:rFonts w:hint="eastAsia" w:ascii="宋体" w:hAnsi="宋体" w:cs="宋体"/>
                <w:color w:val="auto"/>
                <w:szCs w:val="21"/>
                <w:highlight w:val="none"/>
                <w:lang w:eastAsia="zh-CN"/>
              </w:rPr>
              <w:t>不</w:t>
            </w:r>
            <w:r>
              <w:rPr>
                <w:rFonts w:hint="eastAsia" w:ascii="宋体" w:hAnsi="宋体" w:eastAsia="宋体" w:cs="宋体"/>
                <w:color w:val="auto"/>
                <w:szCs w:val="21"/>
                <w:highlight w:val="none"/>
              </w:rPr>
              <w:t>收取</w:t>
            </w:r>
            <w:r>
              <w:rPr>
                <w:rFonts w:hint="eastAsia" w:ascii="宋体" w:hAnsi="宋体" w:eastAsia="宋体" w:cs="宋体"/>
                <w:color w:val="auto"/>
                <w:szCs w:val="21"/>
                <w:highlight w:val="none"/>
                <w:lang w:eastAsia="zh-CN"/>
              </w:rPr>
              <w:t>协商保证金</w:t>
            </w:r>
            <w:r>
              <w:rPr>
                <w:rFonts w:hint="eastAsia" w:ascii="宋体" w:hAnsi="宋体" w:cs="宋体"/>
                <w:color w:val="auto"/>
                <w:szCs w:val="21"/>
                <w:highlight w:val="none"/>
                <w:lang w:eastAsia="zh-CN"/>
              </w:rPr>
              <w:t>。</w:t>
            </w:r>
          </w:p>
        </w:tc>
      </w:tr>
      <w:tr w14:paraId="1C367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47B87B0">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p>
        </w:tc>
        <w:tc>
          <w:tcPr>
            <w:tcW w:w="8695" w:type="dxa"/>
            <w:noWrap w:val="0"/>
            <w:vAlign w:val="center"/>
          </w:tcPr>
          <w:p w14:paraId="76FA3C27">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响应文件应按资格证明文件、报价商务技术文件分别编制，</w:t>
            </w:r>
            <w:r>
              <w:rPr>
                <w:rFonts w:hint="eastAsia" w:ascii="宋体" w:hAnsi="宋体" w:eastAsia="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的要求编制、加密、上传。</w:t>
            </w:r>
          </w:p>
        </w:tc>
      </w:tr>
      <w:tr w14:paraId="7A0D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774212D">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8695" w:type="dxa"/>
            <w:noWrap w:val="0"/>
            <w:vAlign w:val="center"/>
          </w:tcPr>
          <w:p w14:paraId="7DA9B5FE">
            <w:pPr>
              <w:keepNext w:val="0"/>
              <w:keepLines w:val="0"/>
              <w:pageBreakBefore w:val="0"/>
              <w:widowControl w:val="0"/>
              <w:kinsoku/>
              <w:wordWrap/>
              <w:overflowPunct/>
              <w:topLinePunct w:val="0"/>
              <w:bidi w:val="0"/>
              <w:adjustRightInd/>
              <w:spacing w:line="420" w:lineRule="exact"/>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首次响应文件提交截止时间：详见邀请函。</w:t>
            </w:r>
          </w:p>
          <w:p w14:paraId="0B12499B">
            <w:pPr>
              <w:keepNext w:val="0"/>
              <w:keepLines w:val="0"/>
              <w:pageBreakBefore w:val="0"/>
              <w:widowControl w:val="0"/>
              <w:kinsoku/>
              <w:wordWrap/>
              <w:overflowPunct/>
              <w:topLinePunct w:val="0"/>
              <w:bidi w:val="0"/>
              <w:adjustRightInd/>
              <w:spacing w:line="420" w:lineRule="exact"/>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首次响应文件提交地点：详见邀请函。</w:t>
            </w:r>
          </w:p>
        </w:tc>
      </w:tr>
      <w:tr w14:paraId="0464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866F9C1">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8695" w:type="dxa"/>
            <w:noWrap w:val="0"/>
            <w:vAlign w:val="center"/>
          </w:tcPr>
          <w:p w14:paraId="2750D24E">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小组的人数：3人。</w:t>
            </w:r>
          </w:p>
        </w:tc>
      </w:tr>
      <w:tr w14:paraId="2AD9F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B75A40">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p>
        </w:tc>
        <w:tc>
          <w:tcPr>
            <w:tcW w:w="8695" w:type="dxa"/>
            <w:noWrap w:val="0"/>
            <w:vAlign w:val="center"/>
          </w:tcPr>
          <w:p w14:paraId="19869154">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采购代理机构将依托电子交易平台发起开始解密指令，</w:t>
            </w:r>
            <w:r>
              <w:rPr>
                <w:rFonts w:hint="eastAsia" w:ascii="宋体" w:hAnsi="宋体" w:eastAsia="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电子开标大厅签到并在发起解密指令之时起30分钟内完成对电子响应文件在线解密。</w:t>
            </w:r>
            <w:r>
              <w:rPr>
                <w:rFonts w:hint="eastAsia" w:ascii="宋体" w:hAnsi="宋体" w:eastAsia="宋体" w:cs="宋体"/>
                <w:b/>
                <w:bCs/>
                <w:color w:val="auto"/>
                <w:szCs w:val="21"/>
                <w:highlight w:val="none"/>
              </w:rPr>
              <w:t>响应文件未按时解密的，视为响应文件无效。</w:t>
            </w:r>
          </w:p>
        </w:tc>
      </w:tr>
      <w:tr w14:paraId="073D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3A43FEB9">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8695" w:type="dxa"/>
            <w:noWrap w:val="0"/>
            <w:vAlign w:val="center"/>
          </w:tcPr>
          <w:p w14:paraId="14EA30BA">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rPr>
              <w:t>项。</w:t>
            </w:r>
          </w:p>
          <w:p w14:paraId="7DFAAE03">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技术要求评审中允许负偏离的条款数为</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项。</w:t>
            </w:r>
          </w:p>
        </w:tc>
      </w:tr>
      <w:tr w14:paraId="059E7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992" w:type="dxa"/>
            <w:vMerge w:val="continue"/>
            <w:noWrap w:val="0"/>
            <w:vAlign w:val="center"/>
          </w:tcPr>
          <w:p w14:paraId="2CE2B6F4">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p>
        </w:tc>
        <w:tc>
          <w:tcPr>
            <w:tcW w:w="8695" w:type="dxa"/>
            <w:noWrap w:val="0"/>
            <w:vAlign w:val="center"/>
          </w:tcPr>
          <w:p w14:paraId="751CA326">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符合</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资格的供应商必须在接到</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通知后规定时间内参加</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，未在规定时间内参加</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的视同放弃参加</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权利，其响应文件按无效响应处理。</w:t>
            </w:r>
          </w:p>
          <w:p w14:paraId="28835F23">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参与</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前，供应商法定代表人或者委托代理人必须向</w:t>
            </w:r>
            <w:r>
              <w:rPr>
                <w:rFonts w:hint="eastAsia" w:ascii="宋体" w:hAnsi="宋体" w:eastAsia="宋体" w:cs="宋体"/>
                <w:b/>
                <w:color w:val="auto"/>
                <w:szCs w:val="21"/>
                <w:highlight w:val="none"/>
                <w:lang w:eastAsia="zh-CN"/>
              </w:rPr>
              <w:t>协商</w:t>
            </w:r>
            <w:r>
              <w:rPr>
                <w:rFonts w:hint="eastAsia" w:ascii="宋体" w:hAnsi="宋体" w:eastAsia="宋体" w:cs="宋体"/>
                <w:b/>
                <w:color w:val="auto"/>
                <w:szCs w:val="21"/>
                <w:highlight w:val="none"/>
              </w:rPr>
              <w:t>小组出示本人有效证件原件[有效证件可以是身份证（含临时身份证明）或者护照的其中一项]。</w:t>
            </w:r>
          </w:p>
        </w:tc>
      </w:tr>
      <w:tr w14:paraId="14A3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658451">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8695" w:type="dxa"/>
            <w:noWrap w:val="0"/>
            <w:vAlign w:val="center"/>
          </w:tcPr>
          <w:p w14:paraId="11F25EA0">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2BDD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23669FB">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8695" w:type="dxa"/>
            <w:noWrap w:val="0"/>
            <w:vAlign w:val="center"/>
          </w:tcPr>
          <w:p w14:paraId="53D51C1C">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77934618">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委托代理人负责签订合同的，须携带授权委托书及委托代理人身份证原件等其他资格证件。</w:t>
            </w:r>
          </w:p>
          <w:p w14:paraId="05CD1A63">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1085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37BB89">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.1</w:t>
            </w:r>
          </w:p>
        </w:tc>
        <w:tc>
          <w:tcPr>
            <w:tcW w:w="8695" w:type="dxa"/>
            <w:noWrap w:val="0"/>
            <w:vAlign w:val="center"/>
          </w:tcPr>
          <w:p w14:paraId="1B0A5CF8">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236A96B9">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采购代理服务费收取标准：</w:t>
            </w:r>
          </w:p>
          <w:p w14:paraId="39CABD49">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本项目采购代理服务费按发改价格〔2015〕299号文件规定收取，具体采购代理服务费为：1分标：人民币捌仟捌佰伍拾元整（￥8850.00）；2分标：人民币叁仟柒佰零伍元整（￥3705.00）</w:t>
            </w:r>
            <w:r>
              <w:rPr>
                <w:rFonts w:hint="eastAsia" w:ascii="宋体" w:hAnsi="宋体" w:eastAsia="宋体" w:cs="宋体"/>
                <w:color w:val="auto"/>
                <w:sz w:val="21"/>
                <w:highlight w:val="none"/>
                <w:lang w:val="en-US" w:eastAsia="zh-CN"/>
              </w:rPr>
              <w:t>。</w:t>
            </w:r>
          </w:p>
          <w:p w14:paraId="26A19B3E">
            <w:pPr>
              <w:pStyle w:val="12"/>
              <w:snapToGrid w:val="0"/>
              <w:spacing w:line="360" w:lineRule="auto"/>
              <w:rPr>
                <w:rFonts w:hint="eastAsia" w:hAnsi="宋体" w:cs="宋体"/>
                <w:color w:val="auto"/>
                <w:sz w:val="21"/>
                <w:highlight w:val="none"/>
                <w:lang w:val="en-US" w:eastAsia="zh-CN"/>
              </w:rPr>
            </w:pPr>
            <w:r>
              <w:rPr>
                <w:rFonts w:hint="eastAsia" w:ascii="宋体" w:hAnsi="宋体" w:eastAsia="宋体" w:cs="宋体"/>
                <w:color w:val="auto"/>
                <w:sz w:val="21"/>
                <w:highlight w:val="none"/>
                <w:lang w:val="en-US" w:eastAsia="zh-CN"/>
              </w:rPr>
              <w:t>3、</w:t>
            </w:r>
            <w:r>
              <w:rPr>
                <w:rFonts w:hint="eastAsia" w:hAnsi="宋体" w:cs="宋体"/>
                <w:color w:val="auto"/>
                <w:sz w:val="21"/>
                <w:highlight w:val="none"/>
                <w:lang w:val="en-US" w:eastAsia="zh-CN"/>
              </w:rPr>
              <w:t>开户名称：广西柯源工程项目管理有限公司，</w:t>
            </w:r>
          </w:p>
          <w:p w14:paraId="0D854DA9">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开户银行：中国工商银行股份有限公司贵港市贵城支行，</w:t>
            </w:r>
          </w:p>
          <w:p w14:paraId="6400B6D5">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u w:val="single"/>
                <w:lang w:val="en-US" w:eastAsia="zh-CN"/>
              </w:rPr>
            </w:pPr>
            <w:r>
              <w:rPr>
                <w:rFonts w:hint="eastAsia" w:hAnsi="宋体" w:cs="宋体"/>
                <w:color w:val="auto"/>
                <w:sz w:val="21"/>
                <w:highlight w:val="none"/>
                <w:lang w:val="en-US" w:eastAsia="zh-CN"/>
              </w:rPr>
              <w:t>银行账号：2116711109100148762</w:t>
            </w:r>
          </w:p>
        </w:tc>
      </w:tr>
      <w:tr w14:paraId="557C4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09AD5D5">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w:t>
            </w:r>
          </w:p>
        </w:tc>
        <w:tc>
          <w:tcPr>
            <w:tcW w:w="8695" w:type="dxa"/>
            <w:noWrap w:val="0"/>
            <w:vAlign w:val="center"/>
          </w:tcPr>
          <w:p w14:paraId="131CB6E4">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解释：构成本单一来源采购文件的各个组成文件应互为解释，互为说明；除单一来源采购文件中有特别规定外，仅适用于协商阶段的规定，按更正公告（澄清公告）、单一来源采购邀请函、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单一来源采购文件不一致时以更正公告（澄清公告）为准。按本款前述规定仍不能形成结论的，由采购人或者采购代理机构负责解释。</w:t>
            </w:r>
          </w:p>
        </w:tc>
      </w:tr>
      <w:tr w14:paraId="19BD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EE0E15">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w:t>
            </w:r>
          </w:p>
        </w:tc>
        <w:tc>
          <w:tcPr>
            <w:tcW w:w="8695" w:type="dxa"/>
            <w:noWrap w:val="0"/>
            <w:vAlign w:val="center"/>
          </w:tcPr>
          <w:p w14:paraId="799D7F61">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单一来源采购文件中描述供应商的“公章”是指根据我国对公章的管理规定，用供应商法定主体行为名称制作的印章（含电子印章），除本单一来源采购文件有特殊规定外，供应商的财务章、部门章、分公司章、工会章、合同章、协商专用章、业务专用章及银行的转账章、现金收讫章、现金付讫章等其他形式印章均不能代替公章。</w:t>
            </w:r>
          </w:p>
          <w:p w14:paraId="54655F72">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2.本单一来源采购文件中描述供应商的“签字”是指供应商的法定代表人或者委托代理人在文件规定签署处签名（含电子签名</w:t>
            </w:r>
            <w:r>
              <w:rPr>
                <w:rFonts w:hint="eastAsia" w:hAnsi="宋体" w:cs="宋体"/>
                <w:color w:val="auto"/>
                <w:sz w:val="21"/>
                <w:highlight w:val="none"/>
                <w:lang w:val="en-US" w:eastAsia="zh-CN"/>
              </w:rPr>
              <w:t>、电子印章、</w:t>
            </w:r>
            <w:r>
              <w:rPr>
                <w:rFonts w:hint="eastAsia" w:ascii="宋体" w:hAnsi="宋体" w:eastAsia="宋体" w:cs="宋体"/>
                <w:color w:val="auto"/>
                <w:sz w:val="21"/>
                <w:highlight w:val="none"/>
                <w:lang w:val="en-US" w:eastAsia="zh-CN"/>
              </w:rPr>
              <w:t>私章、印鉴）的行为</w:t>
            </w:r>
            <w:r>
              <w:rPr>
                <w:rFonts w:hint="eastAsia" w:hAnsi="宋体" w:cs="宋体"/>
                <w:color w:val="auto"/>
                <w:sz w:val="21"/>
                <w:highlight w:val="none"/>
                <w:lang w:val="en-US" w:eastAsia="zh-CN"/>
              </w:rPr>
              <w:t>，法定代表人</w:t>
            </w:r>
            <w:r>
              <w:rPr>
                <w:rFonts w:hint="eastAsia" w:ascii="宋体" w:hAnsi="宋体" w:eastAsia="宋体" w:cs="宋体"/>
                <w:color w:val="auto"/>
                <w:sz w:val="21"/>
                <w:highlight w:val="none"/>
                <w:lang w:val="en-US" w:eastAsia="zh-CN"/>
              </w:rPr>
              <w:t>或者委托代理人</w:t>
            </w:r>
            <w:r>
              <w:rPr>
                <w:rFonts w:hint="eastAsia" w:hAnsi="宋体" w:cs="宋体"/>
                <w:color w:val="auto"/>
                <w:sz w:val="21"/>
                <w:highlight w:val="none"/>
                <w:lang w:val="en-US" w:eastAsia="zh-CN"/>
              </w:rPr>
              <w:t>的私章、印鉴（含电子私章、电子印鉴）法律效力与法定代表人</w:t>
            </w:r>
            <w:r>
              <w:rPr>
                <w:rFonts w:hint="eastAsia" w:ascii="宋体" w:hAnsi="宋体" w:eastAsia="宋体" w:cs="宋体"/>
                <w:color w:val="auto"/>
                <w:sz w:val="21"/>
                <w:highlight w:val="none"/>
                <w:lang w:val="en-US" w:eastAsia="zh-CN"/>
              </w:rPr>
              <w:t>或者委托代理人</w:t>
            </w:r>
            <w:bookmarkStart w:id="35" w:name="_GoBack"/>
            <w:bookmarkEnd w:id="35"/>
            <w:r>
              <w:rPr>
                <w:rFonts w:hint="eastAsia" w:hAnsi="宋体" w:cs="宋体"/>
                <w:color w:val="auto"/>
                <w:sz w:val="21"/>
                <w:highlight w:val="none"/>
                <w:lang w:val="en-US" w:eastAsia="zh-CN"/>
              </w:rPr>
              <w:t>签字等同</w:t>
            </w:r>
            <w:r>
              <w:rPr>
                <w:rFonts w:hint="eastAsia" w:ascii="宋体" w:hAnsi="宋体" w:eastAsia="宋体" w:cs="宋体"/>
                <w:color w:val="auto"/>
                <w:sz w:val="21"/>
                <w:highlight w:val="none"/>
                <w:lang w:val="en-US" w:eastAsia="zh-CN"/>
              </w:rPr>
              <w:t>。</w:t>
            </w:r>
          </w:p>
          <w:p w14:paraId="143744BC">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3.本单一来源采购文件所称的“以上”“以下”“以内”“届满”，包括本数；所称的“不满”“超过”“以外”，不包括本数。</w:t>
            </w:r>
          </w:p>
        </w:tc>
      </w:tr>
    </w:tbl>
    <w:p w14:paraId="258AC0CB">
      <w:pPr>
        <w:rPr>
          <w:rFonts w:hint="eastAsia" w:ascii="宋体" w:hAnsi="宋体" w:eastAsia="宋体" w:cs="宋体"/>
          <w:color w:val="auto"/>
          <w:highlight w:val="none"/>
        </w:rPr>
      </w:pPr>
    </w:p>
    <w:p w14:paraId="4780FF25">
      <w:pPr>
        <w:rPr>
          <w:rFonts w:hint="eastAsia" w:ascii="宋体" w:hAnsi="宋体" w:eastAsia="宋体" w:cs="宋体"/>
          <w:color w:val="auto"/>
          <w:highlight w:val="none"/>
        </w:rPr>
      </w:pPr>
    </w:p>
    <w:p w14:paraId="46A6E7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4580F3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3F5D60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6BB605E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48D1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t>供应商须知正文</w:t>
      </w:r>
    </w:p>
    <w:p w14:paraId="2CF544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14:paraId="3B1124E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p>
    <w:p w14:paraId="6D78726D">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0CDFBB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的相关行为均受《中华人民共和国政府采购法》《中华人民共和国政府采购法实施条例》《政府采购非招标采购方式管理办法》及本项目本级和上级财政部门政府采购有关规定的约束和保护。</w:t>
      </w:r>
    </w:p>
    <w:p w14:paraId="7DD349C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w:t>
      </w:r>
      <w:r>
        <w:rPr>
          <w:rFonts w:hint="eastAsia" w:ascii="宋体" w:hAnsi="宋体" w:eastAsia="宋体" w:cs="宋体"/>
          <w:color w:val="auto"/>
          <w:spacing w:val="-6"/>
          <w:szCs w:val="21"/>
          <w:highlight w:val="none"/>
          <w:lang w:eastAsia="zh-CN"/>
        </w:rPr>
        <w:t>单一来源采购文件</w:t>
      </w:r>
      <w:r>
        <w:rPr>
          <w:rFonts w:hint="eastAsia" w:ascii="宋体" w:hAnsi="宋体" w:eastAsia="宋体" w:cs="宋体"/>
          <w:color w:val="auto"/>
          <w:spacing w:val="-6"/>
          <w:szCs w:val="21"/>
          <w:highlight w:val="none"/>
        </w:rPr>
        <w:t>（以下简称</w:t>
      </w:r>
      <w:r>
        <w:rPr>
          <w:rFonts w:hint="eastAsia" w:ascii="宋体" w:hAnsi="宋体" w:eastAsia="宋体" w:cs="宋体"/>
          <w:color w:val="auto"/>
          <w:spacing w:val="-6"/>
          <w:szCs w:val="21"/>
          <w:highlight w:val="none"/>
          <w:lang w:eastAsia="zh-CN"/>
        </w:rPr>
        <w:t>采购文件</w:t>
      </w:r>
      <w:r>
        <w:rPr>
          <w:rFonts w:hint="eastAsia" w:ascii="宋体" w:hAnsi="宋体" w:eastAsia="宋体" w:cs="宋体"/>
          <w:color w:val="auto"/>
          <w:spacing w:val="-6"/>
          <w:szCs w:val="21"/>
          <w:highlight w:val="none"/>
        </w:rPr>
        <w:t>）适用于本项目的所有采购程序和环节（法律、法规另有规定的，从其规定）。</w:t>
      </w:r>
    </w:p>
    <w:p w14:paraId="37650181">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6DF2B26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4B0B6BA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w:t>
      </w:r>
      <w:r>
        <w:rPr>
          <w:rFonts w:hint="eastAsia" w:ascii="宋体" w:hAnsi="宋体" w:eastAsia="宋体" w:cs="宋体"/>
          <w:b/>
          <w:color w:val="auto"/>
          <w:szCs w:val="21"/>
          <w:highlight w:val="none"/>
        </w:rPr>
        <w:t>是指政府采购集中采购机构和集中采购机构以外的采购代理机构。</w:t>
      </w:r>
    </w:p>
    <w:p w14:paraId="53ADFFB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75296B7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50C1130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”是指按照本项目</w:t>
      </w:r>
      <w:r>
        <w:rPr>
          <w:rFonts w:hint="eastAsia" w:ascii="宋体" w:hAnsi="宋体" w:eastAsia="宋体" w:cs="宋体"/>
          <w:color w:val="auto"/>
          <w:szCs w:val="21"/>
          <w:highlight w:val="none"/>
          <w:lang w:eastAsia="zh-CN"/>
        </w:rPr>
        <w:t>单一来源采购邀请函</w:t>
      </w:r>
      <w:r>
        <w:rPr>
          <w:rFonts w:hint="eastAsia" w:ascii="宋体" w:hAnsi="宋体" w:eastAsia="宋体" w:cs="宋体"/>
          <w:color w:val="auto"/>
          <w:szCs w:val="21"/>
          <w:highlight w:val="none"/>
        </w:rPr>
        <w:t>规定的方式供应商获取</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、提交响应文件并希望获得标的的行为。</w:t>
      </w:r>
    </w:p>
    <w:p w14:paraId="21E630F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2.6“售后服务”是指包含但不限于供应商须承担的备品备件、包装、运输、装卸、保险、货到就位以及安装、调试、培训、保修和其他类似的义务。</w:t>
      </w:r>
    </w:p>
    <w:p w14:paraId="7638EAF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13C13B2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w:t>
      </w:r>
      <w:r>
        <w:rPr>
          <w:rFonts w:hint="eastAsia" w:ascii="宋体" w:hAnsi="宋体" w:eastAsia="宋体" w:cs="宋体"/>
          <w:color w:val="auto"/>
          <w:spacing w:val="-6"/>
          <w:szCs w:val="21"/>
          <w:highlight w:val="none"/>
          <w:lang w:eastAsia="zh-CN"/>
        </w:rPr>
        <w:t>采购文件</w:t>
      </w:r>
      <w:r>
        <w:rPr>
          <w:rFonts w:hint="eastAsia" w:ascii="宋体" w:hAnsi="宋体" w:eastAsia="宋体" w:cs="宋体"/>
          <w:color w:val="auto"/>
          <w:spacing w:val="-6"/>
          <w:szCs w:val="21"/>
          <w:highlight w:val="none"/>
        </w:rPr>
        <w:t>要求，编制包含报价、技术和服务等所有内容的文件。</w:t>
      </w:r>
    </w:p>
    <w:p w14:paraId="0CE194A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2.9“实质性要求”是指采购需求中带“▲”的条款或者不能负偏离的条款或者已经指明不满足按响应文件按无效响应处理的条款。</w:t>
      </w:r>
    </w:p>
    <w:p w14:paraId="513F2F1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“采购需求”中有关条款作出优于条款要求并有利于采购人的响应情形；</w:t>
      </w:r>
    </w:p>
    <w:p w14:paraId="38C6804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“采购需求”中有关条款作出的响应不满足条款要求，导致采购人要求不能得到满足的情形。</w:t>
      </w:r>
    </w:p>
    <w:p w14:paraId="09A4B93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07C35A4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w:t>
      </w:r>
    </w:p>
    <w:p w14:paraId="6E8C67C8">
      <w:pPr>
        <w:keepNext w:val="0"/>
        <w:keepLines w:val="0"/>
        <w:pageBreakBefore w:val="0"/>
        <w:kinsoku/>
        <w:wordWrap/>
        <w:overflowPunct/>
        <w:topLinePunct w:val="0"/>
        <w:autoSpaceDE/>
        <w:autoSpaceDN/>
        <w:bidi w:val="0"/>
        <w:adjustRightInd/>
        <w:snapToGrid/>
        <w:spacing w:line="420" w:lineRule="exact"/>
        <w:ind w:firstLine="482" w:firstLineChars="200"/>
        <w:contextualSpacing/>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3D44B24">
      <w:pPr>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6D279614">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费用</w:t>
      </w:r>
    </w:p>
    <w:p w14:paraId="2E8B03A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费用：供应商应承担参与本次采购活动有关的所有费用，包括但不限于获取</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、勘查现场、编制和提交响应文件、参加</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与应答、签订合同等，不论</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结果如何，均应自行承担。</w:t>
      </w:r>
    </w:p>
    <w:p w14:paraId="1BC1CD7E">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5.联合体</w:t>
      </w:r>
      <w:r>
        <w:rPr>
          <w:rFonts w:hint="eastAsia" w:ascii="宋体" w:hAnsi="宋体" w:eastAsia="宋体" w:cs="宋体"/>
          <w:b/>
          <w:bCs/>
          <w:color w:val="auto"/>
          <w:sz w:val="24"/>
          <w:highlight w:val="none"/>
          <w:lang w:eastAsia="zh-CN"/>
        </w:rPr>
        <w:t>协商</w:t>
      </w:r>
    </w:p>
    <w:p w14:paraId="772C279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rPr>
        <w:t>接受联合体</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w:t>
      </w:r>
    </w:p>
    <w:p w14:paraId="32C9F816">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6.转包与分包</w:t>
      </w:r>
    </w:p>
    <w:p w14:paraId="451A170D">
      <w:pPr>
        <w:keepNext w:val="0"/>
        <w:keepLines w:val="0"/>
        <w:pageBreakBefore w:val="0"/>
        <w:kinsoku/>
        <w:wordWrap/>
        <w:overflowPunct/>
        <w:topLinePunct w:val="0"/>
        <w:autoSpaceDE/>
        <w:autoSpaceDN/>
        <w:bidi w:val="0"/>
        <w:adjustRightInd/>
        <w:snapToGrid/>
        <w:spacing w:before="0" w:after="0" w:line="420" w:lineRule="exact"/>
        <w:ind w:firstLine="420" w:firstLineChars="200"/>
        <w:textAlignment w:val="auto"/>
        <w:outlineLvl w:val="9"/>
        <w:rPr>
          <w:rFonts w:hint="eastAsia" w:ascii="宋体" w:hAnsi="宋体" w:eastAsia="宋体" w:cs="宋体"/>
          <w:b w:val="0"/>
          <w:color w:val="auto"/>
          <w:sz w:val="21"/>
          <w:szCs w:val="21"/>
          <w:highlight w:val="none"/>
        </w:rPr>
      </w:pPr>
      <w:bookmarkStart w:id="10" w:name="_Toc254970673"/>
      <w:bookmarkStart w:id="11" w:name="_Toc254970532"/>
      <w:r>
        <w:rPr>
          <w:rFonts w:hint="eastAsia" w:ascii="宋体" w:hAnsi="宋体" w:eastAsia="宋体" w:cs="宋体"/>
          <w:b w:val="0"/>
          <w:color w:val="auto"/>
          <w:sz w:val="21"/>
          <w:szCs w:val="21"/>
          <w:highlight w:val="none"/>
        </w:rPr>
        <w:t>6.1本项目不允许转包。</w:t>
      </w:r>
    </w:p>
    <w:p w14:paraId="0B76E991">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10"/>
      <w:bookmarkEnd w:id="11"/>
    </w:p>
    <w:p w14:paraId="58BBF8E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bookmarkStart w:id="12" w:name="_8.1提供相同品牌产品且通过资格审查、符合性审查的不同投标人参加同一合"/>
      <w:bookmarkEnd w:id="12"/>
      <w:r>
        <w:rPr>
          <w:rFonts w:hint="eastAsia" w:ascii="宋体" w:hAnsi="宋体" w:eastAsia="宋体" w:cs="宋体"/>
          <w:color w:val="auto"/>
          <w:szCs w:val="21"/>
          <w:highlight w:val="none"/>
        </w:rPr>
        <w:t>7.1如果本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要求提供供应商或制造商的资格、信誉、荣誉、业绩与企业认证等材料的，资格、信誉、荣誉、业绩与企业认证等必须为供应商或者制造商所拥有或自身获得。</w:t>
      </w:r>
    </w:p>
    <w:p w14:paraId="232502E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的所有内容，按照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的要求提交响应文件，并对所提供的全部资料的真实性承担法律责任。</w:t>
      </w:r>
    </w:p>
    <w:p w14:paraId="16498F4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活动中提供任何虚假材料,其响应文件按无效响应处理，并报监管部门查处；签订合同后发现的,成交供应商须依法赔偿采购人，且民事赔偿并不免除违法供应商的行政与刑事责任。</w:t>
      </w:r>
    </w:p>
    <w:p w14:paraId="1F25375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160B5E1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7A3309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3533B2D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3626047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63F229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7019B5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bookmarkStart w:id="13" w:name="_Toc254970534"/>
      <w:bookmarkStart w:id="14" w:name="_Toc254970675"/>
    </w:p>
    <w:p w14:paraId="78AACAF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rPr>
      </w:pPr>
    </w:p>
    <w:p w14:paraId="17E68235">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二、</w:t>
      </w:r>
      <w:bookmarkEnd w:id="13"/>
      <w:bookmarkEnd w:id="14"/>
      <w:r>
        <w:rPr>
          <w:rFonts w:hint="eastAsia" w:ascii="宋体" w:hAnsi="宋体" w:eastAsia="宋体" w:cs="宋体"/>
          <w:b/>
          <w:color w:val="auto"/>
          <w:sz w:val="32"/>
          <w:szCs w:val="32"/>
          <w:highlight w:val="none"/>
          <w:lang w:eastAsia="zh-CN"/>
        </w:rPr>
        <w:t>采购文件</w:t>
      </w:r>
    </w:p>
    <w:p w14:paraId="4DA19F72">
      <w:pPr>
        <w:keepNext w:val="0"/>
        <w:keepLines w:val="0"/>
        <w:pageBreakBefore w:val="0"/>
        <w:kinsoku/>
        <w:wordWrap/>
        <w:overflowPunct/>
        <w:topLinePunct w:val="0"/>
        <w:autoSpaceDE/>
        <w:autoSpaceDN/>
        <w:bidi w:val="0"/>
        <w:adjustRightInd/>
        <w:snapToGrid/>
        <w:spacing w:line="420" w:lineRule="exact"/>
        <w:ind w:firstLine="420" w:firstLineChars="200"/>
        <w:jc w:val="center"/>
        <w:textAlignment w:val="auto"/>
        <w:rPr>
          <w:rFonts w:hint="eastAsia" w:ascii="宋体" w:hAnsi="宋体" w:eastAsia="宋体" w:cs="宋体"/>
          <w:color w:val="auto"/>
          <w:szCs w:val="21"/>
          <w:highlight w:val="none"/>
        </w:rPr>
      </w:pPr>
    </w:p>
    <w:p w14:paraId="266A34D2">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的构成</w:t>
      </w:r>
    </w:p>
    <w:p w14:paraId="467B6564">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单一来源采购邀请函</w:t>
      </w:r>
      <w:r>
        <w:rPr>
          <w:rFonts w:hint="eastAsia" w:ascii="宋体" w:hAnsi="宋体" w:eastAsia="宋体" w:cs="宋体"/>
          <w:color w:val="auto"/>
          <w:szCs w:val="21"/>
          <w:highlight w:val="none"/>
        </w:rPr>
        <w:t>；</w:t>
      </w:r>
    </w:p>
    <w:p w14:paraId="490A890D">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58009B95">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10567180">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）评审程序和评定成交的标准；</w:t>
      </w:r>
    </w:p>
    <w:p w14:paraId="36A544FE">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）响应文件格式</w:t>
      </w:r>
      <w:r>
        <w:rPr>
          <w:rFonts w:hint="eastAsia" w:ascii="宋体" w:hAnsi="宋体" w:eastAsia="宋体" w:cs="宋体"/>
          <w:color w:val="auto"/>
          <w:szCs w:val="21"/>
          <w:highlight w:val="none"/>
          <w:lang w:eastAsia="zh-CN"/>
        </w:rPr>
        <w:t>；</w:t>
      </w:r>
    </w:p>
    <w:p w14:paraId="48BB8314">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）合同文本；</w:t>
      </w:r>
    </w:p>
    <w:p w14:paraId="6AE2B316">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1E84B7E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的采购需求，如供应商对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有疑问的，如要求采购人作出澄清或者修改的，供应商尽可能在提交首次响应文件截止之日前，以纸质书面形式向采购人、采购代理机构提出，否则，由此产生的后果由供应商自行负责。</w:t>
      </w:r>
    </w:p>
    <w:p w14:paraId="727C8D24">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的澄清和修改</w:t>
      </w:r>
    </w:p>
    <w:p w14:paraId="1531C87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10.1提交首次响应文件截止之日前，采购人、采购代理机构或者</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可以对已发出的</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进行必要的澄清或者修改，澄清或者修改的内容作为</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的组成部分。澄清或者修改将在</w:t>
      </w:r>
      <w:r>
        <w:rPr>
          <w:rFonts w:hint="eastAsia" w:ascii="宋体" w:hAnsi="宋体" w:cs="宋体"/>
          <w:color w:val="auto"/>
          <w:szCs w:val="21"/>
          <w:highlight w:val="none"/>
          <w:lang w:eastAsia="zh-CN"/>
        </w:rPr>
        <w:t>相应的网站</w:t>
      </w:r>
      <w:r>
        <w:rPr>
          <w:rFonts w:hint="eastAsia" w:ascii="宋体" w:hAnsi="宋体" w:eastAsia="宋体" w:cs="宋体"/>
          <w:color w:val="auto"/>
          <w:szCs w:val="21"/>
          <w:highlight w:val="none"/>
        </w:rPr>
        <w:t>上发布更正公告。澄清或者修改的内容可能影响响应文件编制的，采购人、采购代理机构或者</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应当在提交首次响应文件截止之日3个工作日前，在</w:t>
      </w:r>
      <w:r>
        <w:rPr>
          <w:rFonts w:hint="eastAsia" w:ascii="宋体" w:hAnsi="宋体" w:cs="宋体"/>
          <w:color w:val="auto"/>
          <w:szCs w:val="21"/>
          <w:highlight w:val="none"/>
          <w:lang w:eastAsia="zh-CN"/>
        </w:rPr>
        <w:t>相应的网站上</w:t>
      </w:r>
      <w:r>
        <w:rPr>
          <w:rFonts w:hint="eastAsia" w:ascii="宋体" w:hAnsi="宋体" w:eastAsia="宋体" w:cs="宋体"/>
          <w:color w:val="auto"/>
          <w:szCs w:val="21"/>
          <w:highlight w:val="none"/>
        </w:rPr>
        <w:t>发布更正公告；不足3个工作日的，应当顺延提交首次响应文件截止之日。</w:t>
      </w:r>
    </w:p>
    <w:p w14:paraId="11ABF11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10.2采购人和采购代理机构可以视采购具体情况，变更</w:t>
      </w: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highlight w:val="none"/>
        </w:rPr>
        <w:t>，并</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相应的网站上</w:t>
      </w:r>
      <w:r>
        <w:rPr>
          <w:rFonts w:hint="eastAsia" w:ascii="宋体" w:hAnsi="宋体" w:eastAsia="宋体" w:cs="宋体"/>
          <w:color w:val="auto"/>
          <w:szCs w:val="21"/>
          <w:highlight w:val="none"/>
        </w:rPr>
        <w:t>发布更正公告。</w:t>
      </w:r>
    </w:p>
    <w:p w14:paraId="444E466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澄清、答复、修改、补充的内容为</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的组成部分。</w:t>
      </w:r>
      <w:r>
        <w:rPr>
          <w:rFonts w:hint="eastAsia" w:ascii="宋体" w:hAnsi="宋体" w:eastAsia="宋体" w:cs="宋体"/>
          <w:b/>
          <w:color w:val="auto"/>
          <w:szCs w:val="21"/>
          <w:highlight w:val="none"/>
        </w:rPr>
        <w:t>当</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与</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的澄清、答复、修改、补充通知就同一内容的表述不一致时，以最后发出的文件为准。</w:t>
      </w:r>
    </w:p>
    <w:p w14:paraId="2CF46701">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rPr>
        <w:t>10.4</w:t>
      </w:r>
      <w:r>
        <w:rPr>
          <w:rFonts w:hint="eastAsia" w:ascii="宋体" w:hAnsi="宋体" w:eastAsia="宋体" w:cs="宋体"/>
          <w:b/>
          <w:color w:val="auto"/>
          <w:szCs w:val="21"/>
          <w:highlight w:val="none"/>
        </w:rPr>
        <w:t>响应文件未按</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的澄清、修改后的内容编制的，其响应文件作无效响应处理。</w:t>
      </w:r>
    </w:p>
    <w:p w14:paraId="40981BB7">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rPr>
      </w:pPr>
    </w:p>
    <w:p w14:paraId="4146DA5A">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 w:val="32"/>
          <w:szCs w:val="32"/>
          <w:highlight w:val="none"/>
        </w:rPr>
        <w:t>三、响应文件的编制</w:t>
      </w:r>
    </w:p>
    <w:p w14:paraId="3DE4E84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p>
    <w:p w14:paraId="4B987A07">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95BA97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的要求编制响应文件，并对其提交的响应文件的真实性、合法性承担法律责任。响应文件必须对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作出实质性响应。</w:t>
      </w:r>
    </w:p>
    <w:p w14:paraId="3D3927CF">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7C24E5D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12.1响应文件由资格证明文件、报价商务技术文件两部分组成。</w:t>
      </w:r>
    </w:p>
    <w:p w14:paraId="01BE932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33830DF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12.1.2报价商务技术文件：详见“供应商须知前附表”</w:t>
      </w:r>
    </w:p>
    <w:p w14:paraId="60E14F66">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40F951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已有明确规定的，使用</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规定的计量单位；</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没有规定的，应采用中华人民共和国法定计量单位，货币种类为人民币，否则视同未响应。</w:t>
      </w:r>
    </w:p>
    <w:p w14:paraId="10D69B60">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的风险</w:t>
      </w:r>
    </w:p>
    <w:p w14:paraId="1D46678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要求提供全部资料，或者供应商没有对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在各方面作出实质性响应可能导致其响应文件按无效响应处理，是供应商应当考虑的风险。</w:t>
      </w:r>
    </w:p>
    <w:p w14:paraId="0D0015A7">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lang w:eastAsia="zh-CN"/>
        </w:rPr>
        <w:t>报价</w:t>
      </w:r>
    </w:p>
    <w:p w14:paraId="41736B6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中“</w:t>
      </w:r>
      <w:r>
        <w:rPr>
          <w:rFonts w:hint="eastAsia" w:ascii="宋体" w:hAnsi="宋体" w:cs="宋体"/>
          <w:color w:val="auto"/>
          <w:szCs w:val="21"/>
          <w:highlight w:val="none"/>
          <w:lang w:eastAsia="zh-CN"/>
        </w:rPr>
        <w:t>协商</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表”格式填写。</w:t>
      </w:r>
    </w:p>
    <w:p w14:paraId="0A77DA1B">
      <w:pPr>
        <w:keepNext w:val="0"/>
        <w:keepLines w:val="0"/>
        <w:pageBreakBefore w:val="0"/>
        <w:tabs>
          <w:tab w:val="left" w:pos="249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的内容详见“供应商须知前附表”。</w:t>
      </w:r>
    </w:p>
    <w:p w14:paraId="21EA77B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要求</w:t>
      </w:r>
    </w:p>
    <w:p w14:paraId="2107991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应符合以下要求，否则响应文件按无效响应处理：</w:t>
      </w:r>
    </w:p>
    <w:p w14:paraId="333B0B7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的每个分标的全部内容分别作完整唯一总价报价，不得存在漏项报价；</w:t>
      </w:r>
    </w:p>
    <w:p w14:paraId="6EDBA12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的分标的单项内容作唯一报价。</w:t>
      </w:r>
    </w:p>
    <w:p w14:paraId="43145DE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15.3.2报价超过所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分标规定的采购预算金额或者最高限价的，其响应文件将按无效响应处理。</w:t>
      </w:r>
    </w:p>
    <w:p w14:paraId="08261EC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有效期</w:t>
      </w:r>
    </w:p>
    <w:p w14:paraId="3D1A43B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有效期是指为保证采购人有足够的时间在提交响应文件后完成评审、确定成交供应商、合同签订等工作而要求供应商提交的响应文件在一定时间内保持有效的期限。</w:t>
      </w:r>
    </w:p>
    <w:p w14:paraId="1DA8E8E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有效期应由供应商按“供应商须知前附表”规定的期限作出响应。</w:t>
      </w:r>
    </w:p>
    <w:p w14:paraId="0215AA3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有效期内均保持有效。</w:t>
      </w:r>
    </w:p>
    <w:p w14:paraId="79EF62E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保证金</w:t>
      </w:r>
    </w:p>
    <w:p w14:paraId="0F7AE73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保证金。</w:t>
      </w:r>
    </w:p>
    <w:p w14:paraId="54A048F1">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3C94C6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18.1供应商应按本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规定的格式和顺序编制、装订响应文件并标注页码，响应文件内容</w:t>
      </w:r>
      <w:r>
        <w:rPr>
          <w:rFonts w:hint="eastAsia" w:ascii="宋体" w:hAnsi="宋体" w:eastAsia="宋体" w:cs="宋体"/>
          <w:color w:val="auto"/>
          <w:spacing w:val="-6"/>
          <w:szCs w:val="21"/>
          <w:highlight w:val="none"/>
        </w:rPr>
        <w:t>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pacing w:val="-6"/>
          <w:szCs w:val="21"/>
          <w:highlight w:val="none"/>
        </w:rPr>
        <w:t>后果由供应商承担。</w:t>
      </w:r>
    </w:p>
    <w:p w14:paraId="074691C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18.2响应文件应按资格证明文件、报价商务技术文件分别编制电子文件，</w:t>
      </w:r>
      <w:r>
        <w:rPr>
          <w:rFonts w:hint="eastAsia" w:ascii="宋体" w:hAnsi="宋体" w:eastAsia="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的要求编制、加密、上传。</w:t>
      </w:r>
    </w:p>
    <w:p w14:paraId="714DCA9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5" w:name="_Hlk65832699"/>
      <w:r>
        <w:rPr>
          <w:rFonts w:hint="eastAsia" w:ascii="宋体" w:hAnsi="宋体" w:eastAsia="宋体" w:cs="宋体"/>
          <w:color w:val="auto"/>
          <w:szCs w:val="21"/>
          <w:highlight w:val="none"/>
        </w:rPr>
        <w:t>3响应文件须由供应商在规定位置盖公章并签字</w:t>
      </w:r>
      <w:bookmarkStart w:id="16" w:name="_Hlk65832569"/>
      <w:r>
        <w:rPr>
          <w:rFonts w:hint="eastAsia" w:ascii="宋体" w:hAnsi="宋体" w:eastAsia="宋体" w:cs="宋体"/>
          <w:color w:val="auto"/>
          <w:szCs w:val="21"/>
          <w:highlight w:val="none"/>
        </w:rPr>
        <w:t>（具体以供应商须知前附表或响应文件格式规定为准）</w:t>
      </w:r>
      <w:bookmarkEnd w:id="15"/>
      <w:bookmarkEnd w:id="16"/>
      <w:r>
        <w:rPr>
          <w:rFonts w:hint="eastAsia" w:ascii="宋体" w:hAnsi="宋体" w:eastAsia="宋体" w:cs="宋体"/>
          <w:color w:val="auto"/>
          <w:szCs w:val="21"/>
          <w:highlight w:val="none"/>
        </w:rPr>
        <w:t>，否则其响应文件按无效响应处理。</w:t>
      </w:r>
    </w:p>
    <w:p w14:paraId="2BE239A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18.4响应文件中标注的供应商名称应与营业执照及公章一致，否则其响应文件按无效响应处理。</w:t>
      </w:r>
    </w:p>
    <w:p w14:paraId="3A4C922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1165F67">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19.响应文件的加密、解密</w:t>
      </w:r>
    </w:p>
    <w:p w14:paraId="398AE19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19.1电子响应文件编制完成后，供应商应按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的要求进行加密，并在规定时间内解密，否则，由此产生的后果由供应商自行负责。</w:t>
      </w:r>
    </w:p>
    <w:p w14:paraId="3A00C513">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0028C083">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color w:val="auto"/>
          <w:szCs w:val="21"/>
          <w:highlight w:val="none"/>
          <w:lang w:bidi="ar"/>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bidi="ar"/>
        </w:rPr>
        <w:t>本项目为全流程电子化政府采购项目，通过</w:t>
      </w:r>
      <w:r>
        <w:rPr>
          <w:rFonts w:hint="eastAsia" w:ascii="宋体" w:hAnsi="宋体" w:cs="宋体"/>
          <w:color w:val="auto"/>
          <w:szCs w:val="21"/>
          <w:highlight w:val="none"/>
          <w:lang w:eastAsia="zh-CN" w:bidi="ar"/>
        </w:rPr>
        <w:t>广西政府采购云平台（https://www.gcy.zfcg.gxzf.gov.cn/）</w:t>
      </w:r>
      <w:r>
        <w:rPr>
          <w:rFonts w:hint="eastAsia" w:ascii="宋体" w:hAnsi="宋体" w:eastAsia="宋体" w:cs="宋体"/>
          <w:color w:val="auto"/>
          <w:szCs w:val="21"/>
          <w:highlight w:val="none"/>
          <w:lang w:bidi="ar"/>
        </w:rPr>
        <w:t>实行在线电子</w:t>
      </w:r>
      <w:r>
        <w:rPr>
          <w:rFonts w:hint="eastAsia" w:ascii="宋体" w:hAnsi="宋体" w:eastAsia="宋体" w:cs="宋体"/>
          <w:color w:val="auto"/>
          <w:szCs w:val="21"/>
          <w:highlight w:val="none"/>
          <w:lang w:eastAsia="zh-CN" w:bidi="ar"/>
        </w:rPr>
        <w:t>协商</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bidi="ar"/>
        </w:rPr>
        <w:t>供应商应先安装“广西政府采购云平台新版客户端”（</w:t>
      </w:r>
      <w:r>
        <w:rPr>
          <w:rFonts w:hint="eastAsia"/>
          <w:color w:val="auto"/>
          <w:highlight w:val="none"/>
        </w:rPr>
        <w:t>客户端下载路径：</w:t>
      </w:r>
      <w:r>
        <w:rPr>
          <w:rFonts w:hint="eastAsia" w:ascii="宋体" w:hAnsi="宋体" w:cs="宋体"/>
          <w:color w:val="auto"/>
          <w:szCs w:val="21"/>
          <w:highlight w:val="none"/>
          <w:lang w:bidi="ar"/>
        </w:rPr>
        <w:t>广西政府采购网（访问地址http://zfcg.gxzf.gov.cn/）—办事服务—下载专区）</w:t>
      </w:r>
      <w:r>
        <w:rPr>
          <w:rFonts w:hint="eastAsia" w:ascii="宋体" w:hAnsi="宋体" w:eastAsia="宋体" w:cs="宋体"/>
          <w:color w:val="auto"/>
          <w:szCs w:val="21"/>
          <w:highlight w:val="none"/>
          <w:lang w:bidi="ar"/>
        </w:rPr>
        <w:t>，并按照本项目</w:t>
      </w:r>
      <w:r>
        <w:rPr>
          <w:rFonts w:hint="eastAsia" w:ascii="宋体" w:hAnsi="宋体" w:eastAsia="宋体" w:cs="宋体"/>
          <w:color w:val="auto"/>
          <w:szCs w:val="21"/>
          <w:highlight w:val="none"/>
          <w:lang w:eastAsia="zh-CN" w:bidi="ar"/>
        </w:rPr>
        <w:t>单一来源采购文件</w:t>
      </w:r>
      <w:r>
        <w:rPr>
          <w:rFonts w:hint="eastAsia" w:ascii="宋体" w:hAnsi="宋体" w:eastAsia="宋体" w:cs="宋体"/>
          <w:color w:val="auto"/>
          <w:szCs w:val="21"/>
          <w:highlight w:val="none"/>
          <w:lang w:bidi="ar"/>
        </w:rPr>
        <w:t>和</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的要求编制、加密后在首次响应文件提交截止时间前通过网络上传至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eastAsia="宋体" w:cs="宋体"/>
          <w:b/>
          <w:color w:val="auto"/>
          <w:szCs w:val="21"/>
          <w:highlight w:val="none"/>
          <w:lang w:bidi="ar"/>
        </w:rPr>
        <w:t>提交电子版响应文件时，请填写参加远程开标活动经办人联系方式。</w:t>
      </w:r>
    </w:p>
    <w:p w14:paraId="5408F5C6">
      <w:pPr>
        <w:keepNext w:val="0"/>
        <w:keepLines w:val="0"/>
        <w:pageBreakBefore w:val="0"/>
        <w:kinsoku/>
        <w:wordWrap/>
        <w:overflowPunct/>
        <w:topLinePunct w:val="0"/>
        <w:autoSpaceDE/>
        <w:autoSpaceDN/>
        <w:bidi w:val="0"/>
        <w:adjustRightInd/>
        <w:snapToGrid/>
        <w:spacing w:before="0" w:after="0" w:line="42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eastAsia="zh-CN"/>
        </w:rPr>
        <w:t>0</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eastAsia="zh-CN"/>
        </w:rPr>
        <w:t>3</w:t>
      </w:r>
      <w:r>
        <w:rPr>
          <w:rFonts w:hint="eastAsia" w:ascii="宋体" w:hAnsi="宋体" w:eastAsia="宋体" w:cs="宋体"/>
          <w:b w:val="0"/>
          <w:color w:val="auto"/>
          <w:sz w:val="21"/>
          <w:szCs w:val="21"/>
          <w:highlight w:val="none"/>
        </w:rPr>
        <w:t>未在规定时间内</w:t>
      </w:r>
      <w:r>
        <w:rPr>
          <w:rFonts w:hint="eastAsia" w:ascii="宋体" w:hAnsi="宋体" w:eastAsia="宋体" w:cs="宋体"/>
          <w:b w:val="0"/>
          <w:color w:val="auto"/>
          <w:sz w:val="21"/>
          <w:szCs w:val="21"/>
          <w:highlight w:val="none"/>
          <w:lang w:eastAsia="zh-CN"/>
        </w:rPr>
        <w:t>上传</w:t>
      </w:r>
      <w:r>
        <w:rPr>
          <w:rFonts w:hint="eastAsia" w:ascii="宋体" w:hAnsi="宋体" w:eastAsia="宋体" w:cs="宋体"/>
          <w:b w:val="0"/>
          <w:color w:val="auto"/>
          <w:sz w:val="21"/>
          <w:szCs w:val="21"/>
          <w:highlight w:val="none"/>
        </w:rPr>
        <w:t>或者未按</w:t>
      </w:r>
      <w:r>
        <w:rPr>
          <w:rFonts w:hint="eastAsia" w:ascii="宋体" w:hAnsi="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的要求编制、加密的电子响应文件，</w:t>
      </w:r>
      <w:r>
        <w:rPr>
          <w:rFonts w:hint="eastAsia" w:ascii="宋体" w:hAnsi="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将拒收。</w:t>
      </w:r>
    </w:p>
    <w:p w14:paraId="23F30838">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20.4电子响应文件提交方式见“</w:t>
      </w:r>
      <w:r>
        <w:rPr>
          <w:rFonts w:hint="eastAsia" w:ascii="宋体" w:hAnsi="宋体" w:eastAsia="宋体" w:cs="宋体"/>
          <w:color w:val="auto"/>
          <w:szCs w:val="21"/>
          <w:highlight w:val="none"/>
          <w:lang w:eastAsia="zh-CN"/>
        </w:rPr>
        <w:t>单一来源采购邀请函</w:t>
      </w:r>
      <w:r>
        <w:rPr>
          <w:rFonts w:hint="eastAsia" w:ascii="宋体" w:hAnsi="宋体" w:eastAsia="宋体" w:cs="宋体"/>
          <w:color w:val="auto"/>
          <w:szCs w:val="21"/>
          <w:highlight w:val="none"/>
        </w:rPr>
        <w:t>”中“四、响应文件提交”。</w:t>
      </w:r>
    </w:p>
    <w:p w14:paraId="1831F0D1">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D44C6E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highlight w:val="none"/>
          <w:lang w:eastAsia="zh-CN" w:bidi="ar"/>
        </w:rPr>
        <w:t>广西政府采购云平台</w:t>
      </w:r>
      <w:r>
        <w:rPr>
          <w:rFonts w:hint="eastAsia" w:ascii="宋体" w:hAnsi="宋体" w:eastAsia="宋体" w:cs="宋体"/>
          <w:bCs/>
          <w:color w:val="auto"/>
          <w:szCs w:val="21"/>
          <w:highlight w:val="none"/>
          <w:lang w:bidi="ar"/>
        </w:rPr>
        <w:t>将予以拒收。</w:t>
      </w:r>
    </w:p>
    <w:p w14:paraId="298CE2DB">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22.首次响应文件的退回</w:t>
      </w:r>
    </w:p>
    <w:p w14:paraId="1255766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22.1采购人和采购代理机构对已提交的电子响应文件概不退回。</w:t>
      </w:r>
    </w:p>
    <w:p w14:paraId="7AD567C3">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23.截止时间后的撤回</w:t>
      </w:r>
    </w:p>
    <w:p w14:paraId="2473C52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23.1供应商在首次响应文件提交截止时间后书面通知采购人、采购代理机构书面撤回响应文件的，将根据</w:t>
      </w:r>
      <w:r>
        <w:rPr>
          <w:rFonts w:hint="eastAsia" w:ascii="宋体" w:hAnsi="宋体" w:eastAsia="宋体" w:cs="宋体"/>
          <w:color w:val="auto"/>
          <w:szCs w:val="21"/>
          <w:highlight w:val="none"/>
          <w:lang w:eastAsia="zh-CN"/>
        </w:rPr>
        <w:t>相关法律法规处理</w:t>
      </w:r>
      <w:r>
        <w:rPr>
          <w:rFonts w:hint="eastAsia" w:ascii="宋体" w:hAnsi="宋体" w:eastAsia="宋体" w:cs="宋体"/>
          <w:color w:val="auto"/>
          <w:szCs w:val="21"/>
          <w:highlight w:val="none"/>
        </w:rPr>
        <w:t>。</w:t>
      </w:r>
    </w:p>
    <w:p w14:paraId="4B13FDD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p>
    <w:p w14:paraId="10764118">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四、评审及</w:t>
      </w:r>
      <w:r>
        <w:rPr>
          <w:rFonts w:hint="eastAsia" w:ascii="宋体" w:hAnsi="宋体" w:eastAsia="宋体" w:cs="宋体"/>
          <w:b/>
          <w:color w:val="auto"/>
          <w:sz w:val="32"/>
          <w:szCs w:val="32"/>
          <w:highlight w:val="none"/>
          <w:lang w:eastAsia="zh-CN"/>
        </w:rPr>
        <w:t>协商</w:t>
      </w:r>
    </w:p>
    <w:p w14:paraId="65B82A25">
      <w:pPr>
        <w:keepNext w:val="0"/>
        <w:keepLines w:val="0"/>
        <w:pageBreakBefore w:val="0"/>
        <w:kinsoku/>
        <w:wordWrap/>
        <w:overflowPunct/>
        <w:topLinePunct w:val="0"/>
        <w:autoSpaceDE/>
        <w:autoSpaceDN/>
        <w:bidi w:val="0"/>
        <w:adjustRightInd/>
        <w:snapToGrid/>
        <w:spacing w:line="420" w:lineRule="exact"/>
        <w:ind w:left="420" w:firstLine="420" w:firstLineChars="200"/>
        <w:textAlignment w:val="auto"/>
        <w:rPr>
          <w:rFonts w:hint="eastAsia" w:ascii="宋体" w:hAnsi="宋体" w:eastAsia="宋体" w:cs="宋体"/>
          <w:color w:val="auto"/>
          <w:szCs w:val="21"/>
          <w:highlight w:val="none"/>
        </w:rPr>
      </w:pPr>
    </w:p>
    <w:p w14:paraId="571693E4">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w:t>
      </w:r>
      <w:r>
        <w:rPr>
          <w:rFonts w:hint="eastAsia" w:ascii="宋体" w:hAnsi="宋体" w:eastAsia="宋体" w:cs="宋体"/>
          <w:b/>
          <w:bCs/>
          <w:color w:val="auto"/>
          <w:sz w:val="24"/>
          <w:highlight w:val="none"/>
          <w:lang w:eastAsia="zh-CN"/>
        </w:rPr>
        <w:t>协商小组</w:t>
      </w:r>
      <w:r>
        <w:rPr>
          <w:rFonts w:hint="eastAsia" w:ascii="宋体" w:hAnsi="宋体" w:eastAsia="宋体" w:cs="宋体"/>
          <w:b/>
          <w:bCs/>
          <w:color w:val="auto"/>
          <w:sz w:val="24"/>
          <w:highlight w:val="none"/>
        </w:rPr>
        <w:t>成立</w:t>
      </w:r>
    </w:p>
    <w:p w14:paraId="08D3470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成立：</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由采购人代表和评审专家共3人以上单数组成，具体人数详见“供应商须知前附表”，其中评审专家人数不得少于</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应当由5人以上单数组成。</w:t>
      </w:r>
    </w:p>
    <w:p w14:paraId="64FA6E8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24.2评审专家应当从政府采购评审专家库内相关专业的专家名单中随机抽取。技术复杂、专业性强的</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采购项目，通过随机方式难以确定合适的评审专家的，经主管预算单位同意，可以自行选定评审专家。技术复杂、专业性强的</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采购项目，评审专家中应当包含1名法律专家。</w:t>
      </w:r>
    </w:p>
    <w:p w14:paraId="480F4AEE">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2D64E1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或者采购代理机构在“供应商须知前附表”规定的时间开启。</w:t>
      </w:r>
    </w:p>
    <w:p w14:paraId="5A348B9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电子开标大厅签到并在发起解密指令之时起30分钟内完成对电子响应文件在线解密。</w:t>
      </w:r>
      <w:r>
        <w:rPr>
          <w:rFonts w:hint="eastAsia" w:ascii="宋体" w:hAnsi="宋体" w:eastAsia="宋体" w:cs="宋体"/>
          <w:b/>
          <w:bCs/>
          <w:color w:val="auto"/>
          <w:szCs w:val="21"/>
          <w:highlight w:val="none"/>
        </w:rPr>
        <w:t>响应文件未按时解密的，视为响应文件无效。</w:t>
      </w:r>
      <w:r>
        <w:rPr>
          <w:rFonts w:hint="eastAsia" w:ascii="宋体" w:hAnsi="宋体" w:eastAsia="宋体" w:cs="宋体"/>
          <w:color w:val="auto"/>
          <w:szCs w:val="21"/>
          <w:highlight w:val="none"/>
        </w:rPr>
        <w:t>（解密异常情况处理：详见本章26.2电子交易活动的中止。）</w:t>
      </w:r>
    </w:p>
    <w:p w14:paraId="32A5E38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26.评审程序和评定成交的标准</w:t>
      </w:r>
    </w:p>
    <w:p w14:paraId="50AC038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按照“第四章  评审程序和评定成交的标准”规定的评审程序对响应文件进行评审，并按照评定成交的标准推荐成交候选供应商。</w:t>
      </w:r>
    </w:p>
    <w:p w14:paraId="519D3FE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26.2电子交易活动的中止。采购过程中出现以下情形，导致电子交易平台无法正常运行，或者无法保证电子交易的公平、公正和安全时，采购机构可中止电子交易活动：</w:t>
      </w:r>
    </w:p>
    <w:p w14:paraId="7722D4B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14:paraId="4FC4843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46E93EA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33CA878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14:paraId="338AF43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（4）其他无法保证电子交易的公平、公正和安全的情况。</w:t>
      </w:r>
    </w:p>
    <w:p w14:paraId="2E48432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26.3出现以上情形，不影响采购公平、公正性的，采购代理机构可以待上述情形消除后继续组织电子交易活动；影响或可能影响采购公平、公正性的，经采购代理机构确认后，应当重新采购。</w:t>
      </w:r>
    </w:p>
    <w:p w14:paraId="50E54EB5">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E3BB14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27.1采购代理机构应当在评审结束后2个工作日内将评审报告送采购人确认。采购人应当在收到评审报告后5个工作日内，将评审报告提出的成交候选人确定为成交供应商，也可以书面授权</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直接确定成交供应商。采购人逾期未确定成交供应商且不提出异议的，视为确定评审报告提出的成交候选人为成交供应商。</w:t>
      </w:r>
    </w:p>
    <w:p w14:paraId="76BA3897">
      <w:pPr>
        <w:pStyle w:val="7"/>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27.2采购代理机构应当在成交供应商确定后2个工作日内，在省级以上财政部门指定的媒体上公告成交结果，同时向成交供应商发出成交通知书。</w:t>
      </w:r>
      <w:r>
        <w:rPr>
          <w:rFonts w:hint="eastAsia" w:ascii="宋体" w:hAnsi="宋体" w:eastAsia="宋体" w:cs="宋体"/>
          <w:b/>
          <w:color w:val="auto"/>
          <w:kern w:val="0"/>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w:t>
      </w:r>
      <w:r>
        <w:rPr>
          <w:rFonts w:hint="eastAsia" w:ascii="宋体" w:hAnsi="宋体" w:eastAsia="宋体" w:cs="宋体"/>
          <w:color w:val="auto"/>
          <w:kern w:val="0"/>
          <w:szCs w:val="21"/>
          <w:highlight w:val="none"/>
        </w:rPr>
        <w:t>。以上信息查询记录及相关证据与</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一并保存。</w:t>
      </w:r>
    </w:p>
    <w:p w14:paraId="55FBBD29">
      <w:pPr>
        <w:pStyle w:val="7"/>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27.3出现下列情形之一的，采购人或者采购代理机构应当终止</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采购活动，发布项目终止公告并说明原因，重新开展采购活动：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（一）因情况变化，不再符合规定的</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采购方式适用情形的；</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（二）出现影响采购公正的违法、违规行为的；</w:t>
      </w:r>
    </w:p>
    <w:p w14:paraId="0F313281">
      <w:pPr>
        <w:pStyle w:val="7"/>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27.4在采购活动中因重大变故，采购任务取消的，采购人或者采购代理机构应当终止采购活动，通知所有参加采购活动的供应商。</w:t>
      </w:r>
    </w:p>
    <w:p w14:paraId="2F2E252F">
      <w:pPr>
        <w:pStyle w:val="7"/>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成交供应商拒绝签订政府采购合同（包括但不限于放弃成交、因不可抗力不能履行合同而放弃签订合同），</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可以重新开展政府采购活动。</w:t>
      </w:r>
    </w:p>
    <w:p w14:paraId="78FB40FE">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29CA653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r>
        <w:rPr>
          <w:rFonts w:hint="eastAsia" w:ascii="宋体" w:hAnsi="宋体" w:eastAsia="宋体" w:cs="宋体"/>
          <w:color w:val="auto"/>
          <w:szCs w:val="21"/>
          <w:highlight w:val="none"/>
          <w:lang w:eastAsia="zh-CN"/>
        </w:rPr>
        <w:t>本项目不需要提交</w:t>
      </w:r>
      <w:r>
        <w:rPr>
          <w:rFonts w:hint="eastAsia" w:ascii="宋体" w:hAnsi="宋体" w:eastAsia="宋体" w:cs="宋体"/>
          <w:color w:val="auto"/>
          <w:szCs w:val="21"/>
          <w:highlight w:val="none"/>
        </w:rPr>
        <w:t>履约保证金。</w:t>
      </w:r>
    </w:p>
    <w:p w14:paraId="0C5F7EE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60B221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29.1成交供应商在收到成交通知书（书面或电子）后，按“供应商须知前附表”规定向采购人出示相关证明材料，经采购人核验合格后方可签订合同（书面或电子）。</w:t>
      </w:r>
    </w:p>
    <w:p w14:paraId="7D99572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29.2签订合同时间：按成交通知书的规定与采购人签订政府采购合同（最长不能超过25日）。</w:t>
      </w:r>
    </w:p>
    <w:p w14:paraId="68E621A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29.3成交供应商拒绝与采购人签订合同的，按照本须知正文第27.5条的规定执行。</w:t>
      </w:r>
    </w:p>
    <w:p w14:paraId="4D940329">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1448F3A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7413D82">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.其他内容</w:t>
      </w:r>
    </w:p>
    <w:p w14:paraId="0879EE72">
      <w:pPr>
        <w:keepNext w:val="0"/>
        <w:keepLines w:val="0"/>
        <w:pageBreakBefore w:val="0"/>
        <w:tabs>
          <w:tab w:val="left" w:pos="2835"/>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.1代理服务费：代理服务收取标准及缴费账户详见“供应商须知前附表”，供应商为联合体的，可以由联合体中的一方或者多方共同交纳代理服务费。</w:t>
      </w:r>
    </w:p>
    <w:p w14:paraId="52ABDD8B">
      <w:pPr>
        <w:keepNext w:val="0"/>
        <w:keepLines w:val="0"/>
        <w:pageBreakBefore w:val="0"/>
        <w:tabs>
          <w:tab w:val="left" w:pos="2835"/>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.2代理服务费收费计算标准：</w:t>
      </w:r>
    </w:p>
    <w:p w14:paraId="045504E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本项目采购代理服务费按发改价格〔2015〕299号文件规定收取，具体采购代理服务费为：</w:t>
      </w:r>
      <w:r>
        <w:rPr>
          <w:rFonts w:hint="eastAsia" w:ascii="宋体" w:hAnsi="宋体" w:eastAsia="宋体" w:cs="宋体"/>
          <w:color w:val="auto"/>
          <w:szCs w:val="21"/>
          <w:highlight w:val="none"/>
        </w:rPr>
        <w:t>详见“供应商须知前附表”</w:t>
      </w:r>
      <w:r>
        <w:rPr>
          <w:rFonts w:hint="eastAsia" w:ascii="宋体" w:hAnsi="宋体" w:eastAsia="宋体" w:cs="宋体"/>
          <w:color w:val="auto"/>
          <w:sz w:val="21"/>
          <w:highlight w:val="none"/>
          <w:lang w:val="en-US" w:eastAsia="zh-CN"/>
        </w:rPr>
        <w:t>。</w:t>
      </w:r>
    </w:p>
    <w:p w14:paraId="7A0ADED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.3 代理服务费交纳银行帐号信息</w:t>
      </w:r>
    </w:p>
    <w:p w14:paraId="6347BB33">
      <w:pPr>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Cs w:val="21"/>
          <w:highlight w:val="none"/>
        </w:rPr>
        <w:t>详见“供应商须知前附表”</w:t>
      </w:r>
    </w:p>
    <w:p w14:paraId="2793AE5E">
      <w:pPr>
        <w:keepNext w:val="0"/>
        <w:keepLines w:val="0"/>
        <w:pageBreakBefore w:val="0"/>
        <w:kinsoku/>
        <w:wordWrap/>
        <w:overflowPunct/>
        <w:topLinePunct w:val="0"/>
        <w:autoSpaceDE/>
        <w:autoSpaceDN/>
        <w:bidi w:val="0"/>
        <w:adjustRightInd/>
        <w:snapToGrid/>
        <w:spacing w:line="420" w:lineRule="exact"/>
        <w:ind w:firstLine="482" w:firstLineChars="200"/>
        <w:contextualSpacing/>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 需要补充的其他内容</w:t>
      </w:r>
    </w:p>
    <w:p w14:paraId="26B809E1">
      <w:pPr>
        <w:pStyle w:val="12"/>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hAnsi="宋体" w:cs="宋体"/>
          <w:color w:val="auto"/>
          <w:sz w:val="21"/>
          <w:highlight w:val="none"/>
          <w:lang w:val="en-US" w:eastAsia="zh-CN"/>
        </w:rPr>
        <w:t>2</w:t>
      </w:r>
      <w:r>
        <w:rPr>
          <w:rFonts w:hint="eastAsia" w:ascii="宋体" w:hAnsi="宋体" w:eastAsia="宋体" w:cs="宋体"/>
          <w:color w:val="auto"/>
          <w:sz w:val="21"/>
          <w:highlight w:val="none"/>
        </w:rPr>
        <w:t>.1本</w:t>
      </w:r>
      <w:r>
        <w:rPr>
          <w:rFonts w:hint="eastAsia" w:ascii="宋体" w:hAnsi="宋体" w:eastAsia="宋体" w:cs="宋体"/>
          <w:color w:val="auto"/>
          <w:sz w:val="21"/>
          <w:highlight w:val="none"/>
          <w:lang w:eastAsia="zh-CN"/>
        </w:rPr>
        <w:t>采购文件</w:t>
      </w:r>
      <w:r>
        <w:rPr>
          <w:rFonts w:hint="eastAsia" w:ascii="宋体" w:hAnsi="宋体" w:eastAsia="宋体" w:cs="宋体"/>
          <w:color w:val="auto"/>
          <w:sz w:val="21"/>
          <w:highlight w:val="none"/>
        </w:rPr>
        <w:t>解释规则详见“供应商须知前附表”。</w:t>
      </w:r>
    </w:p>
    <w:p w14:paraId="58907541">
      <w:pPr>
        <w:pStyle w:val="12"/>
        <w:spacing w:line="360" w:lineRule="auto"/>
        <w:ind w:firstLine="420" w:firstLineChars="200"/>
        <w:textAlignment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.2 其他事</w:t>
      </w:r>
      <w:r>
        <w:rPr>
          <w:rFonts w:hint="eastAsia" w:ascii="宋体" w:hAnsi="宋体" w:eastAsia="宋体" w:cs="宋体"/>
          <w:color w:val="auto"/>
          <w:highlight w:val="none"/>
        </w:rPr>
        <w:t>项详见“供应商须知前附表”。</w:t>
      </w:r>
    </w:p>
    <w:p w14:paraId="282DB2F0">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文件规定的中小企业扶持政策：</w:t>
      </w:r>
    </w:p>
    <w:p w14:paraId="739200D2">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CC7E69B">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67C4615">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376978D">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文件规定的中小企业扶持政策。以联合体形式参加政府采购活动，联合体各方均为中小企业的，联合体视同中小企业。其中，联合体各方均为小微企业的，联合体视同小微企业。</w:t>
      </w:r>
    </w:p>
    <w:p w14:paraId="630E59FD">
      <w:pPr>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color w:val="auto"/>
          <w:highlight w:val="none"/>
        </w:rPr>
      </w:pPr>
      <w:r>
        <w:rPr>
          <w:rFonts w:hint="eastAsia" w:hAnsi="宋体" w:cs="宋体"/>
          <w:color w:val="auto"/>
          <w:kern w:val="2"/>
          <w:sz w:val="21"/>
          <w:highlight w:val="none"/>
        </w:rPr>
        <w:t>依据本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文件规定享受扶持政策获得政府采购合同的，小微企业不得将合同分包给大中型企业，中型企业不得将合同分包给大型企业。</w:t>
      </w:r>
    </w:p>
    <w:p w14:paraId="5AAB9691">
      <w:pPr>
        <w:rPr>
          <w:rFonts w:hint="eastAsia" w:ascii="宋体" w:hAnsi="宋体" w:eastAsia="宋体" w:cs="宋体"/>
          <w:b/>
          <w:color w:val="auto"/>
          <w:sz w:val="36"/>
          <w:szCs w:val="36"/>
          <w:highlight w:val="none"/>
        </w:rPr>
      </w:pPr>
      <w:bookmarkStart w:id="17" w:name="_Toc10787"/>
      <w:bookmarkStart w:id="18" w:name="_Toc74322010"/>
      <w:r>
        <w:rPr>
          <w:rFonts w:hint="eastAsia" w:ascii="宋体" w:hAnsi="宋体" w:eastAsia="宋体" w:cs="宋体"/>
          <w:b/>
          <w:color w:val="auto"/>
          <w:sz w:val="36"/>
          <w:szCs w:val="36"/>
          <w:highlight w:val="none"/>
        </w:rPr>
        <w:br w:type="page"/>
      </w:r>
    </w:p>
    <w:p w14:paraId="2B301C4C">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w:t>
      </w:r>
      <w:r>
        <w:rPr>
          <w:rFonts w:hint="eastAsia"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采购需求</w:t>
      </w:r>
      <w:bookmarkEnd w:id="17"/>
      <w:bookmarkEnd w:id="18"/>
    </w:p>
    <w:p w14:paraId="4E463D5A">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color w:val="auto"/>
          <w:szCs w:val="21"/>
          <w:highlight w:val="none"/>
        </w:rPr>
      </w:pPr>
      <w:bookmarkStart w:id="19" w:name="_Toc254970490"/>
      <w:bookmarkStart w:id="20" w:name="_Toc254970631"/>
      <w:bookmarkStart w:id="21" w:name="_Hlk48036094"/>
      <w:r>
        <w:rPr>
          <w:rFonts w:hint="eastAsia" w:ascii="宋体" w:hAnsi="宋体" w:eastAsia="宋体" w:cs="宋体"/>
          <w:b/>
          <w:color w:val="auto"/>
          <w:szCs w:val="21"/>
          <w:highlight w:val="none"/>
        </w:rPr>
        <w:t>说明：</w:t>
      </w:r>
    </w:p>
    <w:p w14:paraId="026AA5D2">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highlight w:val="none"/>
        </w:rPr>
        <w:t>中</w:t>
      </w:r>
      <w:r>
        <w:rPr>
          <w:rFonts w:hint="eastAsia" w:hAnsi="宋体"/>
          <w:b/>
          <w:bCs/>
          <w:color w:val="auto"/>
          <w:highlight w:val="none"/>
        </w:rPr>
        <w:t>的技术要求。</w:t>
      </w:r>
    </w:p>
    <w:p w14:paraId="7A4C5FB7">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2、</w:t>
      </w:r>
      <w:r>
        <w:rPr>
          <w:rFonts w:hAnsi="宋体"/>
          <w:b/>
          <w:bCs/>
          <w:color w:val="auto"/>
          <w:highlight w:val="none"/>
        </w:rPr>
        <w:t>凡在“</w:t>
      </w:r>
      <w:r>
        <w:rPr>
          <w:rFonts w:hint="eastAsia" w:hAnsi="宋体"/>
          <w:b/>
          <w:bCs/>
          <w:color w:val="auto"/>
          <w:highlight w:val="none"/>
        </w:rPr>
        <w:t>技术要求</w:t>
      </w:r>
      <w:r>
        <w:rPr>
          <w:rFonts w:hAnsi="宋体"/>
          <w:b/>
          <w:bCs/>
          <w:color w:val="auto"/>
          <w:highlight w:val="none"/>
        </w:rPr>
        <w:t>”中表述为“标配”或“标准配置”的设备，供应商应在</w:t>
      </w:r>
      <w:r>
        <w:rPr>
          <w:rFonts w:hint="eastAsia" w:hAnsi="宋体"/>
          <w:b/>
          <w:bCs/>
          <w:color w:val="auto"/>
          <w:highlight w:val="none"/>
        </w:rPr>
        <w:t>货物配置清单</w:t>
      </w:r>
      <w:r>
        <w:rPr>
          <w:rFonts w:hAnsi="宋体"/>
          <w:b/>
          <w:bCs/>
          <w:color w:val="auto"/>
          <w:highlight w:val="none"/>
        </w:rPr>
        <w:t>中将其标配参数详细列明。</w:t>
      </w:r>
    </w:p>
    <w:p w14:paraId="350E58EB">
      <w:pPr>
        <w:keepNext w:val="0"/>
        <w:keepLines w:val="0"/>
        <w:pageBreakBefore w:val="0"/>
        <w:widowControl w:val="0"/>
        <w:kinsoku/>
        <w:wordWrap/>
        <w:overflowPunct/>
        <w:topLinePunct w:val="0"/>
        <w:autoSpaceDE/>
        <w:autoSpaceDN/>
        <w:bidi w:val="0"/>
        <w:adjustRightInd/>
        <w:snapToGrid/>
        <w:spacing w:line="420" w:lineRule="exact"/>
        <w:ind w:left="-10" w:leftChars="-5" w:right="2" w:rightChars="1" w:firstLine="422" w:firstLineChars="200"/>
        <w:textAlignment w:val="auto"/>
        <w:rPr>
          <w:rFonts w:hAnsi="宋体"/>
          <w:b/>
          <w:bCs/>
          <w:color w:val="auto"/>
          <w:highlight w:val="none"/>
        </w:rPr>
      </w:pPr>
      <w:r>
        <w:rPr>
          <w:rFonts w:hint="eastAsia" w:hAnsi="宋体"/>
          <w:b/>
          <w:bCs/>
          <w:color w:val="auto"/>
          <w:highlight w:val="none"/>
        </w:rPr>
        <w:t>3、</w:t>
      </w:r>
      <w:r>
        <w:rPr>
          <w:rFonts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号）的规定，采购需求中的产品属于节能产品政府采购品目清单内标注“★”的，供应商的竞标货物必须使用政府强制采购的节能产品，否则响应文件作无效响应处理。</w:t>
      </w:r>
    </w:p>
    <w:p w14:paraId="73224C29">
      <w:pPr>
        <w:keepNext w:val="0"/>
        <w:keepLines w:val="0"/>
        <w:pageBreakBefore w:val="0"/>
        <w:widowControl w:val="0"/>
        <w:kinsoku/>
        <w:wordWrap/>
        <w:overflowPunct/>
        <w:topLinePunct w:val="0"/>
        <w:autoSpaceDE/>
        <w:autoSpaceDN/>
        <w:bidi w:val="0"/>
        <w:adjustRightInd/>
        <w:snapToGrid/>
        <w:spacing w:line="420" w:lineRule="exact"/>
        <w:ind w:left="-10" w:leftChars="-5" w:right="2" w:rightChars="1" w:firstLine="422" w:firstLineChars="200"/>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rPr>
        <w:t>4、“实质性要求”是指</w:t>
      </w:r>
      <w:r>
        <w:rPr>
          <w:rFonts w:hint="eastAsia" w:ascii="宋体" w:hAnsi="宋体" w:cs="宋体"/>
          <w:b/>
          <w:bCs/>
          <w:color w:val="auto"/>
          <w:highlight w:val="none"/>
          <w:lang w:val="en-US" w:eastAsia="zh-CN"/>
        </w:rPr>
        <w:t>报价</w:t>
      </w:r>
      <w:r>
        <w:rPr>
          <w:rFonts w:hint="eastAsia" w:ascii="宋体" w:hAnsi="宋体" w:cs="宋体"/>
          <w:b/>
          <w:bCs/>
          <w:color w:val="auto"/>
          <w:highlight w:val="none"/>
        </w:rPr>
        <w:t>文件中已经指明不满足则响应无效的条款，或者不能负偏离的条款，或者采购需求中带“▲”的条款。</w:t>
      </w:r>
      <w:r>
        <w:rPr>
          <w:rFonts w:hint="eastAsia" w:ascii="宋体" w:hAnsi="宋体" w:cs="宋体"/>
          <w:b/>
          <w:bCs/>
          <w:color w:val="auto"/>
          <w:highlight w:val="none"/>
          <w:lang w:val="en-US" w:eastAsia="zh-CN"/>
        </w:rPr>
        <w:t xml:space="preserve">   </w:t>
      </w:r>
    </w:p>
    <w:p w14:paraId="1F85C792">
      <w:pPr>
        <w:keepNext w:val="0"/>
        <w:keepLines w:val="0"/>
        <w:pageBreakBefore w:val="0"/>
        <w:widowControl w:val="0"/>
        <w:kinsoku/>
        <w:wordWrap/>
        <w:overflowPunct/>
        <w:topLinePunct w:val="0"/>
        <w:autoSpaceDE/>
        <w:autoSpaceDN/>
        <w:bidi w:val="0"/>
        <w:adjustRightInd/>
        <w:snapToGrid/>
        <w:spacing w:line="420" w:lineRule="exact"/>
        <w:ind w:left="-10" w:leftChars="-5" w:right="2" w:rightChars="1" w:firstLine="422" w:firstLineChars="200"/>
        <w:textAlignment w:val="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、如供应商竞标产品存在侵犯他人的知识产权或者专利成果行为的，由供应商自行承担相应法律责任。</w:t>
      </w:r>
    </w:p>
    <w:p w14:paraId="2A58DC00">
      <w:pPr>
        <w:keepNext w:val="0"/>
        <w:keepLines w:val="0"/>
        <w:pageBreakBefore w:val="0"/>
        <w:widowControl w:val="0"/>
        <w:kinsoku/>
        <w:wordWrap/>
        <w:overflowPunct/>
        <w:topLinePunct w:val="0"/>
        <w:autoSpaceDE/>
        <w:autoSpaceDN/>
        <w:bidi w:val="0"/>
        <w:adjustRightInd/>
        <w:snapToGrid/>
        <w:spacing w:line="420" w:lineRule="exact"/>
        <w:ind w:left="-10" w:leftChars="-5" w:right="2" w:rightChars="1" w:firstLine="422" w:firstLineChars="200"/>
        <w:textAlignment w:val="auto"/>
        <w:rPr>
          <w:rFonts w:hint="eastAsia" w:ascii="宋体" w:hAnsi="宋体" w:eastAsia="宋体" w:cs="宋体"/>
          <w:b/>
          <w:bCs/>
          <w:color w:val="auto"/>
          <w:highlight w:val="none"/>
          <w:lang w:val="en-US" w:eastAsia="zh-CN"/>
        </w:rPr>
      </w:pPr>
    </w:p>
    <w:bookmarkEnd w:id="19"/>
    <w:bookmarkEnd w:id="20"/>
    <w:bookmarkEnd w:id="21"/>
    <w:p w14:paraId="14A75683">
      <w:pPr>
        <w:spacing w:line="360" w:lineRule="auto"/>
        <w:ind w:firstLine="310" w:firstLineChars="147"/>
        <w:jc w:val="left"/>
        <w:rPr>
          <w:rFonts w:hint="eastAsia" w:ascii="宋体" w:hAnsi="宋体" w:cs="宋体"/>
          <w:bCs/>
          <w:color w:val="auto"/>
          <w:szCs w:val="21"/>
          <w:highlight w:val="none"/>
          <w:u w:val="single"/>
        </w:rPr>
      </w:pPr>
      <w:r>
        <w:rPr>
          <w:rFonts w:hint="eastAsia" w:ascii="宋体" w:hAnsi="宋体" w:cs="宋体"/>
          <w:b/>
          <w:color w:val="auto"/>
          <w:szCs w:val="21"/>
          <w:highlight w:val="none"/>
          <w:lang w:val="en-US" w:eastAsia="zh-CN"/>
        </w:rPr>
        <w:t xml:space="preserve">1分标   </w:t>
      </w: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 xml:space="preserve">  59.0万元     </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7"/>
        <w:gridCol w:w="885"/>
        <w:gridCol w:w="858"/>
        <w:gridCol w:w="42"/>
        <w:gridCol w:w="675"/>
        <w:gridCol w:w="6897"/>
      </w:tblGrid>
      <w:tr w14:paraId="5074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57" w:type="dxa"/>
            <w:noWrap w:val="0"/>
            <w:vAlign w:val="center"/>
          </w:tcPr>
          <w:p w14:paraId="7D43AD0A">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85" w:type="dxa"/>
            <w:noWrap w:val="0"/>
            <w:vAlign w:val="center"/>
          </w:tcPr>
          <w:p w14:paraId="0DF53468">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900" w:type="dxa"/>
            <w:gridSpan w:val="2"/>
            <w:noWrap w:val="0"/>
            <w:vAlign w:val="center"/>
          </w:tcPr>
          <w:p w14:paraId="73E4F22A">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75" w:type="dxa"/>
            <w:noWrap w:val="0"/>
            <w:vAlign w:val="center"/>
          </w:tcPr>
          <w:p w14:paraId="2907EDD4">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5551A228">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897" w:type="dxa"/>
            <w:noWrap w:val="0"/>
            <w:vAlign w:val="center"/>
          </w:tcPr>
          <w:p w14:paraId="0535D35B">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0603E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57" w:type="dxa"/>
            <w:noWrap w:val="0"/>
            <w:vAlign w:val="center"/>
          </w:tcPr>
          <w:p w14:paraId="3C57B55D">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85" w:type="dxa"/>
            <w:noWrap w:val="0"/>
            <w:vAlign w:val="center"/>
          </w:tcPr>
          <w:p w14:paraId="1A56BA14">
            <w:pPr>
              <w:tabs>
                <w:tab w:val="left" w:pos="1440"/>
              </w:tabs>
              <w:jc w:val="center"/>
              <w:rPr>
                <w:rFonts w:hint="eastAsia" w:ascii="宋体" w:hAnsi="宋体" w:cs="宋体"/>
                <w:color w:val="auto"/>
                <w:szCs w:val="21"/>
                <w:highlight w:val="none"/>
              </w:rPr>
            </w:pPr>
            <w:r>
              <w:rPr>
                <w:rFonts w:hint="eastAsia" w:ascii="宋体" w:hAnsi="宋体" w:cs="宋体"/>
                <w:color w:val="auto"/>
                <w:szCs w:val="21"/>
                <w:highlight w:val="none"/>
              </w:rPr>
              <w:t>交通事故车辆安全技术状况鉴定</w:t>
            </w:r>
          </w:p>
        </w:tc>
        <w:tc>
          <w:tcPr>
            <w:tcW w:w="900" w:type="dxa"/>
            <w:gridSpan w:val="2"/>
            <w:noWrap w:val="0"/>
            <w:vAlign w:val="top"/>
          </w:tcPr>
          <w:p w14:paraId="1B32A8BE">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75" w:type="dxa"/>
            <w:noWrap w:val="0"/>
            <w:vAlign w:val="top"/>
          </w:tcPr>
          <w:p w14:paraId="4472768C">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897" w:type="dxa"/>
            <w:noWrap w:val="0"/>
            <w:vAlign w:val="center"/>
          </w:tcPr>
          <w:p w14:paraId="723C4388">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（一）项目概况：为规范交通事故车辆安全技术状况鉴定工作，提高交通事故处理效率，通过政府采购将鉴定工作委托有资质的社会第三方司法鉴定中心进行鉴定服务。</w:t>
            </w:r>
          </w:p>
          <w:p w14:paraId="5ED8D2C0">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二）服务内容：车辆安全技术状况鉴定：包括判断涉案车辆的类型(如机动车、非机动车)；对车辆安全技术状况进行检验；判断车辆相关技术状况或性能的符合性(如制动系、转向系、行驶系、灯光、信号装置等) ；判断涉案车辆的类型（如机动车、非机动车）。</w:t>
            </w:r>
          </w:p>
          <w:p w14:paraId="455C12AB">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（三）服务要求：</w:t>
            </w:r>
          </w:p>
          <w:p w14:paraId="1EEA5612">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供应商依法科学公正实施鉴定，并对其鉴定活动承担法律责任，其法定代表人或最高管理者应对公正性作出承诺性声明；供应商应有政策和程序以避免卷入任何会降低其公正性、诚实性的活动，不允许来自商业、财务或其他方面的压力影响其公正性。供应商应在响应文件中提供符合上述要求的声明书原件并加盖供应商公章。</w:t>
            </w:r>
          </w:p>
          <w:p w14:paraId="5723467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供应商应具有痕迹类（机动车）交通事故痕迹鉴定资质，并具有司法行政机关颁发的有效期内的《司法鉴定许可证》，并经省级司法行政机关审核登记并编入《国家司法鉴定名册》【响应文件中应提供《国家司法鉴定名册》复印件（首页和显示本机构页）】。</w:t>
            </w:r>
          </w:p>
          <w:p w14:paraId="26B702E0">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3、供应商必须具有参加采购内容涉及的司法厅每年下发的能力验证经历，且在近三年内</w:t>
            </w:r>
            <w:r>
              <w:rPr>
                <w:rFonts w:hint="eastAsia" w:ascii="宋体" w:hAnsi="宋体" w:cs="宋体"/>
                <w:color w:val="0000FF"/>
                <w:szCs w:val="21"/>
                <w:highlight w:val="none"/>
              </w:rPr>
              <w:t>（202</w:t>
            </w:r>
            <w:r>
              <w:rPr>
                <w:rFonts w:hint="eastAsia" w:ascii="宋体" w:hAnsi="宋体" w:cs="宋体"/>
                <w:color w:val="0000FF"/>
                <w:szCs w:val="21"/>
                <w:highlight w:val="none"/>
                <w:lang w:val="en-US" w:eastAsia="zh-CN"/>
              </w:rPr>
              <w:t>2</w:t>
            </w:r>
            <w:r>
              <w:rPr>
                <w:rFonts w:hint="eastAsia" w:ascii="宋体" w:hAnsi="宋体" w:cs="宋体"/>
                <w:color w:val="0000FF"/>
                <w:szCs w:val="21"/>
                <w:highlight w:val="none"/>
              </w:rPr>
              <w:t>年-202</w:t>
            </w:r>
            <w:r>
              <w:rPr>
                <w:rFonts w:hint="eastAsia" w:ascii="宋体" w:hAnsi="宋体" w:cs="宋体"/>
                <w:color w:val="0000FF"/>
                <w:szCs w:val="21"/>
                <w:highlight w:val="none"/>
                <w:lang w:val="en-US" w:eastAsia="zh-CN"/>
              </w:rPr>
              <w:t>4</w:t>
            </w:r>
            <w:r>
              <w:rPr>
                <w:rFonts w:hint="eastAsia" w:ascii="宋体" w:hAnsi="宋体" w:cs="宋体"/>
                <w:color w:val="0000FF"/>
                <w:szCs w:val="21"/>
                <w:highlight w:val="none"/>
              </w:rPr>
              <w:t>年）</w:t>
            </w:r>
            <w:r>
              <w:rPr>
                <w:rFonts w:hint="eastAsia" w:hAnsi="宋体" w:cs="宋体"/>
                <w:color w:val="auto"/>
                <w:sz w:val="21"/>
                <w:highlight w:val="none"/>
                <w:lang w:val="en-US" w:eastAsia="zh-CN"/>
              </w:rPr>
              <w:t>的项目服务期内有效的能力验证评定结果为“通过”或者“满意”（响应文件中须附能力验证证明等相关证明文件）。</w:t>
            </w:r>
          </w:p>
          <w:p w14:paraId="4DCA0C56">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4、供应商开展的该鉴定项目应有3名及以上具备交通事故痕迹鉴定执业资格的鉴定人，同时至少有1名痕迹检验鉴定人具备高级职称。鉴定人具有良好的专业背景和培训经历，具备与其所承担的鉴定工作的类型、范围和工作量相适应的能力，响应文件中须提供鉴定机构司法鉴定许可证、鉴定人执业资格证书复印件并加盖供应商公章。</w:t>
            </w:r>
          </w:p>
          <w:p w14:paraId="1F6FDB1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5、供应商须具备自行在贵港市区开展对被鉴定车辆的勘验、检验工作的能力，同时需具备上线检测设施设备，不得将被检验鉴定车辆移出贵港市区进行勘验、检验，不满足该条件的，采购人不签订服务合同，或者在服务过程中出现该条款情况的终止服务合同。</w:t>
            </w:r>
          </w:p>
          <w:p w14:paraId="070A5D2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6、供应商应配备符合鉴定技术标准且满足鉴定项目需要的设备，确保所用设备的适用性和校准状态，并提供设备合格证书或检定校准情况。</w:t>
            </w:r>
          </w:p>
          <w:p w14:paraId="09311B0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7、供应商应采用满足采购人需求并适用于所进行的鉴定工作的方法，优先选择使用国际、区域、国家或行业发布的标准方法，并在响应文件中提出具有针对性的技术服务方案和质量保证措施。供应商应将所选用的方法应通知采购人。</w:t>
            </w:r>
          </w:p>
          <w:p w14:paraId="4D623575">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8、供应商应有用于检材/样本的运输、接收、处置、保护、存储、保留和/或清理的程序，应对接收、内部传递、处置、保留、返还和清理等过程进行记录，确保“保管链”记录的完整性和可追溯性。</w:t>
            </w:r>
          </w:p>
          <w:p w14:paraId="38C8FE3F">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9、供应商被通知接收委托后必须24小时内取走委托书并即时开始检验。供应商应无条件满足应急检验鉴定工作的要求，紧急案件24小之内完成检材搜集。</w:t>
            </w:r>
          </w:p>
          <w:p w14:paraId="631376FA">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10、供应商应当在采购人要求的时限内（自接受书面委托之日起15日内）出具鉴定文书；鉴定文书应准确、清晰、明确和客观地意见书每一项或一系列鉴定工作的结果，并且应包括采购人要求的、说明鉴定结果所必需的和所用方法要求的全部信息。</w:t>
            </w:r>
          </w:p>
          <w:p w14:paraId="21ACB38E">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11、供应商应对在实施鉴定中获得或产生的所有信息承担管理和保密责任；供应商不得在在公开场合发布及私自透露采购人委托的检验鉴定项目相关信息，如有需要，应事先通知并征得采购人同意。供应商应在响应文件中提供符合上述要求的声明书原件并加盖供应商公章。供应商违反上述保密协议并造成严重后果的，采购人有权暂停委托或解除合同。</w:t>
            </w:r>
          </w:p>
          <w:p w14:paraId="3C82B88E">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12、供应商应自觉接受采购人监督，对因鉴定人员、人数发生变化，不再具备相应业务鉴定能力或资质的，或因技术场地、仪器设备、鉴定人能力缺陷无法保证鉴定质量的，采购人有权暂停委托或解除合同。</w:t>
            </w:r>
          </w:p>
          <w:p w14:paraId="7CCACD1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13、对于成交范围内的首次鉴定委托和经支队协调的重新鉴定委托，供应商应严格按照《司法鉴定通则》的要求予以受理、鉴定并出具司法鉴定意见书，不得无故拖延、推诿、不受理或者出具缺乏科学依据的鉴定意见书。无故拖延、推诿、不受理或者出具的鉴定意见书严重缺乏科学依据超过2次的并经采购人调查属实的，采购人有权暂停委托或解除合同,并将相关情况上报司法鉴定监督管理部门。</w:t>
            </w:r>
          </w:p>
          <w:p w14:paraId="53C5140D">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（四）费用标准：</w:t>
            </w:r>
          </w:p>
          <w:p w14:paraId="1A662298">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总预算费用22.0万，按照《广西壮族自治区司法鉴定收费管理办法》及近3年实际鉴定价格，每辆车鉴定单价不超过（含交通、住宿、勘验等所有相关费用）：</w:t>
            </w:r>
          </w:p>
          <w:p w14:paraId="2E26DB5B">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（1）判断涉案车辆的类型（如机动车、非机动车）：1000元/辆；</w:t>
            </w:r>
          </w:p>
          <w:p w14:paraId="099DE367">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yellow"/>
                <w:lang w:val="en-US" w:eastAsia="zh-CN"/>
              </w:rPr>
              <w:t>（2）车辆安全技术状况鉴定：二、三轮摩托车1200元/辆，小型汽车（含9座以下乘用车、整备质量小于等于3500Kg的二轴货车）1500元/辆，中型汽车（含9座以上乘用车、整备质量大于3500Kg的二轴货车）1800元/辆，大型汽车（含三轴及以上的多轴机动车，牵引车及挂车各按一辆计算）2450元/辆。</w:t>
            </w:r>
          </w:p>
        </w:tc>
      </w:tr>
      <w:tr w14:paraId="61615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 w:type="dxa"/>
            <w:noWrap w:val="0"/>
            <w:vAlign w:val="center"/>
          </w:tcPr>
          <w:p w14:paraId="6894B9A7">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85" w:type="dxa"/>
            <w:noWrap w:val="0"/>
            <w:vAlign w:val="center"/>
          </w:tcPr>
          <w:p w14:paraId="257E04BF">
            <w:pPr>
              <w:tabs>
                <w:tab w:val="left" w:pos="1440"/>
              </w:tabs>
              <w:jc w:val="center"/>
              <w:rPr>
                <w:rFonts w:hint="eastAsia" w:ascii="宋体" w:hAnsi="宋体" w:cs="宋体"/>
                <w:color w:val="auto"/>
                <w:szCs w:val="21"/>
                <w:highlight w:val="none"/>
              </w:rPr>
            </w:pPr>
            <w:r>
              <w:rPr>
                <w:rFonts w:hint="eastAsia" w:ascii="宋体" w:hAnsi="宋体" w:cs="宋体"/>
                <w:color w:val="auto"/>
                <w:szCs w:val="21"/>
                <w:highlight w:val="none"/>
              </w:rPr>
              <w:t>交通事故痕迹鉴定、交通事故痕迹物证综合鉴定、车辆行驶速度鉴定</w:t>
            </w:r>
          </w:p>
        </w:tc>
        <w:tc>
          <w:tcPr>
            <w:tcW w:w="900" w:type="dxa"/>
            <w:gridSpan w:val="2"/>
            <w:noWrap w:val="0"/>
            <w:vAlign w:val="top"/>
          </w:tcPr>
          <w:p w14:paraId="0C7AFBCD">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75" w:type="dxa"/>
            <w:noWrap w:val="0"/>
            <w:vAlign w:val="top"/>
          </w:tcPr>
          <w:p w14:paraId="0B6EA77F">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897" w:type="dxa"/>
            <w:noWrap w:val="0"/>
            <w:vAlign w:val="top"/>
          </w:tcPr>
          <w:p w14:paraId="60186821">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（一）项目概况：为规范交通事故痕迹鉴定、痕迹物证综合鉴定、车辆行驶速度鉴定工作，提高交通事故处理效率，通过政府采购将鉴定工作委托有资质的社会第三方司法鉴定中心进行鉴定服务。</w:t>
            </w:r>
          </w:p>
          <w:p w14:paraId="67BDEC4D">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（二）服务内容：</w:t>
            </w:r>
          </w:p>
          <w:p w14:paraId="15319026">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交通事故痕迹鉴定：包括通过对涉案车辆唯一性检查，对涉案车辆、交通设施、人员及穿戴物等为承痕体、造痕体的痕迹和整体分离痕迹进行检验分析，必要时结合交通事故微量物证鉴定、法医学鉴定等结果，判断痕迹的形成过程和原因(如是否发生过接触碰撞、接触碰撞部位和形态等)。</w:t>
            </w:r>
          </w:p>
          <w:p w14:paraId="6B1040AE">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交通事故痕迹物证综合鉴定：基于以上交通事故痕迹物证鉴定项目的检验鉴定结果，必要时结合交通事故微量物证鉴定、声像资料鉴定、法医学鉴定等结果，综合判断涉案人员、车辆、设施等交通要素在事故过程中的状态、痕迹物证形成过程及原因等，包括交通行为方式、交通信号灯痕迹物证鉴定项目的检验鉴定结果，必要时结合交通事故微量物证鉴定、声像资料鉴定、法医学鉴定等结果，综合判断涉案人员、车辆、设施等交通要素在事故过程中的状态、痕迹物证形成过程及原因等，包括交通行为方式（如驾乘关系、骑行或者推行、行人姿态、安全带使用状态等）、交通信号灯指示状态、事故车辆起火原因、轮胎破损原因等。</w:t>
            </w:r>
          </w:p>
          <w:p w14:paraId="6458D9ED">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车辆行驶速度鉴定：运用动力学、运动学、经验公式、模拟实验等方法，根据道路交通事故现场痕迹和资料、视频图像、车辆行驶记录信息等，判断事故瞬间速度(如碰撞、倾覆或坠落等瞬间的速度)，采取避险措施时的速度(如采取制动、转向等避险措施时的速度)，在某段距离、时间或过程的平均行驶速度及速度变化状态等。</w:t>
            </w:r>
          </w:p>
          <w:p w14:paraId="7CD46BB7">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（三）服务要求：</w:t>
            </w:r>
          </w:p>
          <w:p w14:paraId="756D1180">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供应商依法科学公正实施鉴定，并对其鉴定活动承担法律责任，其法定代表人或最高管理者应对公正性作出承诺性声明；供应商应有政策和程序以避免卷入任何会降低其公正性、诚实性的活动，不允许来自商业、财务或其他方面的压力影响其公正性。供应商应在响应文件中提供符合上述要求的声明书原件并加盖供应商公章。</w:t>
            </w:r>
          </w:p>
          <w:p w14:paraId="283C95A4">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供应商应具有痕迹类（机动车）交通事故痕迹鉴定资质，并具有司法行政机关颁发的有效期内的《司法鉴定许可证》，并经省级司法行政机关审核登记并编入《国家司法鉴定名册》【响应文件中需提供《国家司法鉴定名册》复印件（首页和显示本机构页）】。</w:t>
            </w:r>
          </w:p>
          <w:p w14:paraId="153703C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3、供应商必须具有参加采购内容涉及的司法厅每年下发的能力验证经历，且在近三年内</w:t>
            </w:r>
            <w:r>
              <w:rPr>
                <w:rFonts w:hint="eastAsia" w:ascii="宋体" w:hAnsi="宋体" w:cs="宋体"/>
                <w:color w:val="0000FF"/>
                <w:szCs w:val="21"/>
                <w:highlight w:val="none"/>
              </w:rPr>
              <w:t>（202</w:t>
            </w:r>
            <w:r>
              <w:rPr>
                <w:rFonts w:hint="eastAsia" w:ascii="宋体" w:hAnsi="宋体" w:cs="宋体"/>
                <w:color w:val="0000FF"/>
                <w:szCs w:val="21"/>
                <w:highlight w:val="none"/>
                <w:lang w:val="en-US" w:eastAsia="zh-CN"/>
              </w:rPr>
              <w:t>2</w:t>
            </w:r>
            <w:r>
              <w:rPr>
                <w:rFonts w:hint="eastAsia" w:ascii="宋体" w:hAnsi="宋体" w:cs="宋体"/>
                <w:color w:val="0000FF"/>
                <w:szCs w:val="21"/>
                <w:highlight w:val="none"/>
              </w:rPr>
              <w:t>年-202</w:t>
            </w:r>
            <w:r>
              <w:rPr>
                <w:rFonts w:hint="eastAsia" w:ascii="宋体" w:hAnsi="宋体" w:cs="宋体"/>
                <w:color w:val="0000FF"/>
                <w:szCs w:val="21"/>
                <w:highlight w:val="none"/>
                <w:lang w:val="en-US" w:eastAsia="zh-CN"/>
              </w:rPr>
              <w:t>4</w:t>
            </w:r>
            <w:r>
              <w:rPr>
                <w:rFonts w:hint="eastAsia" w:ascii="宋体" w:hAnsi="宋体" w:cs="宋体"/>
                <w:color w:val="0000FF"/>
                <w:szCs w:val="21"/>
                <w:highlight w:val="none"/>
              </w:rPr>
              <w:t>年）</w:t>
            </w:r>
            <w:r>
              <w:rPr>
                <w:rFonts w:hint="eastAsia" w:hAnsi="宋体" w:cs="宋体"/>
                <w:color w:val="auto"/>
                <w:sz w:val="21"/>
                <w:highlight w:val="none"/>
                <w:lang w:val="en-US" w:eastAsia="zh-CN"/>
              </w:rPr>
              <w:t>的项目服务期内有效的能力验证评定结果为“通过”或者“满意”（响应文件中须附能力验证证明等相关证明文件）。</w:t>
            </w:r>
          </w:p>
          <w:p w14:paraId="2535A5E0">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4、供应商开展该鉴定项目应有3名及以上具备交通事故痕迹鉴定执业资格的鉴定人，同时至少有1名鉴定人具备高级职称。鉴定人具有良好的专业背景和培训经历，具备与其所承担的鉴定工作的类型、范围和工作量相适应的能力，响应文件中须提供鉴定机构司法鉴定许可证、鉴定人执业资格证书复印件并加盖供应商公章。</w:t>
            </w:r>
          </w:p>
          <w:p w14:paraId="507CFC08">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5、供应商须具备自行在贵港市区开展对被鉴定车辆的勘验、检验工作的能力，不得将被检验鉴定车辆移出贵港市区进行勘验、检验，不满足该条件的，采购人不签订服务合同，或者在服务过程中出现该条款情况的终止服务合同。</w:t>
            </w:r>
          </w:p>
          <w:p w14:paraId="6B7A0A61">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6、供应商应配备符合鉴定技术标准且满足鉴定项目需要的设备，确保所用设备的适用性和校准状态，并提供设备合格证书或检定校准情况。</w:t>
            </w:r>
          </w:p>
          <w:p w14:paraId="5E6943D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7、供应商应采用满足采购人需求并适用于所进行的鉴定工作的方法，优先选择使用国际、区域、国家或行业发布的标准方法，并在响应文件中提出具有针对性的技术服务方案和质量保证措施。供应商应将所选用的方法应通知采购人。</w:t>
            </w:r>
          </w:p>
          <w:p w14:paraId="4D5D89C6">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8、供应商应有用于检材/样本的运输、接收、处置、保护、存储、保留和/或清理的程序，应对接收、内部传递、处置、保留、返还和清理等过程进行记录，确保“保管链”记录的完整性和可追溯性。</w:t>
            </w:r>
          </w:p>
          <w:p w14:paraId="211B23F4">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9、供应商被通知接收委托后必须24小时内取走委托书并即时开始检验。供应商应无条件满足应急检验鉴定工作的要求，紧急案件24小之内完成检材搜集。</w:t>
            </w:r>
          </w:p>
          <w:p w14:paraId="42056D24">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10、供应商应当采购人要求的时限内（自接受书面委托之日起15日内）出具鉴定文书；鉴定文书应准确、清晰、明确和客观地意见书每一项或一系列鉴定工作的结果，并且应包括采购人要求的、说明鉴定结果所必需的和所用方法要求的全部信息。</w:t>
            </w:r>
          </w:p>
          <w:p w14:paraId="3D43E283">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11、供应商应对在实施鉴定中获得或产生的所有信息承担管理和保密责任；供应商不得在在公开场合发布及私自透露采购人委托的检验鉴定项目相关信息，如有需要，应事先通知并征得采购人同意。供应商应在响应文件中提供符合上述要求的声明书原件并加盖供应商公章。供应商违反上述保密协议并造成严重后果的，采购人有权暂停委托或解除合同。</w:t>
            </w:r>
          </w:p>
          <w:p w14:paraId="7FED7AA6">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12、供应商应自觉接受采购人监督，对因鉴定人员、人数发生变化，不再具备相应业务鉴定能力或资质的，或因技术场地、仪器设备、鉴定人能力缺陷无法保证鉴定质量的，采购人有权暂停委托或解除合同。</w:t>
            </w:r>
          </w:p>
          <w:p w14:paraId="4FD719DA">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13、对于成交范围内的首次鉴定委托和经支队协调的重新鉴定，供应商应严格按照《司法鉴定通则》的要求予以受理、鉴定并出具司法鉴定意见书，不得无故拖延、推诿、不受理或者出具缺乏科学依据的鉴定意见书。无故拖延、推诿、不受理或者出具的鉴定意见书严重缺乏科学依据超过2次并经采购人调查属实的，采购人有权暂停委托或解除合同,并将相关情况上报司法鉴定监督管理部门。</w:t>
            </w:r>
          </w:p>
          <w:p w14:paraId="1B9FEDBC">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（四）费用标准：</w:t>
            </w:r>
          </w:p>
          <w:p w14:paraId="410A0614">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总预算费用16.0万，按照《广西壮族自治区司法鉴定收费管理办法》及近3年实际鉴定价格，每辆车鉴定单价不超过   （含交通、住宿、勘验等所有相关费用）：</w:t>
            </w:r>
          </w:p>
          <w:p w14:paraId="6BCEF269">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（1）交通事故痕迹鉴定（包括车辆接触碰撞方式、整体分离痕迹、车辆轮迹等）：单价不超过1500元/辆；</w:t>
            </w:r>
          </w:p>
          <w:p w14:paraId="2DFC7F3C">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（2）交通事故痕迹物证综合鉴定（包括交通行为方式、轮胎破损原因等）：单价不超过1500元/辆；</w:t>
            </w:r>
          </w:p>
          <w:p w14:paraId="2EEC4886">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（3）车辆速度鉴定：单价不超过1500元/辆。</w:t>
            </w:r>
          </w:p>
          <w:p w14:paraId="38EEC887">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（4）事故车辆起火原因、行驶状态（含EDR数据提取分析）鉴定：单价不超过5000元/辆</w:t>
            </w:r>
          </w:p>
          <w:p w14:paraId="6FD03967">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yellow"/>
                <w:lang w:val="en-US" w:eastAsia="zh-CN"/>
              </w:rPr>
              <w:t>上述均含交通、住宿、勘验等所有相关费用，如在鉴定过程中涉及微量物证鉴定，则微量物证项目收费按照《司法鉴定收费管理办法》微量物证鉴定收费项目增加）。</w:t>
            </w:r>
          </w:p>
        </w:tc>
      </w:tr>
      <w:tr w14:paraId="1B80F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 w:type="dxa"/>
            <w:noWrap w:val="0"/>
            <w:vAlign w:val="center"/>
          </w:tcPr>
          <w:p w14:paraId="517DE9C9">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85" w:type="dxa"/>
            <w:noWrap w:val="0"/>
            <w:vAlign w:val="center"/>
          </w:tcPr>
          <w:p w14:paraId="36BF3A29">
            <w:pPr>
              <w:tabs>
                <w:tab w:val="left" w:pos="1440"/>
              </w:tabs>
              <w:jc w:val="center"/>
              <w:rPr>
                <w:rFonts w:hint="eastAsia" w:ascii="宋体" w:hAnsi="宋体" w:cs="宋体"/>
                <w:color w:val="auto"/>
                <w:szCs w:val="21"/>
                <w:highlight w:val="none"/>
              </w:rPr>
            </w:pPr>
            <w:r>
              <w:rPr>
                <w:rFonts w:hint="eastAsia" w:ascii="宋体" w:hAnsi="宋体" w:cs="宋体"/>
                <w:color w:val="auto"/>
                <w:szCs w:val="21"/>
                <w:highlight w:val="none"/>
              </w:rPr>
              <w:t>人体血液</w:t>
            </w:r>
            <w:r>
              <w:rPr>
                <w:rFonts w:hint="eastAsia" w:ascii="宋体" w:hAnsi="宋体" w:cs="宋体"/>
                <w:color w:val="auto"/>
                <w:highlight w:val="none"/>
              </w:rPr>
              <w:t>中</w:t>
            </w:r>
            <w:r>
              <w:rPr>
                <w:rFonts w:hint="eastAsia" w:ascii="宋体" w:hAnsi="宋体" w:cs="宋体"/>
                <w:bCs/>
                <w:color w:val="auto"/>
                <w:kern w:val="0"/>
                <w:szCs w:val="21"/>
                <w:highlight w:val="none"/>
              </w:rPr>
              <w:t>乙醇定性定量分析</w:t>
            </w:r>
          </w:p>
        </w:tc>
        <w:tc>
          <w:tcPr>
            <w:tcW w:w="900" w:type="dxa"/>
            <w:gridSpan w:val="2"/>
            <w:noWrap w:val="0"/>
            <w:vAlign w:val="top"/>
          </w:tcPr>
          <w:p w14:paraId="6764D5D2">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75" w:type="dxa"/>
            <w:noWrap w:val="0"/>
            <w:vAlign w:val="top"/>
          </w:tcPr>
          <w:p w14:paraId="1A266E3C">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897" w:type="dxa"/>
            <w:noWrap w:val="0"/>
            <w:vAlign w:val="top"/>
          </w:tcPr>
          <w:p w14:paraId="3E3AEC3F">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（一）项目概况：为规范路面交通执勤执法和交通事故处理过程中所采集的人体血液中乙醇定性定量分析工作，通过政府采购将检验鉴定工作委托有资质的社会第三方司法鉴定中心进行鉴定服务。</w:t>
            </w:r>
          </w:p>
          <w:p w14:paraId="6E0AD5FB">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（二）服务内容：对路面交通执勤执法和交通事故处理过程中所采集的人体血样进行检检验鉴定，判断是否含有乙醇并测定其含量。</w:t>
            </w:r>
          </w:p>
          <w:p w14:paraId="4AB0C2E7">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（三）服务要求：</w:t>
            </w:r>
          </w:p>
          <w:p w14:paraId="6330DEC5">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供应商依法科学公正实施鉴定，并对其鉴定活动承担法律责任，其法定代表人或最高管理者应对公正性作出承诺性声明；供应商有政策和程序以避免卷入任何会降低其公正性、诚实性的活动，不允许来自商业、财务或其他方面的压力影响其公正性。供应商在响应文件中提供符合上述要求的法定代表人或最高管理者应对公正性作出承诺性声明以及供应商避免卷入任何会降低其公正性、诚实性的活动，不允许来自商业、财务或其他方面的压力影响其公正性的政策和程序原件并加盖供应商公章。</w:t>
            </w:r>
          </w:p>
          <w:p w14:paraId="59983DB5">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供应商应具有法医毒物鉴定资质，并具有司法行政机关颁发的有效期内的《司法鉴定许可证》，并经省级司法行政机关审核登记并编入《国家司法鉴定名册》【需提供《国家司法鉴定名册》复印件（首页和显示本机构页）】；同时具有通过省级以上检验检测机构资质认定或CNAS实验室认可的实验室，而且认证认可确认的能力范围包括本标的内容的检验鉴定范围。</w:t>
            </w:r>
          </w:p>
          <w:p w14:paraId="24EB8C61">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3、供应商必须具有参加采购内容涉及的司法厅每年下发的能力验证经历，且在近三年内</w:t>
            </w:r>
            <w:r>
              <w:rPr>
                <w:rFonts w:hint="eastAsia" w:ascii="宋体" w:hAnsi="宋体" w:cs="宋体"/>
                <w:color w:val="0000FF"/>
                <w:szCs w:val="21"/>
                <w:highlight w:val="none"/>
              </w:rPr>
              <w:t>（202</w:t>
            </w:r>
            <w:r>
              <w:rPr>
                <w:rFonts w:hint="eastAsia" w:ascii="宋体" w:hAnsi="宋体" w:cs="宋体"/>
                <w:color w:val="0000FF"/>
                <w:szCs w:val="21"/>
                <w:highlight w:val="none"/>
                <w:lang w:val="en-US" w:eastAsia="zh-CN"/>
              </w:rPr>
              <w:t>2</w:t>
            </w:r>
            <w:r>
              <w:rPr>
                <w:rFonts w:hint="eastAsia" w:ascii="宋体" w:hAnsi="宋体" w:cs="宋体"/>
                <w:color w:val="0000FF"/>
                <w:szCs w:val="21"/>
                <w:highlight w:val="none"/>
              </w:rPr>
              <w:t>年-202</w:t>
            </w:r>
            <w:r>
              <w:rPr>
                <w:rFonts w:hint="eastAsia" w:ascii="宋体" w:hAnsi="宋体" w:cs="宋体"/>
                <w:color w:val="0000FF"/>
                <w:szCs w:val="21"/>
                <w:highlight w:val="none"/>
                <w:lang w:val="en-US" w:eastAsia="zh-CN"/>
              </w:rPr>
              <w:t>4</w:t>
            </w:r>
            <w:r>
              <w:rPr>
                <w:rFonts w:hint="eastAsia" w:ascii="宋体" w:hAnsi="宋体" w:cs="宋体"/>
                <w:color w:val="0000FF"/>
                <w:szCs w:val="21"/>
                <w:highlight w:val="none"/>
              </w:rPr>
              <w:t>年）</w:t>
            </w:r>
            <w:r>
              <w:rPr>
                <w:rFonts w:hint="eastAsia" w:hAnsi="宋体" w:cs="宋体"/>
                <w:color w:val="auto"/>
                <w:sz w:val="21"/>
                <w:highlight w:val="none"/>
                <w:lang w:val="en-US" w:eastAsia="zh-CN"/>
              </w:rPr>
              <w:t>的项目服务期内有效的能力验证评定结果为“通过”或者“满意”（响应文件中须附能力验证证明等相关证明文件）。</w:t>
            </w:r>
          </w:p>
          <w:p w14:paraId="15487C04">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4、供应商开展的该鉴定项目应有3名及以上具备法医毒物鉴定执业资格的鉴定人，同时至少有1名鉴定人具备高级职称。鉴定人具有良好的专业背景和培训经历，具备与其所承担的鉴定工作的类型、范围和工作量相适应的能力。响应文件中须提供鉴定机构司法鉴定许可证、鉴定人执业资格证书复印件并加盖供应商公章。</w:t>
            </w:r>
          </w:p>
          <w:p w14:paraId="7CFB6E96">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5、供应商应具有固定、独立的检验鉴定场所包含独立的实验室、样品室(物证室)、档案室、办公室、接案室、资料室等功能区域划分科学、设置合理，符合工作要求；对于现场工作以及涉及生物检材样本、危险性检材/样本的区域和人员，供应商应能够提供适当的防护措施（响应文件中提供检验鉴定场所证明：营业执照或租赁合同等）。</w:t>
            </w:r>
          </w:p>
          <w:p w14:paraId="77C177E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6、供应商应配备符合鉴定技术标准且满足鉴定项目需要的设备，响应文件中应提供设备合格证书或检定校准情况复印件并加盖供应商公章。</w:t>
            </w:r>
          </w:p>
          <w:p w14:paraId="379F9CE8">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7、供应商应采用满足采购人需求并适用于所进行的鉴定工作的方法，优先选择使用国际、区域、国家或行业发布的标准方法。供应商所选用的方法应在每次鉴定意见书中写明。</w:t>
            </w:r>
          </w:p>
          <w:p w14:paraId="556A22EA">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8、供应商应有用于检材/样本的运输、接收、处置、保护、存储、保留和/或清理的程序，应对接收、内部传递、处置、保留、返还和清理等过程进行记录，确保“保管链”记录的完整性和可追溯性。响应文件中需提供机构《检材/样本管理程序》文件及截止开标前3个月内检材/样本记录复印件并加盖供应商公章。 </w:t>
            </w:r>
          </w:p>
          <w:p w14:paraId="14CB17BA">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9、供应商能够自行到达指定地点开展鉴定工作或提取与鉴定有关的检材，供应商须协助采购人相关部门收集处理可销毁的备份检材。对于项目范围内的大队开展集中统一酒驾夜查需要供应商到夜查现场提供检材提取服务的，应予以配合。</w:t>
            </w:r>
          </w:p>
          <w:p w14:paraId="24A0333C">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10、供应商应当在采购人要求的时限内（自接受书面委托之日起3日内）出具鉴定文书；鉴定文书应准确、清晰、明确和客观地反映每一项或一系列鉴定工作的结果，并且应包括采购人要求的、说明鉴定结果所必需的和所用方法要求的全部信息。</w:t>
            </w:r>
          </w:p>
          <w:p w14:paraId="5BD42A96">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11、供应商应无条件满足应急检验鉴定工作的要求，紧急案件24小时之内完成检材搜集、鉴定并出具鉴定结论。</w:t>
            </w:r>
          </w:p>
          <w:p w14:paraId="4EB68909">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12、供应商应对在实施鉴定中获得或产生的所有信息承担管理和保密责任；供应商不得在在公开场合发布及私自透露采购人委托的检验鉴定项目相关信息，如有需要，应事先通知并征得采购人同意。供应商在响应文件中提供符合上述要求的保密承诺书或声明书原件并加盖供应商公章。供应商违反上述保密协议并造成严重后果的，采购人有权暂停委托或解除合同。</w:t>
            </w:r>
          </w:p>
          <w:p w14:paraId="0847DFE8">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13、对于成交范围内的首次鉴定委托和经支队协调的重新鉴定，供应商应严格按照《司法鉴定通则》的要求予以受理、鉴定并出具司法鉴定意见书，不得无故拖延、推诿、不受理或者出具缺乏科学依据的鉴定意见书。无故拖延、推诿、不受理或者出具的鉴定意见书严重缺乏科学依据超过2次并经采购人调查属实的，采购人有权暂停委托或解除合同,并将相关情况上报司法鉴定监督管理部门。</w:t>
            </w:r>
          </w:p>
          <w:p w14:paraId="2BD55D3D">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14、供应商应自觉接受采购人监督，对因鉴定人员、人数发生变化，不再具备相应业务鉴定能力或资质的，或因实验室、技术场地、仪器设备、鉴定人能力缺陷无法保证鉴定质量的，采购人有权暂停委托或解除合同。</w:t>
            </w:r>
          </w:p>
          <w:p w14:paraId="4675CCA9">
            <w:pPr>
              <w:pStyle w:val="12"/>
              <w:spacing w:line="440" w:lineRule="exact"/>
              <w:rPr>
                <w:rFonts w:hint="eastAsia" w:hAnsi="宋体" w:cs="宋体"/>
                <w:color w:val="auto"/>
                <w:sz w:val="21"/>
                <w:highlight w:val="yellow"/>
                <w:lang w:val="en-US" w:eastAsia="zh-CN"/>
              </w:rPr>
            </w:pPr>
            <w:r>
              <w:rPr>
                <w:rFonts w:hint="eastAsia" w:hAnsi="宋体" w:cs="宋体"/>
                <w:color w:val="auto"/>
                <w:sz w:val="21"/>
                <w:highlight w:val="yellow"/>
                <w:lang w:val="en-US" w:eastAsia="zh-CN"/>
              </w:rPr>
              <w:t>（四）费用标准：</w:t>
            </w:r>
          </w:p>
          <w:p w14:paraId="6D7CD804">
            <w:pPr>
              <w:pStyle w:val="12"/>
              <w:spacing w:line="440" w:lineRule="exact"/>
              <w:rPr>
                <w:rFonts w:hint="eastAsia" w:hAnsi="宋体" w:cs="宋体"/>
                <w:color w:val="auto"/>
                <w:sz w:val="21"/>
                <w:highlight w:val="none"/>
                <w:lang w:val="en-US" w:eastAsia="zh-CN"/>
              </w:rPr>
            </w:pPr>
            <w:r>
              <w:rPr>
                <w:rFonts w:hint="eastAsia" w:hAnsi="宋体" w:cs="宋体"/>
                <w:color w:val="auto"/>
                <w:sz w:val="21"/>
                <w:highlight w:val="yellow"/>
                <w:lang w:val="en-US" w:eastAsia="zh-CN"/>
              </w:rPr>
              <w:t>总预算费用21.0万，含路面交通执勤执法和事故处理所采集的人体血样，检测是否含有乙醇并测定其浓度，按照《广西壮族自治区司法鉴定收费管理办法》基准价，每管血样鉴定单价不超过（含交通、住宿、勘验等所有相关费用）：350元/样，按600管/年计。</w:t>
            </w:r>
          </w:p>
        </w:tc>
      </w:tr>
      <w:tr w14:paraId="67F28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noWrap w:val="0"/>
            <w:vAlign w:val="top"/>
          </w:tcPr>
          <w:p w14:paraId="02FA6E75">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一、商务要求</w:t>
            </w:r>
          </w:p>
        </w:tc>
      </w:tr>
      <w:tr w14:paraId="26AC1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307C4B67">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▲报价要求</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713A58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项目以优惠率报价，以广西壮族自治区发展和改革委员会、广西壮族自治区司法厅关于印发《广西壮族自治区司法鉴定收费管理办法》的通知（桂发改收费规〔2023〕1185号）为依据，对具体收费项目进行优惠率报价。每项结算的金额=《广西壮族自治区司法鉴定收费管理办法》对应每项收费标准×（1-优惠率）。</w:t>
            </w:r>
            <w:r>
              <w:rPr>
                <w:rFonts w:hint="eastAsia" w:ascii="宋体" w:hAnsi="宋体" w:cs="宋体"/>
                <w:color w:val="auto"/>
                <w:highlight w:val="none"/>
              </w:rPr>
              <w:t>优惠率以百分比表示，范围在 0%～100%之间。报价优惠率必须为正数报价，不得存在区间值（例如：优惠率 95%、96%、97%、98%等）。如出现超出报价优惠率范围、优惠率为负数、优惠率存在区间值，则认定为报价无效，响应文件按无效响应处理。</w:t>
            </w:r>
          </w:p>
          <w:p w14:paraId="6B077B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2、供应商在报价中均包括完成该项目的成本、利润、税金、人员差旅费用、交通费用、住宿费用、检测方法、技术措施费、检测费、鉴定费等所有费用。</w:t>
            </w:r>
            <w:r>
              <w:rPr>
                <w:rFonts w:hint="eastAsia" w:ascii="宋体" w:hAnsi="宋体" w:cs="宋体"/>
                <w:color w:val="auto"/>
                <w:highlight w:val="none"/>
              </w:rPr>
              <w:t>除签订的合同价款外，采购人不再支付任何额外费用。</w:t>
            </w:r>
          </w:p>
          <w:p w14:paraId="6B2C191C">
            <w:pPr>
              <w:spacing w:line="360" w:lineRule="auto"/>
              <w:rPr>
                <w:rFonts w:hint="eastAsia" w:ascii="宋体" w:hAnsi="宋体" w:cs="宋体"/>
                <w:color w:val="auto"/>
                <w:highlight w:val="none"/>
              </w:rPr>
            </w:pPr>
            <w:r>
              <w:rPr>
                <w:rFonts w:hint="eastAsia" w:ascii="宋体" w:hAnsi="宋体" w:cs="宋体"/>
                <w:color w:val="auto"/>
                <w:szCs w:val="21"/>
                <w:highlight w:val="none"/>
              </w:rPr>
              <w:t>3、供应商在报价中均包</w:t>
            </w:r>
            <w:r>
              <w:rPr>
                <w:rFonts w:hint="eastAsia" w:ascii="宋体" w:hAnsi="宋体" w:cs="宋体"/>
                <w:color w:val="auto"/>
                <w:highlight w:val="none"/>
              </w:rPr>
              <w:t>括履行合同所可能生产的其他费用，如技术支持、售后服务等。</w:t>
            </w:r>
          </w:p>
          <w:p w14:paraId="38CDA1C8">
            <w:pPr>
              <w:spacing w:line="360" w:lineRule="auto"/>
              <w:rPr>
                <w:rFonts w:hint="eastAsia" w:ascii="宋体" w:hAnsi="宋体" w:cs="宋体"/>
                <w:color w:val="auto"/>
                <w:highlight w:val="none"/>
              </w:rPr>
            </w:pPr>
            <w:r>
              <w:rPr>
                <w:rFonts w:hint="eastAsia" w:ascii="宋体" w:hAnsi="宋体" w:cs="宋体"/>
                <w:color w:val="auto"/>
                <w:highlight w:val="none"/>
              </w:rPr>
              <w:t>4、本项目单项预算价详见本章“</w:t>
            </w:r>
            <w:r>
              <w:rPr>
                <w:rFonts w:hint="eastAsia" w:ascii="宋体" w:hAnsi="宋体" w:cs="宋体"/>
                <w:color w:val="auto"/>
                <w:szCs w:val="21"/>
                <w:highlight w:val="none"/>
              </w:rPr>
              <w:t>技术要求</w:t>
            </w:r>
            <w:r>
              <w:rPr>
                <w:rFonts w:hint="eastAsia" w:ascii="宋体" w:hAnsi="宋体" w:cs="宋体"/>
                <w:color w:val="auto"/>
                <w:highlight w:val="none"/>
              </w:rPr>
              <w:t>”。</w:t>
            </w:r>
          </w:p>
        </w:tc>
      </w:tr>
      <w:tr w14:paraId="410FA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C87B0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5D2F3928">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自签定合同之日起一年</w:t>
            </w:r>
            <w:r>
              <w:rPr>
                <w:rFonts w:hint="eastAsia" w:ascii="宋体" w:hAnsi="宋体" w:cs="宋体"/>
                <w:color w:val="auto"/>
                <w:szCs w:val="21"/>
                <w:highlight w:val="none"/>
              </w:rPr>
              <w:t>。</w:t>
            </w:r>
          </w:p>
        </w:tc>
      </w:tr>
      <w:tr w14:paraId="531C5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270D258A">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▲合同签订时间</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087FC5FD">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自成交通知书发出之日起20天内。</w:t>
            </w:r>
          </w:p>
        </w:tc>
      </w:tr>
      <w:tr w14:paraId="1BC3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3FA0B453">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▲付款条件（进度和方式）</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63A180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1、本项目无预付款。</w:t>
            </w:r>
          </w:p>
          <w:p w14:paraId="7DE737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2、司法鉴定服务成果的交付和验收标准：按国家、自治区、贵港市的规定执行，司法鉴定服务成果交付或验收不合格的，采购人不予支付合同款项。</w:t>
            </w:r>
          </w:p>
          <w:p w14:paraId="39970B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3、供应商所提交的服务成果经采购人书面验收合格后，以实际产生的鉴定费用金额结算支付（实际产生的鉴定费用金额=成交单价×实际委托鉴定的数量，成交单价为供应商成交的基于</w:t>
            </w:r>
            <w:r>
              <w:rPr>
                <w:rFonts w:hint="eastAsia" w:ascii="宋体" w:hAnsi="宋体" w:cs="宋体"/>
                <w:color w:val="auto"/>
                <w:highlight w:val="none"/>
              </w:rPr>
              <w:t>优惠率</w:t>
            </w:r>
            <w:r>
              <w:rPr>
                <w:rFonts w:hint="eastAsia" w:ascii="宋体" w:hAnsi="宋体" w:cs="宋体"/>
                <w:color w:val="auto"/>
                <w:szCs w:val="21"/>
                <w:highlight w:val="none"/>
              </w:rPr>
              <w:t>的价格）。</w:t>
            </w:r>
          </w:p>
          <w:p w14:paraId="591C24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4、采购人支付款项前，供应商必须提供相应数额的发票、清单等。</w:t>
            </w:r>
          </w:p>
          <w:p w14:paraId="4B037ACE">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5、结算支付周期为每季度。</w:t>
            </w:r>
          </w:p>
        </w:tc>
      </w:tr>
      <w:tr w14:paraId="268EE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381430EF">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▲售后服务</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6F96C843">
            <w:pPr>
              <w:widowControl/>
              <w:jc w:val="left"/>
              <w:rPr>
                <w:rFonts w:hint="eastAsia" w:ascii="宋体" w:hAnsi="宋体" w:cs="宋体"/>
                <w:color w:val="auto"/>
                <w:szCs w:val="21"/>
                <w:highlight w:val="none"/>
              </w:rPr>
            </w:pPr>
            <w:r>
              <w:rPr>
                <w:rFonts w:hint="eastAsia" w:ascii="宋体" w:hAnsi="宋体" w:cs="宋体"/>
                <w:color w:val="auto"/>
                <w:szCs w:val="21"/>
                <w:highlight w:val="none"/>
              </w:rPr>
              <w:t>提交服务成果时间：在采购人要求的时限内（单次鉴定所约定时间）提交，除不可抗力因素外，如未按照约定时间完成鉴定，则不予以支付该次鉴定费用。</w:t>
            </w:r>
          </w:p>
          <w:p w14:paraId="172E48C7">
            <w:pPr>
              <w:widowControl/>
              <w:jc w:val="left"/>
              <w:rPr>
                <w:rFonts w:hint="eastAsia" w:ascii="宋体" w:hAnsi="宋体" w:cs="宋体"/>
                <w:color w:val="auto"/>
                <w:szCs w:val="21"/>
                <w:highlight w:val="none"/>
              </w:rPr>
            </w:pPr>
            <w:r>
              <w:rPr>
                <w:rFonts w:hint="eastAsia" w:ascii="宋体" w:hAnsi="宋体" w:cs="宋体"/>
                <w:color w:val="auto"/>
                <w:szCs w:val="21"/>
                <w:highlight w:val="none"/>
              </w:rPr>
              <w:t>提交服务成果地点：采购人指定地点。</w:t>
            </w:r>
          </w:p>
        </w:tc>
      </w:tr>
      <w:tr w14:paraId="65F02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139F482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技术支持和服务</w:t>
            </w:r>
          </w:p>
        </w:tc>
        <w:tc>
          <w:tcPr>
            <w:tcW w:w="7614" w:type="dxa"/>
            <w:gridSpan w:val="3"/>
            <w:tcBorders>
              <w:top w:val="single" w:color="auto" w:sz="4" w:space="0"/>
              <w:left w:val="single" w:color="auto" w:sz="4" w:space="0"/>
              <w:bottom w:val="single" w:color="auto" w:sz="4" w:space="0"/>
              <w:right w:val="single" w:color="auto" w:sz="4" w:space="0"/>
            </w:tcBorders>
            <w:noWrap w:val="0"/>
            <w:vAlign w:val="top"/>
          </w:tcPr>
          <w:p w14:paraId="17B1FB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成交供应商在质量保证期内应当为采购人提供以下技术支持和服务：</w:t>
            </w:r>
          </w:p>
          <w:p w14:paraId="20654B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1、电话咨询：成交供应商应当为采购人提供技术援助电话支持，解答采购人在使用中遇到的问题，及时为采购人提出解决问题的建议。</w:t>
            </w:r>
          </w:p>
          <w:p w14:paraId="6DCC23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2、现场响应：采购人遇到使用或技术问题，电话咨询不能解决的，成交供应商应在2小时内到达采购人指定现场。</w:t>
            </w:r>
          </w:p>
        </w:tc>
      </w:tr>
      <w:tr w14:paraId="356B5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D46B59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知识产权</w:t>
            </w:r>
          </w:p>
        </w:tc>
        <w:tc>
          <w:tcPr>
            <w:tcW w:w="7614" w:type="dxa"/>
            <w:gridSpan w:val="3"/>
            <w:tcBorders>
              <w:top w:val="single" w:color="auto" w:sz="4" w:space="0"/>
              <w:left w:val="single" w:color="auto" w:sz="4" w:space="0"/>
              <w:bottom w:val="single" w:color="auto" w:sz="4" w:space="0"/>
              <w:right w:val="single" w:color="auto" w:sz="4" w:space="0"/>
            </w:tcBorders>
            <w:noWrap w:val="0"/>
            <w:vAlign w:val="top"/>
          </w:tcPr>
          <w:p w14:paraId="276A83CA">
            <w:pPr>
              <w:widowControl/>
              <w:shd w:val="clear" w:color="auto" w:fill="FFFFFF"/>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供应商应保证贵港市公安局交通警察支队在接受其提供的相关服务时免受第三方提出侵犯其知识产权的起诉，由此引起的知识产权纠纷及引起的法律裁决、诉讼及赔偿费用均由成交供应商承担。</w:t>
            </w:r>
          </w:p>
        </w:tc>
      </w:tr>
      <w:tr w14:paraId="7C95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2C792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4679AF52">
            <w:pPr>
              <w:widowControl/>
              <w:jc w:val="left"/>
              <w:rPr>
                <w:rFonts w:hint="eastAsia" w:ascii="宋体" w:hAnsi="宋体" w:cs="宋体"/>
                <w:color w:val="auto"/>
                <w:szCs w:val="21"/>
                <w:highlight w:val="none"/>
              </w:rPr>
            </w:pPr>
            <w:r>
              <w:rPr>
                <w:rFonts w:hint="eastAsia" w:ascii="宋体" w:hAnsi="宋体" w:cs="宋体"/>
                <w:color w:val="auto"/>
                <w:szCs w:val="21"/>
                <w:highlight w:val="none"/>
              </w:rPr>
              <w:t>1、若成交供应商出现以下情形并经采购人调查属实的，业主则有权终止合同：</w:t>
            </w:r>
          </w:p>
          <w:p w14:paraId="7F1E1405">
            <w:pPr>
              <w:widowControl/>
              <w:jc w:val="left"/>
              <w:rPr>
                <w:rFonts w:hint="eastAsia" w:ascii="宋体" w:hAnsi="宋体" w:cs="宋体"/>
                <w:color w:val="auto"/>
                <w:szCs w:val="21"/>
                <w:highlight w:val="none"/>
              </w:rPr>
            </w:pPr>
            <w:r>
              <w:rPr>
                <w:rFonts w:hint="eastAsia" w:ascii="宋体" w:hAnsi="宋体" w:cs="宋体"/>
                <w:color w:val="auto"/>
                <w:szCs w:val="21"/>
                <w:highlight w:val="none"/>
              </w:rPr>
              <w:t>（1）无故拖延、推诿、不受理超过2次的；</w:t>
            </w:r>
          </w:p>
          <w:p w14:paraId="693893C6">
            <w:pPr>
              <w:widowControl/>
              <w:jc w:val="left"/>
              <w:rPr>
                <w:rFonts w:hint="eastAsia" w:ascii="宋体" w:hAnsi="宋体" w:cs="宋体"/>
                <w:color w:val="auto"/>
                <w:szCs w:val="21"/>
                <w:highlight w:val="none"/>
              </w:rPr>
            </w:pPr>
            <w:r>
              <w:rPr>
                <w:rFonts w:hint="eastAsia" w:ascii="宋体" w:hAnsi="宋体" w:cs="宋体"/>
                <w:color w:val="auto"/>
                <w:szCs w:val="21"/>
                <w:highlight w:val="none"/>
              </w:rPr>
              <w:t>（2）出具的鉴定意见书时间逾期达两次的；</w:t>
            </w:r>
          </w:p>
          <w:p w14:paraId="3EAD6AA2">
            <w:pPr>
              <w:widowControl/>
              <w:jc w:val="left"/>
              <w:rPr>
                <w:rFonts w:hint="eastAsia" w:ascii="宋体" w:hAnsi="宋体" w:cs="宋体"/>
                <w:color w:val="auto"/>
                <w:szCs w:val="21"/>
                <w:highlight w:val="none"/>
              </w:rPr>
            </w:pPr>
            <w:r>
              <w:rPr>
                <w:rFonts w:hint="eastAsia" w:ascii="宋体" w:hAnsi="宋体" w:cs="宋体"/>
                <w:color w:val="auto"/>
                <w:szCs w:val="21"/>
                <w:highlight w:val="none"/>
              </w:rPr>
              <w:t>（3）出具的鉴定意见书严重缺乏科学依据超过2次的；</w:t>
            </w:r>
          </w:p>
          <w:p w14:paraId="3CD3876A">
            <w:pPr>
              <w:widowControl/>
              <w:jc w:val="left"/>
              <w:rPr>
                <w:rFonts w:hint="eastAsia" w:ascii="宋体" w:hAnsi="宋体" w:cs="宋体"/>
                <w:color w:val="auto"/>
                <w:szCs w:val="21"/>
                <w:highlight w:val="none"/>
              </w:rPr>
            </w:pPr>
            <w:r>
              <w:rPr>
                <w:rFonts w:hint="eastAsia" w:ascii="宋体" w:hAnsi="宋体" w:cs="宋体"/>
                <w:color w:val="auto"/>
                <w:szCs w:val="21"/>
                <w:highlight w:val="none"/>
              </w:rPr>
              <w:t>（4）鉴定机构或鉴定人能力缺陷无法保证鉴定质量的。。</w:t>
            </w:r>
          </w:p>
          <w:p w14:paraId="10920F98">
            <w:pPr>
              <w:widowControl/>
              <w:jc w:val="left"/>
              <w:rPr>
                <w:rFonts w:hint="eastAsia" w:ascii="宋体" w:hAnsi="宋体" w:cs="宋体"/>
                <w:color w:val="auto"/>
                <w:szCs w:val="21"/>
                <w:highlight w:val="none"/>
              </w:rPr>
            </w:pPr>
            <w:r>
              <w:rPr>
                <w:rFonts w:hint="eastAsia" w:ascii="宋体" w:hAnsi="宋体" w:cs="宋体"/>
                <w:color w:val="auto"/>
                <w:szCs w:val="21"/>
                <w:highlight w:val="none"/>
              </w:rPr>
              <w:t>2、成交服务商需自行取走检材（具体以与采购人商议的实际情况为准）。</w:t>
            </w:r>
          </w:p>
          <w:p w14:paraId="67B815AC">
            <w:pPr>
              <w:widowControl/>
              <w:jc w:val="left"/>
              <w:rPr>
                <w:rFonts w:hint="eastAsia" w:ascii="宋体" w:hAnsi="宋体" w:cs="宋体"/>
                <w:color w:val="auto"/>
                <w:szCs w:val="21"/>
                <w:highlight w:val="none"/>
              </w:rPr>
            </w:pPr>
            <w:r>
              <w:rPr>
                <w:rFonts w:hint="eastAsia" w:ascii="宋体" w:hAnsi="宋体" w:cs="宋体"/>
                <w:color w:val="auto"/>
                <w:szCs w:val="21"/>
                <w:highlight w:val="none"/>
              </w:rPr>
              <w:t>3、不列入《广西壮族自治区司法鉴定收费管理办法》的鉴定项目实行市场调节价，由司法鉴定机构与委托单位协商确定具体收费项目。</w:t>
            </w:r>
          </w:p>
        </w:tc>
      </w:tr>
    </w:tbl>
    <w:p w14:paraId="20FC3ABB">
      <w:pPr>
        <w:spacing w:line="360" w:lineRule="auto"/>
        <w:ind w:firstLine="310" w:firstLineChars="147"/>
        <w:jc w:val="left"/>
        <w:rPr>
          <w:rFonts w:hint="eastAsia" w:ascii="宋体" w:hAnsi="宋体" w:cs="宋体"/>
          <w:b/>
          <w:color w:val="auto"/>
          <w:szCs w:val="21"/>
          <w:highlight w:val="none"/>
          <w:lang w:val="en-US" w:eastAsia="zh-CN"/>
        </w:rPr>
      </w:pPr>
    </w:p>
    <w:p w14:paraId="0787F5C5">
      <w:pPr>
        <w:spacing w:line="360" w:lineRule="auto"/>
        <w:ind w:firstLine="310" w:firstLineChars="147"/>
        <w:jc w:val="left"/>
        <w:rPr>
          <w:rFonts w:hint="eastAsia" w:ascii="宋体" w:hAnsi="宋体" w:cs="宋体"/>
          <w:bCs/>
          <w:color w:val="auto"/>
          <w:szCs w:val="21"/>
          <w:highlight w:val="none"/>
          <w:u w:val="single"/>
        </w:rPr>
      </w:pPr>
      <w:r>
        <w:rPr>
          <w:rFonts w:hint="eastAsia" w:ascii="宋体" w:hAnsi="宋体" w:cs="宋体"/>
          <w:b/>
          <w:color w:val="auto"/>
          <w:szCs w:val="21"/>
          <w:highlight w:val="none"/>
          <w:lang w:val="en-US" w:eastAsia="zh-CN"/>
        </w:rPr>
        <w:t xml:space="preserve">2分标   </w:t>
      </w: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 xml:space="preserve">  24.7万元  </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930"/>
        <w:gridCol w:w="828"/>
        <w:gridCol w:w="42"/>
        <w:gridCol w:w="675"/>
        <w:gridCol w:w="6897"/>
      </w:tblGrid>
      <w:tr w14:paraId="4AD7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42" w:type="dxa"/>
            <w:noWrap w:val="0"/>
            <w:vAlign w:val="center"/>
          </w:tcPr>
          <w:p w14:paraId="6B7D53DD">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30" w:type="dxa"/>
            <w:noWrap w:val="0"/>
            <w:vAlign w:val="center"/>
          </w:tcPr>
          <w:p w14:paraId="5E342E94">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870" w:type="dxa"/>
            <w:gridSpan w:val="2"/>
            <w:noWrap w:val="0"/>
            <w:vAlign w:val="center"/>
          </w:tcPr>
          <w:p w14:paraId="39286A9D">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75" w:type="dxa"/>
            <w:noWrap w:val="0"/>
            <w:vAlign w:val="center"/>
          </w:tcPr>
          <w:p w14:paraId="0501CDFB">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7519897E">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897" w:type="dxa"/>
            <w:noWrap w:val="0"/>
            <w:vAlign w:val="center"/>
          </w:tcPr>
          <w:p w14:paraId="7FADF795">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36D9C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2" w:type="dxa"/>
            <w:noWrap w:val="0"/>
            <w:vAlign w:val="center"/>
          </w:tcPr>
          <w:p w14:paraId="48AEB827">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30" w:type="dxa"/>
            <w:noWrap w:val="0"/>
            <w:vAlign w:val="center"/>
          </w:tcPr>
          <w:p w14:paraId="652F34E0">
            <w:pPr>
              <w:widowControl/>
              <w:spacing w:line="32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亡人交通事故法医病理学检验鉴定</w:t>
            </w:r>
          </w:p>
        </w:tc>
        <w:tc>
          <w:tcPr>
            <w:tcW w:w="870" w:type="dxa"/>
            <w:gridSpan w:val="2"/>
            <w:noWrap w:val="0"/>
            <w:vAlign w:val="top"/>
          </w:tcPr>
          <w:p w14:paraId="7BD73795">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75" w:type="dxa"/>
            <w:noWrap w:val="0"/>
            <w:vAlign w:val="top"/>
          </w:tcPr>
          <w:p w14:paraId="16DB6D74">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897" w:type="dxa"/>
            <w:noWrap w:val="0"/>
            <w:vAlign w:val="top"/>
          </w:tcPr>
          <w:p w14:paraId="15E8F6F4">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（一）项目概况：为规范亡人交通事故的尸体检验鉴定工作，通过政府采购将亡人交通事故中的尸体检验鉴定工作委托有资质的社会第三方司法鉴定中心进行鉴定服务。</w:t>
            </w:r>
          </w:p>
          <w:p w14:paraId="4D201D78">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（二）服务内容</w:t>
            </w:r>
          </w:p>
          <w:p w14:paraId="6C0A28FE">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1、对交通事故死者进行法医学尸体解剖、病理检验鉴定，分析生前伤、死后伤，损伤与疾病、前后车所致损伤在死亡过程中的参与度、具体死亡原因、致伤方式并出具鉴定文书。</w:t>
            </w:r>
          </w:p>
          <w:p w14:paraId="6D1D8A57">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2、对交通事故死者进行法医学尸表检验，分析死亡原因和致伤方式，并出具鉴定文书。</w:t>
            </w:r>
          </w:p>
          <w:p w14:paraId="47540411">
            <w:pPr>
              <w:spacing w:line="500" w:lineRule="exact"/>
              <w:jc w:val="left"/>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、对交通事故死者进行</w:t>
            </w:r>
            <w:r>
              <w:rPr>
                <w:rFonts w:hint="eastAsia" w:ascii="宋体" w:hAnsi="宋体" w:eastAsia="宋体" w:cs="宋体"/>
                <w:color w:val="auto"/>
                <w:szCs w:val="21"/>
                <w:highlight w:val="none"/>
                <w:lang w:val="en-US" w:eastAsia="zh-CN"/>
              </w:rPr>
              <w:t>文证审查</w:t>
            </w:r>
            <w:r>
              <w:rPr>
                <w:rFonts w:hint="eastAsia" w:ascii="宋体" w:hAnsi="宋体" w:cs="宋体"/>
                <w:color w:val="auto"/>
                <w:szCs w:val="21"/>
                <w:highlight w:val="none"/>
              </w:rPr>
              <w:t>，分析死亡原因和致伤方式，并出具鉴定文书。</w:t>
            </w:r>
          </w:p>
          <w:p w14:paraId="0EA1B849">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（三）服务要求</w:t>
            </w:r>
          </w:p>
          <w:p w14:paraId="022C1E96">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供应商必须严格按照国家、行业现行技术规范的规定要求进行检验鉴定，并提交法医病理司法鉴定意见书。司法鉴定书严格按照司法部颁布的司法鉴定意见书的格式要求制作。供应商必须依法科学公正实施鉴定，并对其鉴定活动承担法律责任，其机构负责人应对公正性作出承诺性声明;供应商应有政策和程序以避免卷入任何会降低其公正性、诚实性的活动，不允许来自商业、财务或其他方面的压力影响其公正性。供应商应在响应文件中附相关声明并加盖公章。</w:t>
            </w:r>
          </w:p>
          <w:p w14:paraId="397267C2">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2、供应商应具有法医病理类鉴定资质，并经省级司法行政机关审核登记并编入《国家司法鉴定名册》【响应文件中须提供《国家司法鉴定名册》复印件（首页和显示本机构页）】。</w:t>
            </w:r>
          </w:p>
          <w:p w14:paraId="5C91191E">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3、供应商必须具有参加采购内容涉及的司法厅每年下发的能力验证经历，</w:t>
            </w:r>
            <w:r>
              <w:rPr>
                <w:rFonts w:hint="eastAsia" w:ascii="宋体" w:hAnsi="宋体" w:cs="宋体"/>
                <w:color w:val="0000FF"/>
                <w:szCs w:val="21"/>
                <w:highlight w:val="none"/>
              </w:rPr>
              <w:t>且在近三年内（202</w:t>
            </w:r>
            <w:r>
              <w:rPr>
                <w:rFonts w:hint="eastAsia" w:ascii="宋体" w:hAnsi="宋体" w:cs="宋体"/>
                <w:color w:val="0000FF"/>
                <w:szCs w:val="21"/>
                <w:highlight w:val="none"/>
                <w:lang w:val="en-US" w:eastAsia="zh-CN"/>
              </w:rPr>
              <w:t>2</w:t>
            </w:r>
            <w:r>
              <w:rPr>
                <w:rFonts w:hint="eastAsia" w:ascii="宋体" w:hAnsi="宋体" w:cs="宋体"/>
                <w:color w:val="0000FF"/>
                <w:szCs w:val="21"/>
                <w:highlight w:val="none"/>
              </w:rPr>
              <w:t>年-202</w:t>
            </w:r>
            <w:r>
              <w:rPr>
                <w:rFonts w:hint="eastAsia" w:ascii="宋体" w:hAnsi="宋体" w:cs="宋体"/>
                <w:color w:val="0000FF"/>
                <w:szCs w:val="21"/>
                <w:highlight w:val="none"/>
                <w:lang w:val="en-US" w:eastAsia="zh-CN"/>
              </w:rPr>
              <w:t>4</w:t>
            </w:r>
            <w:r>
              <w:rPr>
                <w:rFonts w:hint="eastAsia" w:ascii="宋体" w:hAnsi="宋体" w:cs="宋体"/>
                <w:color w:val="0000FF"/>
                <w:szCs w:val="21"/>
                <w:highlight w:val="none"/>
              </w:rPr>
              <w:t>年）、以及在过往的项目服务期内有效的能</w:t>
            </w:r>
            <w:r>
              <w:rPr>
                <w:rFonts w:hint="eastAsia" w:ascii="宋体" w:hAnsi="宋体" w:cs="宋体"/>
                <w:color w:val="auto"/>
                <w:szCs w:val="21"/>
                <w:highlight w:val="none"/>
              </w:rPr>
              <w:t>力验证评定结果为“通过”或者“满意”（响应文件中须附能力验证证明等相关证明文件）。</w:t>
            </w:r>
          </w:p>
          <w:p w14:paraId="429A8813">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yellow"/>
              </w:rPr>
              <w:t>本鉴定项目应有3名及以上具备法医病理学鉴定执业资格的鉴定人，同时至少有1名鉴定人具备高级职称。</w:t>
            </w:r>
            <w:r>
              <w:rPr>
                <w:rFonts w:hint="eastAsia" w:ascii="宋体" w:hAnsi="宋体" w:cs="宋体"/>
                <w:color w:val="auto"/>
                <w:szCs w:val="21"/>
                <w:highlight w:val="none"/>
              </w:rPr>
              <w:t>鉴定人具有良好的专业背景和培训经历，具备与其所承担的鉴定工作的类型、范围和工作量相适应的能力（响应文件中须提供鉴定人执业资格证书复印件并加盖供应商公章）</w:t>
            </w:r>
          </w:p>
          <w:p w14:paraId="1837679A">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应具有固定、独立的检验鉴定场所；应具有法医病理常规检验器材和法医组织病理学检验设备或有与综合医院病理科制片、排污处理协议实验室、样品室(物证室)、档案室、办公室、接案室、资料室等功能区域划分科学、设置合理，符合工作要求；对于现场工作以及涉及生物检材样本、危险性检材/样本的区域和人员，供应商应能够提供适当的防护措施。（响应文件中须提供检验鉴定场所证明：营业执照或租赁合同或与医院签订的协议书）。</w:t>
            </w:r>
          </w:p>
          <w:p w14:paraId="4200CECD">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6、供应商应配备符合鉴定技术标准且满足鉴定项目需要的设备，确保所用设备的适用性和校准状态，并提供设备合格证书或检定校准情况。如项目需要使用非本鉴定机构控制下的外部设备时，供应商应确保所用设备的适用性和校准状态。</w:t>
            </w:r>
          </w:p>
          <w:p w14:paraId="0C01BBF5">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7、供应商应采用满足采购人需求并适用于所进行的鉴定工作的方法，优先选择使用国际、区域、国家或行业发布的标准方法，并在响应文件中提出具有针对性的技术服务方案和质量保证措施。供应商应将所选用的方法应通知采购人。</w:t>
            </w:r>
          </w:p>
          <w:p w14:paraId="54FB60EC">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8、供应商应有用于检材样本的运输、接收、处置、保护、存储、保留和/或清理的程序，应对接收、内部传递、处置、保留、返还和清理等过程进行记录，确保“保管链”记录的整性和可追溯性。</w:t>
            </w:r>
          </w:p>
          <w:p w14:paraId="55DCDEEA">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9、供应商应当在采购人要求的时限内</w:t>
            </w:r>
            <w:r>
              <w:rPr>
                <w:rFonts w:hint="eastAsia" w:ascii="宋体" w:hAnsi="宋体" w:cs="宋体"/>
                <w:color w:val="auto"/>
                <w:szCs w:val="21"/>
                <w:highlight w:val="yellow"/>
              </w:rPr>
              <w:t>（自受理鉴定委托之日起，法医学病理解剖检验30日内、法医学尸表检验20日内，鉴定过程中补充或者重新提取鉴定材料所需时间不计入鉴定时限；特殊案件另行约定鉴定时限或执行《司法鉴定程序通则》相应规定）出具鉴定文书）</w:t>
            </w:r>
            <w:r>
              <w:rPr>
                <w:rFonts w:hint="eastAsia" w:ascii="宋体" w:hAnsi="宋体" w:cs="宋体"/>
                <w:color w:val="auto"/>
                <w:szCs w:val="21"/>
                <w:highlight w:val="none"/>
              </w:rPr>
              <w:t>出具鉴定文书;鉴定文书应准确、清晰、明确和客观地报告每一项或一系列鉴定工作的结果，并且应包括采购人要求的、说明鉴定结果所必需的和所用方法要求的全部信息。</w:t>
            </w:r>
          </w:p>
          <w:p w14:paraId="0CBD4FEA">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10、供应商被通知接收委托后必须24小时内取走委托书并即时开始检验。供应商应无条件满足应急检验鉴定工作的要求，紧急案件24小时之内完成案件受理和检材搜集，条件允许情况下应最快速度对器官进行浸泡切片固定，第一时间出具检验鉴定结论。</w:t>
            </w:r>
          </w:p>
          <w:p w14:paraId="620E71C4">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11、鉴定人员能够自行到达指定地点开展鉴定工作或提取与鉴定有关的检材(检验鉴定费以外的费用均由鉴定机构承担）。必要时，供应商应采购人及具体办案单位要求，参加法医现场勘查。</w:t>
            </w:r>
          </w:p>
          <w:p w14:paraId="233411F8">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12、供应商应对在实施鉴定中获得或产生的所有信息承担管理和保密责任；供应商不得在在公开场合发布及私自透露采购人委托的检验鉴定项目相关信息，如有需要，应事先通知并征得采购人同意。供应商应在响应文件中提供符合上述要求的声明书原件并加盖供应商公章。供应商违反上述保密协议并造成严重后果的，采购人有权暂停委托或解除合同。</w:t>
            </w:r>
          </w:p>
          <w:p w14:paraId="78DD3883">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13、供应商应自觉接受采购人监督，对因鉴定人员、人数发生变化，不再具备相应业务鉴定能力或资质的，或因技术场地、仪器设备、鉴定人能力缺陷无法保证鉴定质量的，采购人有权暂停委托或解除合同。</w:t>
            </w:r>
          </w:p>
          <w:p w14:paraId="49D85AEA">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14、对于成交范围内的首次鉴定委托和经支队协调的重新鉴定委托，供应商应严格按照《司法鉴定通则》的要求予以受理、鉴定并出具司法鉴定意见书，不得无故拖延、推诿、不受理或者出具缺乏科学依据的鉴定意见书。无故拖延、推诿、不受理或者出具的鉴定意见书严重缺乏科学依据超过2次的并经采购人调查属实的，采购人有权暂停委托或解除合同,并将相关情况上报司法鉴定监督管理部门。</w:t>
            </w:r>
          </w:p>
          <w:p w14:paraId="059B2CC4">
            <w:pPr>
              <w:spacing w:line="500" w:lineRule="exact"/>
              <w:jc w:val="left"/>
              <w:rPr>
                <w:rFonts w:hint="eastAsia" w:ascii="宋体" w:hAnsi="宋体" w:cs="宋体"/>
                <w:color w:val="auto"/>
                <w:szCs w:val="21"/>
                <w:highlight w:val="yellow"/>
              </w:rPr>
            </w:pPr>
            <w:r>
              <w:rPr>
                <w:rFonts w:hint="eastAsia" w:ascii="宋体" w:hAnsi="宋体" w:cs="宋体"/>
                <w:color w:val="auto"/>
                <w:szCs w:val="21"/>
                <w:highlight w:val="yellow"/>
              </w:rPr>
              <w:t>（四）费用标准：</w:t>
            </w:r>
          </w:p>
          <w:p w14:paraId="0C631FBA">
            <w:pPr>
              <w:spacing w:line="500" w:lineRule="exact"/>
              <w:jc w:val="left"/>
              <w:rPr>
                <w:rFonts w:hint="eastAsia" w:ascii="宋体" w:hAnsi="宋体" w:cs="宋体"/>
                <w:color w:val="auto"/>
                <w:szCs w:val="21"/>
                <w:highlight w:val="yellow"/>
              </w:rPr>
            </w:pPr>
            <w:r>
              <w:rPr>
                <w:rFonts w:hint="eastAsia" w:ascii="宋体" w:hAnsi="宋体" w:cs="宋体"/>
                <w:bCs/>
                <w:color w:val="auto"/>
                <w:szCs w:val="21"/>
                <w:highlight w:val="yellow"/>
              </w:rPr>
              <w:t>总预算费用</w:t>
            </w:r>
            <w:r>
              <w:rPr>
                <w:rFonts w:hint="eastAsia" w:ascii="宋体" w:hAnsi="宋体" w:cs="宋体"/>
                <w:bCs/>
                <w:color w:val="auto"/>
                <w:szCs w:val="21"/>
                <w:highlight w:val="yellow"/>
                <w:lang w:val="en-US" w:eastAsia="zh-CN"/>
              </w:rPr>
              <w:t>17.5</w:t>
            </w:r>
            <w:r>
              <w:rPr>
                <w:rFonts w:hint="eastAsia" w:ascii="宋体" w:hAnsi="宋体" w:cs="宋体"/>
                <w:bCs/>
                <w:color w:val="auto"/>
                <w:szCs w:val="21"/>
                <w:highlight w:val="yellow"/>
              </w:rPr>
              <w:t>万，按照《广西壮族自治区司法鉴定收费管理办法》及近2年实际鉴定价格，每项鉴定</w:t>
            </w:r>
            <w:r>
              <w:rPr>
                <w:rFonts w:hint="eastAsia" w:ascii="宋体" w:hAnsi="宋体" w:cs="宋体"/>
                <w:color w:val="auto"/>
                <w:szCs w:val="21"/>
                <w:highlight w:val="yellow"/>
              </w:rPr>
              <w:t>单价不超过（含交通、住宿、勘验等所有相关费用）：</w:t>
            </w:r>
          </w:p>
          <w:p w14:paraId="7278872C">
            <w:pPr>
              <w:spacing w:line="500" w:lineRule="exact"/>
              <w:jc w:val="left"/>
              <w:rPr>
                <w:rFonts w:hint="eastAsia" w:ascii="宋体" w:hAnsi="宋体" w:cs="宋体"/>
                <w:color w:val="auto"/>
                <w:szCs w:val="21"/>
                <w:highlight w:val="yellow"/>
              </w:rPr>
            </w:pPr>
            <w:r>
              <w:rPr>
                <w:rFonts w:hint="eastAsia" w:ascii="宋体" w:hAnsi="宋体" w:cs="宋体"/>
                <w:color w:val="auto"/>
                <w:szCs w:val="21"/>
                <w:highlight w:val="yellow"/>
              </w:rPr>
              <w:t>（1）亡人交通事故法医学尸体解剖、病理检验鉴定（预算费用</w:t>
            </w:r>
            <w:r>
              <w:rPr>
                <w:rFonts w:hint="eastAsia" w:ascii="宋体" w:hAnsi="宋体" w:cs="宋体"/>
                <w:color w:val="auto"/>
                <w:szCs w:val="21"/>
                <w:highlight w:val="yellow"/>
                <w:lang w:val="en-US" w:eastAsia="zh-CN"/>
              </w:rPr>
              <w:t>9</w:t>
            </w:r>
            <w:r>
              <w:rPr>
                <w:rFonts w:hint="eastAsia" w:ascii="宋体" w:hAnsi="宋体" w:cs="宋体"/>
                <w:color w:val="auto"/>
                <w:szCs w:val="21"/>
                <w:highlight w:val="yellow"/>
              </w:rPr>
              <w:t>.0万）：不超过18000元/例；</w:t>
            </w:r>
          </w:p>
          <w:p w14:paraId="45A0601B">
            <w:pPr>
              <w:spacing w:line="500" w:lineRule="exact"/>
              <w:jc w:val="left"/>
              <w:rPr>
                <w:rFonts w:hint="eastAsia" w:ascii="宋体" w:hAnsi="宋体" w:eastAsia="宋体" w:cs="宋体"/>
                <w:color w:val="auto"/>
                <w:szCs w:val="21"/>
                <w:highlight w:val="yellow"/>
              </w:rPr>
            </w:pPr>
            <w:r>
              <w:rPr>
                <w:rFonts w:hint="eastAsia" w:ascii="宋体" w:hAnsi="宋体" w:cs="宋体"/>
                <w:color w:val="auto"/>
                <w:szCs w:val="21"/>
                <w:highlight w:val="yellow"/>
              </w:rPr>
              <w:t>（2）</w:t>
            </w:r>
            <w:r>
              <w:rPr>
                <w:rFonts w:hint="eastAsia" w:ascii="宋体" w:hAnsi="宋体" w:eastAsia="宋体" w:cs="宋体"/>
                <w:color w:val="auto"/>
                <w:szCs w:val="21"/>
                <w:highlight w:val="yellow"/>
              </w:rPr>
              <w:t>亡人交通事故法医学尸表检验鉴定（预算费用</w:t>
            </w:r>
            <w:r>
              <w:rPr>
                <w:rFonts w:hint="eastAsia" w:ascii="宋体" w:hAnsi="宋体" w:eastAsia="宋体" w:cs="宋体"/>
                <w:color w:val="auto"/>
                <w:szCs w:val="21"/>
                <w:highlight w:val="yellow"/>
                <w:lang w:val="en-US" w:eastAsia="zh-CN"/>
              </w:rPr>
              <w:t>6</w:t>
            </w:r>
            <w:r>
              <w:rPr>
                <w:rFonts w:hint="eastAsia" w:ascii="宋体" w:hAnsi="宋体" w:eastAsia="宋体" w:cs="宋体"/>
                <w:color w:val="auto"/>
                <w:szCs w:val="21"/>
                <w:highlight w:val="yellow"/>
              </w:rPr>
              <w:t xml:space="preserve">.0万）：不超过4000元/例； </w:t>
            </w:r>
          </w:p>
          <w:p w14:paraId="10830173">
            <w:pPr>
              <w:spacing w:line="500" w:lineRule="exact"/>
              <w:jc w:val="left"/>
              <w:rPr>
                <w:rFonts w:hint="eastAsia"/>
                <w:color w:val="auto"/>
                <w:highlight w:val="none"/>
              </w:rPr>
            </w:pPr>
            <w:r>
              <w:rPr>
                <w:rFonts w:hint="eastAsia" w:ascii="宋体" w:hAnsi="宋体" w:eastAsia="宋体" w:cs="宋体"/>
                <w:color w:val="auto"/>
                <w:szCs w:val="21"/>
                <w:highlight w:val="yellow"/>
              </w:rPr>
              <w:t>（</w:t>
            </w:r>
            <w:r>
              <w:rPr>
                <w:rFonts w:hint="eastAsia" w:ascii="宋体" w:hAnsi="宋体" w:eastAsia="宋体" w:cs="宋体"/>
                <w:color w:val="auto"/>
                <w:szCs w:val="21"/>
                <w:highlight w:val="yellow"/>
                <w:lang w:val="en-US" w:eastAsia="zh-CN"/>
              </w:rPr>
              <w:t>3</w:t>
            </w:r>
            <w:r>
              <w:rPr>
                <w:rFonts w:hint="eastAsia" w:ascii="宋体" w:hAnsi="宋体" w:eastAsia="宋体" w:cs="宋体"/>
                <w:color w:val="auto"/>
                <w:szCs w:val="21"/>
                <w:highlight w:val="yellow"/>
              </w:rPr>
              <w:t>）亡人交通事故</w:t>
            </w:r>
            <w:r>
              <w:rPr>
                <w:rFonts w:hint="eastAsia" w:ascii="宋体" w:hAnsi="宋体" w:eastAsia="宋体" w:cs="宋体"/>
                <w:color w:val="auto"/>
                <w:szCs w:val="21"/>
                <w:highlight w:val="yellow"/>
                <w:lang w:val="en-US" w:eastAsia="zh-CN"/>
              </w:rPr>
              <w:t>文证审查</w:t>
            </w:r>
            <w:r>
              <w:rPr>
                <w:rFonts w:hint="eastAsia" w:ascii="宋体" w:hAnsi="宋体" w:eastAsia="宋体" w:cs="宋体"/>
                <w:color w:val="auto"/>
                <w:szCs w:val="21"/>
                <w:highlight w:val="yellow"/>
              </w:rPr>
              <w:t>（预算费用</w:t>
            </w:r>
            <w:r>
              <w:rPr>
                <w:rFonts w:hint="eastAsia" w:ascii="宋体" w:hAnsi="宋体" w:eastAsia="宋体" w:cs="宋体"/>
                <w:color w:val="auto"/>
                <w:szCs w:val="21"/>
                <w:highlight w:val="yellow"/>
                <w:lang w:val="en-US" w:eastAsia="zh-CN"/>
              </w:rPr>
              <w:t>2.5</w:t>
            </w:r>
            <w:r>
              <w:rPr>
                <w:rFonts w:hint="eastAsia" w:ascii="宋体" w:hAnsi="宋体" w:eastAsia="宋体" w:cs="宋体"/>
                <w:color w:val="auto"/>
                <w:szCs w:val="21"/>
                <w:highlight w:val="yellow"/>
              </w:rPr>
              <w:t>万）：不超过</w:t>
            </w:r>
            <w:r>
              <w:rPr>
                <w:rFonts w:hint="eastAsia" w:ascii="宋体" w:hAnsi="宋体" w:eastAsia="宋体" w:cs="宋体"/>
                <w:color w:val="auto"/>
                <w:szCs w:val="21"/>
                <w:highlight w:val="yellow"/>
                <w:lang w:val="en-US" w:eastAsia="zh-CN"/>
              </w:rPr>
              <w:t>5</w:t>
            </w:r>
            <w:r>
              <w:rPr>
                <w:rFonts w:hint="eastAsia" w:ascii="宋体" w:hAnsi="宋体" w:eastAsia="宋体" w:cs="宋体"/>
                <w:color w:val="auto"/>
                <w:szCs w:val="21"/>
                <w:highlight w:val="yellow"/>
              </w:rPr>
              <w:t>000元/例；</w:t>
            </w:r>
            <w:r>
              <w:rPr>
                <w:rFonts w:hint="eastAsia" w:ascii="宋体" w:hAnsi="宋体" w:eastAsia="宋体" w:cs="宋体"/>
                <w:color w:val="auto"/>
                <w:szCs w:val="21"/>
                <w:highlight w:val="none"/>
              </w:rPr>
              <w:t xml:space="preserve"> </w:t>
            </w:r>
          </w:p>
        </w:tc>
      </w:tr>
      <w:tr w14:paraId="67D76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2" w:type="dxa"/>
            <w:noWrap w:val="0"/>
            <w:vAlign w:val="center"/>
          </w:tcPr>
          <w:p w14:paraId="6A976CD5">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30" w:type="dxa"/>
            <w:noWrap w:val="0"/>
            <w:vAlign w:val="center"/>
          </w:tcPr>
          <w:p w14:paraId="249D317B">
            <w:pPr>
              <w:widowControl/>
              <w:spacing w:line="32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交通事故人体损伤程度鉴定</w:t>
            </w:r>
          </w:p>
        </w:tc>
        <w:tc>
          <w:tcPr>
            <w:tcW w:w="870" w:type="dxa"/>
            <w:gridSpan w:val="2"/>
            <w:noWrap w:val="0"/>
            <w:vAlign w:val="top"/>
          </w:tcPr>
          <w:p w14:paraId="1770E72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75" w:type="dxa"/>
            <w:noWrap w:val="0"/>
            <w:vAlign w:val="top"/>
          </w:tcPr>
          <w:p w14:paraId="21908AFB">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897" w:type="dxa"/>
            <w:noWrap w:val="0"/>
            <w:vAlign w:val="top"/>
          </w:tcPr>
          <w:p w14:paraId="11A25D83">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（一）项目概况：为规范交通事故中的人体损伤程度鉴定工作，提高工作效率，通过政府采购将上述鉴定工作委托有资质的社会第三方司法鉴定中心进行鉴定服务。</w:t>
            </w:r>
          </w:p>
          <w:p w14:paraId="4C5FE01D">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（二）检验鉴定服务内容：对在交通事故中受伤的当事人进行法医学人体损伤程度鉴定，分析其损伤程度、致伤方式并出具鉴定文书。</w:t>
            </w:r>
          </w:p>
          <w:p w14:paraId="5D6EC700">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（三）服务要求</w:t>
            </w:r>
          </w:p>
          <w:p w14:paraId="5C1181E6">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供应商必须严格按照国家、行业现行技术规范的规定要求进行检验鉴定，并提交法医病理司法鉴定意见书。司法鉴定书严格按照司法部颁布的司法鉴定意见书的格式要求制作。供应商必须依法科学公正实施鉴定，并对其鉴定活动承担法律责任，其机构负责人应对公正性作出承诺性声明;供应商应有政策和程序以避免卷入任何会降低其公正性、诚实性的活动，不允许来自商业、财务或其他方面的压力影响其公正性。供应商应在响应文件中附相关声明并加盖公章。</w:t>
            </w:r>
          </w:p>
          <w:p w14:paraId="65702CDD">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应具有法医临床类鉴定资质，并具有司法行政机关颁发的有效期内的《司法鉴定许可证》，并经省级司法行政机关审核登记并编入《国家司法鉴定名册》【响应文件中须提供《国家司法鉴定名册》复印件（首页和显示本机构页）】。</w:t>
            </w:r>
          </w:p>
          <w:p w14:paraId="6D2EB7C5">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3、供应商必须具有参加采购内容涉及的司法厅每年下发的能力验证经历，</w:t>
            </w:r>
            <w:r>
              <w:rPr>
                <w:rFonts w:hint="eastAsia" w:ascii="宋体" w:hAnsi="宋体" w:cs="宋体"/>
                <w:color w:val="0000FF"/>
                <w:szCs w:val="21"/>
                <w:highlight w:val="none"/>
              </w:rPr>
              <w:t>且在近三年内（202</w:t>
            </w:r>
            <w:r>
              <w:rPr>
                <w:rFonts w:hint="eastAsia" w:ascii="宋体" w:hAnsi="宋体" w:cs="宋体"/>
                <w:color w:val="0000FF"/>
                <w:szCs w:val="21"/>
                <w:highlight w:val="none"/>
                <w:lang w:val="en-US" w:eastAsia="zh-CN"/>
              </w:rPr>
              <w:t>2</w:t>
            </w:r>
            <w:r>
              <w:rPr>
                <w:rFonts w:hint="eastAsia" w:ascii="宋体" w:hAnsi="宋体" w:cs="宋体"/>
                <w:color w:val="0000FF"/>
                <w:szCs w:val="21"/>
                <w:highlight w:val="none"/>
              </w:rPr>
              <w:t>年-202</w:t>
            </w:r>
            <w:r>
              <w:rPr>
                <w:rFonts w:hint="eastAsia" w:ascii="宋体" w:hAnsi="宋体" w:cs="宋体"/>
                <w:color w:val="0000FF"/>
                <w:szCs w:val="21"/>
                <w:highlight w:val="none"/>
                <w:lang w:val="en-US" w:eastAsia="zh-CN"/>
              </w:rPr>
              <w:t>4</w:t>
            </w:r>
            <w:r>
              <w:rPr>
                <w:rFonts w:hint="eastAsia" w:ascii="宋体" w:hAnsi="宋体" w:cs="宋体"/>
                <w:color w:val="0000FF"/>
                <w:szCs w:val="21"/>
                <w:highlight w:val="none"/>
              </w:rPr>
              <w:t>年）、以及在过往的项目服务期内有效的能</w:t>
            </w:r>
            <w:r>
              <w:rPr>
                <w:rFonts w:hint="eastAsia" w:ascii="宋体" w:hAnsi="宋体" w:cs="宋体"/>
                <w:color w:val="auto"/>
                <w:szCs w:val="21"/>
                <w:highlight w:val="none"/>
              </w:rPr>
              <w:t>力验证评定结果为“通过”或者“满意”（响应文件中须附能力验证证明等相关证明文件）。</w:t>
            </w:r>
          </w:p>
          <w:p w14:paraId="4510F190">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yellow"/>
              </w:rPr>
              <w:t>鉴定项目应有3名及以上具备法医临床学鉴定执业资格的鉴定人，同时至少有1名鉴定人具备高级职称。</w:t>
            </w:r>
            <w:r>
              <w:rPr>
                <w:rFonts w:hint="eastAsia" w:ascii="宋体" w:hAnsi="宋体" w:cs="宋体"/>
                <w:color w:val="auto"/>
                <w:szCs w:val="21"/>
                <w:highlight w:val="none"/>
              </w:rPr>
              <w:t>鉴定人具有良好的专业背景和培训经历，具备与其所承担的鉴定工作的类型、范围和工作量相适应的能力（须提供鉴定人执业资格证书复印件并加盖供应商公章）。</w:t>
            </w:r>
          </w:p>
          <w:p w14:paraId="2F365722">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5、供应商应具有固定、独立的检验鉴定场所，能够有效保护被检验人隐私。必要时，鉴定人员应能够自行到达指定地点开展鉴定工作 (检验鉴定费以外的费用均由鉴定机构承担）。</w:t>
            </w:r>
          </w:p>
          <w:p w14:paraId="48F9B7C0">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6、供应商应配备符合鉴定技术标准且满足鉴定项目需要的法医临床常规检验器材、设备，确保所用设备的适用性和校准状态，并提供设备合格证书或检定校准情况。如项目需要使用非本鉴定机构控制下的外部设备时，供应商应确保所用设备的适用性和校准状态。</w:t>
            </w:r>
          </w:p>
          <w:p w14:paraId="7A67648E">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7、供应商应采用满足采购人需求并适用于所进行的鉴定工作的方法，优先选择使用国际、区域、国家或行业发布的标准方法，并在响应文件中提出具有针对性的技术服务方案和质量保证措施。供应商应将所选用的方法应通知采购人。</w:t>
            </w:r>
          </w:p>
          <w:p w14:paraId="0631ECA3">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8、供应商应有用于检材样本的运输、接收、处置、保护、存储、保留和/或清理的程序，应对接收、内部传递、处置、保留、返还和清理等过程进行记录，确保“保管链”记录的整性和可追溯性。</w:t>
            </w:r>
          </w:p>
          <w:p w14:paraId="5005D447">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0000FF"/>
                <w:szCs w:val="21"/>
                <w:highlight w:val="none"/>
              </w:rPr>
              <w:t>供应商应当在采购人要求的时限内</w:t>
            </w:r>
            <w:r>
              <w:rPr>
                <w:rFonts w:hint="eastAsia" w:ascii="宋体" w:hAnsi="宋体" w:cs="宋体"/>
                <w:color w:val="0000FF"/>
                <w:sz w:val="21"/>
                <w:szCs w:val="21"/>
                <w:highlight w:val="none"/>
              </w:rPr>
              <w:t>（自</w:t>
            </w:r>
            <w:r>
              <w:rPr>
                <w:rFonts w:hint="eastAsia" w:ascii="宋体" w:hAnsi="宋体" w:cs="宋体"/>
                <w:color w:val="0000FF"/>
                <w:sz w:val="21"/>
                <w:szCs w:val="21"/>
                <w:highlight w:val="none"/>
                <w:lang w:val="en-US" w:eastAsia="zh-CN"/>
              </w:rPr>
              <w:t>受理鉴定委托之日起2</w:t>
            </w:r>
            <w:r>
              <w:rPr>
                <w:rFonts w:hint="eastAsia" w:ascii="宋体" w:hAnsi="宋体" w:cs="宋体"/>
                <w:color w:val="0000FF"/>
                <w:sz w:val="21"/>
                <w:szCs w:val="21"/>
                <w:highlight w:val="none"/>
              </w:rPr>
              <w:t>0日内</w:t>
            </w:r>
            <w:r>
              <w:rPr>
                <w:rFonts w:hint="eastAsia" w:ascii="宋体" w:hAnsi="宋体" w:cs="宋体"/>
                <w:color w:val="0000FF"/>
                <w:sz w:val="21"/>
                <w:szCs w:val="21"/>
                <w:highlight w:val="none"/>
                <w:lang w:eastAsia="zh-CN"/>
              </w:rPr>
              <w:t>，</w:t>
            </w:r>
            <w:r>
              <w:rPr>
                <w:rFonts w:hint="eastAsia" w:ascii="宋体" w:hAnsi="宋体" w:cs="宋体"/>
                <w:color w:val="0000FF"/>
                <w:sz w:val="21"/>
                <w:szCs w:val="21"/>
                <w:highlight w:val="none"/>
                <w:lang w:val="en-US" w:eastAsia="zh-CN"/>
              </w:rPr>
              <w:t>因被鉴定人延误或者鉴定过程中补充鉴定材料所需时间不计入鉴定时限</w:t>
            </w:r>
            <w:r>
              <w:rPr>
                <w:rFonts w:hint="eastAsia" w:ascii="宋体" w:hAnsi="宋体" w:cs="宋体"/>
                <w:color w:val="0000FF"/>
                <w:sz w:val="21"/>
                <w:szCs w:val="21"/>
                <w:highlight w:val="none"/>
                <w:lang w:eastAsia="zh-CN"/>
              </w:rPr>
              <w:t>；</w:t>
            </w:r>
            <w:r>
              <w:rPr>
                <w:rFonts w:hint="eastAsia" w:ascii="宋体" w:hAnsi="宋体" w:cs="宋体"/>
                <w:color w:val="0000FF"/>
                <w:sz w:val="21"/>
                <w:szCs w:val="21"/>
                <w:highlight w:val="none"/>
                <w:lang w:val="en-US" w:eastAsia="zh-CN"/>
              </w:rPr>
              <w:t>特殊案件另行约定鉴定时限或执行《司法鉴定程序通则》相应规定</w:t>
            </w:r>
            <w:r>
              <w:rPr>
                <w:rFonts w:hint="eastAsia" w:ascii="宋体" w:hAnsi="宋体" w:cs="宋体"/>
                <w:color w:val="0000FF"/>
                <w:sz w:val="21"/>
                <w:szCs w:val="21"/>
                <w:highlight w:val="none"/>
                <w:lang w:eastAsia="zh-CN"/>
              </w:rPr>
              <w:t>）</w:t>
            </w:r>
            <w:r>
              <w:rPr>
                <w:rFonts w:hint="eastAsia" w:ascii="宋体" w:hAnsi="宋体" w:cs="宋体"/>
                <w:color w:val="0000FF"/>
                <w:szCs w:val="21"/>
                <w:highlight w:val="none"/>
              </w:rPr>
              <w:t>出具鉴定文书；鉴定文书应准确、清晰、明确和客观地报告每一项或一系</w:t>
            </w:r>
            <w:r>
              <w:rPr>
                <w:rFonts w:hint="eastAsia" w:ascii="宋体" w:hAnsi="宋体" w:cs="宋体"/>
                <w:color w:val="auto"/>
                <w:szCs w:val="21"/>
                <w:highlight w:val="none"/>
              </w:rPr>
              <w:t>列鉴定工作的结果，并且应包括采购人要求的、说明鉴定结果所必需的和所用方法要求的全部信息。</w:t>
            </w:r>
          </w:p>
          <w:p w14:paraId="33A605F4">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0000FF"/>
                <w:sz w:val="21"/>
                <w:szCs w:val="21"/>
                <w:highlight w:val="none"/>
              </w:rPr>
              <w:t>供应商应无条件满足应急检验鉴定工作的要求</w:t>
            </w:r>
            <w:r>
              <w:rPr>
                <w:rFonts w:hint="eastAsia" w:ascii="宋体" w:hAnsi="宋体" w:cs="宋体"/>
                <w:color w:val="0000FF"/>
                <w:sz w:val="21"/>
                <w:szCs w:val="21"/>
                <w:highlight w:val="none"/>
                <w:lang w:eastAsia="zh-CN"/>
              </w:rPr>
              <w:t>：</w:t>
            </w:r>
            <w:r>
              <w:rPr>
                <w:rFonts w:hint="eastAsia" w:ascii="宋体" w:hAnsi="宋体" w:cs="宋体"/>
                <w:color w:val="0000FF"/>
                <w:sz w:val="21"/>
                <w:szCs w:val="21"/>
                <w:highlight w:val="none"/>
                <w:lang w:val="en-US" w:eastAsia="zh-CN"/>
              </w:rPr>
              <w:t>符合损伤程度鉴定时机要求的</w:t>
            </w:r>
            <w:r>
              <w:rPr>
                <w:rFonts w:hint="eastAsia" w:ascii="宋体" w:hAnsi="宋体" w:cs="宋体"/>
                <w:color w:val="0000FF"/>
                <w:sz w:val="21"/>
                <w:szCs w:val="21"/>
                <w:highlight w:val="none"/>
              </w:rPr>
              <w:t>紧急案件</w:t>
            </w:r>
            <w:r>
              <w:rPr>
                <w:rFonts w:hint="eastAsia" w:ascii="宋体" w:hAnsi="宋体" w:cs="宋体"/>
                <w:color w:val="0000FF"/>
                <w:sz w:val="21"/>
                <w:szCs w:val="21"/>
                <w:highlight w:val="none"/>
                <w:lang w:val="en-US" w:eastAsia="zh-CN"/>
              </w:rPr>
              <w:t>，应</w:t>
            </w:r>
            <w:r>
              <w:rPr>
                <w:rFonts w:hint="eastAsia" w:ascii="宋体" w:hAnsi="宋体" w:cs="宋体"/>
                <w:color w:val="0000FF"/>
                <w:sz w:val="21"/>
                <w:szCs w:val="21"/>
                <w:highlight w:val="none"/>
              </w:rPr>
              <w:t>24小时之内完成案件受理</w:t>
            </w:r>
            <w:r>
              <w:rPr>
                <w:rFonts w:hint="eastAsia" w:ascii="宋体" w:hAnsi="宋体" w:cs="宋体"/>
                <w:color w:val="0000FF"/>
                <w:sz w:val="21"/>
                <w:szCs w:val="21"/>
                <w:highlight w:val="none"/>
                <w:lang w:val="en-US" w:eastAsia="zh-CN"/>
              </w:rPr>
              <w:t>并</w:t>
            </w:r>
            <w:r>
              <w:rPr>
                <w:rFonts w:hint="eastAsia" w:ascii="宋体" w:hAnsi="宋体" w:cs="宋体"/>
                <w:color w:val="0000FF"/>
                <w:sz w:val="21"/>
                <w:szCs w:val="21"/>
                <w:highlight w:val="none"/>
              </w:rPr>
              <w:t>第一时间出具检验鉴定结论</w:t>
            </w:r>
            <w:r>
              <w:rPr>
                <w:rFonts w:hint="eastAsia" w:ascii="宋体" w:hAnsi="宋体" w:cs="宋体"/>
                <w:color w:val="auto"/>
                <w:szCs w:val="21"/>
                <w:highlight w:val="none"/>
              </w:rPr>
              <w:t>。</w:t>
            </w:r>
          </w:p>
          <w:p w14:paraId="3E9D5B60">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11、供应商应对在实施鉴定中获得或产生的所有信息承担管理和保密责任；供应商不得在在公开场合发布及私自透露采购人委托的检验鉴定项目相关信息，如有需要，应事先通知并征得采购人同意。供应商应在响应文件中提供符合上述要求的声明书原件并加盖供应商公章。供应商违反上述保密协议并造成严重后果的，采购人有权暂停委托或解除合同。</w:t>
            </w:r>
          </w:p>
          <w:p w14:paraId="14E77905">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12、供应商应自觉接受采购人监督，对因鉴定人员、人数发生变化，不再具备相应业务鉴定能力或资质的，或因技术场地、仪器设备、鉴定人能力缺陷无法保证鉴定质量的，采购人有权暂停委托或解除合同。</w:t>
            </w:r>
          </w:p>
          <w:p w14:paraId="7980CDA0">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13、对于成交范围内的首次鉴定委托和经支队协调的重新鉴定委托，供应商应严格按照《司法鉴定通则》的要求予以受理、鉴定并出具司法鉴定意见书，不得无故拖延、推诿、不受理或者出具缺乏科学依据的鉴定意见书。无故拖延、推诿、不受理或者出具的鉴定意见书严重缺乏科学依据超过2次的并经采购人调查属实的，采购人有权暂停委托或解除合同,并将相关情况上报司法鉴定监督管理部门。</w:t>
            </w:r>
          </w:p>
          <w:p w14:paraId="0C53D180">
            <w:pPr>
              <w:spacing w:line="500" w:lineRule="exact"/>
              <w:jc w:val="left"/>
              <w:rPr>
                <w:rFonts w:hint="eastAsia" w:ascii="宋体" w:hAnsi="宋体" w:cs="宋体"/>
                <w:color w:val="auto"/>
                <w:szCs w:val="21"/>
                <w:highlight w:val="yellow"/>
              </w:rPr>
            </w:pPr>
            <w:r>
              <w:rPr>
                <w:rFonts w:hint="eastAsia" w:ascii="宋体" w:hAnsi="宋体" w:cs="宋体"/>
                <w:color w:val="auto"/>
                <w:szCs w:val="21"/>
                <w:highlight w:val="yellow"/>
              </w:rPr>
              <w:t>（四）费用标准：</w:t>
            </w:r>
          </w:p>
          <w:p w14:paraId="6CD2E7E7">
            <w:pPr>
              <w:spacing w:line="500" w:lineRule="exact"/>
              <w:jc w:val="left"/>
              <w:rPr>
                <w:rFonts w:hint="eastAsia" w:ascii="宋体" w:hAnsi="宋体" w:cs="宋体"/>
                <w:color w:val="auto"/>
                <w:szCs w:val="21"/>
                <w:highlight w:val="yellow"/>
              </w:rPr>
            </w:pPr>
            <w:r>
              <w:rPr>
                <w:rFonts w:hint="eastAsia" w:ascii="宋体" w:hAnsi="宋体" w:cs="宋体"/>
                <w:color w:val="auto"/>
                <w:szCs w:val="21"/>
                <w:highlight w:val="yellow"/>
              </w:rPr>
              <w:t>总预算费用</w:t>
            </w:r>
            <w:r>
              <w:rPr>
                <w:rFonts w:hint="eastAsia" w:ascii="宋体" w:hAnsi="宋体" w:cs="宋体"/>
                <w:color w:val="auto"/>
                <w:szCs w:val="21"/>
                <w:highlight w:val="yellow"/>
                <w:lang w:val="en-US" w:eastAsia="zh-CN"/>
              </w:rPr>
              <w:t>7.2</w:t>
            </w:r>
            <w:r>
              <w:rPr>
                <w:rFonts w:hint="eastAsia" w:ascii="宋体" w:hAnsi="宋体" w:cs="宋体"/>
                <w:color w:val="auto"/>
                <w:szCs w:val="21"/>
                <w:highlight w:val="yellow"/>
              </w:rPr>
              <w:t>万，按照《广西壮族自治区司法鉴定收费管理办法》及近2年实际鉴定价格，每项鉴定单价不超过以下标准（含交通、住宿、勘验等所有相关费用）：</w:t>
            </w:r>
          </w:p>
          <w:p w14:paraId="5D3A4BD0">
            <w:pPr>
              <w:spacing w:line="500" w:lineRule="exact"/>
              <w:jc w:val="left"/>
              <w:rPr>
                <w:rFonts w:hint="eastAsia" w:ascii="宋体" w:hAnsi="宋体" w:cs="宋体"/>
                <w:color w:val="auto"/>
                <w:highlight w:val="none"/>
              </w:rPr>
            </w:pPr>
            <w:r>
              <w:rPr>
                <w:rFonts w:hint="eastAsia" w:ascii="宋体" w:hAnsi="宋体" w:cs="宋体"/>
                <w:color w:val="auto"/>
                <w:szCs w:val="21"/>
                <w:highlight w:val="yellow"/>
              </w:rPr>
              <w:t>交通事故人体损伤程度鉴定：不超过1800元/例。</w:t>
            </w:r>
          </w:p>
        </w:tc>
      </w:tr>
      <w:tr w14:paraId="4EB14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noWrap w:val="0"/>
            <w:vAlign w:val="top"/>
          </w:tcPr>
          <w:p w14:paraId="0BF4C4D9">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一、商务要求</w:t>
            </w:r>
          </w:p>
        </w:tc>
      </w:tr>
      <w:tr w14:paraId="2D075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4DE72E45">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▲报价要求</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67BD8F1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项目以优惠率报价，以广西壮族自治区发展和改革委员会、广西壮族自治区司法厅关于印发《广西壮族自治区司法鉴定收费管理办法》的通知（桂发改收费规〔2023〕1185号）为依据，对具体收费项目进行优惠率报价。每项结算的金额=《广西壮族自治区司法鉴定收费管理办法》对应每项收费标准×（1-优惠率）。</w:t>
            </w:r>
            <w:r>
              <w:rPr>
                <w:rFonts w:hint="eastAsia" w:ascii="宋体" w:hAnsi="宋体" w:cs="宋体"/>
                <w:color w:val="auto"/>
                <w:highlight w:val="none"/>
              </w:rPr>
              <w:t>优惠率以百分比表示，范围在 0%～100%之间。报价优惠率必须为正数报价，不得存在区间值（例如：优惠率 95%、96%、97%、98%等）。如出现超出报价优惠率范围、优惠率为负数、优惠率存在区间值，则认定为报价无效，响应文件按无效响应处理。</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
              <w:gridCol w:w="2134"/>
              <w:gridCol w:w="1047"/>
              <w:gridCol w:w="3162"/>
            </w:tblGrid>
            <w:tr w14:paraId="347CE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jc w:val="center"/>
              </w:trPr>
              <w:tc>
                <w:tcPr>
                  <w:tcW w:w="7388" w:type="dxa"/>
                  <w:gridSpan w:val="4"/>
                  <w:noWrap w:val="0"/>
                  <w:vAlign w:val="center"/>
                </w:tcPr>
                <w:p w14:paraId="3F8BC1DA">
                  <w:pPr>
                    <w:widowControl/>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kern w:val="0"/>
                      <w:szCs w:val="21"/>
                      <w:highlight w:val="none"/>
                    </w:rPr>
                    <w:t>（一）亡人交通事故法医病理学检验鉴定服务项目：</w:t>
                  </w:r>
                  <w:r>
                    <w:rPr>
                      <w:rFonts w:hint="eastAsia" w:ascii="宋体" w:hAnsi="宋体" w:cs="宋体"/>
                      <w:color w:val="auto"/>
                      <w:szCs w:val="21"/>
                      <w:highlight w:val="none"/>
                    </w:rPr>
                    <w:t>本项目作优惠率报价，以广西壮族自治区发展和改革委员会、广西壮族自治区司法厅关于印发《广西壮族自治区司法鉴定收费管理办法》的通知（桂发改收费规〔2023〕1185号）为依据，对具体收费项目进行优惠率报价。下表中未列明的收费项目和基准价，均按照广西壮族自治区发展和改革委员会、广西壮族自治区司法厅关于印发《广西壮族自治区司法鉴定收费管理办法》的通知（桂发改收费规〔2023〕1185号）文件中收费标准执行。</w:t>
                  </w:r>
                </w:p>
              </w:tc>
            </w:tr>
            <w:tr w14:paraId="7B3B9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040" w:type="dxa"/>
                  <w:noWrap w:val="0"/>
                  <w:vAlign w:val="center"/>
                </w:tcPr>
                <w:p w14:paraId="69DC8E3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96" w:type="dxa"/>
                  <w:noWrap w:val="0"/>
                  <w:vAlign w:val="center"/>
                </w:tcPr>
                <w:p w14:paraId="1E14CCF1">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检验项目</w:t>
                  </w:r>
                </w:p>
              </w:tc>
              <w:tc>
                <w:tcPr>
                  <w:tcW w:w="1042" w:type="dxa"/>
                  <w:tcBorders>
                    <w:right w:val="single" w:color="auto" w:sz="4" w:space="0"/>
                  </w:tcBorders>
                  <w:noWrap w:val="0"/>
                  <w:vAlign w:val="center"/>
                </w:tcPr>
                <w:p w14:paraId="5F1A3153">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810" w:type="dxa"/>
                  <w:tcBorders>
                    <w:left w:val="single" w:color="auto" w:sz="4" w:space="0"/>
                  </w:tcBorders>
                  <w:noWrap w:val="0"/>
                  <w:vAlign w:val="center"/>
                </w:tcPr>
                <w:p w14:paraId="58023F77">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基准价（元）</w:t>
                  </w:r>
                </w:p>
              </w:tc>
            </w:tr>
            <w:tr w14:paraId="66610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5B4796B0">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0" w:type="auto"/>
                  <w:tcBorders>
                    <w:left w:val="single" w:color="auto" w:sz="4" w:space="0"/>
                  </w:tcBorders>
                  <w:noWrap w:val="0"/>
                  <w:vAlign w:val="center"/>
                </w:tcPr>
                <w:p w14:paraId="55634F5C">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晚期尸表检验</w:t>
                  </w:r>
                </w:p>
              </w:tc>
              <w:tc>
                <w:tcPr>
                  <w:tcW w:w="0" w:type="auto"/>
                  <w:tcBorders>
                    <w:right w:val="single" w:color="auto" w:sz="4" w:space="0"/>
                  </w:tcBorders>
                  <w:noWrap w:val="0"/>
                  <w:vAlign w:val="center"/>
                </w:tcPr>
                <w:p w14:paraId="57135B8B">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174F1E96">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1000</w:t>
                  </w:r>
                </w:p>
              </w:tc>
            </w:tr>
            <w:tr w14:paraId="4EDD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0D3AAA24">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0" w:type="auto"/>
                  <w:tcBorders>
                    <w:left w:val="single" w:color="auto" w:sz="4" w:space="0"/>
                  </w:tcBorders>
                  <w:noWrap w:val="0"/>
                  <w:vAlign w:val="center"/>
                </w:tcPr>
                <w:p w14:paraId="7CFB4FFA">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晚期尸体常规解剖</w:t>
                  </w:r>
                </w:p>
              </w:tc>
              <w:tc>
                <w:tcPr>
                  <w:tcW w:w="0" w:type="auto"/>
                  <w:tcBorders>
                    <w:right w:val="single" w:color="auto" w:sz="4" w:space="0"/>
                  </w:tcBorders>
                  <w:noWrap w:val="0"/>
                  <w:vAlign w:val="center"/>
                </w:tcPr>
                <w:p w14:paraId="02A5C958">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154B435C">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4800</w:t>
                  </w:r>
                </w:p>
              </w:tc>
            </w:tr>
            <w:tr w14:paraId="0BBB4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564B27B3">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0" w:type="auto"/>
                  <w:tcBorders>
                    <w:left w:val="single" w:color="auto" w:sz="4" w:space="0"/>
                  </w:tcBorders>
                  <w:noWrap w:val="0"/>
                  <w:vAlign w:val="center"/>
                </w:tcPr>
                <w:p w14:paraId="53BB1C1A">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多器官肉眼大体检查</w:t>
                  </w:r>
                </w:p>
              </w:tc>
              <w:tc>
                <w:tcPr>
                  <w:tcW w:w="0" w:type="auto"/>
                  <w:tcBorders>
                    <w:right w:val="single" w:color="auto" w:sz="4" w:space="0"/>
                  </w:tcBorders>
                  <w:noWrap w:val="0"/>
                  <w:vAlign w:val="center"/>
                </w:tcPr>
                <w:p w14:paraId="448BFB47">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4121AD54">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1500</w:t>
                  </w:r>
                </w:p>
              </w:tc>
            </w:tr>
            <w:tr w14:paraId="37E67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2AC43338">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0" w:type="auto"/>
                  <w:tcBorders>
                    <w:left w:val="single" w:color="auto" w:sz="4" w:space="0"/>
                  </w:tcBorders>
                  <w:noWrap w:val="0"/>
                  <w:vAlign w:val="center"/>
                </w:tcPr>
                <w:p w14:paraId="798A601D">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常规组织切片制作检查</w:t>
                  </w:r>
                </w:p>
              </w:tc>
              <w:tc>
                <w:tcPr>
                  <w:tcW w:w="0" w:type="auto"/>
                  <w:tcBorders>
                    <w:right w:val="single" w:color="auto" w:sz="4" w:space="0"/>
                  </w:tcBorders>
                  <w:noWrap w:val="0"/>
                  <w:vAlign w:val="center"/>
                </w:tcPr>
                <w:p w14:paraId="4AED7D9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5110BCEF">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4000</w:t>
                  </w:r>
                </w:p>
              </w:tc>
            </w:tr>
            <w:tr w14:paraId="65E6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4CE4CD4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0" w:type="auto"/>
                  <w:tcBorders>
                    <w:left w:val="single" w:color="auto" w:sz="4" w:space="0"/>
                  </w:tcBorders>
                  <w:noWrap w:val="0"/>
                  <w:vAlign w:val="center"/>
                </w:tcPr>
                <w:p w14:paraId="1C741DA1">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法医病理诊断</w:t>
                  </w:r>
                </w:p>
              </w:tc>
              <w:tc>
                <w:tcPr>
                  <w:tcW w:w="0" w:type="auto"/>
                  <w:tcBorders>
                    <w:right w:val="single" w:color="auto" w:sz="4" w:space="0"/>
                  </w:tcBorders>
                  <w:noWrap w:val="0"/>
                  <w:vAlign w:val="center"/>
                </w:tcPr>
                <w:p w14:paraId="2AFB65C6">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3DE7387A">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1400</w:t>
                  </w:r>
                </w:p>
              </w:tc>
            </w:tr>
            <w:tr w14:paraId="6F53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4E0FC6DE">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0" w:type="auto"/>
                  <w:tcBorders>
                    <w:left w:val="single" w:color="auto" w:sz="4" w:space="0"/>
                  </w:tcBorders>
                  <w:noWrap w:val="0"/>
                  <w:vAlign w:val="center"/>
                </w:tcPr>
                <w:p w14:paraId="539110A0">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死亡原因分析</w:t>
                  </w:r>
                </w:p>
              </w:tc>
              <w:tc>
                <w:tcPr>
                  <w:tcW w:w="0" w:type="auto"/>
                  <w:tcBorders>
                    <w:right w:val="single" w:color="auto" w:sz="4" w:space="0"/>
                  </w:tcBorders>
                  <w:noWrap w:val="0"/>
                  <w:vAlign w:val="center"/>
                </w:tcPr>
                <w:p w14:paraId="69CEAB1D">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3EA3827D">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1800</w:t>
                  </w:r>
                </w:p>
              </w:tc>
            </w:tr>
            <w:tr w14:paraId="74E0A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3EB3E2B3">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0" w:type="auto"/>
                  <w:tcBorders>
                    <w:left w:val="single" w:color="auto" w:sz="4" w:space="0"/>
                  </w:tcBorders>
                  <w:noWrap w:val="0"/>
                  <w:vAlign w:val="center"/>
                </w:tcPr>
                <w:p w14:paraId="779778DE">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死亡方式判断</w:t>
                  </w:r>
                </w:p>
              </w:tc>
              <w:tc>
                <w:tcPr>
                  <w:tcW w:w="0" w:type="auto"/>
                  <w:tcBorders>
                    <w:right w:val="single" w:color="auto" w:sz="4" w:space="0"/>
                  </w:tcBorders>
                  <w:noWrap w:val="0"/>
                  <w:vAlign w:val="center"/>
                </w:tcPr>
                <w:p w14:paraId="64A837F4">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3BDEE72E">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900</w:t>
                  </w:r>
                </w:p>
              </w:tc>
            </w:tr>
            <w:tr w14:paraId="37749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4063A1BA">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0" w:type="auto"/>
                  <w:tcBorders>
                    <w:left w:val="single" w:color="auto" w:sz="4" w:space="0"/>
                  </w:tcBorders>
                  <w:noWrap w:val="0"/>
                  <w:vAlign w:val="center"/>
                </w:tcPr>
                <w:p w14:paraId="347988C3">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常规毒物检验</w:t>
                  </w:r>
                </w:p>
              </w:tc>
              <w:tc>
                <w:tcPr>
                  <w:tcW w:w="0" w:type="auto"/>
                  <w:tcBorders>
                    <w:right w:val="single" w:color="auto" w:sz="4" w:space="0"/>
                  </w:tcBorders>
                  <w:noWrap w:val="0"/>
                  <w:vAlign w:val="center"/>
                </w:tcPr>
                <w:p w14:paraId="0CC1E9E6">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2A59DD0A">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3000</w:t>
                  </w:r>
                </w:p>
              </w:tc>
            </w:tr>
            <w:tr w14:paraId="3C27B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1DE99973">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0" w:type="auto"/>
                  <w:tcBorders>
                    <w:left w:val="single" w:color="auto" w:sz="4" w:space="0"/>
                  </w:tcBorders>
                  <w:noWrap w:val="0"/>
                  <w:vAlign w:val="center"/>
                </w:tcPr>
                <w:p w14:paraId="1B7E1BDF">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损伤与疾病的因果关系</w:t>
                  </w:r>
                </w:p>
              </w:tc>
              <w:tc>
                <w:tcPr>
                  <w:tcW w:w="0" w:type="auto"/>
                  <w:tcBorders>
                    <w:right w:val="single" w:color="auto" w:sz="4" w:space="0"/>
                  </w:tcBorders>
                  <w:noWrap w:val="0"/>
                  <w:vAlign w:val="center"/>
                </w:tcPr>
                <w:p w14:paraId="1ED8FA7A">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7A30328B">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1000</w:t>
                  </w:r>
                </w:p>
              </w:tc>
            </w:tr>
            <w:tr w14:paraId="1B25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57499E93">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0" w:type="auto"/>
                  <w:tcBorders>
                    <w:left w:val="single" w:color="auto" w:sz="4" w:space="0"/>
                  </w:tcBorders>
                  <w:noWrap w:val="0"/>
                  <w:vAlign w:val="center"/>
                </w:tcPr>
                <w:p w14:paraId="7324717D">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尸体脊髓腔解剖</w:t>
                  </w:r>
                </w:p>
              </w:tc>
              <w:tc>
                <w:tcPr>
                  <w:tcW w:w="0" w:type="auto"/>
                  <w:tcBorders>
                    <w:right w:val="single" w:color="auto" w:sz="4" w:space="0"/>
                  </w:tcBorders>
                  <w:noWrap w:val="0"/>
                  <w:vAlign w:val="center"/>
                </w:tcPr>
                <w:p w14:paraId="7891D666">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4F17740A">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950</w:t>
                  </w:r>
                </w:p>
              </w:tc>
            </w:tr>
            <w:tr w14:paraId="7707B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2E2E6CD1">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0" w:type="auto"/>
                  <w:tcBorders>
                    <w:left w:val="single" w:color="auto" w:sz="4" w:space="0"/>
                  </w:tcBorders>
                  <w:noWrap w:val="0"/>
                  <w:vAlign w:val="center"/>
                </w:tcPr>
                <w:p w14:paraId="1A87A477">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生前伤死后伤鉴别</w:t>
                  </w:r>
                </w:p>
              </w:tc>
              <w:tc>
                <w:tcPr>
                  <w:tcW w:w="0" w:type="auto"/>
                  <w:tcBorders>
                    <w:right w:val="single" w:color="auto" w:sz="4" w:space="0"/>
                  </w:tcBorders>
                  <w:noWrap w:val="0"/>
                  <w:vAlign w:val="center"/>
                </w:tcPr>
                <w:p w14:paraId="4BD907C3">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1692A73D">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1000</w:t>
                  </w:r>
                </w:p>
              </w:tc>
            </w:tr>
            <w:tr w14:paraId="5DD80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38926B97">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0" w:type="auto"/>
                  <w:tcBorders>
                    <w:left w:val="single" w:color="auto" w:sz="4" w:space="0"/>
                  </w:tcBorders>
                  <w:noWrap w:val="0"/>
                  <w:vAlign w:val="center"/>
                </w:tcPr>
                <w:p w14:paraId="2000EF93">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致伤物推断与认定</w:t>
                  </w:r>
                </w:p>
              </w:tc>
              <w:tc>
                <w:tcPr>
                  <w:tcW w:w="0" w:type="auto"/>
                  <w:tcBorders>
                    <w:right w:val="single" w:color="auto" w:sz="4" w:space="0"/>
                  </w:tcBorders>
                  <w:noWrap w:val="0"/>
                  <w:vAlign w:val="center"/>
                </w:tcPr>
                <w:p w14:paraId="2E35C577">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6F3C8F84">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900</w:t>
                  </w:r>
                </w:p>
              </w:tc>
            </w:tr>
            <w:tr w14:paraId="34093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2" w:type="dxa"/>
                  <w:tcBorders>
                    <w:right w:val="single" w:color="auto" w:sz="4" w:space="0"/>
                  </w:tcBorders>
                  <w:noWrap w:val="0"/>
                  <w:vAlign w:val="center"/>
                </w:tcPr>
                <w:p w14:paraId="03852FAD">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0000FF"/>
                      <w:szCs w:val="21"/>
                      <w:highlight w:val="none"/>
                    </w:rPr>
                    <w:t>13</w:t>
                  </w:r>
                </w:p>
              </w:tc>
              <w:tc>
                <w:tcPr>
                  <w:tcW w:w="2249" w:type="dxa"/>
                  <w:tcBorders>
                    <w:left w:val="single" w:color="auto" w:sz="4" w:space="0"/>
                  </w:tcBorders>
                  <w:noWrap w:val="0"/>
                  <w:vAlign w:val="center"/>
                </w:tcPr>
                <w:p w14:paraId="5C7D53E1">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0000FF"/>
                      <w:szCs w:val="21"/>
                      <w:highlight w:val="none"/>
                    </w:rPr>
                    <w:t>硅藻检验</w:t>
                  </w:r>
                </w:p>
              </w:tc>
              <w:tc>
                <w:tcPr>
                  <w:tcW w:w="1074" w:type="dxa"/>
                  <w:tcBorders>
                    <w:right w:val="single" w:color="auto" w:sz="4" w:space="0"/>
                  </w:tcBorders>
                  <w:noWrap w:val="0"/>
                  <w:vAlign w:val="center"/>
                </w:tcPr>
                <w:p w14:paraId="7403EBA0">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0000FF"/>
                      <w:szCs w:val="21"/>
                      <w:highlight w:val="none"/>
                    </w:rPr>
                    <w:t>例</w:t>
                  </w:r>
                </w:p>
              </w:tc>
              <w:tc>
                <w:tcPr>
                  <w:tcW w:w="2993" w:type="dxa"/>
                  <w:tcBorders>
                    <w:left w:val="single" w:color="auto" w:sz="4" w:space="0"/>
                  </w:tcBorders>
                  <w:noWrap w:val="0"/>
                  <w:vAlign w:val="center"/>
                </w:tcPr>
                <w:p w14:paraId="1C6D0A3A">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0000FF"/>
                      <w:szCs w:val="21"/>
                      <w:highlight w:val="none"/>
                    </w:rPr>
                    <w:t>600</w:t>
                  </w:r>
                  <w:r>
                    <w:rPr>
                      <w:rFonts w:hint="eastAsia" w:ascii="宋体" w:hAnsi="宋体" w:cs="宋体"/>
                      <w:color w:val="0000FF"/>
                      <w:szCs w:val="21"/>
                      <w:highlight w:val="none"/>
                      <w:lang w:val="en-US" w:eastAsia="zh-CN"/>
                    </w:rPr>
                    <w:t>×6（检材数量）</w:t>
                  </w:r>
                </w:p>
              </w:tc>
            </w:tr>
            <w:tr w14:paraId="5D53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25AB8347">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0" w:type="auto"/>
                  <w:tcBorders>
                    <w:left w:val="single" w:color="auto" w:sz="4" w:space="0"/>
                  </w:tcBorders>
                  <w:noWrap w:val="0"/>
                  <w:vAlign w:val="center"/>
                </w:tcPr>
                <w:p w14:paraId="7660989D">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死亡时间推断</w:t>
                  </w:r>
                </w:p>
              </w:tc>
              <w:tc>
                <w:tcPr>
                  <w:tcW w:w="0" w:type="auto"/>
                  <w:tcBorders>
                    <w:right w:val="single" w:color="auto" w:sz="4" w:space="0"/>
                  </w:tcBorders>
                  <w:noWrap w:val="0"/>
                  <w:vAlign w:val="center"/>
                </w:tcPr>
                <w:p w14:paraId="06E9DADA">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3FE9575F">
                  <w:pPr>
                    <w:widowControl/>
                    <w:spacing w:line="360" w:lineRule="auto"/>
                    <w:ind w:firstLine="630" w:firstLineChars="300"/>
                    <w:contextualSpacing/>
                    <w:rPr>
                      <w:rFonts w:hint="eastAsia" w:ascii="宋体" w:hAnsi="宋体" w:cs="宋体"/>
                      <w:color w:val="auto"/>
                      <w:szCs w:val="21"/>
                      <w:highlight w:val="none"/>
                    </w:rPr>
                  </w:pPr>
                  <w:r>
                    <w:rPr>
                      <w:rFonts w:hint="eastAsia" w:ascii="宋体" w:hAnsi="宋体" w:cs="宋体"/>
                      <w:color w:val="auto"/>
                      <w:szCs w:val="21"/>
                      <w:highlight w:val="none"/>
                    </w:rPr>
                    <w:t>900</w:t>
                  </w:r>
                </w:p>
              </w:tc>
            </w:tr>
            <w:tr w14:paraId="16EE2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4"/>
                  <w:noWrap w:val="0"/>
                  <w:vAlign w:val="center"/>
                </w:tcPr>
                <w:p w14:paraId="17996A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注：按每起委托的实际鉴定项目进行收费，不代表每起委托都要进行14项全部收费，常规鉴定项目一般为1-9项。</w:t>
                  </w:r>
                </w:p>
              </w:tc>
            </w:tr>
            <w:tr w14:paraId="11B54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4"/>
                  <w:noWrap w:val="0"/>
                  <w:vAlign w:val="center"/>
                </w:tcPr>
                <w:p w14:paraId="5FF53B8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（二）交通事故人体损伤程度鉴定服务项目：本项目作优惠率报价，以</w:t>
                  </w:r>
                  <w:r>
                    <w:rPr>
                      <w:rFonts w:hint="eastAsia" w:ascii="宋体" w:hAnsi="宋体" w:cs="宋体"/>
                      <w:color w:val="auto"/>
                      <w:szCs w:val="21"/>
                      <w:highlight w:val="none"/>
                    </w:rPr>
                    <w:t>广西壮族自治区发展和改革委员会、广西壮族自治区司法厅关于印发《广西壮族自治区司法鉴定收费管理办法》的通知（桂发改收费规〔2023〕1185号）为依据</w:t>
                  </w:r>
                  <w:r>
                    <w:rPr>
                      <w:rFonts w:hint="eastAsia" w:ascii="宋体" w:hAnsi="宋体" w:cs="宋体"/>
                      <w:color w:val="auto"/>
                      <w:highlight w:val="none"/>
                    </w:rPr>
                    <w:t>，对具体收费项目进行优惠率报价。下表中未列明的收费项目和基准价，均按照</w:t>
                  </w:r>
                  <w:r>
                    <w:rPr>
                      <w:rFonts w:hint="eastAsia" w:ascii="宋体" w:hAnsi="宋体" w:cs="宋体"/>
                      <w:color w:val="auto"/>
                      <w:szCs w:val="21"/>
                      <w:highlight w:val="none"/>
                    </w:rPr>
                    <w:t>广西壮族自治区发展和改革委员会、广西壮族自治区司法厅关于印发《广西壮族自治区司法鉴定收费管理办法》的通知（桂发改收费规〔2023〕1185号）</w:t>
                  </w:r>
                  <w:r>
                    <w:rPr>
                      <w:rFonts w:hint="eastAsia" w:ascii="宋体" w:hAnsi="宋体" w:cs="宋体"/>
                      <w:color w:val="auto"/>
                      <w:highlight w:val="none"/>
                    </w:rPr>
                    <w:t>文件中收费标准执行。</w:t>
                  </w:r>
                </w:p>
              </w:tc>
            </w:tr>
            <w:tr w14:paraId="2702F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0" w:type="auto"/>
                  <w:noWrap w:val="0"/>
                  <w:vAlign w:val="center"/>
                </w:tcPr>
                <w:p w14:paraId="3F708D00">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0" w:type="auto"/>
                  <w:noWrap w:val="0"/>
                  <w:vAlign w:val="center"/>
                </w:tcPr>
                <w:p w14:paraId="0A7A951C">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检验项目</w:t>
                  </w:r>
                </w:p>
              </w:tc>
              <w:tc>
                <w:tcPr>
                  <w:tcW w:w="0" w:type="auto"/>
                  <w:tcBorders>
                    <w:right w:val="single" w:color="auto" w:sz="4" w:space="0"/>
                  </w:tcBorders>
                  <w:noWrap w:val="0"/>
                  <w:vAlign w:val="center"/>
                </w:tcPr>
                <w:p w14:paraId="3DA5997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0" w:type="auto"/>
                  <w:tcBorders>
                    <w:left w:val="single" w:color="auto" w:sz="4" w:space="0"/>
                  </w:tcBorders>
                  <w:noWrap w:val="0"/>
                  <w:vAlign w:val="center"/>
                </w:tcPr>
                <w:p w14:paraId="0CE0AEF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基准价（元）</w:t>
                  </w:r>
                </w:p>
              </w:tc>
            </w:tr>
            <w:tr w14:paraId="40AA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4128F42A">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0" w:type="auto"/>
                  <w:tcBorders>
                    <w:left w:val="single" w:color="auto" w:sz="4" w:space="0"/>
                  </w:tcBorders>
                  <w:noWrap w:val="0"/>
                  <w:vAlign w:val="center"/>
                </w:tcPr>
                <w:p w14:paraId="708B5FFE">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损伤程度鉴定</w:t>
                  </w:r>
                </w:p>
              </w:tc>
              <w:tc>
                <w:tcPr>
                  <w:tcW w:w="0" w:type="auto"/>
                  <w:tcBorders>
                    <w:right w:val="single" w:color="auto" w:sz="4" w:space="0"/>
                  </w:tcBorders>
                  <w:noWrap w:val="0"/>
                  <w:vAlign w:val="center"/>
                </w:tcPr>
                <w:p w14:paraId="3318FD40">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69B905EA">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800</w:t>
                  </w:r>
                </w:p>
              </w:tc>
            </w:tr>
            <w:tr w14:paraId="5249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3652C25C">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0" w:type="auto"/>
                  <w:tcBorders>
                    <w:left w:val="single" w:color="auto" w:sz="4" w:space="0"/>
                  </w:tcBorders>
                  <w:noWrap w:val="0"/>
                  <w:vAlign w:val="center"/>
                </w:tcPr>
                <w:p w14:paraId="29605CE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致伤物和致伤方式推断</w:t>
                  </w:r>
                </w:p>
              </w:tc>
              <w:tc>
                <w:tcPr>
                  <w:tcW w:w="0" w:type="auto"/>
                  <w:tcBorders>
                    <w:right w:val="single" w:color="auto" w:sz="4" w:space="0"/>
                  </w:tcBorders>
                  <w:noWrap w:val="0"/>
                  <w:vAlign w:val="center"/>
                </w:tcPr>
                <w:p w14:paraId="434E2DD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31FB685B">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900</w:t>
                  </w:r>
                </w:p>
              </w:tc>
            </w:tr>
            <w:tr w14:paraId="7F4F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746905AA">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0" w:type="auto"/>
                  <w:tcBorders>
                    <w:left w:val="single" w:color="auto" w:sz="4" w:space="0"/>
                  </w:tcBorders>
                  <w:noWrap w:val="0"/>
                  <w:vAlign w:val="center"/>
                </w:tcPr>
                <w:p w14:paraId="7D24CB75">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伤病关系鉴定</w:t>
                  </w:r>
                </w:p>
              </w:tc>
              <w:tc>
                <w:tcPr>
                  <w:tcW w:w="0" w:type="auto"/>
                  <w:tcBorders>
                    <w:right w:val="single" w:color="auto" w:sz="4" w:space="0"/>
                  </w:tcBorders>
                  <w:noWrap w:val="0"/>
                  <w:vAlign w:val="center"/>
                </w:tcPr>
                <w:p w14:paraId="26951766">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65646CFF">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1000</w:t>
                  </w:r>
                </w:p>
              </w:tc>
            </w:tr>
            <w:tr w14:paraId="008E9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right w:val="single" w:color="auto" w:sz="4" w:space="0"/>
                  </w:tcBorders>
                  <w:noWrap w:val="0"/>
                  <w:vAlign w:val="center"/>
                </w:tcPr>
                <w:p w14:paraId="0766CA59">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0" w:type="auto"/>
                  <w:tcBorders>
                    <w:left w:val="single" w:color="auto" w:sz="4" w:space="0"/>
                  </w:tcBorders>
                  <w:noWrap w:val="0"/>
                  <w:vAlign w:val="center"/>
                </w:tcPr>
                <w:p w14:paraId="2038FD12">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损伤形成时间推断</w:t>
                  </w:r>
                </w:p>
                <w:p w14:paraId="3CE41591">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（新旧伤鉴别）</w:t>
                  </w:r>
                </w:p>
              </w:tc>
              <w:tc>
                <w:tcPr>
                  <w:tcW w:w="0" w:type="auto"/>
                  <w:tcBorders>
                    <w:right w:val="single" w:color="auto" w:sz="4" w:space="0"/>
                  </w:tcBorders>
                  <w:noWrap w:val="0"/>
                  <w:vAlign w:val="center"/>
                </w:tcPr>
                <w:p w14:paraId="5EF570A4">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例</w:t>
                  </w:r>
                </w:p>
              </w:tc>
              <w:tc>
                <w:tcPr>
                  <w:tcW w:w="0" w:type="auto"/>
                  <w:tcBorders>
                    <w:left w:val="single" w:color="auto" w:sz="4" w:space="0"/>
                  </w:tcBorders>
                  <w:noWrap w:val="0"/>
                  <w:vAlign w:val="center"/>
                </w:tcPr>
                <w:p w14:paraId="4C75FBFB">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900</w:t>
                  </w:r>
                </w:p>
              </w:tc>
            </w:tr>
            <w:tr w14:paraId="777F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4"/>
                  <w:noWrap w:val="0"/>
                  <w:vAlign w:val="center"/>
                </w:tcPr>
                <w:p w14:paraId="40E99DB6">
                  <w:pPr>
                    <w:widowControl/>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注：按每起委托的实际鉴定项目进行收费，常规鉴定项目一般为1-2项。</w:t>
                  </w:r>
                </w:p>
              </w:tc>
            </w:tr>
          </w:tbl>
          <w:p w14:paraId="5B448C6E">
            <w:pPr>
              <w:spacing w:line="360" w:lineRule="auto"/>
              <w:rPr>
                <w:rFonts w:hint="eastAsia" w:ascii="宋体" w:hAnsi="宋体" w:cs="宋体"/>
                <w:color w:val="auto"/>
                <w:szCs w:val="21"/>
                <w:highlight w:val="none"/>
              </w:rPr>
            </w:pPr>
          </w:p>
          <w:p w14:paraId="605A7D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2、供应商在报价中均包括完成该项目的成本、利润、税金、人员差旅费用、交通费用、住宿费用、检测方法、技术措施费、检测费、鉴定费等所有费用。</w:t>
            </w:r>
            <w:r>
              <w:rPr>
                <w:rFonts w:hint="eastAsia" w:ascii="宋体" w:hAnsi="宋体" w:cs="宋体"/>
                <w:color w:val="auto"/>
                <w:highlight w:val="none"/>
              </w:rPr>
              <w:t>除签订的合同价款外，采购人不再支付任何额外费用。</w:t>
            </w:r>
          </w:p>
          <w:p w14:paraId="5C9921B3">
            <w:pPr>
              <w:spacing w:line="360" w:lineRule="auto"/>
              <w:rPr>
                <w:rFonts w:hint="eastAsia" w:ascii="宋体" w:hAnsi="宋体" w:cs="宋体"/>
                <w:color w:val="auto"/>
                <w:highlight w:val="none"/>
              </w:rPr>
            </w:pPr>
            <w:r>
              <w:rPr>
                <w:rFonts w:hint="eastAsia" w:ascii="宋体" w:hAnsi="宋体" w:cs="宋体"/>
                <w:color w:val="auto"/>
                <w:szCs w:val="21"/>
                <w:highlight w:val="none"/>
              </w:rPr>
              <w:t>3、供应商在报价中均包</w:t>
            </w:r>
            <w:r>
              <w:rPr>
                <w:rFonts w:hint="eastAsia" w:ascii="宋体" w:hAnsi="宋体" w:cs="宋体"/>
                <w:color w:val="auto"/>
                <w:highlight w:val="none"/>
              </w:rPr>
              <w:t>括履行合同所可能生产的其他费用，如技术支持、售后服务等。</w:t>
            </w:r>
          </w:p>
          <w:p w14:paraId="68ADBCA3">
            <w:pPr>
              <w:spacing w:line="360" w:lineRule="auto"/>
              <w:rPr>
                <w:rFonts w:hint="eastAsia" w:ascii="宋体" w:hAnsi="宋体" w:cs="宋体"/>
                <w:b/>
                <w:color w:val="auto"/>
                <w:szCs w:val="21"/>
                <w:highlight w:val="none"/>
              </w:rPr>
            </w:pPr>
            <w:r>
              <w:rPr>
                <w:rFonts w:hint="eastAsia" w:ascii="宋体" w:hAnsi="宋体" w:cs="宋体"/>
                <w:color w:val="auto"/>
                <w:highlight w:val="none"/>
              </w:rPr>
              <w:t>4、本项目单项预算价详见本章“</w:t>
            </w:r>
            <w:r>
              <w:rPr>
                <w:rFonts w:hint="eastAsia" w:ascii="宋体" w:hAnsi="宋体" w:cs="宋体"/>
                <w:color w:val="auto"/>
                <w:szCs w:val="21"/>
                <w:highlight w:val="none"/>
              </w:rPr>
              <w:t>技术要求</w:t>
            </w:r>
            <w:r>
              <w:rPr>
                <w:rFonts w:hint="eastAsia" w:ascii="宋体" w:hAnsi="宋体" w:cs="宋体"/>
                <w:color w:val="auto"/>
                <w:highlight w:val="none"/>
              </w:rPr>
              <w:t>”</w:t>
            </w:r>
            <w:r>
              <w:rPr>
                <w:rFonts w:hint="eastAsia" w:ascii="宋体" w:hAnsi="宋体" w:cs="宋体"/>
                <w:color w:val="auto"/>
                <w:szCs w:val="21"/>
                <w:highlight w:val="none"/>
              </w:rPr>
              <w:t>。</w:t>
            </w:r>
          </w:p>
        </w:tc>
      </w:tr>
      <w:tr w14:paraId="2A625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378924E7">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▲服务期限</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65FAF38A">
            <w:pPr>
              <w:spacing w:line="360" w:lineRule="auto"/>
              <w:rPr>
                <w:rFonts w:hint="eastAsia" w:ascii="宋体" w:hAnsi="宋体" w:cs="宋体"/>
                <w:b/>
                <w:color w:val="auto"/>
                <w:szCs w:val="21"/>
                <w:highlight w:val="none"/>
              </w:rPr>
            </w:pPr>
            <w:r>
              <w:rPr>
                <w:rFonts w:hint="eastAsia" w:ascii="宋体" w:hAnsi="宋体" w:cs="宋体"/>
                <w:color w:val="auto"/>
                <w:szCs w:val="21"/>
                <w:highlight w:val="none"/>
                <w:lang w:eastAsia="zh-CN"/>
              </w:rPr>
              <w:t>自签定合同之日起一年</w:t>
            </w:r>
            <w:r>
              <w:rPr>
                <w:rFonts w:hint="eastAsia" w:ascii="宋体" w:hAnsi="宋体" w:cs="宋体"/>
                <w:color w:val="auto"/>
                <w:szCs w:val="21"/>
                <w:highlight w:val="none"/>
              </w:rPr>
              <w:t>。</w:t>
            </w:r>
          </w:p>
        </w:tc>
      </w:tr>
      <w:tr w14:paraId="20EF7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44EAEB4A">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▲合同签订时间</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5FCC5ADF">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自成交通知书发出之日起20天内。</w:t>
            </w:r>
          </w:p>
        </w:tc>
      </w:tr>
      <w:tr w14:paraId="30F8A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3FCAE62">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▲付款条件（进度和方式）</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6C8AFB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1、本项目无预付款。</w:t>
            </w:r>
          </w:p>
          <w:p w14:paraId="286994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2、司法鉴定服务成果的交付和验收标准：按国家、自治区、贵港市的规定执行，司法鉴定服务成果交付或验收不合格的，采购人不予支付合同款项。</w:t>
            </w:r>
          </w:p>
          <w:p w14:paraId="495236A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3、供应商所提交的服务成果经采购人书面验收合格后，以实际产生的鉴定费用金额结算支付（实际产生的鉴定费用金额=成交单价×实际委托鉴定的数量，成交单价为供应商成交的基于</w:t>
            </w:r>
            <w:r>
              <w:rPr>
                <w:rFonts w:hint="eastAsia" w:ascii="宋体" w:hAnsi="宋体" w:cs="宋体"/>
                <w:color w:val="auto"/>
                <w:highlight w:val="none"/>
              </w:rPr>
              <w:t>优惠率</w:t>
            </w:r>
            <w:r>
              <w:rPr>
                <w:rFonts w:hint="eastAsia" w:ascii="宋体" w:hAnsi="宋体" w:cs="宋体"/>
                <w:color w:val="auto"/>
                <w:szCs w:val="21"/>
                <w:highlight w:val="none"/>
              </w:rPr>
              <w:t>的价格）。</w:t>
            </w:r>
          </w:p>
          <w:p w14:paraId="403DD7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4、采购人支付款项前，供应商必须提供相应数额的发票、清单等。</w:t>
            </w:r>
          </w:p>
          <w:p w14:paraId="18CCE3A0">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5、结算支付周期为每季度。</w:t>
            </w:r>
          </w:p>
        </w:tc>
      </w:tr>
      <w:tr w14:paraId="565EA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12CD13E">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▲售后服务</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2A3E56F4">
            <w:pPr>
              <w:widowControl/>
              <w:jc w:val="left"/>
              <w:rPr>
                <w:rFonts w:hint="eastAsia" w:ascii="宋体" w:hAnsi="宋体" w:cs="宋体"/>
                <w:color w:val="auto"/>
                <w:szCs w:val="21"/>
                <w:highlight w:val="none"/>
              </w:rPr>
            </w:pPr>
            <w:r>
              <w:rPr>
                <w:rFonts w:hint="eastAsia" w:ascii="宋体" w:hAnsi="宋体" w:cs="宋体"/>
                <w:color w:val="auto"/>
                <w:szCs w:val="21"/>
                <w:highlight w:val="none"/>
              </w:rPr>
              <w:t>提交服务成果时间：在采购人要求的时限内（单次鉴定所约定时间）提交，除不可抗力因素外，如未按照约定时间完成鉴定，则不予以支付该次鉴定费用。</w:t>
            </w:r>
          </w:p>
          <w:p w14:paraId="75B52D7E">
            <w:pPr>
              <w:widowControl/>
              <w:jc w:val="left"/>
              <w:rPr>
                <w:rFonts w:hint="eastAsia" w:ascii="宋体" w:hAnsi="宋体" w:cs="宋体"/>
                <w:color w:val="auto"/>
                <w:szCs w:val="21"/>
                <w:highlight w:val="none"/>
              </w:rPr>
            </w:pPr>
            <w:r>
              <w:rPr>
                <w:rFonts w:hint="eastAsia" w:ascii="宋体" w:hAnsi="宋体" w:cs="宋体"/>
                <w:color w:val="auto"/>
                <w:szCs w:val="21"/>
                <w:highlight w:val="none"/>
              </w:rPr>
              <w:t>提交服务成果地点：采购人指定地点。</w:t>
            </w:r>
          </w:p>
        </w:tc>
      </w:tr>
      <w:tr w14:paraId="1530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1D638EC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技术支持和服务</w:t>
            </w:r>
          </w:p>
        </w:tc>
        <w:tc>
          <w:tcPr>
            <w:tcW w:w="7614" w:type="dxa"/>
            <w:gridSpan w:val="3"/>
            <w:tcBorders>
              <w:top w:val="single" w:color="auto" w:sz="4" w:space="0"/>
              <w:left w:val="single" w:color="auto" w:sz="4" w:space="0"/>
              <w:bottom w:val="single" w:color="auto" w:sz="4" w:space="0"/>
              <w:right w:val="single" w:color="auto" w:sz="4" w:space="0"/>
            </w:tcBorders>
            <w:noWrap w:val="0"/>
            <w:vAlign w:val="top"/>
          </w:tcPr>
          <w:p w14:paraId="4E7FA9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成交供应商在质量保证期内应当为采购人提供以下技术支持和服务：</w:t>
            </w:r>
          </w:p>
          <w:p w14:paraId="6DD2AB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1、电话咨询：成交供应商应当为采购人提供技术援助电话支持，解答采购人在使用中遇到的问题，及时为采购人提出解决问题的建议。</w:t>
            </w:r>
          </w:p>
          <w:p w14:paraId="0EC87B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2、现场响应：采购人遇到使用或技术问题，电话咨询不能解决的，成交供应商应在2小时内到达采购人指定现场。</w:t>
            </w:r>
          </w:p>
        </w:tc>
      </w:tr>
      <w:tr w14:paraId="698EC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2C1C45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知识产权</w:t>
            </w:r>
          </w:p>
        </w:tc>
        <w:tc>
          <w:tcPr>
            <w:tcW w:w="7614" w:type="dxa"/>
            <w:gridSpan w:val="3"/>
            <w:tcBorders>
              <w:top w:val="single" w:color="auto" w:sz="4" w:space="0"/>
              <w:left w:val="single" w:color="auto" w:sz="4" w:space="0"/>
              <w:bottom w:val="single" w:color="auto" w:sz="4" w:space="0"/>
              <w:right w:val="single" w:color="auto" w:sz="4" w:space="0"/>
            </w:tcBorders>
            <w:noWrap w:val="0"/>
            <w:vAlign w:val="top"/>
          </w:tcPr>
          <w:p w14:paraId="330251A1">
            <w:pPr>
              <w:widowControl/>
              <w:shd w:val="clear" w:color="auto" w:fill="FFFFFF"/>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供应商应保证贵港市公安局交通警察支队在接受其提供的相关服务时免受第三方提出侵犯其知识产权的起诉，由此引起的知识产权纠纷及引起的法律裁决、诉讼及赔偿费用均由成交供应商承担。</w:t>
            </w:r>
          </w:p>
        </w:tc>
      </w:tr>
      <w:tr w14:paraId="254E5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D1BC17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7614" w:type="dxa"/>
            <w:gridSpan w:val="3"/>
            <w:tcBorders>
              <w:top w:val="single" w:color="auto" w:sz="4" w:space="0"/>
              <w:left w:val="single" w:color="auto" w:sz="4" w:space="0"/>
              <w:bottom w:val="single" w:color="auto" w:sz="4" w:space="0"/>
              <w:right w:val="single" w:color="auto" w:sz="4" w:space="0"/>
            </w:tcBorders>
            <w:noWrap w:val="0"/>
            <w:vAlign w:val="center"/>
          </w:tcPr>
          <w:p w14:paraId="1AF85318">
            <w:pPr>
              <w:widowControl/>
              <w:jc w:val="left"/>
              <w:rPr>
                <w:rFonts w:hint="eastAsia" w:ascii="宋体" w:hAnsi="宋体" w:cs="宋体"/>
                <w:color w:val="auto"/>
                <w:szCs w:val="21"/>
                <w:highlight w:val="none"/>
              </w:rPr>
            </w:pPr>
            <w:r>
              <w:rPr>
                <w:rFonts w:hint="eastAsia" w:ascii="宋体" w:hAnsi="宋体" w:cs="宋体"/>
                <w:color w:val="auto"/>
                <w:szCs w:val="21"/>
                <w:highlight w:val="none"/>
              </w:rPr>
              <w:t>1、若成交供应商出现以下情形并经采购人调查属实的，业主则有权终止合同：</w:t>
            </w:r>
          </w:p>
          <w:p w14:paraId="628F5DFF">
            <w:pPr>
              <w:widowControl/>
              <w:jc w:val="left"/>
              <w:rPr>
                <w:rFonts w:hint="eastAsia" w:ascii="宋体" w:hAnsi="宋体" w:cs="宋体"/>
                <w:color w:val="auto"/>
                <w:szCs w:val="21"/>
                <w:highlight w:val="none"/>
              </w:rPr>
            </w:pPr>
            <w:r>
              <w:rPr>
                <w:rFonts w:hint="eastAsia" w:ascii="宋体" w:hAnsi="宋体" w:cs="宋体"/>
                <w:color w:val="auto"/>
                <w:szCs w:val="21"/>
                <w:highlight w:val="none"/>
              </w:rPr>
              <w:t>（1）无故拖延、推诿、不受理超过2次的；</w:t>
            </w:r>
          </w:p>
          <w:p w14:paraId="374EAC94">
            <w:pPr>
              <w:widowControl/>
              <w:jc w:val="left"/>
              <w:rPr>
                <w:rFonts w:hint="eastAsia" w:ascii="宋体" w:hAnsi="宋体" w:cs="宋体"/>
                <w:color w:val="auto"/>
                <w:szCs w:val="21"/>
                <w:highlight w:val="none"/>
              </w:rPr>
            </w:pPr>
            <w:r>
              <w:rPr>
                <w:rFonts w:hint="eastAsia" w:ascii="宋体" w:hAnsi="宋体" w:cs="宋体"/>
                <w:color w:val="auto"/>
                <w:szCs w:val="21"/>
                <w:highlight w:val="none"/>
              </w:rPr>
              <w:t>（2）出具的鉴定意见书时间逾期达两次的；</w:t>
            </w:r>
          </w:p>
          <w:p w14:paraId="11D520DA">
            <w:pPr>
              <w:widowControl/>
              <w:jc w:val="left"/>
              <w:rPr>
                <w:rFonts w:hint="eastAsia" w:ascii="宋体" w:hAnsi="宋体" w:cs="宋体"/>
                <w:color w:val="auto"/>
                <w:szCs w:val="21"/>
                <w:highlight w:val="none"/>
              </w:rPr>
            </w:pPr>
            <w:r>
              <w:rPr>
                <w:rFonts w:hint="eastAsia" w:ascii="宋体" w:hAnsi="宋体" w:cs="宋体"/>
                <w:color w:val="auto"/>
                <w:szCs w:val="21"/>
                <w:highlight w:val="none"/>
              </w:rPr>
              <w:t>（3）出具的鉴定意见书严重缺乏科学依据超过2次的；</w:t>
            </w:r>
          </w:p>
          <w:p w14:paraId="66D5FCED">
            <w:pPr>
              <w:widowControl/>
              <w:jc w:val="left"/>
              <w:rPr>
                <w:rFonts w:hint="eastAsia" w:ascii="宋体" w:hAnsi="宋体" w:cs="宋体"/>
                <w:color w:val="auto"/>
                <w:szCs w:val="21"/>
                <w:highlight w:val="none"/>
              </w:rPr>
            </w:pPr>
            <w:r>
              <w:rPr>
                <w:rFonts w:hint="eastAsia" w:ascii="宋体" w:hAnsi="宋体" w:cs="宋体"/>
                <w:color w:val="auto"/>
                <w:szCs w:val="21"/>
                <w:highlight w:val="none"/>
              </w:rPr>
              <w:t>（4）鉴定机构或鉴定人能力缺陷无法保证鉴定质量的。。</w:t>
            </w:r>
          </w:p>
          <w:p w14:paraId="252B2196">
            <w:pPr>
              <w:widowControl/>
              <w:jc w:val="left"/>
              <w:rPr>
                <w:rFonts w:hint="eastAsia" w:ascii="宋体" w:hAnsi="宋体" w:cs="宋体"/>
                <w:color w:val="auto"/>
                <w:szCs w:val="21"/>
                <w:highlight w:val="none"/>
              </w:rPr>
            </w:pPr>
            <w:r>
              <w:rPr>
                <w:rFonts w:hint="eastAsia" w:ascii="宋体" w:hAnsi="宋体" w:cs="宋体"/>
                <w:color w:val="auto"/>
                <w:szCs w:val="21"/>
                <w:highlight w:val="none"/>
              </w:rPr>
              <w:t>2、成交服务商需自行取走检材（具体以与采购人商议的实际情况为准）。</w:t>
            </w:r>
          </w:p>
          <w:p w14:paraId="203BEC76">
            <w:pPr>
              <w:widowControl/>
              <w:jc w:val="left"/>
              <w:rPr>
                <w:rFonts w:hint="eastAsia" w:ascii="宋体" w:hAnsi="宋体" w:cs="宋体"/>
                <w:color w:val="auto"/>
                <w:szCs w:val="21"/>
                <w:highlight w:val="none"/>
              </w:rPr>
            </w:pPr>
            <w:r>
              <w:rPr>
                <w:rFonts w:hint="eastAsia" w:ascii="宋体" w:hAnsi="宋体" w:cs="宋体"/>
                <w:color w:val="auto"/>
                <w:szCs w:val="21"/>
                <w:highlight w:val="none"/>
              </w:rPr>
              <w:t>3、不列入《广西壮族自治区司法鉴定收费管理办法》的鉴定项目实行市场调节价，由司法鉴定机构与委托单位协商确定具体收费项目。</w:t>
            </w:r>
          </w:p>
        </w:tc>
      </w:tr>
    </w:tbl>
    <w:p w14:paraId="559CE717">
      <w:pPr>
        <w:pStyle w:val="12"/>
        <w:spacing w:line="500" w:lineRule="exact"/>
        <w:jc w:val="center"/>
        <w:rPr>
          <w:rFonts w:hint="eastAsia" w:ascii="宋体" w:hAnsi="宋体" w:eastAsia="宋体" w:cs="宋体"/>
          <w:b/>
          <w:color w:val="auto"/>
          <w:sz w:val="36"/>
          <w:szCs w:val="36"/>
          <w:highlight w:val="none"/>
          <w:lang w:eastAsia="zh-CN"/>
        </w:rPr>
      </w:pPr>
    </w:p>
    <w:p w14:paraId="42403948">
      <w:pPr>
        <w:pStyle w:val="12"/>
        <w:spacing w:line="500" w:lineRule="exact"/>
        <w:jc w:val="center"/>
        <w:rPr>
          <w:rFonts w:hint="eastAsia" w:ascii="宋体" w:hAnsi="宋体" w:eastAsia="宋体" w:cs="宋体"/>
          <w:b/>
          <w:color w:val="auto"/>
          <w:sz w:val="36"/>
          <w:szCs w:val="36"/>
          <w:highlight w:val="none"/>
          <w:lang w:eastAsia="zh-CN"/>
        </w:rPr>
      </w:pPr>
    </w:p>
    <w:p w14:paraId="44E92D8E">
      <w:pPr>
        <w:rPr>
          <w:rFonts w:hint="eastAsia" w:ascii="宋体" w:hAnsi="宋体" w:eastAsia="宋体" w:cs="宋体"/>
          <w:b/>
          <w:color w:val="auto"/>
          <w:sz w:val="36"/>
          <w:szCs w:val="36"/>
          <w:highlight w:val="none"/>
          <w:lang w:eastAsia="zh-CN"/>
        </w:rPr>
      </w:pPr>
    </w:p>
    <w:p w14:paraId="2D34007D">
      <w:pPr>
        <w:pStyle w:val="12"/>
        <w:rPr>
          <w:rFonts w:hint="eastAsia" w:ascii="宋体" w:hAnsi="宋体" w:eastAsia="宋体" w:cs="宋体"/>
          <w:b/>
          <w:color w:val="auto"/>
          <w:sz w:val="36"/>
          <w:szCs w:val="36"/>
          <w:highlight w:val="none"/>
          <w:lang w:eastAsia="zh-CN"/>
        </w:rPr>
      </w:pPr>
    </w:p>
    <w:p w14:paraId="751DFA88">
      <w:pPr>
        <w:rPr>
          <w:rFonts w:hint="eastAsia" w:ascii="宋体" w:hAnsi="宋体" w:eastAsia="宋体" w:cs="宋体"/>
          <w:b/>
          <w:color w:val="auto"/>
          <w:sz w:val="36"/>
          <w:szCs w:val="36"/>
          <w:highlight w:val="none"/>
        </w:rPr>
      </w:pPr>
      <w:bookmarkStart w:id="22" w:name="_Toc16403"/>
      <w:bookmarkStart w:id="23" w:name="_Toc74322011"/>
    </w:p>
    <w:p w14:paraId="35D40558">
      <w:pPr>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br w:type="page"/>
      </w:r>
    </w:p>
    <w:p w14:paraId="1C20E6DE">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第四章  </w:t>
      </w:r>
      <w:bookmarkStart w:id="24" w:name="_Hlk68601507"/>
      <w:r>
        <w:rPr>
          <w:rFonts w:hint="eastAsia" w:ascii="宋体" w:hAnsi="宋体" w:eastAsia="宋体" w:cs="宋体"/>
          <w:b/>
          <w:color w:val="auto"/>
          <w:sz w:val="36"/>
          <w:szCs w:val="36"/>
          <w:highlight w:val="none"/>
        </w:rPr>
        <w:t>评审程序和评定成交的标准</w:t>
      </w:r>
      <w:bookmarkEnd w:id="22"/>
      <w:bookmarkEnd w:id="23"/>
      <w:bookmarkEnd w:id="24"/>
    </w:p>
    <w:p w14:paraId="0374DE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w:t>
      </w:r>
    </w:p>
    <w:p w14:paraId="2D762AEE">
      <w:pPr>
        <w:spacing w:line="360" w:lineRule="auto"/>
        <w:ind w:firstLine="482" w:firstLineChars="200"/>
        <w:rPr>
          <w:rFonts w:hint="eastAsia" w:ascii="宋体" w:hAnsi="宋体" w:eastAsia="宋体" w:cs="宋体"/>
          <w:b/>
          <w:bCs/>
          <w:color w:val="auto"/>
          <w:sz w:val="24"/>
          <w:highlight w:val="none"/>
        </w:rPr>
      </w:pPr>
    </w:p>
    <w:p w14:paraId="72BC3522">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1.确认</w:t>
      </w:r>
      <w:r>
        <w:rPr>
          <w:rFonts w:hint="eastAsia" w:ascii="宋体" w:hAnsi="宋体" w:eastAsia="宋体" w:cs="宋体"/>
          <w:b/>
          <w:bCs/>
          <w:color w:val="auto"/>
          <w:sz w:val="24"/>
          <w:highlight w:val="none"/>
          <w:lang w:eastAsia="zh-CN"/>
        </w:rPr>
        <w:t>单一来源采购文件</w:t>
      </w:r>
    </w:p>
    <w:p w14:paraId="252CF77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确认</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w:t>
      </w:r>
    </w:p>
    <w:p w14:paraId="263195AF">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214CBDA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依法对供应商的资格证明文件进行审查。</w:t>
      </w:r>
    </w:p>
    <w:p w14:paraId="1E6C5C6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w:t>
      </w:r>
    </w:p>
    <w:p w14:paraId="5722219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992C80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（3）查询记录和证据留存方式：</w:t>
      </w:r>
      <w:r>
        <w:rPr>
          <w:rFonts w:hint="eastAsia" w:ascii="宋体" w:hAnsi="宋体" w:cs="宋体"/>
          <w:color w:val="auto"/>
          <w:szCs w:val="21"/>
          <w:highlight w:val="none"/>
        </w:rPr>
        <w:t>通过广西政府采购云平台链接到相关查询网站进行查询及记录。</w:t>
      </w:r>
    </w:p>
    <w:p w14:paraId="14BAE52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B45E2A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中载明对供应商资格要求的条件。本项目资格审查采用合格制，凡符合</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规定的供应商资格要求的供应商均通过资格审查。</w:t>
      </w:r>
    </w:p>
    <w:p w14:paraId="0693E72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供应商有下列情形之一的，资格审查不通过，其响应文件按无效响应处理：</w:t>
      </w:r>
    </w:p>
    <w:p w14:paraId="3326A6F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中规定的资格要求的；</w:t>
      </w:r>
    </w:p>
    <w:p w14:paraId="5FC20D49">
      <w:pPr>
        <w:keepNext w:val="0"/>
        <w:keepLines w:val="0"/>
        <w:pageBreakBefore w:val="0"/>
        <w:widowControl w:val="0"/>
        <w:kinsoku/>
        <w:wordWrap/>
        <w:overflowPunct/>
        <w:topLinePunct w:val="0"/>
        <w:autoSpaceDE/>
        <w:autoSpaceDN/>
        <w:bidi w:val="0"/>
        <w:adjustRightInd/>
        <w:spacing w:line="420" w:lineRule="exact"/>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（2）响应文件中的资格证明文件缺少任一项“供应商须知前附表”资格证明文件规定的“必须提供”的文件资料的；</w:t>
      </w:r>
    </w:p>
    <w:p w14:paraId="3D451CB8">
      <w:pPr>
        <w:keepNext w:val="0"/>
        <w:keepLines w:val="0"/>
        <w:pageBreakBefore w:val="0"/>
        <w:widowControl w:val="0"/>
        <w:kinsoku/>
        <w:wordWrap/>
        <w:overflowPunct/>
        <w:topLinePunct w:val="0"/>
        <w:autoSpaceDE/>
        <w:autoSpaceDN/>
        <w:bidi w:val="0"/>
        <w:adjustRightInd/>
        <w:spacing w:line="420" w:lineRule="exact"/>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（3）响应文件中的资格证明文件出现任一项不符合“供应商须知前附表”资格证明文件规定的“必须提供”的文件资料要求或者无效的；</w:t>
      </w:r>
    </w:p>
    <w:p w14:paraId="25793231">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5FD46EF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对资格审查的合格的供应商的响应文件进行报价、商务、技术等实质性要求符合性审查，以确定其是否满足</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的实质性要求。</w:t>
      </w:r>
    </w:p>
    <w:p w14:paraId="68A05F8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7CD90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要求供应商澄清、说明或者更正响应文件应当以电子澄清函形式作出。供应商的澄清、说明或者更正应当以电子回函形式按照</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的要求作出明确的澄清、说明或者更正，未按</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的要求作出明确澄清、说明或者更正的供应商的响应文件将按照</w:t>
      </w:r>
      <w:r>
        <w:rPr>
          <w:rFonts w:hint="eastAsia" w:ascii="宋体" w:hAnsi="宋体" w:eastAsia="宋体" w:cs="宋体"/>
          <w:color w:val="auto"/>
          <w:highlight w:val="none"/>
        </w:rPr>
        <w:t>有利于采购人</w:t>
      </w:r>
      <w:r>
        <w:rPr>
          <w:rFonts w:hint="eastAsia" w:ascii="宋体" w:hAnsi="宋体" w:eastAsia="宋体" w:cs="宋体"/>
          <w:color w:val="auto"/>
          <w:szCs w:val="21"/>
          <w:highlight w:val="none"/>
        </w:rPr>
        <w:t>的原则由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进行判定。供应商的澄清、说明或者更正必须由法定代表人或者其委托代理人签字或者加盖供应商公章。</w:t>
      </w:r>
    </w:p>
    <w:p w14:paraId="1F1DC5F9">
      <w:pPr>
        <w:keepNext w:val="0"/>
        <w:keepLines w:val="0"/>
        <w:pageBreakBefore w:val="0"/>
        <w:widowControl w:val="0"/>
        <w:kinsoku/>
        <w:wordWrap/>
        <w:overflowPunct/>
        <w:topLinePunct w:val="0"/>
        <w:autoSpaceDE/>
        <w:autoSpaceDN/>
        <w:bidi w:val="0"/>
        <w:adjustRightInd/>
        <w:spacing w:line="42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38E2BC0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68EED96">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1612CE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7F56B2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6E62432">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5A5E88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10646AB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在评审时，如发现下列情形之一的，将被视为响应文件无效响应处理：</w:t>
      </w:r>
    </w:p>
    <w:p w14:paraId="507B90E6">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68E928C6">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要求签署、盖章的；</w:t>
      </w:r>
    </w:p>
    <w:p w14:paraId="65B6C049">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2）委托代理人未能出具有效身份证或者出具的身份证与授权委托书中的信息不符的； </w:t>
      </w:r>
    </w:p>
    <w:p w14:paraId="1CDBB87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14:paraId="1B9BB76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）商务条款中标“▲”的条款发生负偏离或者允许负偏离的条款数超过“供应商须知前附表”规定项数的；</w:t>
      </w:r>
    </w:p>
    <w:p w14:paraId="242C026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）未对</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有效期作出响应或者响应文件承诺的</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有效期不满足</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要求；</w:t>
      </w:r>
    </w:p>
    <w:p w14:paraId="77C10BF0">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）响应文件的实质性内容未使用中文表述、使用计量单位不符合</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要求的；</w:t>
      </w:r>
    </w:p>
    <w:p w14:paraId="506EF14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）响应文件中的文件资料因填写不齐全或者内容虚假或者出现其他情形而导致被</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认定无效的；</w:t>
      </w:r>
    </w:p>
    <w:p w14:paraId="04012A5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）响应文件含有采购人不能接受的附加条件的；</w:t>
      </w:r>
    </w:p>
    <w:p w14:paraId="7516DC12">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）属于“供应商须知正文”第7.5条的情形的；</w:t>
      </w:r>
    </w:p>
    <w:p w14:paraId="3B7B10A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）技术要求中标“▲”的条款发生负偏离或允许负偏离的条款数超过“供应商须知前附表”规定项数的；</w:t>
      </w:r>
    </w:p>
    <w:p w14:paraId="70BB894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）虚假</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，或者出现其他情形而导致被</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认定无效的；</w:t>
      </w:r>
    </w:p>
    <w:p w14:paraId="6359E68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bookmarkStart w:id="25" w:name="_Hlk71704147"/>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未载明允许提供备选（替代）</w:t>
      </w:r>
      <w:r>
        <w:rPr>
          <w:rFonts w:hint="eastAsia" w:ascii="宋体" w:hAnsi="宋体" w:eastAsia="宋体" w:cs="宋体"/>
          <w:color w:val="auto"/>
          <w:szCs w:val="21"/>
          <w:highlight w:val="none"/>
          <w:lang w:eastAsia="zh-CN"/>
        </w:rPr>
        <w:t>协商方案</w:t>
      </w:r>
      <w:r>
        <w:rPr>
          <w:rFonts w:hint="eastAsia" w:ascii="宋体" w:hAnsi="宋体" w:eastAsia="宋体" w:cs="宋体"/>
          <w:color w:val="auto"/>
          <w:szCs w:val="21"/>
          <w:highlight w:val="none"/>
        </w:rPr>
        <w:t>或明确不允许提供备选（替代）</w:t>
      </w:r>
      <w:r>
        <w:rPr>
          <w:rFonts w:hint="eastAsia" w:ascii="宋体" w:hAnsi="宋体" w:eastAsia="宋体" w:cs="宋体"/>
          <w:color w:val="auto"/>
          <w:szCs w:val="21"/>
          <w:highlight w:val="none"/>
          <w:lang w:eastAsia="zh-CN"/>
        </w:rPr>
        <w:t>协商方案</w:t>
      </w:r>
      <w:r>
        <w:rPr>
          <w:rFonts w:hint="eastAsia" w:ascii="宋体" w:hAnsi="宋体" w:eastAsia="宋体" w:cs="宋体"/>
          <w:color w:val="auto"/>
          <w:szCs w:val="21"/>
          <w:highlight w:val="none"/>
        </w:rPr>
        <w:t>时，供应商提供了备选（替代）</w:t>
      </w:r>
      <w:r>
        <w:rPr>
          <w:rFonts w:hint="eastAsia" w:ascii="宋体" w:hAnsi="宋体" w:eastAsia="宋体" w:cs="宋体"/>
          <w:color w:val="auto"/>
          <w:szCs w:val="21"/>
          <w:highlight w:val="none"/>
          <w:lang w:eastAsia="zh-CN"/>
        </w:rPr>
        <w:t>协商方案</w:t>
      </w:r>
      <w:r>
        <w:rPr>
          <w:rFonts w:hint="eastAsia" w:ascii="宋体" w:hAnsi="宋体" w:eastAsia="宋体" w:cs="宋体"/>
          <w:color w:val="auto"/>
          <w:szCs w:val="21"/>
          <w:highlight w:val="none"/>
        </w:rPr>
        <w:t>的；</w:t>
      </w:r>
      <w:bookmarkEnd w:id="25"/>
    </w:p>
    <w:p w14:paraId="77C0E33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）响应文件标注的项目名称或者项目编号与</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标注的项目名称或者项目编号不一致的；</w:t>
      </w:r>
    </w:p>
    <w:p w14:paraId="229EF7C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b w:val="0"/>
          <w:bCs/>
          <w:color w:val="auto"/>
          <w:szCs w:val="21"/>
          <w:highlight w:val="none"/>
          <w:lang w:eastAsia="zh-CN"/>
        </w:rPr>
        <w:t>单一来源采购文件</w:t>
      </w:r>
      <w:r>
        <w:rPr>
          <w:rFonts w:hint="eastAsia" w:ascii="宋体" w:hAnsi="宋体" w:eastAsia="宋体" w:cs="宋体"/>
          <w:b w:val="0"/>
          <w:bCs/>
          <w:color w:val="auto"/>
          <w:szCs w:val="21"/>
          <w:highlight w:val="none"/>
        </w:rPr>
        <w:t>明确不允许分包，响应文件拟分包的；</w:t>
      </w:r>
    </w:p>
    <w:p w14:paraId="6E224B5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）未响应</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实质性要求；</w:t>
      </w:r>
    </w:p>
    <w:p w14:paraId="6C71D5F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规定的其他无效情形。</w:t>
      </w:r>
    </w:p>
    <w:p w14:paraId="36B90C97">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4E5417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1）响应文件未提供“供应商须知前附表”报价商务技术文件中规定的“</w:t>
      </w:r>
      <w:r>
        <w:rPr>
          <w:rFonts w:hint="eastAsia" w:ascii="宋体" w:hAnsi="宋体" w:eastAsia="宋体" w:cs="宋体"/>
          <w:color w:val="auto"/>
          <w:szCs w:val="21"/>
          <w:highlight w:val="none"/>
          <w:lang w:eastAsia="zh-CN"/>
        </w:rPr>
        <w:t>协商报价表</w:t>
      </w:r>
      <w:r>
        <w:rPr>
          <w:rFonts w:hint="eastAsia" w:ascii="宋体" w:hAnsi="宋体" w:eastAsia="宋体" w:cs="宋体"/>
          <w:color w:val="auto"/>
          <w:szCs w:val="21"/>
          <w:highlight w:val="none"/>
        </w:rPr>
        <w:t>”的；</w:t>
      </w:r>
    </w:p>
    <w:p w14:paraId="54DA56D5">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标明的币种报价的；</w:t>
      </w:r>
    </w:p>
    <w:p w14:paraId="1F2FA3D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分标进行报价或者存在漏项报价的；供应商未就所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分标的单项内容作唯一报价的；供应商未就所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分标的全部内容作完整唯一总价报价的；供应商响应文件中存在有选择、有条件报价的（</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允许有备选方案或者其他约定的除外）；</w:t>
      </w:r>
    </w:p>
    <w:p w14:paraId="2D97A672">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4）报价超过所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 xml:space="preserve">分标规定的采购预算金额或者最高限价的（如本项目公布了最高限价）； </w:t>
      </w:r>
    </w:p>
    <w:p w14:paraId="0D3B27C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5）修正后的报价，供应商不确认的；或者经供应商确认修正后的报价超过所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分标规定的采购预算金额或者最高限价（如本项目公布了最高限价）；</w:t>
      </w:r>
    </w:p>
    <w:p w14:paraId="2059828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采购文件要求实质性不一致的。</w:t>
      </w:r>
    </w:p>
    <w:p w14:paraId="40783F3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对响应文件进行评审，未实质性响应</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的响应文件按无效响应处理。</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应当将资格和符合性不通过的情况告知供应商。</w:t>
      </w:r>
    </w:p>
    <w:p w14:paraId="24C217D9">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程序</w:t>
      </w:r>
    </w:p>
    <w:p w14:paraId="7D2DE23D">
      <w:pPr>
        <w:pStyle w:val="12"/>
        <w:spacing w:line="400" w:lineRule="exact"/>
        <w:ind w:firstLine="420" w:firstLineChars="200"/>
        <w:rPr>
          <w:color w:val="auto"/>
          <w:highlight w:val="none"/>
        </w:rPr>
      </w:pPr>
      <w:r>
        <w:rPr>
          <w:rFonts w:hint="eastAsia"/>
          <w:color w:val="auto"/>
          <w:highlight w:val="none"/>
          <w:lang w:val="en-US" w:eastAsia="zh-CN"/>
        </w:rPr>
        <w:t>4.1</w:t>
      </w:r>
      <w:r>
        <w:rPr>
          <w:color w:val="auto"/>
          <w:highlight w:val="none"/>
        </w:rPr>
        <w:t xml:space="preserve">在协商开始前，协商小组定好下列事项：协商的具体程序，如协商轮次及每个轮次的协商重点；拟协商的内容，包括技术规格、价格、服务等，明确协商小组应当考虑的具体因素及相关要求等。 </w:t>
      </w:r>
      <w:r>
        <w:rPr>
          <w:color w:val="auto"/>
          <w:highlight w:val="none"/>
        </w:rPr>
        <w:br w:type="textWrapping"/>
      </w:r>
      <w:r>
        <w:rPr>
          <w:color w:val="auto"/>
          <w:highlight w:val="none"/>
        </w:rPr>
        <w:t xml:space="preserve">    </w:t>
      </w:r>
      <w:r>
        <w:rPr>
          <w:rFonts w:hint="eastAsia"/>
          <w:color w:val="auto"/>
          <w:highlight w:val="none"/>
          <w:lang w:val="en-US" w:eastAsia="zh-CN"/>
        </w:rPr>
        <w:t>4.2</w:t>
      </w:r>
      <w:r>
        <w:rPr>
          <w:color w:val="auto"/>
          <w:highlight w:val="none"/>
        </w:rPr>
        <w:t>协商原则如下：</w:t>
      </w:r>
    </w:p>
    <w:p w14:paraId="6DF74ECA">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供应商可由1～3人参加协商，协商中供应商成员之间意见不一致时，以供应商的法定代表人（或其委托代理人）的意见为准。供应商的法定代表人或其授权的受托人必须在设备前等候参加协商。</w:t>
      </w:r>
    </w:p>
    <w:p w14:paraId="2E32DDBC">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协商小组成员作为一个集体与供应商进行协商，协商的内容包括技术性条件、商务性条件以及协商小组认为需要协商的内容。当单一来源采购文件有实质性变动的，协商小组通知参加协商的供应商。</w:t>
      </w:r>
    </w:p>
    <w:p w14:paraId="62AEC6F7">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协商内容应作记录，并由供应商及协商小组成员签字确认。</w:t>
      </w:r>
    </w:p>
    <w:p w14:paraId="1C7EC530">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color w:val="auto"/>
          <w:highlight w:val="none"/>
        </w:rPr>
        <w:t>协商结束后，协商小组应要求供应商在规定的时间、地点递交协商时要求其就商务和技术条件作出的包含补充、修改、承诺、重新报价等内容的应答文件，应答文件必须由供应商的法定代表人或委托代理人签名或盖公章，应答文件构成响应文件的一部分。</w:t>
      </w:r>
    </w:p>
    <w:p w14:paraId="71E325E5">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color w:val="auto"/>
          <w:highlight w:val="none"/>
        </w:rPr>
        <w:t>协商小组对供应商递交的应答文件开启，并进行评审后，认为有必要再次进行协商的，可再次与供应商进行协商。对最后一轮协商，协商小组应明确告知供应商，并要求供应商在规定的时间、地点递交最终的应答文件。</w:t>
      </w:r>
    </w:p>
    <w:p w14:paraId="24C97376">
      <w:pPr>
        <w:pStyle w:val="12"/>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最终</w:t>
      </w:r>
      <w:r>
        <w:rPr>
          <w:rFonts w:hint="eastAsia"/>
          <w:color w:val="auto"/>
          <w:highlight w:val="none"/>
          <w:lang w:eastAsia="zh-CN"/>
        </w:rPr>
        <w:t>协商</w:t>
      </w:r>
      <w:r>
        <w:rPr>
          <w:rFonts w:hint="eastAsia"/>
          <w:color w:val="auto"/>
          <w:highlight w:val="none"/>
        </w:rPr>
        <w:t>结束后，协商小组不得再与供应商进行任何形式的商谈。</w:t>
      </w:r>
    </w:p>
    <w:p w14:paraId="73BD9893">
      <w:pPr>
        <w:pStyle w:val="12"/>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协商小组应当编写协商情况记录，协商情况记录应当由协商小组全体签字认可。对记录有异议的</w:t>
      </w:r>
    </w:p>
    <w:p w14:paraId="33F937E3">
      <w:pPr>
        <w:pStyle w:val="12"/>
        <w:spacing w:line="400" w:lineRule="exact"/>
        <w:rPr>
          <w:rFonts w:hint="eastAsia"/>
          <w:color w:val="auto"/>
          <w:highlight w:val="none"/>
        </w:rPr>
      </w:pPr>
      <w:r>
        <w:rPr>
          <w:rFonts w:hint="eastAsia"/>
          <w:color w:val="auto"/>
          <w:highlight w:val="none"/>
        </w:rPr>
        <w:t>协商小组</w:t>
      </w:r>
      <w:r>
        <w:rPr>
          <w:rFonts w:hint="eastAsia"/>
          <w:color w:val="auto"/>
          <w:highlight w:val="none"/>
          <w:lang w:eastAsia="zh-CN"/>
        </w:rPr>
        <w:t>成员</w:t>
      </w:r>
      <w:r>
        <w:rPr>
          <w:rFonts w:hint="eastAsia"/>
          <w:color w:val="auto"/>
          <w:highlight w:val="none"/>
        </w:rPr>
        <w:t>，应当签署不同意见并说明理由。协商小组</w:t>
      </w:r>
      <w:r>
        <w:rPr>
          <w:rFonts w:hint="eastAsia"/>
          <w:color w:val="auto"/>
          <w:highlight w:val="none"/>
          <w:lang w:eastAsia="zh-CN"/>
        </w:rPr>
        <w:t>成员</w:t>
      </w:r>
      <w:r>
        <w:rPr>
          <w:rFonts w:hint="eastAsia"/>
          <w:color w:val="auto"/>
          <w:highlight w:val="none"/>
        </w:rPr>
        <w:t>拒绝在记录上签字又不书面说明其不同意见和理由的，视为同意。</w:t>
      </w:r>
    </w:p>
    <w:p w14:paraId="77BDE30A">
      <w:pPr>
        <w:pStyle w:val="12"/>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）协商</w:t>
      </w:r>
      <w:r>
        <w:rPr>
          <w:rFonts w:hint="eastAsia"/>
          <w:color w:val="auto"/>
          <w:highlight w:val="none"/>
        </w:rPr>
        <w:t>的任何一方不得透露与商定有关的信息。</w:t>
      </w:r>
    </w:p>
    <w:p w14:paraId="2131AD3C">
      <w:pPr>
        <w:pStyle w:val="12"/>
        <w:spacing w:line="40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供应商未在协商小组规定时间内作出澄清或说明的，作主动弃权处理，一切后果由供应商承担</w:t>
      </w:r>
      <w:r>
        <w:rPr>
          <w:rFonts w:hint="eastAsia"/>
          <w:color w:val="auto"/>
          <w:highlight w:val="none"/>
          <w:lang w:eastAsia="zh-CN"/>
        </w:rPr>
        <w:t>。</w:t>
      </w:r>
    </w:p>
    <w:p w14:paraId="5B88509A">
      <w:pPr>
        <w:spacing w:line="360" w:lineRule="auto"/>
        <w:ind w:firstLine="472" w:firstLineChars="196"/>
        <w:rPr>
          <w:rFonts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政府采购政策性扣除</w:t>
      </w:r>
    </w:p>
    <w:p w14:paraId="26FA0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.1</w:t>
      </w:r>
      <w:r>
        <w:rPr>
          <w:rFonts w:hint="eastAsia" w:ascii="宋体" w:hAnsi="宋体" w:cs="宋体"/>
          <w:color w:val="auto"/>
          <w:szCs w:val="21"/>
          <w:highlight w:val="none"/>
        </w:rPr>
        <w:t>评标价为供应商的报价进行政策性扣除后的价格，评标价只是作为评审时使用。最终成交供应商的成交金额等于</w:t>
      </w:r>
      <w:r>
        <w:rPr>
          <w:rFonts w:hint="eastAsia" w:ascii="宋体" w:hAnsi="宋体" w:cs="宋体"/>
          <w:color w:val="auto"/>
          <w:szCs w:val="21"/>
          <w:highlight w:val="none"/>
          <w:lang w:eastAsia="zh-CN"/>
        </w:rPr>
        <w:t>其</w:t>
      </w:r>
      <w:r>
        <w:rPr>
          <w:rFonts w:hint="eastAsia" w:ascii="宋体" w:hAnsi="宋体" w:cs="宋体"/>
          <w:color w:val="auto"/>
          <w:szCs w:val="21"/>
          <w:highlight w:val="none"/>
        </w:rPr>
        <w:t>报价（如有修正，以确认修正后的最后报价为准）。</w:t>
      </w:r>
    </w:p>
    <w:p w14:paraId="57505F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.2</w:t>
      </w:r>
      <w:r>
        <w:rPr>
          <w:rFonts w:hint="eastAsia" w:ascii="宋体" w:hAnsi="宋体" w:cs="宋体"/>
          <w:color w:val="auto"/>
          <w:szCs w:val="21"/>
          <w:highlight w:val="none"/>
        </w:rPr>
        <w:t>政策性扣除计算方法。</w:t>
      </w:r>
    </w:p>
    <w:p w14:paraId="33419D17">
      <w:pPr>
        <w:spacing w:line="360" w:lineRule="auto"/>
        <w:ind w:firstLine="420" w:firstLineChars="200"/>
        <w:rPr>
          <w:rFonts w:hint="eastAsia" w:ascii="宋体" w:hAnsi="宋体" w:cs="宋体"/>
          <w:color w:val="auto"/>
          <w:szCs w:val="21"/>
          <w:highlight w:val="none"/>
        </w:rPr>
      </w:pPr>
      <w:r>
        <w:rPr>
          <w:rFonts w:hint="eastAsia" w:hAnsi="宋体" w:cs="宋体"/>
          <w:color w:val="auto"/>
          <w:sz w:val="21"/>
          <w:highlight w:val="none"/>
          <w:lang w:val="en-US" w:eastAsia="zh-CN"/>
        </w:rPr>
        <w:t>本项目属于专门面向中小企业采购的项目，供应商不重复享受政策价格扣除</w:t>
      </w:r>
      <w:r>
        <w:rPr>
          <w:rFonts w:hint="eastAsia" w:ascii="宋体" w:hAnsi="宋体" w:cs="宋体"/>
          <w:color w:val="auto"/>
          <w:szCs w:val="21"/>
          <w:highlight w:val="none"/>
        </w:rPr>
        <w:t>。即评标价=</w:t>
      </w:r>
      <w:r>
        <w:rPr>
          <w:rFonts w:hint="eastAsia" w:ascii="宋体" w:hAnsi="宋体" w:cs="宋体"/>
          <w:color w:val="auto"/>
          <w:szCs w:val="21"/>
          <w:highlight w:val="none"/>
          <w:lang w:eastAsia="zh-CN"/>
        </w:rPr>
        <w:t>协商</w:t>
      </w:r>
      <w:r>
        <w:rPr>
          <w:rFonts w:hint="eastAsia" w:ascii="宋体" w:hAnsi="宋体" w:cs="宋体"/>
          <w:color w:val="auto"/>
          <w:szCs w:val="21"/>
          <w:highlight w:val="none"/>
        </w:rPr>
        <w:t>报价。</w:t>
      </w:r>
    </w:p>
    <w:p w14:paraId="6A6600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EBAB8BA">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1164CC5">
      <w:pPr>
        <w:ind w:firstLine="420" w:firstLineChars="200"/>
        <w:rPr>
          <w:rFonts w:hint="eastAsia"/>
          <w:color w:val="auto"/>
          <w:highlight w:val="none"/>
          <w:lang w:eastAsia="zh-CN"/>
        </w:rPr>
      </w:pPr>
      <w:r>
        <w:rPr>
          <w:rFonts w:hint="eastAsia" w:ascii="宋体" w:hAnsi="宋体" w:cs="宋体"/>
          <w:color w:val="auto"/>
          <w:highlight w:val="none"/>
          <w:lang w:val="en-US" w:eastAsia="zh-CN"/>
        </w:rPr>
        <w:t>5</w:t>
      </w:r>
      <w:r>
        <w:rPr>
          <w:rFonts w:ascii="宋体" w:hAnsi="宋体" w:cs="宋体"/>
          <w:color w:val="auto"/>
          <w:highlight w:val="none"/>
        </w:rPr>
        <w:t>.5</w:t>
      </w:r>
      <w:r>
        <w:rPr>
          <w:rFonts w:hint="eastAsia" w:ascii="宋体" w:hAnsi="宋体" w:cs="宋体"/>
          <w:color w:val="auto"/>
          <w:highlight w:val="none"/>
        </w:rPr>
        <w:t>除上述情况外，评标价＝</w:t>
      </w:r>
      <w:r>
        <w:rPr>
          <w:rFonts w:hint="eastAsia" w:ascii="宋体" w:hAnsi="宋体" w:cs="宋体"/>
          <w:color w:val="auto"/>
          <w:highlight w:val="none"/>
          <w:lang w:eastAsia="zh-CN"/>
        </w:rPr>
        <w:t>协商</w:t>
      </w:r>
      <w:r>
        <w:rPr>
          <w:rFonts w:hint="eastAsia" w:ascii="宋体" w:hAnsi="宋体" w:cs="宋体"/>
          <w:color w:val="auto"/>
          <w:highlight w:val="none"/>
        </w:rPr>
        <w:t>报价。</w:t>
      </w:r>
    </w:p>
    <w:p w14:paraId="58C5EE4A">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sz w:val="32"/>
          <w:szCs w:val="32"/>
          <w:highlight w:val="none"/>
        </w:rPr>
      </w:pPr>
    </w:p>
    <w:p w14:paraId="0EA69CD5">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二、评定成交的标准</w:t>
      </w:r>
    </w:p>
    <w:p w14:paraId="44FB10E3">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 成交候选人推荐原则</w:t>
      </w:r>
    </w:p>
    <w:p w14:paraId="199802C9">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评审小组以单一来源采购文件为依据，对单一来源</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进行评审，并在遵循《中华人民共和国政府采购法》所规定原则的前提下，在保证采购项目质量且</w:t>
      </w:r>
      <w:r>
        <w:rPr>
          <w:rFonts w:hint="eastAsia" w:ascii="宋体" w:hAnsi="宋体" w:cs="宋体"/>
          <w:color w:val="auto"/>
          <w:kern w:val="0"/>
          <w:szCs w:val="21"/>
          <w:highlight w:val="none"/>
          <w:lang w:eastAsia="zh-CN"/>
        </w:rPr>
        <w:t>协商</w:t>
      </w:r>
      <w:r>
        <w:rPr>
          <w:rFonts w:hint="eastAsia" w:ascii="宋体" w:hAnsi="宋体" w:eastAsia="宋体" w:cs="宋体"/>
          <w:color w:val="auto"/>
          <w:kern w:val="0"/>
          <w:szCs w:val="21"/>
          <w:highlight w:val="none"/>
        </w:rPr>
        <w:t>报价合理的基础上确定成交候选人</w:t>
      </w:r>
      <w:r>
        <w:rPr>
          <w:rFonts w:hint="eastAsia" w:ascii="宋体" w:hAnsi="宋体" w:eastAsia="宋体" w:cs="宋体"/>
          <w:color w:val="auto"/>
          <w:highlight w:val="none"/>
        </w:rPr>
        <w:t>,并编写评审报告。</w:t>
      </w:r>
    </w:p>
    <w:p w14:paraId="7C7BC3F0">
      <w:pPr>
        <w:pStyle w:val="12"/>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sz w:val="36"/>
          <w:szCs w:val="36"/>
          <w:highlight w:val="none"/>
          <w:lang w:eastAsia="zh-CN"/>
        </w:rPr>
      </w:pPr>
    </w:p>
    <w:p w14:paraId="64E58333">
      <w:pPr>
        <w:pStyle w:val="12"/>
        <w:spacing w:line="500" w:lineRule="exact"/>
        <w:jc w:val="center"/>
        <w:rPr>
          <w:rFonts w:hint="eastAsia" w:ascii="宋体" w:hAnsi="宋体" w:eastAsia="宋体" w:cs="宋体"/>
          <w:b/>
          <w:color w:val="auto"/>
          <w:sz w:val="36"/>
          <w:szCs w:val="36"/>
          <w:highlight w:val="none"/>
          <w:lang w:eastAsia="zh-CN"/>
        </w:rPr>
      </w:pPr>
    </w:p>
    <w:p w14:paraId="5EA50CBA">
      <w:pPr>
        <w:pStyle w:val="12"/>
        <w:spacing w:line="500" w:lineRule="exact"/>
        <w:jc w:val="center"/>
        <w:rPr>
          <w:rFonts w:hint="eastAsia" w:ascii="宋体" w:hAnsi="宋体" w:eastAsia="宋体" w:cs="宋体"/>
          <w:b/>
          <w:color w:val="auto"/>
          <w:sz w:val="36"/>
          <w:szCs w:val="36"/>
          <w:highlight w:val="none"/>
          <w:lang w:eastAsia="zh-CN"/>
        </w:rPr>
      </w:pPr>
    </w:p>
    <w:p w14:paraId="1BC0D437">
      <w:pPr>
        <w:pStyle w:val="12"/>
        <w:spacing w:line="500" w:lineRule="exact"/>
        <w:jc w:val="center"/>
        <w:rPr>
          <w:rFonts w:hint="eastAsia" w:ascii="宋体" w:hAnsi="宋体" w:eastAsia="宋体" w:cs="宋体"/>
          <w:b/>
          <w:color w:val="auto"/>
          <w:sz w:val="36"/>
          <w:szCs w:val="36"/>
          <w:highlight w:val="none"/>
          <w:lang w:eastAsia="zh-CN"/>
        </w:rPr>
      </w:pPr>
    </w:p>
    <w:p w14:paraId="2DEBC4BD">
      <w:pPr>
        <w:pStyle w:val="12"/>
        <w:spacing w:line="500" w:lineRule="exact"/>
        <w:jc w:val="center"/>
        <w:rPr>
          <w:rFonts w:hint="eastAsia" w:ascii="宋体" w:hAnsi="宋体" w:eastAsia="宋体" w:cs="宋体"/>
          <w:b/>
          <w:color w:val="auto"/>
          <w:sz w:val="36"/>
          <w:szCs w:val="36"/>
          <w:highlight w:val="none"/>
          <w:lang w:eastAsia="zh-CN"/>
        </w:rPr>
      </w:pPr>
    </w:p>
    <w:p w14:paraId="41C47C8F">
      <w:pPr>
        <w:pStyle w:val="12"/>
        <w:spacing w:line="500" w:lineRule="exact"/>
        <w:jc w:val="center"/>
        <w:rPr>
          <w:rFonts w:hint="eastAsia" w:ascii="宋体" w:hAnsi="宋体" w:eastAsia="宋体" w:cs="宋体"/>
          <w:b/>
          <w:color w:val="auto"/>
          <w:sz w:val="36"/>
          <w:szCs w:val="36"/>
          <w:highlight w:val="none"/>
          <w:lang w:eastAsia="zh-CN"/>
        </w:rPr>
      </w:pPr>
    </w:p>
    <w:p w14:paraId="7A5F99F5">
      <w:pPr>
        <w:rPr>
          <w:rFonts w:hint="eastAsia" w:ascii="宋体" w:hAnsi="宋体" w:eastAsia="宋体" w:cs="宋体"/>
          <w:b/>
          <w:color w:val="auto"/>
          <w:sz w:val="36"/>
          <w:szCs w:val="36"/>
          <w:highlight w:val="none"/>
        </w:rPr>
      </w:pPr>
      <w:bookmarkStart w:id="26" w:name="_Toc74322012"/>
      <w:bookmarkStart w:id="27" w:name="_Toc26950"/>
      <w:r>
        <w:rPr>
          <w:rFonts w:hint="eastAsia" w:ascii="宋体" w:hAnsi="宋体" w:eastAsia="宋体" w:cs="宋体"/>
          <w:b/>
          <w:color w:val="auto"/>
          <w:sz w:val="36"/>
          <w:szCs w:val="36"/>
          <w:highlight w:val="none"/>
        </w:rPr>
        <w:br w:type="page"/>
      </w:r>
    </w:p>
    <w:p w14:paraId="1980F39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w:t>
      </w:r>
      <w:r>
        <w:rPr>
          <w:rFonts w:hint="eastAsia"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响应文件格式</w:t>
      </w:r>
      <w:bookmarkEnd w:id="26"/>
      <w:bookmarkEnd w:id="27"/>
    </w:p>
    <w:p w14:paraId="4EDE99C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b/>
          <w:color w:val="auto"/>
          <w:sz w:val="32"/>
          <w:szCs w:val="32"/>
          <w:highlight w:val="none"/>
        </w:rPr>
      </w:pPr>
      <w:bookmarkStart w:id="28" w:name="_Toc71365382"/>
      <w:bookmarkStart w:id="29" w:name="_Toc71366060"/>
      <w:r>
        <w:rPr>
          <w:rFonts w:hint="eastAsia" w:ascii="宋体" w:hAnsi="宋体" w:eastAsia="宋体" w:cs="宋体"/>
          <w:b/>
          <w:color w:val="auto"/>
          <w:sz w:val="32"/>
          <w:szCs w:val="32"/>
          <w:highlight w:val="none"/>
        </w:rPr>
        <w:t>一、资格证明文件格式</w:t>
      </w:r>
      <w:bookmarkEnd w:id="28"/>
      <w:bookmarkEnd w:id="29"/>
    </w:p>
    <w:p w14:paraId="0EB78CA5">
      <w:pPr>
        <w:keepNext w:val="0"/>
        <w:keepLines w:val="0"/>
        <w:pageBreakBefore w:val="0"/>
        <w:widowControl w:val="0"/>
        <w:kinsoku/>
        <w:wordWrap/>
        <w:overflowPunct/>
        <w:topLinePunct w:val="0"/>
        <w:autoSpaceDE/>
        <w:autoSpaceDN/>
        <w:bidi w:val="0"/>
        <w:adjustRightInd/>
        <w:snapToGrid w:val="0"/>
        <w:spacing w:before="120" w:beforeLines="50" w:after="50" w:line="480" w:lineRule="exact"/>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r>
        <w:rPr>
          <w:rFonts w:hint="eastAsia" w:ascii="宋体" w:hAnsi="宋体" w:eastAsia="宋体" w:cs="宋体"/>
          <w:b/>
          <w:color w:val="auto"/>
          <w:sz w:val="24"/>
          <w:highlight w:val="none"/>
        </w:rPr>
        <w:t xml:space="preserve"> </w:t>
      </w:r>
    </w:p>
    <w:p w14:paraId="194EEE96">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4A58A595">
      <w:pPr>
        <w:snapToGrid w:val="0"/>
        <w:spacing w:before="120" w:beforeLines="50" w:after="50"/>
        <w:jc w:val="center"/>
        <w:rPr>
          <w:rFonts w:hint="eastAsia" w:ascii="宋体" w:hAnsi="宋体" w:eastAsia="宋体" w:cs="宋体"/>
          <w:bCs/>
          <w:color w:val="auto"/>
          <w:sz w:val="44"/>
          <w:szCs w:val="44"/>
          <w:highlight w:val="none"/>
        </w:rPr>
      </w:pPr>
    </w:p>
    <w:p w14:paraId="0CF5A311">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1A16B9B4">
      <w:pPr>
        <w:snapToGrid w:val="0"/>
        <w:spacing w:before="120" w:beforeLines="50" w:after="50"/>
        <w:rPr>
          <w:rFonts w:hint="eastAsia" w:ascii="宋体" w:hAnsi="宋体" w:eastAsia="宋体" w:cs="宋体"/>
          <w:color w:val="auto"/>
          <w:sz w:val="24"/>
          <w:szCs w:val="20"/>
          <w:highlight w:val="none"/>
        </w:rPr>
      </w:pPr>
    </w:p>
    <w:p w14:paraId="022A3176">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14:paraId="790A7480">
      <w:pPr>
        <w:snapToGrid w:val="0"/>
        <w:spacing w:before="120" w:beforeLines="50" w:after="50"/>
        <w:rPr>
          <w:rFonts w:hint="eastAsia" w:ascii="宋体" w:hAnsi="宋体" w:eastAsia="宋体" w:cs="宋体"/>
          <w:bCs/>
          <w:color w:val="auto"/>
          <w:sz w:val="24"/>
          <w:szCs w:val="20"/>
          <w:highlight w:val="none"/>
        </w:rPr>
      </w:pPr>
    </w:p>
    <w:p w14:paraId="0689D0D2">
      <w:pPr>
        <w:snapToGrid w:val="0"/>
        <w:spacing w:before="120" w:beforeLines="50" w:after="50"/>
        <w:rPr>
          <w:rFonts w:hint="eastAsia" w:ascii="宋体" w:hAnsi="宋体" w:eastAsia="宋体" w:cs="宋体"/>
          <w:bCs/>
          <w:color w:val="auto"/>
          <w:sz w:val="24"/>
          <w:szCs w:val="20"/>
          <w:highlight w:val="none"/>
        </w:rPr>
      </w:pPr>
    </w:p>
    <w:p w14:paraId="35A32E5B">
      <w:pPr>
        <w:snapToGrid w:val="0"/>
        <w:spacing w:before="120" w:beforeLines="50" w:after="50"/>
        <w:rPr>
          <w:rFonts w:hint="eastAsia" w:ascii="宋体" w:hAnsi="宋体" w:eastAsia="宋体" w:cs="宋体"/>
          <w:bCs/>
          <w:color w:val="auto"/>
          <w:sz w:val="24"/>
          <w:szCs w:val="20"/>
          <w:highlight w:val="none"/>
        </w:rPr>
      </w:pPr>
    </w:p>
    <w:p w14:paraId="156ACA6F">
      <w:pPr>
        <w:snapToGrid w:val="0"/>
        <w:spacing w:before="120" w:beforeLines="50" w:after="50"/>
        <w:rPr>
          <w:rFonts w:hint="eastAsia" w:ascii="宋体" w:hAnsi="宋体" w:eastAsia="宋体" w:cs="宋体"/>
          <w:bCs/>
          <w:color w:val="auto"/>
          <w:sz w:val="24"/>
          <w:szCs w:val="20"/>
          <w:highlight w:val="none"/>
        </w:rPr>
      </w:pPr>
    </w:p>
    <w:p w14:paraId="25FBB299">
      <w:pPr>
        <w:snapToGrid w:val="0"/>
        <w:spacing w:before="120" w:beforeLines="50" w:after="50"/>
        <w:rPr>
          <w:rFonts w:hint="eastAsia" w:ascii="宋体" w:hAnsi="宋体" w:eastAsia="宋体" w:cs="宋体"/>
          <w:bCs/>
          <w:color w:val="auto"/>
          <w:sz w:val="24"/>
          <w:szCs w:val="20"/>
          <w:highlight w:val="none"/>
        </w:rPr>
      </w:pPr>
    </w:p>
    <w:p w14:paraId="419875D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5E6346">
      <w:pPr>
        <w:snapToGrid w:val="0"/>
        <w:spacing w:before="120" w:beforeLines="50" w:after="50"/>
        <w:ind w:firstLine="720" w:firstLineChars="225"/>
        <w:rPr>
          <w:rFonts w:hint="eastAsia" w:ascii="宋体" w:hAnsi="宋体" w:eastAsia="宋体" w:cs="宋体"/>
          <w:bCs/>
          <w:color w:val="auto"/>
          <w:sz w:val="32"/>
          <w:szCs w:val="32"/>
          <w:highlight w:val="none"/>
        </w:rPr>
      </w:pPr>
    </w:p>
    <w:p w14:paraId="4C2D069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DE9A0C0">
      <w:pPr>
        <w:snapToGrid w:val="0"/>
        <w:spacing w:before="120" w:beforeLines="50" w:after="50"/>
        <w:ind w:firstLine="640" w:firstLineChars="200"/>
        <w:rPr>
          <w:rFonts w:hint="eastAsia" w:ascii="宋体" w:hAnsi="宋体" w:eastAsia="宋体" w:cs="宋体"/>
          <w:bCs/>
          <w:color w:val="auto"/>
          <w:sz w:val="32"/>
          <w:szCs w:val="32"/>
          <w:highlight w:val="none"/>
        </w:rPr>
      </w:pPr>
    </w:p>
    <w:p w14:paraId="6519899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4C4565D">
      <w:pPr>
        <w:snapToGrid w:val="0"/>
        <w:spacing w:before="120" w:beforeLines="50" w:after="50"/>
        <w:ind w:firstLine="640" w:firstLineChars="200"/>
        <w:rPr>
          <w:rFonts w:hint="eastAsia" w:ascii="宋体" w:hAnsi="宋体" w:eastAsia="宋体" w:cs="宋体"/>
          <w:bCs/>
          <w:color w:val="auto"/>
          <w:sz w:val="32"/>
          <w:szCs w:val="32"/>
          <w:highlight w:val="none"/>
        </w:rPr>
      </w:pPr>
    </w:p>
    <w:p w14:paraId="79555726">
      <w:pPr>
        <w:pStyle w:val="5"/>
        <w:snapToGrid w:val="0"/>
        <w:spacing w:before="50" w:after="50"/>
        <w:ind w:firstLine="720" w:firstLineChars="225"/>
        <w:rPr>
          <w:rFonts w:hint="eastAsia" w:ascii="宋体" w:hAnsi="宋体" w:eastAsia="宋体" w:cs="宋体"/>
          <w:bCs/>
          <w:color w:val="auto"/>
          <w:sz w:val="32"/>
          <w:szCs w:val="32"/>
          <w:highlight w:val="none"/>
        </w:rPr>
      </w:pPr>
    </w:p>
    <w:p w14:paraId="431D0F03">
      <w:pPr>
        <w:pStyle w:val="5"/>
        <w:snapToGrid w:val="0"/>
        <w:spacing w:before="50" w:after="50"/>
        <w:ind w:firstLine="1280" w:firstLineChars="400"/>
        <w:rPr>
          <w:rFonts w:hint="eastAsia" w:ascii="宋体" w:hAnsi="宋体" w:eastAsia="宋体" w:cs="宋体"/>
          <w:bCs/>
          <w:color w:val="auto"/>
          <w:sz w:val="32"/>
          <w:szCs w:val="32"/>
          <w:highlight w:val="none"/>
        </w:rPr>
      </w:pPr>
    </w:p>
    <w:p w14:paraId="32D9CBB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B18B42">
      <w:pPr>
        <w:snapToGrid w:val="0"/>
        <w:spacing w:before="120"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42BA6AC6">
      <w:pPr>
        <w:snapToGrid w:val="0"/>
        <w:spacing w:before="120"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w:t>
      </w:r>
      <w:r>
        <w:rPr>
          <w:rFonts w:hint="eastAsia" w:ascii="宋体" w:hAnsi="宋体" w:eastAsia="宋体" w:cs="宋体"/>
          <w:color w:val="auto"/>
          <w:sz w:val="32"/>
          <w:szCs w:val="32"/>
          <w:highlight w:val="none"/>
          <w:lang w:eastAsia="zh-CN"/>
        </w:rPr>
        <w:t>单一来源采购文件</w:t>
      </w:r>
      <w:r>
        <w:rPr>
          <w:rFonts w:hint="eastAsia" w:ascii="宋体" w:hAnsi="宋体" w:eastAsia="宋体" w:cs="宋体"/>
          <w:color w:val="auto"/>
          <w:sz w:val="32"/>
          <w:szCs w:val="32"/>
          <w:highlight w:val="none"/>
        </w:rPr>
        <w:t>规定及供应商提供的材料自行编写目录（部分格式后附）。</w:t>
      </w:r>
    </w:p>
    <w:p w14:paraId="678F10A4">
      <w:pPr>
        <w:snapToGrid w:val="0"/>
        <w:spacing w:before="120" w:beforeLines="50" w:after="50"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6ACC1745">
      <w:pPr>
        <w:spacing w:line="360" w:lineRule="auto"/>
        <w:rPr>
          <w:rFonts w:hint="eastAsia" w:ascii="宋体" w:hAnsi="宋体" w:eastAsia="宋体" w:cs="宋体"/>
          <w:color w:val="auto"/>
          <w:szCs w:val="21"/>
          <w:highlight w:val="none"/>
        </w:rPr>
      </w:pPr>
    </w:p>
    <w:p w14:paraId="73979E0D">
      <w:pPr>
        <w:spacing w:line="360" w:lineRule="auto"/>
        <w:rPr>
          <w:rFonts w:hint="eastAsia" w:ascii="宋体" w:hAnsi="宋体" w:eastAsia="宋体" w:cs="宋体"/>
          <w:color w:val="auto"/>
          <w:szCs w:val="21"/>
          <w:highlight w:val="none"/>
        </w:rPr>
      </w:pPr>
    </w:p>
    <w:p w14:paraId="4608671E">
      <w:pPr>
        <w:spacing w:line="360" w:lineRule="auto"/>
        <w:rPr>
          <w:rFonts w:hint="eastAsia" w:ascii="宋体" w:hAnsi="宋体" w:eastAsia="宋体" w:cs="宋体"/>
          <w:color w:val="auto"/>
          <w:szCs w:val="21"/>
          <w:highlight w:val="none"/>
        </w:rPr>
      </w:pPr>
    </w:p>
    <w:p w14:paraId="243106AF">
      <w:pPr>
        <w:spacing w:line="360" w:lineRule="auto"/>
        <w:rPr>
          <w:rFonts w:hint="eastAsia" w:ascii="宋体" w:hAnsi="宋体" w:eastAsia="宋体" w:cs="宋体"/>
          <w:color w:val="auto"/>
          <w:szCs w:val="21"/>
          <w:highlight w:val="none"/>
        </w:rPr>
      </w:pPr>
    </w:p>
    <w:p w14:paraId="19DC92D8">
      <w:pPr>
        <w:spacing w:line="300" w:lineRule="auto"/>
        <w:rPr>
          <w:rFonts w:hint="eastAsia" w:ascii="宋体" w:hAnsi="宋体" w:eastAsia="宋体" w:cs="宋体"/>
          <w:color w:val="auto"/>
          <w:szCs w:val="21"/>
          <w:highlight w:val="none"/>
        </w:rPr>
      </w:pPr>
    </w:p>
    <w:p w14:paraId="6EF4317A">
      <w:pPr>
        <w:spacing w:line="300" w:lineRule="auto"/>
        <w:rPr>
          <w:rFonts w:hint="eastAsia" w:ascii="宋体" w:hAnsi="宋体" w:eastAsia="宋体" w:cs="宋体"/>
          <w:color w:val="auto"/>
          <w:szCs w:val="21"/>
          <w:highlight w:val="none"/>
        </w:rPr>
      </w:pPr>
    </w:p>
    <w:p w14:paraId="48DFC654">
      <w:pPr>
        <w:spacing w:line="300" w:lineRule="auto"/>
        <w:rPr>
          <w:rFonts w:hint="eastAsia" w:ascii="宋体" w:hAnsi="宋体" w:eastAsia="宋体" w:cs="宋体"/>
          <w:color w:val="auto"/>
          <w:szCs w:val="21"/>
          <w:highlight w:val="none"/>
        </w:rPr>
      </w:pPr>
    </w:p>
    <w:p w14:paraId="0CC2D02B">
      <w:pPr>
        <w:spacing w:line="300" w:lineRule="auto"/>
        <w:rPr>
          <w:rFonts w:hint="eastAsia" w:ascii="宋体" w:hAnsi="宋体" w:eastAsia="宋体" w:cs="宋体"/>
          <w:color w:val="auto"/>
          <w:szCs w:val="21"/>
          <w:highlight w:val="none"/>
        </w:rPr>
      </w:pPr>
    </w:p>
    <w:p w14:paraId="6535EE0D">
      <w:pPr>
        <w:spacing w:line="300" w:lineRule="auto"/>
        <w:rPr>
          <w:rFonts w:hint="eastAsia" w:ascii="宋体" w:hAnsi="宋体" w:eastAsia="宋体" w:cs="宋体"/>
          <w:color w:val="auto"/>
          <w:szCs w:val="21"/>
          <w:highlight w:val="none"/>
        </w:rPr>
      </w:pPr>
    </w:p>
    <w:p w14:paraId="31F858EB">
      <w:pPr>
        <w:spacing w:line="300" w:lineRule="auto"/>
        <w:rPr>
          <w:rFonts w:hint="eastAsia" w:ascii="宋体" w:hAnsi="宋体" w:eastAsia="宋体" w:cs="宋体"/>
          <w:color w:val="auto"/>
          <w:szCs w:val="21"/>
          <w:highlight w:val="none"/>
        </w:rPr>
      </w:pPr>
    </w:p>
    <w:p w14:paraId="217E5DD5">
      <w:pPr>
        <w:spacing w:line="300" w:lineRule="auto"/>
        <w:rPr>
          <w:rFonts w:hint="eastAsia" w:ascii="宋体" w:hAnsi="宋体" w:eastAsia="宋体" w:cs="宋体"/>
          <w:color w:val="auto"/>
          <w:szCs w:val="21"/>
          <w:highlight w:val="none"/>
        </w:rPr>
      </w:pPr>
    </w:p>
    <w:p w14:paraId="16C0E500">
      <w:pPr>
        <w:spacing w:line="300" w:lineRule="auto"/>
        <w:rPr>
          <w:rFonts w:hint="eastAsia" w:ascii="宋体" w:hAnsi="宋体" w:eastAsia="宋体" w:cs="宋体"/>
          <w:color w:val="auto"/>
          <w:szCs w:val="21"/>
          <w:highlight w:val="none"/>
        </w:rPr>
      </w:pPr>
    </w:p>
    <w:p w14:paraId="06CAECD1">
      <w:pPr>
        <w:spacing w:line="300" w:lineRule="auto"/>
        <w:rPr>
          <w:rFonts w:hint="eastAsia" w:ascii="宋体" w:hAnsi="宋体" w:eastAsia="宋体" w:cs="宋体"/>
          <w:color w:val="auto"/>
          <w:szCs w:val="21"/>
          <w:highlight w:val="none"/>
        </w:rPr>
      </w:pPr>
    </w:p>
    <w:p w14:paraId="6D136FA4">
      <w:pPr>
        <w:spacing w:line="300" w:lineRule="auto"/>
        <w:rPr>
          <w:rFonts w:hint="eastAsia" w:ascii="宋体" w:hAnsi="宋体" w:eastAsia="宋体" w:cs="宋体"/>
          <w:color w:val="auto"/>
          <w:szCs w:val="21"/>
          <w:highlight w:val="none"/>
        </w:rPr>
      </w:pPr>
    </w:p>
    <w:p w14:paraId="696202BA">
      <w:pPr>
        <w:spacing w:line="300" w:lineRule="auto"/>
        <w:rPr>
          <w:rFonts w:hint="eastAsia" w:ascii="宋体" w:hAnsi="宋体" w:eastAsia="宋体" w:cs="宋体"/>
          <w:color w:val="auto"/>
          <w:szCs w:val="21"/>
          <w:highlight w:val="none"/>
        </w:rPr>
      </w:pPr>
    </w:p>
    <w:p w14:paraId="47DDEC1A">
      <w:pPr>
        <w:spacing w:line="320" w:lineRule="exact"/>
        <w:jc w:val="left"/>
        <w:rPr>
          <w:rFonts w:hint="eastAsia" w:ascii="宋体" w:hAnsi="宋体" w:eastAsia="宋体" w:cs="宋体"/>
          <w:color w:val="auto"/>
          <w:szCs w:val="21"/>
          <w:highlight w:val="none"/>
        </w:rPr>
      </w:pPr>
    </w:p>
    <w:p w14:paraId="76C325A7">
      <w:pPr>
        <w:spacing w:line="300" w:lineRule="auto"/>
        <w:jc w:val="center"/>
        <w:rPr>
          <w:rFonts w:hint="eastAsia" w:ascii="宋体" w:hAnsi="宋体" w:cs="宋体"/>
          <w:b/>
          <w:bCs/>
          <w:color w:val="auto"/>
          <w:sz w:val="44"/>
          <w:szCs w:val="44"/>
          <w:highlight w:val="none"/>
        </w:rPr>
      </w:pPr>
      <w:r>
        <w:rPr>
          <w:rFonts w:hint="eastAsia" w:ascii="宋体" w:hAnsi="宋体" w:eastAsia="宋体" w:cs="宋体"/>
          <w:b/>
          <w:color w:val="auto"/>
          <w:sz w:val="32"/>
          <w:szCs w:val="32"/>
          <w:highlight w:val="none"/>
        </w:rPr>
        <w:br w:type="page"/>
      </w:r>
      <w:r>
        <w:rPr>
          <w:rFonts w:hint="eastAsia" w:ascii="宋体" w:hAnsi="宋体" w:cs="宋体"/>
          <w:color w:val="auto"/>
          <w:sz w:val="44"/>
          <w:szCs w:val="44"/>
          <w:highlight w:val="none"/>
        </w:rPr>
        <w:t xml:space="preserve"> </w:t>
      </w:r>
      <w:r>
        <w:rPr>
          <w:rFonts w:hint="eastAsia" w:ascii="宋体" w:hAnsi="宋体" w:cs="宋体"/>
          <w:b/>
          <w:bCs/>
          <w:color w:val="auto"/>
          <w:sz w:val="44"/>
          <w:szCs w:val="44"/>
          <w:highlight w:val="none"/>
        </w:rPr>
        <w:t>贵港市政府采购项目投标资格承诺函</w:t>
      </w:r>
    </w:p>
    <w:p w14:paraId="4AF3C56E">
      <w:pPr>
        <w:spacing w:line="300" w:lineRule="auto"/>
        <w:rPr>
          <w:rFonts w:hint="eastAsia" w:ascii="宋体" w:hAnsi="宋体" w:cs="宋体"/>
          <w:color w:val="auto"/>
          <w:sz w:val="24"/>
          <w:highlight w:val="none"/>
        </w:rPr>
      </w:pPr>
    </w:p>
    <w:p w14:paraId="7CD8895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本公司郑重承诺，根据《中华人民共和国政府采购法》第二十二条的规定，本公司为参加政府采购活动的合格供应商。即本公司同时满足以下条件：</w:t>
      </w:r>
    </w:p>
    <w:p w14:paraId="52F9D02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75AE2E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D260BD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1492EB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7FB8CC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5.提交投标文件截止日期前三年内，在经营活动中没有重大违法记录。</w:t>
      </w:r>
    </w:p>
    <w:p w14:paraId="564EFA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5FDC15C5">
      <w:pPr>
        <w:spacing w:line="300" w:lineRule="auto"/>
        <w:ind w:firstLine="480" w:firstLineChars="200"/>
        <w:rPr>
          <w:rFonts w:hint="eastAsia" w:ascii="宋体" w:hAnsi="宋体" w:cs="宋体"/>
          <w:color w:val="auto"/>
          <w:sz w:val="24"/>
          <w:highlight w:val="none"/>
        </w:rPr>
      </w:pPr>
    </w:p>
    <w:p w14:paraId="7C8FC19B">
      <w:pPr>
        <w:spacing w:line="300" w:lineRule="auto"/>
        <w:rPr>
          <w:rFonts w:hint="eastAsia" w:ascii="宋体" w:hAnsi="宋体" w:cs="宋体"/>
          <w:color w:val="auto"/>
          <w:sz w:val="24"/>
          <w:highlight w:val="none"/>
        </w:rPr>
      </w:pPr>
    </w:p>
    <w:p w14:paraId="3EC7D5E1">
      <w:pPr>
        <w:spacing w:line="300" w:lineRule="auto"/>
        <w:rPr>
          <w:rFonts w:hint="eastAsia" w:ascii="宋体" w:hAnsi="宋体" w:cs="宋体"/>
          <w:color w:val="auto"/>
          <w:sz w:val="24"/>
          <w:highlight w:val="none"/>
        </w:rPr>
      </w:pPr>
    </w:p>
    <w:p w14:paraId="6D7334DB">
      <w:pPr>
        <w:spacing w:line="300" w:lineRule="auto"/>
        <w:rPr>
          <w:rFonts w:hint="eastAsia" w:ascii="宋体" w:hAnsi="宋体" w:cs="宋体"/>
          <w:color w:val="auto"/>
          <w:sz w:val="24"/>
          <w:highlight w:val="none"/>
        </w:rPr>
      </w:pPr>
    </w:p>
    <w:p w14:paraId="75EAA8B0">
      <w:pPr>
        <w:keepNext w:val="0"/>
        <w:keepLines w:val="0"/>
        <w:pageBreakBefore w:val="0"/>
        <w:widowControl w:val="0"/>
        <w:kinsoku/>
        <w:wordWrap w:val="0"/>
        <w:overflowPunct/>
        <w:topLinePunct w:val="0"/>
        <w:autoSpaceDE/>
        <w:autoSpaceDN/>
        <w:bidi w:val="0"/>
        <w:adjustRightInd/>
        <w:snapToGrid/>
        <w:spacing w:line="480" w:lineRule="auto"/>
        <w:ind w:right="960"/>
        <w:jc w:val="righ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企业名称（盖章）：               </w:t>
      </w:r>
    </w:p>
    <w:p w14:paraId="7EF3AA77">
      <w:pPr>
        <w:keepNext w:val="0"/>
        <w:keepLines w:val="0"/>
        <w:pageBreakBefore w:val="0"/>
        <w:widowControl w:val="0"/>
        <w:kinsoku/>
        <w:wordWrap w:val="0"/>
        <w:overflowPunct/>
        <w:topLinePunct w:val="0"/>
        <w:autoSpaceDE/>
        <w:autoSpaceDN/>
        <w:bidi w:val="0"/>
        <w:adjustRightInd/>
        <w:snapToGrid/>
        <w:spacing w:line="480" w:lineRule="auto"/>
        <w:ind w:right="960"/>
        <w:jc w:val="righ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法定代表人（签字或者盖章）：             </w:t>
      </w:r>
    </w:p>
    <w:p w14:paraId="1D24934E">
      <w:pPr>
        <w:keepNext w:val="0"/>
        <w:keepLines w:val="0"/>
        <w:pageBreakBefore w:val="0"/>
        <w:widowControl w:val="0"/>
        <w:kinsoku/>
        <w:overflowPunct/>
        <w:topLinePunct w:val="0"/>
        <w:autoSpaceDE/>
        <w:autoSpaceDN/>
        <w:bidi w:val="0"/>
        <w:adjustRightInd/>
        <w:snapToGrid/>
        <w:spacing w:line="480" w:lineRule="auto"/>
        <w:ind w:right="1680"/>
        <w:jc w:val="center"/>
        <w:textAlignment w:val="auto"/>
        <w:rPr>
          <w:rFonts w:ascii="宋体" w:hAnsi="宋体"/>
          <w:color w:val="auto"/>
          <w:szCs w:val="21"/>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日期：    年</w:t>
      </w:r>
      <w:r>
        <w:rPr>
          <w:rFonts w:hint="eastAsia" w:ascii="宋体" w:hAnsi="宋体" w:cs="宋体"/>
          <w:color w:val="auto"/>
          <w:sz w:val="24"/>
          <w:highlight w:val="none"/>
        </w:rPr>
        <w:tab/>
      </w:r>
      <w:r>
        <w:rPr>
          <w:rFonts w:hint="eastAsia" w:ascii="宋体" w:hAnsi="宋体" w:cs="宋体"/>
          <w:color w:val="auto"/>
          <w:sz w:val="24"/>
          <w:highlight w:val="none"/>
        </w:rPr>
        <w:t xml:space="preserve">  月</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1B13387C">
      <w:pPr>
        <w:spacing w:line="360" w:lineRule="auto"/>
        <w:ind w:right="480" w:firstLine="6160" w:firstLineChars="2200"/>
        <w:contextualSpacing/>
        <w:rPr>
          <w:rFonts w:hint="eastAsia" w:ascii="宋体" w:hAnsi="宋体" w:cs="宋体"/>
          <w:color w:val="auto"/>
          <w:sz w:val="28"/>
          <w:szCs w:val="28"/>
          <w:highlight w:val="none"/>
        </w:rPr>
      </w:pPr>
    </w:p>
    <w:p w14:paraId="2CE5C4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2BEBC1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7BEF08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356B6E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041552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7588B59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65B478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1BF97E78">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供应商直接控股、管理关系信息表</w:t>
      </w:r>
    </w:p>
    <w:p w14:paraId="57769BEA">
      <w:pPr>
        <w:snapToGrid w:val="0"/>
        <w:spacing w:beforeLines="50" w:after="50" w:line="360" w:lineRule="auto"/>
        <w:jc w:val="center"/>
        <w:rPr>
          <w:rFonts w:hint="eastAsia" w:ascii="宋体" w:hAnsi="宋体" w:cs="宋体"/>
          <w:b/>
          <w:color w:val="auto"/>
          <w:sz w:val="24"/>
          <w:highlight w:val="none"/>
        </w:rPr>
      </w:pPr>
    </w:p>
    <w:p w14:paraId="6C165249">
      <w:pPr>
        <w:spacing w:line="360" w:lineRule="auto"/>
        <w:contextualSpacing/>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0F1602E1">
      <w:pPr>
        <w:spacing w:line="360" w:lineRule="auto"/>
        <w:contextualSpacing/>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BEE1E3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96895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F0251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7DB91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D5E52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30C6E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89C7DD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36B6F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E54D2B">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4708F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3C6AD8">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1ACC1A">
            <w:pPr>
              <w:widowControl/>
              <w:spacing w:line="360" w:lineRule="auto"/>
              <w:contextualSpacing/>
              <w:jc w:val="center"/>
              <w:rPr>
                <w:rFonts w:hint="eastAsia" w:ascii="宋体" w:hAnsi="宋体" w:cs="宋体"/>
                <w:color w:val="auto"/>
                <w:kern w:val="0"/>
                <w:sz w:val="24"/>
                <w:highlight w:val="none"/>
              </w:rPr>
            </w:pPr>
          </w:p>
        </w:tc>
      </w:tr>
      <w:tr w14:paraId="1EB4CAE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CB1BC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3E66E2">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A6573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03D8B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EDD9A3">
            <w:pPr>
              <w:widowControl/>
              <w:spacing w:line="360" w:lineRule="auto"/>
              <w:contextualSpacing/>
              <w:jc w:val="center"/>
              <w:rPr>
                <w:rFonts w:hint="eastAsia" w:ascii="宋体" w:hAnsi="宋体" w:cs="宋体"/>
                <w:color w:val="auto"/>
                <w:kern w:val="0"/>
                <w:sz w:val="24"/>
                <w:highlight w:val="none"/>
              </w:rPr>
            </w:pPr>
          </w:p>
        </w:tc>
      </w:tr>
      <w:tr w14:paraId="1D3935D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52BFB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CB547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4C983B">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D0036A">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088ED5">
            <w:pPr>
              <w:widowControl/>
              <w:spacing w:line="360" w:lineRule="auto"/>
              <w:contextualSpacing/>
              <w:jc w:val="center"/>
              <w:rPr>
                <w:rFonts w:hint="eastAsia" w:ascii="宋体" w:hAnsi="宋体" w:cs="宋体"/>
                <w:color w:val="auto"/>
                <w:kern w:val="0"/>
                <w:sz w:val="24"/>
                <w:highlight w:val="none"/>
              </w:rPr>
            </w:pPr>
          </w:p>
        </w:tc>
      </w:tr>
      <w:tr w14:paraId="729C2C0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1FFA3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E2BFD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48E3A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259E42">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C880C2">
            <w:pPr>
              <w:widowControl/>
              <w:spacing w:line="360" w:lineRule="auto"/>
              <w:contextualSpacing/>
              <w:jc w:val="center"/>
              <w:rPr>
                <w:rFonts w:hint="eastAsia" w:ascii="宋体" w:hAnsi="宋体" w:cs="宋体"/>
                <w:color w:val="auto"/>
                <w:kern w:val="0"/>
                <w:sz w:val="24"/>
                <w:highlight w:val="none"/>
              </w:rPr>
            </w:pPr>
          </w:p>
        </w:tc>
      </w:tr>
    </w:tbl>
    <w:p w14:paraId="34A1E69C">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34E67F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84BE2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2CE2852">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17FF6FBC">
      <w:pPr>
        <w:snapToGrid w:val="0"/>
        <w:spacing w:line="360" w:lineRule="auto"/>
        <w:jc w:val="left"/>
        <w:rPr>
          <w:rFonts w:hint="eastAsia" w:ascii="宋体" w:hAnsi="宋体" w:cs="宋体"/>
          <w:color w:val="auto"/>
          <w:sz w:val="24"/>
          <w:highlight w:val="none"/>
        </w:rPr>
      </w:pPr>
    </w:p>
    <w:p w14:paraId="44A72362">
      <w:pPr>
        <w:snapToGrid w:val="0"/>
        <w:spacing w:line="360" w:lineRule="auto"/>
        <w:jc w:val="left"/>
        <w:rPr>
          <w:rFonts w:hint="eastAsia" w:ascii="宋体" w:hAnsi="宋体" w:cs="宋体"/>
          <w:color w:val="auto"/>
          <w:sz w:val="24"/>
          <w:highlight w:val="none"/>
        </w:rPr>
      </w:pPr>
    </w:p>
    <w:p w14:paraId="517151F9">
      <w:pPr>
        <w:snapToGrid w:val="0"/>
        <w:spacing w:line="360" w:lineRule="auto"/>
        <w:jc w:val="left"/>
        <w:rPr>
          <w:rFonts w:hint="eastAsia" w:ascii="宋体" w:hAnsi="宋体" w:cs="宋体"/>
          <w:color w:val="auto"/>
          <w:sz w:val="24"/>
          <w:highlight w:val="none"/>
        </w:rPr>
      </w:pPr>
    </w:p>
    <w:p w14:paraId="57479906">
      <w:pPr>
        <w:snapToGrid w:val="0"/>
        <w:spacing w:beforeLines="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55F42A37">
      <w:pPr>
        <w:snapToGrid w:val="0"/>
        <w:spacing w:beforeLines="50" w:after="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14:paraId="0E2B60E8">
      <w:pPr>
        <w:snapToGrid w:val="0"/>
        <w:spacing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27F9EACB">
      <w:pPr>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7E132F8D">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7B0B4456">
      <w:pPr>
        <w:snapToGrid w:val="0"/>
        <w:spacing w:line="360" w:lineRule="auto"/>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867EAD">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506023">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8F727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FF51C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6F7C6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3CEB6F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79EE1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AB28A4">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5EE8DB">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B9CB18">
            <w:pPr>
              <w:widowControl/>
              <w:spacing w:line="360" w:lineRule="auto"/>
              <w:contextualSpacing/>
              <w:jc w:val="center"/>
              <w:rPr>
                <w:rFonts w:hint="eastAsia" w:ascii="宋体" w:hAnsi="宋体" w:cs="宋体"/>
                <w:color w:val="auto"/>
                <w:kern w:val="0"/>
                <w:sz w:val="24"/>
                <w:highlight w:val="none"/>
              </w:rPr>
            </w:pPr>
          </w:p>
        </w:tc>
      </w:tr>
      <w:tr w14:paraId="2CD28C9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B2C51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A1514D">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3FC9F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DC0397">
            <w:pPr>
              <w:widowControl/>
              <w:spacing w:line="360" w:lineRule="auto"/>
              <w:contextualSpacing/>
              <w:jc w:val="center"/>
              <w:rPr>
                <w:rFonts w:hint="eastAsia" w:ascii="宋体" w:hAnsi="宋体" w:cs="宋体"/>
                <w:color w:val="auto"/>
                <w:kern w:val="0"/>
                <w:sz w:val="24"/>
                <w:highlight w:val="none"/>
              </w:rPr>
            </w:pPr>
          </w:p>
        </w:tc>
      </w:tr>
      <w:tr w14:paraId="5490A17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5EF16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65E09E">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35D0D6">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4AAA91">
            <w:pPr>
              <w:widowControl/>
              <w:spacing w:line="360" w:lineRule="auto"/>
              <w:contextualSpacing/>
              <w:jc w:val="center"/>
              <w:rPr>
                <w:rFonts w:hint="eastAsia" w:ascii="宋体" w:hAnsi="宋体" w:cs="宋体"/>
                <w:color w:val="auto"/>
                <w:kern w:val="0"/>
                <w:sz w:val="24"/>
                <w:highlight w:val="none"/>
              </w:rPr>
            </w:pPr>
          </w:p>
        </w:tc>
      </w:tr>
      <w:tr w14:paraId="3A19E67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3FB33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64F111">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5FE9BA">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8C01EE">
            <w:pPr>
              <w:widowControl/>
              <w:spacing w:line="360" w:lineRule="auto"/>
              <w:contextualSpacing/>
              <w:jc w:val="center"/>
              <w:rPr>
                <w:rFonts w:hint="eastAsia" w:ascii="宋体" w:hAnsi="宋体" w:cs="宋体"/>
                <w:color w:val="auto"/>
                <w:kern w:val="0"/>
                <w:sz w:val="24"/>
                <w:highlight w:val="none"/>
              </w:rPr>
            </w:pPr>
          </w:p>
        </w:tc>
      </w:tr>
    </w:tbl>
    <w:p w14:paraId="6D61CE36">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7A6BAEC7">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7F7B1BB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6F862C1">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265A61E1">
      <w:pPr>
        <w:spacing w:line="360" w:lineRule="auto"/>
        <w:contextualSpacing/>
        <w:jc w:val="left"/>
        <w:rPr>
          <w:rFonts w:hint="eastAsia" w:ascii="宋体" w:hAnsi="宋体" w:cs="宋体"/>
          <w:color w:val="auto"/>
          <w:sz w:val="24"/>
          <w:highlight w:val="none"/>
        </w:rPr>
      </w:pPr>
    </w:p>
    <w:p w14:paraId="3835F2A3">
      <w:pPr>
        <w:spacing w:line="360" w:lineRule="auto"/>
        <w:contextualSpacing/>
        <w:jc w:val="left"/>
        <w:rPr>
          <w:rFonts w:hint="eastAsia" w:ascii="宋体" w:hAnsi="宋体" w:cs="宋体"/>
          <w:color w:val="auto"/>
          <w:sz w:val="24"/>
          <w:highlight w:val="none"/>
        </w:rPr>
      </w:pPr>
    </w:p>
    <w:p w14:paraId="6E7AF878">
      <w:pPr>
        <w:spacing w:line="360" w:lineRule="auto"/>
        <w:contextualSpacing/>
        <w:jc w:val="left"/>
        <w:rPr>
          <w:rFonts w:hint="eastAsia" w:ascii="宋体" w:hAnsi="宋体" w:cs="宋体"/>
          <w:color w:val="auto"/>
          <w:sz w:val="24"/>
          <w:highlight w:val="none"/>
        </w:rPr>
      </w:pPr>
    </w:p>
    <w:p w14:paraId="78A0509E">
      <w:pPr>
        <w:spacing w:line="360" w:lineRule="auto"/>
        <w:contextualSpacing/>
        <w:jc w:val="left"/>
        <w:rPr>
          <w:rFonts w:hint="eastAsia" w:ascii="宋体" w:hAnsi="宋体" w:cs="宋体"/>
          <w:color w:val="auto"/>
          <w:sz w:val="24"/>
          <w:highlight w:val="none"/>
        </w:rPr>
      </w:pPr>
    </w:p>
    <w:p w14:paraId="637ACC1B">
      <w:pPr>
        <w:spacing w:line="360" w:lineRule="auto"/>
        <w:contextualSpacing/>
        <w:jc w:val="left"/>
        <w:rPr>
          <w:rFonts w:hint="eastAsia" w:ascii="宋体" w:hAnsi="宋体" w:cs="宋体"/>
          <w:color w:val="auto"/>
          <w:sz w:val="24"/>
          <w:highlight w:val="none"/>
        </w:rPr>
      </w:pPr>
    </w:p>
    <w:p w14:paraId="6D57DCF6">
      <w:pPr>
        <w:spacing w:line="360" w:lineRule="auto"/>
        <w:contextualSpacing/>
        <w:jc w:val="left"/>
        <w:rPr>
          <w:rFonts w:hint="eastAsia" w:ascii="宋体" w:hAnsi="宋体" w:cs="宋体"/>
          <w:color w:val="auto"/>
          <w:sz w:val="24"/>
          <w:highlight w:val="none"/>
        </w:rPr>
      </w:pPr>
    </w:p>
    <w:p w14:paraId="11F51DFE">
      <w:pPr>
        <w:snapToGrid w:val="0"/>
        <w:spacing w:beforeLines="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FE9F0BD">
      <w:pPr>
        <w:snapToGrid w:val="0"/>
        <w:spacing w:beforeLines="50" w:after="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14:paraId="13E278E3">
      <w:pPr>
        <w:snapToGrid w:val="0"/>
        <w:spacing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0E7C1D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6CDD35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1A7579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2201BF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533763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1D55C26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color w:val="auto"/>
          <w:sz w:val="32"/>
          <w:szCs w:val="32"/>
          <w:highlight w:val="none"/>
        </w:rPr>
      </w:pPr>
      <w:r>
        <w:rPr>
          <w:rFonts w:hint="eastAsia" w:ascii="宋体" w:hAnsi="宋体" w:cs="宋体"/>
          <w:b/>
          <w:bCs w:val="0"/>
          <w:color w:val="auto"/>
          <w:sz w:val="44"/>
          <w:szCs w:val="44"/>
          <w:highlight w:val="none"/>
          <w:lang w:eastAsia="zh-CN"/>
        </w:rPr>
        <w:t>协商声明</w:t>
      </w:r>
    </w:p>
    <w:p w14:paraId="474D9A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0"/>
          <w:highlight w:val="none"/>
        </w:rPr>
      </w:pPr>
    </w:p>
    <w:p w14:paraId="14AF3A26">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AFA4B5E">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53CCCA">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，为便于贵方公正、择优地确定成交供应商及其</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产品和服务，我方就本次</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有关事项郑重声明如下：</w:t>
      </w:r>
    </w:p>
    <w:p w14:paraId="4F1C7C5E">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5AC7579C">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2B727AA0">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8F0DB6B">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单一来源采购文件</w:t>
      </w:r>
      <w:r>
        <w:rPr>
          <w:rFonts w:hint="eastAsia" w:ascii="宋体" w:hAnsi="宋体" w:eastAsia="宋体" w:cs="宋体"/>
          <w:color w:val="auto"/>
          <w:sz w:val="24"/>
          <w:highlight w:val="none"/>
        </w:rPr>
        <w:t>的约定履行合同责任和义务；</w:t>
      </w:r>
    </w:p>
    <w:p w14:paraId="65D54E51">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单一来源采购文件</w:t>
      </w:r>
      <w:r>
        <w:rPr>
          <w:rFonts w:hint="eastAsia" w:ascii="宋体" w:hAnsi="宋体" w:eastAsia="宋体" w:cs="宋体"/>
          <w:color w:val="auto"/>
          <w:sz w:val="24"/>
          <w:highlight w:val="none"/>
        </w:rPr>
        <w:t>，包括补遗文件（如有）；</w:t>
      </w:r>
    </w:p>
    <w:p w14:paraId="74EDA5F2">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有关的一切数据或者资料；</w:t>
      </w:r>
    </w:p>
    <w:p w14:paraId="5E707198">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单一来源采购文件</w:t>
      </w:r>
      <w:r>
        <w:rPr>
          <w:rFonts w:hint="eastAsia" w:ascii="宋体" w:hAnsi="宋体" w:eastAsia="宋体" w:cs="宋体"/>
          <w:color w:val="auto"/>
          <w:sz w:val="24"/>
          <w:highlight w:val="none"/>
        </w:rPr>
        <w:t>规定的</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有效期。</w:t>
      </w:r>
    </w:p>
    <w:p w14:paraId="7D820C7C">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384CB56A">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FF0D2DC">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A95D7CD">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725FE01">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920AFF0">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7FC6F72">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5AC4E5FC">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F2F99BB">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9979C9F">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138F2C42">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C2F2888">
      <w:pPr>
        <w:pStyle w:val="12"/>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42FF5CDC">
      <w:pPr>
        <w:pStyle w:val="12"/>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EAF7D1C">
      <w:pPr>
        <w:pStyle w:val="11"/>
        <w:keepNext w:val="0"/>
        <w:keepLines w:val="0"/>
        <w:pageBreakBefore w:val="0"/>
        <w:widowControl w:val="0"/>
        <w:tabs>
          <w:tab w:val="left" w:pos="939"/>
        </w:tabs>
        <w:kinsoku/>
        <w:wordWrap/>
        <w:overflowPunct/>
        <w:topLinePunct w:val="0"/>
        <w:autoSpaceDE/>
        <w:autoSpaceDN/>
        <w:bidi w:val="0"/>
        <w:adjustRightInd/>
        <w:snapToGrid/>
        <w:spacing w:line="480" w:lineRule="exact"/>
        <w:ind w:left="141" w:leftChars="67"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帐号/行号：</w:t>
      </w:r>
      <w:r>
        <w:rPr>
          <w:rFonts w:hint="eastAsia" w:ascii="宋体" w:hAnsi="宋体" w:eastAsia="宋体" w:cs="宋体"/>
          <w:color w:val="auto"/>
          <w:sz w:val="24"/>
          <w:highlight w:val="none"/>
          <w:u w:val="single"/>
        </w:rPr>
        <w:t xml:space="preserve">           </w:t>
      </w:r>
    </w:p>
    <w:p w14:paraId="3DF84236">
      <w:pPr>
        <w:pStyle w:val="11"/>
        <w:keepNext w:val="0"/>
        <w:keepLines w:val="0"/>
        <w:pageBreakBefore w:val="0"/>
        <w:widowControl w:val="0"/>
        <w:tabs>
          <w:tab w:val="left" w:pos="939"/>
        </w:tabs>
        <w:kinsoku/>
        <w:wordWrap/>
        <w:overflowPunct/>
        <w:topLinePunct w:val="0"/>
        <w:autoSpaceDE/>
        <w:autoSpaceDN/>
        <w:bidi w:val="0"/>
        <w:adjustRightInd/>
        <w:snapToGrid/>
        <w:spacing w:line="480" w:lineRule="exact"/>
        <w:ind w:left="141" w:leftChars="67"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5B970D02">
      <w:pPr>
        <w:pStyle w:val="11"/>
        <w:keepNext w:val="0"/>
        <w:keepLines w:val="0"/>
        <w:pageBreakBefore w:val="0"/>
        <w:widowControl w:val="0"/>
        <w:tabs>
          <w:tab w:val="left" w:pos="939"/>
        </w:tabs>
        <w:kinsoku/>
        <w:wordWrap/>
        <w:overflowPunct/>
        <w:topLinePunct w:val="0"/>
        <w:autoSpaceDE/>
        <w:autoSpaceDN/>
        <w:bidi w:val="0"/>
        <w:adjustRightInd/>
        <w:snapToGrid/>
        <w:spacing w:line="480" w:lineRule="exact"/>
        <w:ind w:left="141" w:leftChars="67"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特此承诺。</w:t>
      </w:r>
    </w:p>
    <w:p w14:paraId="3D2BBF58">
      <w:pPr>
        <w:keepNext w:val="0"/>
        <w:keepLines w:val="0"/>
        <w:pageBreakBefore w:val="0"/>
        <w:widowControl w:val="0"/>
        <w:kinsoku/>
        <w:wordWrap/>
        <w:overflowPunct/>
        <w:topLinePunct w:val="0"/>
        <w:autoSpaceDE/>
        <w:autoSpaceDN/>
        <w:bidi w:val="0"/>
        <w:adjustRightInd/>
        <w:snapToGrid/>
        <w:spacing w:line="480" w:lineRule="exact"/>
        <w:contextualSpacing/>
        <w:jc w:val="left"/>
        <w:textAlignment w:val="auto"/>
        <w:rPr>
          <w:rFonts w:hint="eastAsia" w:ascii="宋体" w:hAnsi="宋体" w:eastAsia="宋体" w:cs="宋体"/>
          <w:color w:val="auto"/>
          <w:sz w:val="24"/>
          <w:szCs w:val="24"/>
          <w:highlight w:val="none"/>
        </w:rPr>
      </w:pPr>
    </w:p>
    <w:p w14:paraId="353EFF7A">
      <w:pPr>
        <w:keepNext w:val="0"/>
        <w:keepLines w:val="0"/>
        <w:pageBreakBefore w:val="0"/>
        <w:widowControl w:val="0"/>
        <w:kinsoku/>
        <w:wordWrap/>
        <w:overflowPunct/>
        <w:topLinePunct w:val="0"/>
        <w:autoSpaceDE/>
        <w:autoSpaceDN/>
        <w:bidi w:val="0"/>
        <w:adjustRightInd/>
        <w:snapToGrid/>
        <w:spacing w:line="480" w:lineRule="exact"/>
        <w:ind w:firstLine="4320" w:firstLineChars="18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法定代表人（签字或者盖章）：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92ECAB">
      <w:pPr>
        <w:keepNext w:val="0"/>
        <w:keepLines w:val="0"/>
        <w:pageBreakBefore w:val="0"/>
        <w:widowControl w:val="0"/>
        <w:kinsoku/>
        <w:wordWrap/>
        <w:overflowPunct/>
        <w:topLinePunct w:val="0"/>
        <w:autoSpaceDE/>
        <w:autoSpaceDN/>
        <w:bidi w:val="0"/>
        <w:adjustRightInd/>
        <w:snapToGrid/>
        <w:spacing w:line="480" w:lineRule="exact"/>
        <w:ind w:firstLine="4320" w:firstLineChars="18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EEBAB32">
      <w:pPr>
        <w:keepNext w:val="0"/>
        <w:keepLines w:val="0"/>
        <w:pageBreakBefore w:val="0"/>
        <w:widowControl w:val="0"/>
        <w:kinsoku/>
        <w:wordWrap/>
        <w:overflowPunct/>
        <w:topLinePunct w:val="0"/>
        <w:autoSpaceDE/>
        <w:autoSpaceDN/>
        <w:bidi w:val="0"/>
        <w:adjustRightInd/>
        <w:snapToGrid/>
        <w:spacing w:line="480" w:lineRule="exact"/>
        <w:ind w:right="482" w:firstLine="240" w:firstLineChars="100"/>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D35CB15">
      <w:pPr>
        <w:keepNext w:val="0"/>
        <w:keepLines w:val="0"/>
        <w:pageBreakBefore w:val="0"/>
        <w:widowControl w:val="0"/>
        <w:kinsoku/>
        <w:wordWrap/>
        <w:overflowPunct/>
        <w:topLinePunct w:val="0"/>
        <w:autoSpaceDE/>
        <w:autoSpaceDN/>
        <w:bidi w:val="0"/>
        <w:adjustRightInd/>
        <w:snapToGrid/>
        <w:spacing w:line="480" w:lineRule="exact"/>
        <w:ind w:right="482" w:firstLine="240" w:firstLineChars="100"/>
        <w:contextualSpacing/>
        <w:jc w:val="right"/>
        <w:textAlignment w:val="auto"/>
        <w:rPr>
          <w:rFonts w:hint="eastAsia" w:ascii="宋体" w:hAnsi="宋体" w:eastAsia="宋体" w:cs="宋体"/>
          <w:color w:val="auto"/>
          <w:sz w:val="24"/>
          <w:szCs w:val="24"/>
          <w:highlight w:val="none"/>
        </w:rPr>
      </w:pPr>
    </w:p>
    <w:p w14:paraId="5FAE8000">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1D9C7BCE">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18029C3A">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08C4EB19">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15AFAEA">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3ED97EFE">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40C35188">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35BE319D">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621E4702">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44A72263">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4564D945">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1B9DFB62">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64199B2">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1B6C0A8E">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490CD468">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A579C95">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2F29445B">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54EC663E">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0194F177">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 xml:space="preserve">报价商务技术文件格式 </w:t>
      </w:r>
    </w:p>
    <w:p w14:paraId="662765DD">
      <w:pPr>
        <w:keepNext w:val="0"/>
        <w:keepLines w:val="0"/>
        <w:pageBreakBefore w:val="0"/>
        <w:widowControl w:val="0"/>
        <w:kinsoku/>
        <w:wordWrap/>
        <w:overflowPunct/>
        <w:topLinePunct w:val="0"/>
        <w:autoSpaceDE/>
        <w:autoSpaceDN/>
        <w:bidi w:val="0"/>
        <w:adjustRightInd/>
        <w:snapToGrid w:val="0"/>
        <w:spacing w:before="120" w:beforeLines="50" w:after="50" w:line="480" w:lineRule="exact"/>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1.报价商务技术文件封面格式</w:t>
      </w:r>
    </w:p>
    <w:p w14:paraId="0C7E6CAE">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A0ACEB9">
      <w:pPr>
        <w:snapToGrid w:val="0"/>
        <w:spacing w:before="120" w:beforeLines="50" w:after="50"/>
        <w:rPr>
          <w:rFonts w:hint="eastAsia" w:ascii="宋体" w:hAnsi="宋体" w:eastAsia="宋体" w:cs="宋体"/>
          <w:color w:val="auto"/>
          <w:sz w:val="24"/>
          <w:highlight w:val="none"/>
        </w:rPr>
      </w:pPr>
    </w:p>
    <w:p w14:paraId="7D76895D">
      <w:pPr>
        <w:snapToGrid w:val="0"/>
        <w:spacing w:before="120" w:beforeLines="50" w:after="50"/>
        <w:rPr>
          <w:rFonts w:hint="eastAsia" w:ascii="宋体" w:hAnsi="宋体" w:eastAsia="宋体" w:cs="宋体"/>
          <w:color w:val="auto"/>
          <w:sz w:val="24"/>
          <w:szCs w:val="20"/>
          <w:highlight w:val="none"/>
        </w:rPr>
      </w:pPr>
    </w:p>
    <w:p w14:paraId="1C0D3608">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63F50559">
      <w:pPr>
        <w:snapToGrid w:val="0"/>
        <w:spacing w:before="120" w:beforeLines="50" w:after="50"/>
        <w:rPr>
          <w:rFonts w:hint="eastAsia" w:ascii="宋体" w:hAnsi="宋体" w:eastAsia="宋体" w:cs="宋体"/>
          <w:color w:val="auto"/>
          <w:sz w:val="24"/>
          <w:szCs w:val="20"/>
          <w:highlight w:val="none"/>
        </w:rPr>
      </w:pPr>
    </w:p>
    <w:p w14:paraId="4284125F">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  价  商  务  技  术  文  件</w:t>
      </w:r>
    </w:p>
    <w:p w14:paraId="02124434">
      <w:pPr>
        <w:snapToGrid w:val="0"/>
        <w:spacing w:before="120" w:beforeLines="50" w:after="50"/>
        <w:rPr>
          <w:rFonts w:hint="eastAsia" w:ascii="宋体" w:hAnsi="宋体" w:eastAsia="宋体" w:cs="宋体"/>
          <w:bCs/>
          <w:color w:val="auto"/>
          <w:sz w:val="24"/>
          <w:szCs w:val="20"/>
          <w:highlight w:val="none"/>
        </w:rPr>
      </w:pPr>
    </w:p>
    <w:p w14:paraId="29E3E242">
      <w:pPr>
        <w:snapToGrid w:val="0"/>
        <w:spacing w:before="120" w:beforeLines="50" w:after="50"/>
        <w:rPr>
          <w:rFonts w:hint="eastAsia" w:ascii="宋体" w:hAnsi="宋体" w:eastAsia="宋体" w:cs="宋体"/>
          <w:bCs/>
          <w:color w:val="auto"/>
          <w:sz w:val="24"/>
          <w:szCs w:val="20"/>
          <w:highlight w:val="none"/>
        </w:rPr>
      </w:pPr>
    </w:p>
    <w:p w14:paraId="0FC99F8E">
      <w:pPr>
        <w:snapToGrid w:val="0"/>
        <w:spacing w:before="120" w:beforeLines="50" w:after="50"/>
        <w:rPr>
          <w:rFonts w:hint="eastAsia" w:ascii="宋体" w:hAnsi="宋体" w:eastAsia="宋体" w:cs="宋体"/>
          <w:bCs/>
          <w:color w:val="auto"/>
          <w:sz w:val="24"/>
          <w:szCs w:val="20"/>
          <w:highlight w:val="none"/>
        </w:rPr>
      </w:pPr>
    </w:p>
    <w:p w14:paraId="7D3B85FE">
      <w:pPr>
        <w:snapToGrid w:val="0"/>
        <w:spacing w:before="120" w:beforeLines="50" w:after="50"/>
        <w:rPr>
          <w:rFonts w:hint="eastAsia" w:ascii="宋体" w:hAnsi="宋体" w:eastAsia="宋体" w:cs="宋体"/>
          <w:bCs/>
          <w:color w:val="auto"/>
          <w:sz w:val="24"/>
          <w:szCs w:val="20"/>
          <w:highlight w:val="none"/>
        </w:rPr>
      </w:pPr>
    </w:p>
    <w:p w14:paraId="64EB88CE">
      <w:pPr>
        <w:snapToGrid w:val="0"/>
        <w:spacing w:before="120" w:beforeLines="50" w:after="50"/>
        <w:rPr>
          <w:rFonts w:hint="eastAsia" w:ascii="宋体" w:hAnsi="宋体" w:eastAsia="宋体" w:cs="宋体"/>
          <w:bCs/>
          <w:color w:val="auto"/>
          <w:sz w:val="24"/>
          <w:szCs w:val="20"/>
          <w:highlight w:val="none"/>
        </w:rPr>
      </w:pPr>
    </w:p>
    <w:p w14:paraId="07D1898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5D6E69">
      <w:pPr>
        <w:snapToGrid w:val="0"/>
        <w:spacing w:before="120" w:beforeLines="50" w:after="50"/>
        <w:ind w:firstLine="720" w:firstLineChars="225"/>
        <w:rPr>
          <w:rFonts w:hint="eastAsia" w:ascii="宋体" w:hAnsi="宋体" w:eastAsia="宋体" w:cs="宋体"/>
          <w:bCs/>
          <w:color w:val="auto"/>
          <w:sz w:val="32"/>
          <w:szCs w:val="32"/>
          <w:highlight w:val="none"/>
        </w:rPr>
      </w:pPr>
    </w:p>
    <w:p w14:paraId="0802D8A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093AD4D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09DA0C7">
      <w:pPr>
        <w:pStyle w:val="5"/>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1847B98">
      <w:pPr>
        <w:pStyle w:val="5"/>
        <w:snapToGrid w:val="0"/>
        <w:spacing w:before="50" w:after="50"/>
        <w:ind w:firstLine="640" w:firstLineChars="200"/>
        <w:rPr>
          <w:rFonts w:hint="eastAsia" w:ascii="宋体" w:hAnsi="宋体" w:eastAsia="宋体" w:cs="宋体"/>
          <w:bCs/>
          <w:color w:val="auto"/>
          <w:sz w:val="32"/>
          <w:szCs w:val="32"/>
          <w:highlight w:val="none"/>
        </w:rPr>
      </w:pPr>
    </w:p>
    <w:p w14:paraId="09ADE5C2">
      <w:pPr>
        <w:pStyle w:val="5"/>
        <w:snapToGrid w:val="0"/>
        <w:spacing w:before="50" w:after="50"/>
        <w:ind w:firstLine="0"/>
        <w:rPr>
          <w:rFonts w:hint="eastAsia" w:ascii="宋体" w:hAnsi="宋体" w:eastAsia="宋体" w:cs="宋体"/>
          <w:bCs/>
          <w:color w:val="auto"/>
          <w:sz w:val="32"/>
          <w:szCs w:val="32"/>
          <w:highlight w:val="none"/>
        </w:rPr>
      </w:pPr>
    </w:p>
    <w:p w14:paraId="0C043DBE">
      <w:pPr>
        <w:pStyle w:val="5"/>
        <w:snapToGrid w:val="0"/>
        <w:spacing w:before="50" w:after="50"/>
        <w:ind w:firstLine="1280" w:firstLineChars="400"/>
        <w:rPr>
          <w:rFonts w:hint="eastAsia" w:ascii="宋体" w:hAnsi="宋体" w:eastAsia="宋体" w:cs="宋体"/>
          <w:bCs/>
          <w:color w:val="auto"/>
          <w:sz w:val="32"/>
          <w:szCs w:val="32"/>
          <w:highlight w:val="none"/>
        </w:rPr>
      </w:pPr>
    </w:p>
    <w:p w14:paraId="7510055F">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1222A50">
      <w:pPr>
        <w:snapToGrid w:val="0"/>
        <w:spacing w:before="120"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2.报价商务技术文件目录</w:t>
      </w:r>
    </w:p>
    <w:p w14:paraId="544CF26B">
      <w:pPr>
        <w:snapToGrid w:val="0"/>
        <w:spacing w:before="120"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w:t>
      </w:r>
      <w:r>
        <w:rPr>
          <w:rFonts w:hint="eastAsia" w:ascii="宋体" w:hAnsi="宋体" w:eastAsia="宋体" w:cs="宋体"/>
          <w:color w:val="auto"/>
          <w:sz w:val="32"/>
          <w:szCs w:val="32"/>
          <w:highlight w:val="none"/>
          <w:lang w:eastAsia="zh-CN"/>
        </w:rPr>
        <w:t>单一来源采购文件</w:t>
      </w:r>
      <w:r>
        <w:rPr>
          <w:rFonts w:hint="eastAsia" w:ascii="宋体" w:hAnsi="宋体" w:eastAsia="宋体" w:cs="宋体"/>
          <w:color w:val="auto"/>
          <w:sz w:val="32"/>
          <w:szCs w:val="32"/>
          <w:highlight w:val="none"/>
        </w:rPr>
        <w:t>规定及供应商提供的材料自行编写目录（部分格式后附）。</w:t>
      </w:r>
    </w:p>
    <w:p w14:paraId="068C730F">
      <w:pPr>
        <w:spacing w:line="400" w:lineRule="exact"/>
        <w:rPr>
          <w:rFonts w:hint="eastAsia" w:ascii="宋体" w:hAnsi="宋体" w:eastAsia="宋体" w:cs="宋体"/>
          <w:color w:val="auto"/>
          <w:sz w:val="32"/>
          <w:szCs w:val="32"/>
          <w:highlight w:val="none"/>
        </w:rPr>
      </w:pPr>
    </w:p>
    <w:p w14:paraId="5A590B6A">
      <w:pPr>
        <w:tabs>
          <w:tab w:val="left" w:pos="3479"/>
        </w:tabs>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cs="宋体"/>
          <w:b/>
          <w:bCs w:val="0"/>
          <w:color w:val="auto"/>
          <w:sz w:val="44"/>
          <w:szCs w:val="44"/>
          <w:highlight w:val="none"/>
          <w:lang w:eastAsia="zh-CN"/>
        </w:rPr>
        <w:t>协商</w:t>
      </w:r>
      <w:r>
        <w:rPr>
          <w:rFonts w:hint="eastAsia" w:ascii="宋体" w:hAnsi="宋体" w:eastAsia="宋体" w:cs="宋体"/>
          <w:b/>
          <w:bCs w:val="0"/>
          <w:color w:val="auto"/>
          <w:sz w:val="44"/>
          <w:szCs w:val="44"/>
          <w:highlight w:val="none"/>
        </w:rPr>
        <w:t>报价表</w:t>
      </w:r>
    </w:p>
    <w:p w14:paraId="3A2E2951">
      <w:pPr>
        <w:spacing w:line="520" w:lineRule="exact"/>
        <w:jc w:val="center"/>
        <w:rPr>
          <w:rFonts w:hint="eastAsia" w:ascii="宋体" w:hAnsi="宋体" w:eastAsia="宋体" w:cs="宋体"/>
          <w:bCs/>
          <w:color w:val="auto"/>
          <w:sz w:val="32"/>
          <w:szCs w:val="32"/>
          <w:highlight w:val="none"/>
        </w:rPr>
      </w:pPr>
    </w:p>
    <w:p w14:paraId="2651BF6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7B109E3">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分标（如有）：</w:t>
      </w:r>
      <w:r>
        <w:rPr>
          <w:rFonts w:hint="eastAsia" w:ascii="宋体" w:hAnsi="宋体" w:cs="宋体"/>
          <w:color w:val="auto"/>
          <w:sz w:val="24"/>
          <w:highlight w:val="none"/>
          <w:u w:val="single"/>
        </w:rPr>
        <w:t xml:space="preserve">                                         </w:t>
      </w:r>
    </w:p>
    <w:p w14:paraId="262DE720">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1CC50A8">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2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D97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1A0D721">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8102E95">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7DD48142">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6412E4A">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C96C8AC">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服务响应标准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90C1195">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单项优惠率</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49639C1">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708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804196E">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7DD939A">
            <w:pPr>
              <w:spacing w:line="360" w:lineRule="auto"/>
              <w:contextualSpacing/>
              <w:jc w:val="center"/>
              <w:rPr>
                <w:rFonts w:hint="eastAsia"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E40983E">
            <w:pPr>
              <w:spacing w:line="360" w:lineRule="auto"/>
              <w:contextualSpacing/>
              <w:jc w:val="center"/>
              <w:rPr>
                <w:rFonts w:hint="eastAsia"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5E2022E1">
            <w:pPr>
              <w:spacing w:line="360" w:lineRule="auto"/>
              <w:contextualSpacing/>
              <w:rPr>
                <w:rFonts w:hint="eastAsia" w:ascii="宋体" w:hAnsi="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4A868E72">
            <w:pPr>
              <w:spacing w:line="360" w:lineRule="auto"/>
              <w:contextualSpacing/>
              <w:rPr>
                <w:rFonts w:hint="eastAsia"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5668CD1">
            <w:pPr>
              <w:spacing w:line="360" w:lineRule="auto"/>
              <w:contextualSpacing/>
              <w:rPr>
                <w:rFonts w:hint="eastAsia"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F2A67FA">
            <w:pPr>
              <w:spacing w:line="360" w:lineRule="auto"/>
              <w:contextualSpacing/>
              <w:rPr>
                <w:rFonts w:hint="eastAsia" w:ascii="宋体" w:hAnsi="宋体" w:cs="宋体"/>
                <w:color w:val="auto"/>
                <w:sz w:val="24"/>
                <w:highlight w:val="none"/>
              </w:rPr>
            </w:pPr>
          </w:p>
        </w:tc>
      </w:tr>
      <w:tr w14:paraId="6DD4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45D34A78">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优惠率：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FF90222">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服务期限：</w:t>
            </w:r>
          </w:p>
        </w:tc>
      </w:tr>
    </w:tbl>
    <w:p w14:paraId="565E71FA">
      <w:pPr>
        <w:spacing w:line="360" w:lineRule="auto"/>
        <w:contextualSpacing/>
        <w:jc w:val="left"/>
        <w:rPr>
          <w:rFonts w:hint="eastAsia" w:ascii="宋体" w:hAnsi="宋体" w:cs="宋体"/>
          <w:color w:val="auto"/>
          <w:sz w:val="24"/>
          <w:highlight w:val="none"/>
        </w:rPr>
      </w:pPr>
    </w:p>
    <w:p w14:paraId="2FABBDF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561AE13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60B7413F">
      <w:pPr>
        <w:spacing w:line="360" w:lineRule="auto"/>
        <w:ind w:firstLine="480" w:firstLineChars="200"/>
        <w:contextualSpacing/>
        <w:jc w:val="left"/>
        <w:rPr>
          <w:rFonts w:hint="eastAsia"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72D278B4">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否则其响应文件按无效响应处理。（采购人可根据项目情况自行修改是否需要联合体各方签字盖章）。</w:t>
      </w:r>
    </w:p>
    <w:p w14:paraId="19236681">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4.如为联合体竞标，盖章处须加盖联合体各方公章，</w:t>
      </w:r>
      <w:bookmarkStart w:id="30" w:name="_Hlk65851776"/>
      <w:r>
        <w:rPr>
          <w:rFonts w:hint="eastAsia" w:ascii="宋体" w:hAnsi="宋体" w:cs="宋体"/>
          <w:b/>
          <w:color w:val="auto"/>
          <w:sz w:val="24"/>
          <w:highlight w:val="none"/>
        </w:rPr>
        <w:t>否则其响应文件按无效响应处理。</w:t>
      </w:r>
      <w:bookmarkEnd w:id="30"/>
      <w:r>
        <w:rPr>
          <w:rFonts w:hint="eastAsia" w:ascii="宋体" w:hAnsi="宋体" w:cs="宋体"/>
          <w:b/>
          <w:color w:val="auto"/>
          <w:sz w:val="24"/>
          <w:highlight w:val="none"/>
        </w:rPr>
        <w:t>（采购人可根据项目情况自行修改是否需要联合体各方签字盖章）。</w:t>
      </w:r>
    </w:p>
    <w:p w14:paraId="070B941D">
      <w:pPr>
        <w:spacing w:line="360" w:lineRule="auto"/>
        <w:ind w:firstLine="480" w:firstLineChars="200"/>
        <w:contextualSpacing/>
        <w:jc w:val="left"/>
        <w:rPr>
          <w:rFonts w:hint="eastAsia" w:ascii="宋体" w:hAnsi="宋体" w:eastAsia="宋体" w:cs="宋体"/>
          <w:b/>
          <w:color w:val="auto"/>
          <w:sz w:val="24"/>
          <w:highlight w:val="none"/>
        </w:rPr>
      </w:pPr>
      <w:r>
        <w:rPr>
          <w:rFonts w:hint="eastAsia" w:ascii="宋体" w:hAnsi="宋体" w:cs="宋体"/>
          <w:color w:val="auto"/>
          <w:sz w:val="24"/>
          <w:highlight w:val="none"/>
        </w:rPr>
        <w:t>5.</w:t>
      </w:r>
      <w:r>
        <w:rPr>
          <w:rFonts w:hint="eastAsia" w:ascii="宋体" w:hAnsi="宋体" w:cs="宋体"/>
          <w:color w:val="auto"/>
          <w:spacing w:val="-6"/>
          <w:sz w:val="24"/>
          <w:highlight w:val="none"/>
        </w:rPr>
        <w:t>如有多分标，分别列明各分标的报价表，</w:t>
      </w:r>
      <w:r>
        <w:rPr>
          <w:rFonts w:hint="eastAsia" w:ascii="宋体" w:hAnsi="宋体" w:cs="宋体"/>
          <w:b/>
          <w:color w:val="auto"/>
          <w:spacing w:val="-6"/>
          <w:sz w:val="24"/>
          <w:highlight w:val="none"/>
        </w:rPr>
        <w:t>否则其响应文件按无效响应处理</w:t>
      </w:r>
      <w:r>
        <w:rPr>
          <w:rFonts w:hint="eastAsia" w:ascii="宋体" w:hAnsi="宋体" w:eastAsia="宋体" w:cs="宋体"/>
          <w:b/>
          <w:color w:val="auto"/>
          <w:sz w:val="24"/>
          <w:highlight w:val="none"/>
        </w:rPr>
        <w:t>。</w:t>
      </w:r>
    </w:p>
    <w:p w14:paraId="657F017E">
      <w:pPr>
        <w:spacing w:line="360" w:lineRule="auto"/>
        <w:ind w:right="-817" w:rightChars="-389" w:firstLine="2640" w:firstLineChars="1100"/>
        <w:contextualSpacing/>
        <w:rPr>
          <w:rFonts w:hint="eastAsia" w:ascii="宋体" w:hAnsi="宋体" w:eastAsia="宋体" w:cs="宋体"/>
          <w:color w:val="auto"/>
          <w:sz w:val="24"/>
          <w:highlight w:val="none"/>
        </w:rPr>
      </w:pPr>
    </w:p>
    <w:p w14:paraId="218C0788">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652039DE">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3D5D5343">
      <w:pPr>
        <w:spacing w:line="360" w:lineRule="auto"/>
        <w:ind w:right="-817" w:rightChars="-389" w:firstLine="4080" w:firstLineChars="1700"/>
        <w:contextualSpacing/>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日期：   年   月   日</w:t>
      </w:r>
    </w:p>
    <w:p w14:paraId="2AC0CB21">
      <w:pPr>
        <w:spacing w:before="240" w:beforeLines="100" w:after="120" w:afterLines="50" w:line="520" w:lineRule="exact"/>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val="0"/>
          <w:color w:val="auto"/>
          <w:sz w:val="44"/>
          <w:szCs w:val="44"/>
          <w:highlight w:val="none"/>
        </w:rPr>
        <w:t>法定代表人身份证明</w:t>
      </w:r>
    </w:p>
    <w:p w14:paraId="67C2C40D">
      <w:pPr>
        <w:spacing w:line="360" w:lineRule="auto"/>
        <w:ind w:left="540"/>
        <w:contextualSpacing/>
        <w:rPr>
          <w:rFonts w:hint="eastAsia" w:ascii="宋体" w:hAnsi="宋体" w:eastAsia="宋体" w:cs="宋体"/>
          <w:color w:val="auto"/>
          <w:sz w:val="32"/>
          <w:szCs w:val="32"/>
          <w:highlight w:val="none"/>
        </w:rPr>
      </w:pPr>
    </w:p>
    <w:p w14:paraId="3629592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78E72D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873C3E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1471502">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1BD01AF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76DDF03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w:t>
      </w:r>
    </w:p>
    <w:p w14:paraId="66D93D5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FD5E05F">
      <w:pPr>
        <w:spacing w:line="360" w:lineRule="auto"/>
        <w:ind w:left="540"/>
        <w:contextualSpacing/>
        <w:rPr>
          <w:rFonts w:hint="eastAsia" w:ascii="宋体" w:hAnsi="宋体" w:eastAsia="宋体" w:cs="宋体"/>
          <w:color w:val="auto"/>
          <w:sz w:val="24"/>
          <w:highlight w:val="none"/>
        </w:rPr>
      </w:pPr>
    </w:p>
    <w:p w14:paraId="6C7BF598">
      <w:pPr>
        <w:spacing w:line="360" w:lineRule="auto"/>
        <w:ind w:left="540"/>
        <w:contextualSpacing/>
        <w:rPr>
          <w:rFonts w:hint="eastAsia" w:ascii="宋体" w:hAnsi="宋体" w:eastAsia="宋体" w:cs="宋体"/>
          <w:color w:val="auto"/>
          <w:sz w:val="24"/>
          <w:highlight w:val="none"/>
        </w:rPr>
      </w:pPr>
    </w:p>
    <w:p w14:paraId="1266C2D6">
      <w:pPr>
        <w:spacing w:line="360" w:lineRule="auto"/>
        <w:ind w:left="540"/>
        <w:contextualSpacing/>
        <w:rPr>
          <w:rFonts w:hint="eastAsia" w:ascii="宋体" w:hAnsi="宋体" w:eastAsia="宋体" w:cs="宋体"/>
          <w:color w:val="auto"/>
          <w:sz w:val="24"/>
          <w:highlight w:val="none"/>
        </w:rPr>
      </w:pPr>
    </w:p>
    <w:p w14:paraId="313E54F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5D92F3AE">
      <w:pPr>
        <w:spacing w:line="360" w:lineRule="auto"/>
        <w:ind w:left="540"/>
        <w:contextualSpacing/>
        <w:rPr>
          <w:rFonts w:hint="eastAsia" w:ascii="宋体" w:hAnsi="宋体" w:eastAsia="宋体" w:cs="宋体"/>
          <w:color w:val="auto"/>
          <w:sz w:val="24"/>
          <w:highlight w:val="none"/>
        </w:rPr>
      </w:pPr>
    </w:p>
    <w:p w14:paraId="6C5FC0B8">
      <w:pPr>
        <w:spacing w:line="360" w:lineRule="auto"/>
        <w:ind w:left="54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r>
        <w:rPr>
          <w:rFonts w:hint="eastAsia" w:ascii="宋体" w:hAnsi="宋体" w:eastAsia="宋体" w:cs="宋体"/>
          <w:color w:val="auto"/>
          <w:sz w:val="24"/>
          <w:highlight w:val="none"/>
          <w:u w:val="single"/>
        </w:rPr>
        <w:t xml:space="preserve">               </w:t>
      </w:r>
    </w:p>
    <w:p w14:paraId="40626A06">
      <w:pPr>
        <w:spacing w:line="360" w:lineRule="auto"/>
        <w:ind w:firstLine="5520" w:firstLineChars="2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77B72C">
      <w:pPr>
        <w:spacing w:line="360" w:lineRule="auto"/>
        <w:contextualSpacing/>
        <w:jc w:val="center"/>
        <w:rPr>
          <w:rFonts w:hint="eastAsia" w:ascii="宋体" w:hAnsi="宋体" w:eastAsia="宋体" w:cs="宋体"/>
          <w:b/>
          <w:color w:val="auto"/>
          <w:sz w:val="24"/>
          <w:highlight w:val="none"/>
        </w:rPr>
      </w:pPr>
    </w:p>
    <w:p w14:paraId="277135FC">
      <w:pPr>
        <w:adjustRightInd w:val="0"/>
        <w:snapToGrid w:val="0"/>
        <w:spacing w:line="300" w:lineRule="auto"/>
        <w:jc w:val="left"/>
        <w:rPr>
          <w:rFonts w:hint="eastAsia" w:ascii="宋体" w:hAnsi="宋体" w:eastAsia="宋体" w:cs="宋体"/>
          <w:b/>
          <w:color w:val="auto"/>
          <w:szCs w:val="21"/>
          <w:highlight w:val="none"/>
        </w:rPr>
      </w:pPr>
    </w:p>
    <w:p w14:paraId="6C9B652A">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bCs w:val="0"/>
          <w:color w:val="auto"/>
          <w:sz w:val="44"/>
          <w:szCs w:val="44"/>
          <w:highlight w:val="none"/>
        </w:rPr>
        <w:t>授权委托书</w:t>
      </w:r>
    </w:p>
    <w:p w14:paraId="676F99FB">
      <w:pPr>
        <w:spacing w:line="360" w:lineRule="auto"/>
        <w:contextualSpacing/>
        <w:rPr>
          <w:rFonts w:hint="eastAsia" w:ascii="宋体" w:hAnsi="宋体" w:eastAsia="宋体" w:cs="宋体"/>
          <w:color w:val="auto"/>
          <w:sz w:val="32"/>
          <w:szCs w:val="32"/>
          <w:highlight w:val="none"/>
        </w:rPr>
      </w:pPr>
    </w:p>
    <w:p w14:paraId="73288F7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66F1B9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none"/>
        </w:rPr>
        <w:t>法定代表人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活动，并代表我方全权办理针对上述项目的所有采购程序和环节的具体事务和签署相关文件。</w:t>
      </w:r>
    </w:p>
    <w:p w14:paraId="185ACF7D">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F83E3D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w:t>
      </w:r>
      <w:r>
        <w:rPr>
          <w:rFonts w:hint="eastAsia" w:ascii="宋体" w:hAnsi="宋体" w:cs="宋体"/>
          <w:color w:val="auto"/>
          <w:sz w:val="24"/>
          <w:highlight w:val="none"/>
          <w:u w:val="single"/>
          <w:lang w:val="en-US" w:eastAsia="zh-CN"/>
        </w:rPr>
        <w:t xml:space="preserve">    年   月   日至   年   月   日止</w:t>
      </w:r>
      <w:r>
        <w:rPr>
          <w:rFonts w:hint="eastAsia" w:ascii="宋体" w:hAnsi="宋体" w:eastAsia="宋体" w:cs="宋体"/>
          <w:color w:val="auto"/>
          <w:sz w:val="24"/>
          <w:highlight w:val="none"/>
        </w:rPr>
        <w:t>。委托代理人在授权书有效期内签署的所有文件不因授权的</w:t>
      </w:r>
      <w:r>
        <w:rPr>
          <w:rFonts w:hint="eastAsia" w:ascii="宋体" w:hAnsi="宋体" w:cs="宋体"/>
          <w:color w:val="auto"/>
          <w:sz w:val="24"/>
          <w:highlight w:val="none"/>
          <w:lang w:val="en-US" w:eastAsia="zh-CN"/>
        </w:rPr>
        <w:t>到期</w:t>
      </w:r>
      <w:r>
        <w:rPr>
          <w:rFonts w:hint="eastAsia" w:ascii="宋体" w:hAnsi="宋体" w:eastAsia="宋体" w:cs="宋体"/>
          <w:color w:val="auto"/>
          <w:sz w:val="24"/>
          <w:highlight w:val="none"/>
        </w:rPr>
        <w:t>而失效。</w:t>
      </w:r>
    </w:p>
    <w:p w14:paraId="1E28FA2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5BAE81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14:paraId="6469B84D">
      <w:pPr>
        <w:spacing w:line="360" w:lineRule="auto"/>
        <w:contextualSpacing/>
        <w:rPr>
          <w:rFonts w:hint="eastAsia" w:ascii="宋体" w:hAnsi="宋体" w:eastAsia="宋体" w:cs="宋体"/>
          <w:color w:val="auto"/>
          <w:sz w:val="24"/>
          <w:highlight w:val="none"/>
        </w:rPr>
      </w:pPr>
    </w:p>
    <w:p w14:paraId="3CE662DD">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法定代表人（签字或者盖章）：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992FDE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A98B64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3BF7C9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供应商（盖公章）：                    </w:t>
      </w:r>
    </w:p>
    <w:p w14:paraId="6A17C5A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26C00C3">
      <w:pPr>
        <w:spacing w:line="360" w:lineRule="auto"/>
        <w:contextualSpacing/>
        <w:rPr>
          <w:rFonts w:hint="eastAsia" w:ascii="宋体" w:hAnsi="宋体" w:eastAsia="宋体" w:cs="宋体"/>
          <w:color w:val="auto"/>
          <w:sz w:val="24"/>
          <w:highlight w:val="none"/>
        </w:rPr>
      </w:pPr>
    </w:p>
    <w:p w14:paraId="69C6E9A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注：法定代表人必须在授权委托书上亲笔签字或者盖章，委托代理人必须在授权委托书上亲笔签字，</w:t>
      </w:r>
      <w:r>
        <w:rPr>
          <w:rFonts w:hint="eastAsia" w:ascii="宋体" w:hAnsi="宋体" w:eastAsia="宋体" w:cs="宋体"/>
          <w:b/>
          <w:color w:val="auto"/>
          <w:sz w:val="24"/>
          <w:highlight w:val="none"/>
        </w:rPr>
        <w:t>否则其响应文件按无效响应处理。</w:t>
      </w:r>
    </w:p>
    <w:p w14:paraId="4F3F2A4D">
      <w:pPr>
        <w:rPr>
          <w:color w:val="auto"/>
          <w:highlight w:val="none"/>
        </w:rPr>
      </w:pPr>
    </w:p>
    <w:p w14:paraId="44B93305">
      <w:pPr>
        <w:spacing w:line="360" w:lineRule="auto"/>
        <w:contextualSpacing/>
        <w:rPr>
          <w:rFonts w:hint="eastAsia" w:ascii="宋体" w:hAnsi="宋体" w:eastAsia="宋体" w:cs="宋体"/>
          <w:color w:val="auto"/>
          <w:sz w:val="24"/>
          <w:highlight w:val="none"/>
        </w:rPr>
      </w:pPr>
    </w:p>
    <w:p w14:paraId="75C0C19D">
      <w:pPr>
        <w:spacing w:line="360" w:lineRule="auto"/>
        <w:contextualSpacing/>
        <w:rPr>
          <w:rFonts w:hint="eastAsia" w:ascii="宋体" w:hAnsi="宋体" w:eastAsia="宋体" w:cs="宋体"/>
          <w:color w:val="auto"/>
          <w:sz w:val="24"/>
          <w:highlight w:val="none"/>
        </w:rPr>
      </w:pPr>
    </w:p>
    <w:p w14:paraId="0966A5B9">
      <w:pPr>
        <w:spacing w:line="360" w:lineRule="auto"/>
        <w:ind w:firstLine="420" w:firstLineChars="200"/>
        <w:contextualSpacing/>
        <w:jc w:val="left"/>
        <w:rPr>
          <w:rFonts w:hint="eastAsia" w:ascii="宋体" w:hAnsi="宋体" w:eastAsia="宋体" w:cs="宋体"/>
          <w:color w:val="auto"/>
          <w:szCs w:val="21"/>
          <w:highlight w:val="none"/>
        </w:rPr>
      </w:pPr>
    </w:p>
    <w:p w14:paraId="086AE7C1">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val="0"/>
          <w:color w:val="auto"/>
          <w:sz w:val="44"/>
          <w:szCs w:val="44"/>
          <w:highlight w:val="none"/>
        </w:rPr>
        <w:t>商务要求偏离表</w:t>
      </w:r>
    </w:p>
    <w:p w14:paraId="472E32B5">
      <w:pPr>
        <w:snapToGrid w:val="0"/>
        <w:spacing w:before="50"/>
        <w:jc w:val="left"/>
        <w:rPr>
          <w:rFonts w:hint="eastAsia" w:ascii="宋体" w:hAnsi="宋体" w:eastAsia="宋体" w:cs="宋体"/>
          <w:color w:val="auto"/>
          <w:sz w:val="24"/>
          <w:highlight w:val="none"/>
        </w:rPr>
      </w:pPr>
    </w:p>
    <w:tbl>
      <w:tblPr>
        <w:tblStyle w:val="20"/>
        <w:tblpPr w:leftFromText="180" w:rightFromText="180" w:vertAnchor="text" w:horzAnchor="margin" w:tblpXSpec="center" w:tblpY="311"/>
        <w:tblOverlap w:val="never"/>
        <w:tblW w:w="103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3127"/>
        <w:gridCol w:w="3127"/>
        <w:gridCol w:w="1892"/>
      </w:tblGrid>
      <w:tr w14:paraId="120B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731198F8">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2BC28F1A">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单一来源采购文件</w:t>
            </w:r>
            <w:r>
              <w:rPr>
                <w:rFonts w:hint="eastAsia" w:ascii="宋体" w:hAnsi="宋体" w:eastAsia="宋体" w:cs="宋体"/>
                <w:color w:val="auto"/>
                <w:sz w:val="24"/>
                <w:highlight w:val="none"/>
              </w:rPr>
              <w:t>商务要求</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9B76C33">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供应商的响应</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D128C18">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7DFA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1AACAD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6B25A9EC">
            <w:pPr>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260E47E2">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6C37796">
            <w:pPr>
              <w:snapToGrid w:val="0"/>
              <w:spacing w:before="120" w:beforeLines="50" w:line="360" w:lineRule="auto"/>
              <w:jc w:val="center"/>
              <w:rPr>
                <w:rFonts w:hint="eastAsia" w:ascii="宋体" w:hAnsi="宋体" w:eastAsia="宋体" w:cs="宋体"/>
                <w:color w:val="auto"/>
                <w:sz w:val="24"/>
                <w:highlight w:val="none"/>
              </w:rPr>
            </w:pPr>
          </w:p>
        </w:tc>
      </w:tr>
      <w:tr w14:paraId="0403F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2A98F9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6E36D79">
            <w:pPr>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4C02662">
            <w:pPr>
              <w:snapToGrid w:val="0"/>
              <w:spacing w:before="120" w:beforeLines="50" w:line="360" w:lineRule="auto"/>
              <w:ind w:left="43"/>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E564026">
            <w:pPr>
              <w:snapToGrid w:val="0"/>
              <w:spacing w:before="120" w:beforeLines="50" w:line="360" w:lineRule="auto"/>
              <w:ind w:left="43"/>
              <w:jc w:val="center"/>
              <w:rPr>
                <w:rFonts w:hint="eastAsia" w:ascii="宋体" w:hAnsi="宋体" w:eastAsia="宋体" w:cs="宋体"/>
                <w:color w:val="auto"/>
                <w:sz w:val="24"/>
                <w:highlight w:val="none"/>
              </w:rPr>
            </w:pPr>
          </w:p>
        </w:tc>
      </w:tr>
      <w:tr w14:paraId="71005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1BE2DC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6AE7E7A">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710F246">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6B3A4F1">
            <w:pPr>
              <w:snapToGrid w:val="0"/>
              <w:spacing w:before="120" w:beforeLines="50" w:line="360" w:lineRule="auto"/>
              <w:jc w:val="center"/>
              <w:rPr>
                <w:rFonts w:hint="eastAsia" w:ascii="宋体" w:hAnsi="宋体" w:eastAsia="宋体" w:cs="宋体"/>
                <w:color w:val="auto"/>
                <w:sz w:val="24"/>
                <w:highlight w:val="none"/>
              </w:rPr>
            </w:pPr>
          </w:p>
        </w:tc>
      </w:tr>
      <w:tr w14:paraId="05E18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3310575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仿宋_GB2312"/>
                <w:color w:val="auto"/>
                <w:sz w:val="24"/>
                <w:highlight w:val="none"/>
              </w:rPr>
              <w:t>…</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6A70F99">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72C22F6">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38E256A">
            <w:pPr>
              <w:snapToGrid w:val="0"/>
              <w:spacing w:before="120" w:beforeLines="50" w:line="360" w:lineRule="auto"/>
              <w:jc w:val="center"/>
              <w:rPr>
                <w:rFonts w:hint="eastAsia" w:ascii="宋体" w:hAnsi="宋体" w:eastAsia="宋体" w:cs="宋体"/>
                <w:color w:val="auto"/>
                <w:sz w:val="24"/>
                <w:highlight w:val="none"/>
              </w:rPr>
            </w:pPr>
          </w:p>
        </w:tc>
      </w:tr>
    </w:tbl>
    <w:p w14:paraId="2F0186D4">
      <w:pPr>
        <w:pStyle w:val="8"/>
        <w:spacing w:after="0" w:line="360" w:lineRule="auto"/>
        <w:contextualSpacing/>
        <w:rPr>
          <w:rFonts w:hint="eastAsia" w:ascii="宋体" w:hAnsi="宋体" w:eastAsia="宋体" w:cs="宋体"/>
          <w:color w:val="auto"/>
          <w:kern w:val="0"/>
          <w:sz w:val="24"/>
          <w:szCs w:val="24"/>
          <w:highlight w:val="none"/>
        </w:rPr>
      </w:pPr>
    </w:p>
    <w:p w14:paraId="68B0C64E">
      <w:pPr>
        <w:pStyle w:val="8"/>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3AF3963">
      <w:pPr>
        <w:pStyle w:val="8"/>
        <w:spacing w:after="0"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1.说明：应对照</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“第三章 采购需求”中的商务要求逐条明确响应，并作出偏离说明。</w:t>
      </w:r>
    </w:p>
    <w:p w14:paraId="01C06AB7">
      <w:pPr>
        <w:pStyle w:val="8"/>
        <w:spacing w:after="0"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2.供应商应根据自身的承诺，对照</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要求在“偏离说明”中注明“正偏离”、“负偏离”或者“无偏离”。既不属于“正偏离”也不属于“负偏离”即为“无偏离”。</w:t>
      </w:r>
    </w:p>
    <w:p w14:paraId="41F83288">
      <w:pPr>
        <w:spacing w:line="360" w:lineRule="auto"/>
        <w:contextualSpacing/>
        <w:jc w:val="left"/>
        <w:rPr>
          <w:rFonts w:hint="eastAsia" w:ascii="宋体" w:hAnsi="宋体" w:eastAsia="宋体" w:cs="宋体"/>
          <w:color w:val="auto"/>
          <w:sz w:val="24"/>
          <w:highlight w:val="none"/>
          <w:u w:val="single"/>
        </w:rPr>
      </w:pPr>
    </w:p>
    <w:p w14:paraId="6D92734B">
      <w:pPr>
        <w:spacing w:line="360" w:lineRule="auto"/>
        <w:contextualSpacing/>
        <w:jc w:val="left"/>
        <w:rPr>
          <w:rFonts w:hint="eastAsia" w:ascii="宋体" w:hAnsi="宋体" w:eastAsia="宋体" w:cs="宋体"/>
          <w:color w:val="auto"/>
          <w:sz w:val="24"/>
          <w:highlight w:val="none"/>
          <w:u w:val="single"/>
        </w:rPr>
      </w:pPr>
    </w:p>
    <w:p w14:paraId="0EFEF6EE">
      <w:pPr>
        <w:spacing w:line="360" w:lineRule="auto"/>
        <w:ind w:right="-817" w:rightChars="-389"/>
        <w:contextualSpacing/>
        <w:rPr>
          <w:rFonts w:hint="eastAsia" w:ascii="宋体" w:hAnsi="宋体" w:eastAsia="宋体" w:cs="宋体"/>
          <w:color w:val="auto"/>
          <w:sz w:val="24"/>
          <w:highlight w:val="none"/>
        </w:rPr>
      </w:pPr>
    </w:p>
    <w:p w14:paraId="695A06A3">
      <w:pPr>
        <w:spacing w:line="360" w:lineRule="auto"/>
        <w:ind w:right="-817" w:rightChars="-389" w:firstLine="3120" w:firstLineChars="1300"/>
        <w:contextualSpacing/>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p>
    <w:p w14:paraId="397B820F">
      <w:pPr>
        <w:spacing w:line="360" w:lineRule="auto"/>
        <w:ind w:right="-817" w:rightChars="-389" w:firstLine="3120" w:firstLineChars="1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p>
    <w:p w14:paraId="7ADE2C80">
      <w:pPr>
        <w:spacing w:line="360" w:lineRule="auto"/>
        <w:ind w:right="-817" w:rightChars="-389" w:firstLine="3120" w:firstLineChars="1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1D92E4A">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4966B380">
      <w:pPr>
        <w:adjustRightInd w:val="0"/>
        <w:snapToGrid w:val="0"/>
        <w:spacing w:line="30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
          <w:bCs w:val="0"/>
          <w:color w:val="auto"/>
          <w:sz w:val="44"/>
          <w:szCs w:val="44"/>
          <w:highlight w:val="none"/>
        </w:rPr>
        <w:t>技术要求偏离表</w:t>
      </w:r>
    </w:p>
    <w:p w14:paraId="0E52FD07">
      <w:pPr>
        <w:spacing w:line="520" w:lineRule="exact"/>
        <w:rPr>
          <w:rFonts w:hint="eastAsia" w:ascii="宋体" w:hAnsi="宋体" w:eastAsia="宋体" w:cs="宋体"/>
          <w:color w:val="auto"/>
          <w:sz w:val="32"/>
          <w:szCs w:val="32"/>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2"/>
        <w:gridCol w:w="1013"/>
        <w:gridCol w:w="3362"/>
        <w:gridCol w:w="3026"/>
        <w:gridCol w:w="1651"/>
      </w:tblGrid>
      <w:tr w14:paraId="533CE8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35F7711">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503" w:type="pct"/>
            <w:tcBorders>
              <w:right w:val="single" w:color="auto" w:sz="4" w:space="0"/>
            </w:tcBorders>
            <w:noWrap w:val="0"/>
            <w:vAlign w:val="center"/>
          </w:tcPr>
          <w:p w14:paraId="0FF38B3C">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p>
        </w:tc>
        <w:tc>
          <w:tcPr>
            <w:tcW w:w="1670" w:type="pct"/>
            <w:tcBorders>
              <w:left w:val="single" w:color="auto" w:sz="4" w:space="0"/>
            </w:tcBorders>
            <w:noWrap w:val="0"/>
            <w:vAlign w:val="center"/>
          </w:tcPr>
          <w:p w14:paraId="4AEEE079">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单一来源采购文件要求</w:t>
            </w:r>
          </w:p>
        </w:tc>
        <w:tc>
          <w:tcPr>
            <w:tcW w:w="1503" w:type="pct"/>
            <w:noWrap w:val="0"/>
            <w:vAlign w:val="center"/>
          </w:tcPr>
          <w:p w14:paraId="593E137F">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协商响应</w:t>
            </w:r>
          </w:p>
        </w:tc>
        <w:tc>
          <w:tcPr>
            <w:tcW w:w="820" w:type="pct"/>
            <w:noWrap w:val="0"/>
            <w:vAlign w:val="center"/>
          </w:tcPr>
          <w:p w14:paraId="07B03A57">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偏离说明</w:t>
            </w:r>
          </w:p>
        </w:tc>
      </w:tr>
      <w:tr w14:paraId="2055A7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1A62DC1">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03" w:type="pct"/>
            <w:tcBorders>
              <w:right w:val="single" w:color="auto" w:sz="4" w:space="0"/>
            </w:tcBorders>
            <w:noWrap w:val="0"/>
            <w:vAlign w:val="center"/>
          </w:tcPr>
          <w:p w14:paraId="15BB470F">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670" w:type="pct"/>
            <w:tcBorders>
              <w:left w:val="single" w:color="auto" w:sz="4" w:space="0"/>
            </w:tcBorders>
            <w:noWrap w:val="0"/>
            <w:vAlign w:val="center"/>
          </w:tcPr>
          <w:p w14:paraId="722D90E8">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305663E1">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noWrap w:val="0"/>
            <w:vAlign w:val="center"/>
          </w:tcPr>
          <w:p w14:paraId="276C8E36">
            <w:pPr>
              <w:snapToGrid w:val="0"/>
              <w:spacing w:before="120" w:beforeLines="50" w:line="360" w:lineRule="auto"/>
              <w:jc w:val="center"/>
              <w:rPr>
                <w:rFonts w:hint="eastAsia" w:ascii="宋体" w:hAnsi="宋体" w:eastAsia="宋体" w:cs="宋体"/>
                <w:color w:val="auto"/>
                <w:sz w:val="24"/>
                <w:highlight w:val="none"/>
                <w:lang w:val="en-US" w:eastAsia="zh-CN"/>
              </w:rPr>
            </w:pPr>
          </w:p>
        </w:tc>
      </w:tr>
      <w:tr w14:paraId="020923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8C95C97">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03" w:type="pct"/>
            <w:tcBorders>
              <w:right w:val="single" w:color="auto" w:sz="4" w:space="0"/>
            </w:tcBorders>
            <w:noWrap w:val="0"/>
            <w:vAlign w:val="center"/>
          </w:tcPr>
          <w:p w14:paraId="590CA492">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670" w:type="pct"/>
            <w:tcBorders>
              <w:left w:val="single" w:color="auto" w:sz="4" w:space="0"/>
            </w:tcBorders>
            <w:noWrap w:val="0"/>
            <w:vAlign w:val="center"/>
          </w:tcPr>
          <w:p w14:paraId="03A6FA78">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506B1C8F">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noWrap w:val="0"/>
            <w:vAlign w:val="center"/>
          </w:tcPr>
          <w:p w14:paraId="094FD7A0">
            <w:pPr>
              <w:snapToGrid w:val="0"/>
              <w:spacing w:before="120" w:beforeLines="50" w:line="360" w:lineRule="auto"/>
              <w:jc w:val="center"/>
              <w:rPr>
                <w:rFonts w:hint="eastAsia" w:ascii="宋体" w:hAnsi="宋体" w:eastAsia="宋体" w:cs="宋体"/>
                <w:color w:val="auto"/>
                <w:sz w:val="24"/>
                <w:highlight w:val="none"/>
                <w:lang w:val="en-US" w:eastAsia="zh-CN"/>
              </w:rPr>
            </w:pPr>
          </w:p>
        </w:tc>
      </w:tr>
      <w:tr w14:paraId="317D7C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145893D">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03" w:type="pct"/>
            <w:tcBorders>
              <w:right w:val="single" w:color="auto" w:sz="4" w:space="0"/>
            </w:tcBorders>
            <w:noWrap w:val="0"/>
            <w:vAlign w:val="center"/>
          </w:tcPr>
          <w:p w14:paraId="2B961DCC">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670" w:type="pct"/>
            <w:tcBorders>
              <w:left w:val="single" w:color="auto" w:sz="4" w:space="0"/>
            </w:tcBorders>
            <w:noWrap w:val="0"/>
            <w:vAlign w:val="center"/>
          </w:tcPr>
          <w:p w14:paraId="0DD57383">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0DB3AC5F">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noWrap w:val="0"/>
            <w:vAlign w:val="center"/>
          </w:tcPr>
          <w:p w14:paraId="6A9FABF8">
            <w:pPr>
              <w:snapToGrid w:val="0"/>
              <w:spacing w:before="120" w:beforeLines="50" w:line="360" w:lineRule="auto"/>
              <w:jc w:val="center"/>
              <w:rPr>
                <w:rFonts w:hint="eastAsia" w:ascii="宋体" w:hAnsi="宋体" w:eastAsia="宋体" w:cs="宋体"/>
                <w:color w:val="auto"/>
                <w:sz w:val="24"/>
                <w:highlight w:val="none"/>
                <w:lang w:val="en-US" w:eastAsia="zh-CN"/>
              </w:rPr>
            </w:pPr>
          </w:p>
        </w:tc>
      </w:tr>
      <w:tr w14:paraId="3997F2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C8A2FA5">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03" w:type="pct"/>
            <w:tcBorders>
              <w:right w:val="single" w:color="auto" w:sz="4" w:space="0"/>
            </w:tcBorders>
            <w:noWrap w:val="0"/>
            <w:vAlign w:val="center"/>
          </w:tcPr>
          <w:p w14:paraId="30B51011">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670" w:type="pct"/>
            <w:tcBorders>
              <w:left w:val="single" w:color="auto" w:sz="4" w:space="0"/>
            </w:tcBorders>
            <w:noWrap w:val="0"/>
            <w:vAlign w:val="center"/>
          </w:tcPr>
          <w:p w14:paraId="1095B372">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62402562">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noWrap w:val="0"/>
            <w:vAlign w:val="center"/>
          </w:tcPr>
          <w:p w14:paraId="47597789">
            <w:pPr>
              <w:snapToGrid w:val="0"/>
              <w:spacing w:before="120" w:beforeLines="50" w:line="360" w:lineRule="auto"/>
              <w:jc w:val="center"/>
              <w:rPr>
                <w:rFonts w:hint="eastAsia" w:ascii="宋体" w:hAnsi="宋体" w:eastAsia="宋体" w:cs="宋体"/>
                <w:color w:val="auto"/>
                <w:sz w:val="24"/>
                <w:highlight w:val="none"/>
                <w:lang w:val="en-US" w:eastAsia="zh-CN"/>
              </w:rPr>
            </w:pPr>
          </w:p>
        </w:tc>
      </w:tr>
      <w:tr w14:paraId="67F79F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D5CD059">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03" w:type="pct"/>
            <w:tcBorders>
              <w:right w:val="single" w:color="auto" w:sz="4" w:space="0"/>
            </w:tcBorders>
            <w:noWrap w:val="0"/>
            <w:vAlign w:val="center"/>
          </w:tcPr>
          <w:p w14:paraId="182AFEAB">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670" w:type="pct"/>
            <w:tcBorders>
              <w:left w:val="single" w:color="auto" w:sz="4" w:space="0"/>
            </w:tcBorders>
            <w:noWrap w:val="0"/>
            <w:vAlign w:val="center"/>
          </w:tcPr>
          <w:p w14:paraId="715A62EA">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18246A7E">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noWrap w:val="0"/>
            <w:vAlign w:val="center"/>
          </w:tcPr>
          <w:p w14:paraId="5EC9E9D3">
            <w:pPr>
              <w:snapToGrid w:val="0"/>
              <w:spacing w:before="120" w:beforeLines="50" w:line="360" w:lineRule="auto"/>
              <w:jc w:val="center"/>
              <w:rPr>
                <w:rFonts w:hint="eastAsia" w:ascii="宋体" w:hAnsi="宋体" w:eastAsia="宋体" w:cs="宋体"/>
                <w:color w:val="auto"/>
                <w:sz w:val="24"/>
                <w:highlight w:val="none"/>
                <w:lang w:val="en-US" w:eastAsia="zh-CN"/>
              </w:rPr>
            </w:pPr>
          </w:p>
        </w:tc>
      </w:tr>
      <w:tr w14:paraId="65DAC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23A05B9C">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503" w:type="pct"/>
            <w:tcBorders>
              <w:right w:val="single" w:color="auto" w:sz="4" w:space="0"/>
            </w:tcBorders>
            <w:noWrap w:val="0"/>
            <w:vAlign w:val="center"/>
          </w:tcPr>
          <w:p w14:paraId="5501B965">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670" w:type="pct"/>
            <w:tcBorders>
              <w:left w:val="single" w:color="auto" w:sz="4" w:space="0"/>
            </w:tcBorders>
            <w:noWrap w:val="0"/>
            <w:vAlign w:val="center"/>
          </w:tcPr>
          <w:p w14:paraId="0C6270D5">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2F3328AE">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tcBorders>
              <w:right w:val="single" w:color="auto" w:sz="4" w:space="0"/>
            </w:tcBorders>
            <w:noWrap w:val="0"/>
            <w:vAlign w:val="center"/>
          </w:tcPr>
          <w:p w14:paraId="39837755">
            <w:pPr>
              <w:snapToGrid w:val="0"/>
              <w:spacing w:before="120" w:beforeLines="50" w:line="360" w:lineRule="auto"/>
              <w:jc w:val="center"/>
              <w:rPr>
                <w:rFonts w:hint="eastAsia" w:ascii="宋体" w:hAnsi="宋体" w:eastAsia="宋体" w:cs="宋体"/>
                <w:color w:val="auto"/>
                <w:sz w:val="24"/>
                <w:highlight w:val="none"/>
                <w:lang w:val="en-US" w:eastAsia="zh-CN"/>
              </w:rPr>
            </w:pPr>
          </w:p>
        </w:tc>
      </w:tr>
    </w:tbl>
    <w:p w14:paraId="2B66058C">
      <w:pPr>
        <w:pStyle w:val="10"/>
        <w:spacing w:line="360" w:lineRule="auto"/>
        <w:ind w:firstLine="0" w:firstLineChars="0"/>
        <w:contextualSpacing/>
        <w:rPr>
          <w:rFonts w:hint="eastAsia" w:ascii="宋体" w:hAnsi="宋体" w:eastAsia="宋体" w:cs="宋体"/>
          <w:color w:val="auto"/>
          <w:sz w:val="24"/>
          <w:szCs w:val="24"/>
          <w:highlight w:val="none"/>
        </w:rPr>
      </w:pPr>
    </w:p>
    <w:p w14:paraId="6ACB1F12">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A062364">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“第三章 采购需求”中的技术要求逐条实质性响应，并作出偏离说明。</w:t>
      </w:r>
    </w:p>
    <w:p w14:paraId="6A9A2FC1">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设备的性能指标，对照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要求，在“偏离说明”中注明“正偏离”、“负偏离”或者“无偏离”。既不属于“正偏离”也不属于“负偏离”即为“无偏离”。</w:t>
      </w:r>
    </w:p>
    <w:p w14:paraId="5965A857">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3.供应商认为其</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响应有正偏离的，请在</w:t>
      </w:r>
      <w:r>
        <w:rPr>
          <w:rFonts w:hint="eastAsia" w:ascii="宋体" w:hAnsi="宋体" w:eastAsia="宋体" w:cs="宋体"/>
          <w:color w:val="auto"/>
          <w:sz w:val="24"/>
          <w:szCs w:val="24"/>
          <w:highlight w:val="none"/>
          <w:lang w:eastAsia="zh-CN"/>
        </w:rPr>
        <w:t>技术要求偏离表</w:t>
      </w:r>
      <w:r>
        <w:rPr>
          <w:rFonts w:hint="eastAsia" w:ascii="宋体" w:hAnsi="宋体" w:eastAsia="宋体" w:cs="宋体"/>
          <w:color w:val="auto"/>
          <w:sz w:val="24"/>
          <w:szCs w:val="24"/>
          <w:highlight w:val="none"/>
        </w:rPr>
        <w:t>中列明，且在响应文件中提供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材料</w:t>
      </w:r>
      <w:r>
        <w:rPr>
          <w:rFonts w:hint="eastAsia" w:ascii="宋体" w:hAnsi="宋体" w:eastAsia="宋体" w:cs="宋体"/>
          <w:color w:val="auto"/>
          <w:sz w:val="24"/>
          <w:szCs w:val="24"/>
          <w:highlight w:val="none"/>
        </w:rPr>
        <w:t>作为佐证，佐证材料均需加盖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4A9375F0">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w:t>
      </w:r>
      <w:r>
        <w:rPr>
          <w:rFonts w:hint="eastAsia" w:ascii="宋体" w:hAnsi="宋体" w:eastAsia="宋体" w:cs="宋体"/>
          <w:color w:val="auto"/>
          <w:sz w:val="24"/>
          <w:szCs w:val="24"/>
          <w:highlight w:val="none"/>
          <w:lang w:eastAsia="zh-CN"/>
        </w:rPr>
        <w:t>技术要求偏离表</w:t>
      </w:r>
      <w:r>
        <w:rPr>
          <w:rFonts w:hint="eastAsia" w:ascii="宋体" w:hAnsi="宋体" w:eastAsia="宋体" w:cs="宋体"/>
          <w:color w:val="auto"/>
          <w:sz w:val="24"/>
          <w:szCs w:val="24"/>
          <w:highlight w:val="none"/>
        </w:rPr>
        <w:t>中的</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响应与佐证材料不一致的，以佐证材料为准。</w:t>
      </w:r>
    </w:p>
    <w:p w14:paraId="3D5CE28A">
      <w:pPr>
        <w:pStyle w:val="10"/>
        <w:spacing w:line="360" w:lineRule="auto"/>
        <w:ind w:firstLine="0" w:firstLineChars="0"/>
        <w:contextualSpacing/>
        <w:rPr>
          <w:rFonts w:hint="eastAsia" w:ascii="宋体" w:hAnsi="宋体" w:eastAsia="宋体" w:cs="宋体"/>
          <w:color w:val="auto"/>
          <w:sz w:val="24"/>
          <w:szCs w:val="24"/>
          <w:highlight w:val="none"/>
        </w:rPr>
      </w:pPr>
    </w:p>
    <w:p w14:paraId="7A026694">
      <w:pPr>
        <w:spacing w:line="360" w:lineRule="auto"/>
        <w:ind w:right="-817" w:rightChars="-389"/>
        <w:contextualSpacing/>
        <w:rPr>
          <w:rFonts w:hint="eastAsia" w:ascii="宋体" w:hAnsi="宋体" w:eastAsia="宋体" w:cs="宋体"/>
          <w:color w:val="auto"/>
          <w:sz w:val="24"/>
          <w:highlight w:val="none"/>
        </w:rPr>
      </w:pPr>
    </w:p>
    <w:p w14:paraId="4A468012">
      <w:pPr>
        <w:spacing w:line="360" w:lineRule="auto"/>
        <w:ind w:right="-817" w:rightChars="-389" w:firstLine="3120" w:firstLineChars="1300"/>
        <w:contextualSpacing/>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p>
    <w:p w14:paraId="582370D8">
      <w:pPr>
        <w:spacing w:line="360" w:lineRule="auto"/>
        <w:ind w:right="-817" w:rightChars="-389" w:firstLine="3120" w:firstLineChars="1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p>
    <w:p w14:paraId="4BAB517B">
      <w:pPr>
        <w:spacing w:line="360" w:lineRule="auto"/>
        <w:ind w:right="-817" w:rightChars="-389" w:firstLine="3120" w:firstLineChars="1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6FC0BEA">
      <w:pPr>
        <w:spacing w:line="300" w:lineRule="auto"/>
        <w:rPr>
          <w:rFonts w:hint="eastAsia" w:ascii="宋体" w:hAnsi="宋体"/>
          <w:color w:val="auto"/>
          <w:szCs w:val="21"/>
          <w:highlight w:val="none"/>
        </w:rPr>
      </w:pPr>
      <w:r>
        <w:rPr>
          <w:rFonts w:hint="eastAsia" w:ascii="宋体" w:hAnsi="宋体" w:eastAsia="宋体" w:cs="宋体"/>
          <w:b/>
          <w:bCs/>
          <w:color w:val="auto"/>
          <w:sz w:val="24"/>
          <w:highlight w:val="none"/>
        </w:rPr>
        <w:br w:type="page"/>
      </w:r>
      <w:bookmarkStart w:id="31" w:name="_Toc74322013"/>
      <w:bookmarkStart w:id="32" w:name="_Toc16152"/>
      <w:r>
        <w:rPr>
          <w:rFonts w:hint="eastAsia" w:ascii="宋体" w:hAnsi="宋体"/>
          <w:b/>
          <w:bCs/>
          <w:color w:val="auto"/>
          <w:sz w:val="24"/>
          <w:highlight w:val="none"/>
        </w:rPr>
        <w:t>其他文书、文件格式</w:t>
      </w:r>
    </w:p>
    <w:p w14:paraId="623E8A58">
      <w:pPr>
        <w:jc w:val="center"/>
        <w:rPr>
          <w:rFonts w:hint="eastAsia" w:ascii="宋体" w:hAnsi="宋体" w:cs="宋体"/>
          <w:color w:val="auto"/>
          <w:sz w:val="44"/>
          <w:szCs w:val="44"/>
          <w:highlight w:val="none"/>
        </w:rPr>
      </w:pPr>
      <w:bookmarkStart w:id="33" w:name="_Toc71365926"/>
      <w:r>
        <w:rPr>
          <w:rFonts w:hint="eastAsia" w:ascii="宋体" w:hAnsi="宋体" w:cs="宋体"/>
          <w:color w:val="auto"/>
          <w:sz w:val="44"/>
          <w:szCs w:val="44"/>
          <w:highlight w:val="none"/>
        </w:rPr>
        <w:t>中小企业声明函（服务）</w:t>
      </w:r>
      <w:bookmarkEnd w:id="33"/>
    </w:p>
    <w:p w14:paraId="40DD2355">
      <w:pPr>
        <w:spacing w:before="2" w:line="500" w:lineRule="exact"/>
        <w:ind w:firstLine="708" w:firstLineChars="294"/>
        <w:rPr>
          <w:rFonts w:hint="eastAsia" w:ascii="宋体" w:hAnsi="宋体" w:cs="宋体"/>
          <w:b/>
          <w:bCs/>
          <w:color w:val="auto"/>
          <w:sz w:val="24"/>
          <w:highlight w:val="none"/>
        </w:rPr>
      </w:pPr>
    </w:p>
    <w:p w14:paraId="10DD170C">
      <w:pPr>
        <w:pStyle w:val="9"/>
        <w:spacing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0888FC4">
      <w:pPr>
        <w:tabs>
          <w:tab w:val="left" w:pos="1384"/>
          <w:tab w:val="left" w:pos="4562"/>
          <w:tab w:val="left" w:pos="6803"/>
        </w:tabs>
        <w:spacing w:before="13" w:line="500" w:lineRule="exact"/>
        <w:ind w:right="142" w:firstLine="772" w:firstLineChars="322"/>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30A2513">
      <w:pPr>
        <w:tabs>
          <w:tab w:val="left" w:pos="1065"/>
          <w:tab w:val="left" w:pos="4262"/>
          <w:tab w:val="left" w:pos="6477"/>
        </w:tabs>
        <w:spacing w:before="20" w:line="500" w:lineRule="exact"/>
        <w:ind w:right="84" w:firstLine="772" w:firstLineChars="322"/>
        <w:rPr>
          <w:rFonts w:hint="eastAsia"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7754201">
      <w:pPr>
        <w:pStyle w:val="9"/>
        <w:spacing w:before="34"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5F30082">
      <w:pPr>
        <w:pStyle w:val="9"/>
        <w:spacing w:before="34"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62185CA">
      <w:pPr>
        <w:pStyle w:val="9"/>
        <w:spacing w:before="25" w:line="500" w:lineRule="exact"/>
        <w:ind w:right="142" w:firstLine="705" w:firstLineChars="294"/>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CE2DEDC">
      <w:pPr>
        <w:pStyle w:val="9"/>
        <w:spacing w:before="56" w:line="500" w:lineRule="exact"/>
        <w:ind w:right="1808" w:firstLine="705" w:firstLineChars="294"/>
        <w:rPr>
          <w:rFonts w:hint="eastAsia" w:ascii="宋体" w:hAnsi="宋体" w:cs="宋体"/>
          <w:color w:val="auto"/>
          <w:sz w:val="24"/>
          <w:highlight w:val="none"/>
        </w:rPr>
      </w:pPr>
    </w:p>
    <w:p w14:paraId="59AC8994">
      <w:pPr>
        <w:pStyle w:val="9"/>
        <w:spacing w:before="56" w:line="500" w:lineRule="exact"/>
        <w:ind w:right="650" w:firstLine="5625" w:firstLineChars="2344"/>
        <w:rPr>
          <w:rFonts w:hint="eastAsia" w:ascii="宋体" w:hAnsi="宋体" w:cs="宋体"/>
          <w:color w:val="auto"/>
          <w:sz w:val="24"/>
          <w:highlight w:val="none"/>
        </w:rPr>
      </w:pPr>
      <w:r>
        <w:rPr>
          <w:rFonts w:hint="eastAsia" w:ascii="宋体" w:hAnsi="宋体" w:cs="宋体"/>
          <w:color w:val="auto"/>
          <w:sz w:val="24"/>
          <w:highlight w:val="none"/>
        </w:rPr>
        <w:t xml:space="preserve">企业名称（章）： </w:t>
      </w:r>
    </w:p>
    <w:p w14:paraId="0AF26057">
      <w:pPr>
        <w:pStyle w:val="9"/>
        <w:spacing w:before="56" w:line="500" w:lineRule="exact"/>
        <w:ind w:right="1808" w:firstLine="5625" w:firstLineChars="2344"/>
        <w:rPr>
          <w:rFonts w:hint="eastAsia" w:ascii="宋体" w:hAnsi="宋体" w:cs="宋体"/>
          <w:color w:val="auto"/>
          <w:sz w:val="24"/>
          <w:highlight w:val="none"/>
        </w:rPr>
      </w:pPr>
      <w:r>
        <w:rPr>
          <w:rFonts w:hint="eastAsia" w:ascii="宋体" w:hAnsi="宋体" w:cs="宋体"/>
          <w:color w:val="auto"/>
          <w:sz w:val="24"/>
          <w:highlight w:val="none"/>
        </w:rPr>
        <w:t>日 期：</w:t>
      </w:r>
    </w:p>
    <w:p w14:paraId="03B196C9">
      <w:pPr>
        <w:spacing w:line="520" w:lineRule="exact"/>
        <w:jc w:val="left"/>
        <w:rPr>
          <w:rFonts w:hint="eastAsia"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B4C364B">
      <w:pPr>
        <w:spacing w:line="360" w:lineRule="auto"/>
        <w:contextualSpacing/>
        <w:jc w:val="left"/>
        <w:rPr>
          <w:rFonts w:hint="eastAsia" w:ascii="宋体" w:hAnsi="宋体" w:cs="仿宋_GB2312"/>
          <w:color w:val="auto"/>
          <w:sz w:val="24"/>
          <w:highlight w:val="none"/>
        </w:rPr>
      </w:pPr>
    </w:p>
    <w:p w14:paraId="78071814">
      <w:pPr>
        <w:spacing w:line="360" w:lineRule="auto"/>
        <w:contextualSpacing/>
        <w:jc w:val="center"/>
        <w:rPr>
          <w:rFonts w:hint="eastAsia" w:ascii="宋体" w:hAnsi="宋体"/>
          <w:color w:val="auto"/>
          <w:sz w:val="24"/>
          <w:highlight w:val="none"/>
        </w:rPr>
      </w:pPr>
    </w:p>
    <w:p w14:paraId="1A4C1BBA">
      <w:pPr>
        <w:spacing w:line="360" w:lineRule="auto"/>
        <w:contextualSpacing/>
        <w:jc w:val="center"/>
        <w:rPr>
          <w:rFonts w:hint="eastAsia" w:ascii="宋体" w:hAnsi="宋体"/>
          <w:color w:val="auto"/>
          <w:sz w:val="24"/>
          <w:highlight w:val="none"/>
        </w:rPr>
      </w:pPr>
    </w:p>
    <w:p w14:paraId="04DDE346">
      <w:pPr>
        <w:pStyle w:val="12"/>
        <w:jc w:val="left"/>
        <w:rPr>
          <w:rFonts w:hint="eastAsia"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14:paraId="417CC2CA">
      <w:pPr>
        <w:jc w:val="center"/>
        <w:rPr>
          <w:rFonts w:hint="eastAsia"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1563A680">
      <w:pPr>
        <w:ind w:left="1871"/>
        <w:rPr>
          <w:rFonts w:hint="eastAsia" w:ascii="宋体" w:hAnsi="宋体" w:cs="Arial Unicode MS"/>
          <w:color w:val="auto"/>
          <w:szCs w:val="21"/>
          <w:highlight w:val="none"/>
        </w:rPr>
      </w:pPr>
    </w:p>
    <w:tbl>
      <w:tblPr>
        <w:tblStyle w:val="20"/>
        <w:tblW w:w="8496" w:type="dxa"/>
        <w:jc w:val="center"/>
        <w:tblLayout w:type="fixed"/>
        <w:tblCellMar>
          <w:top w:w="0" w:type="dxa"/>
          <w:left w:w="108" w:type="dxa"/>
          <w:bottom w:w="0" w:type="dxa"/>
          <w:right w:w="108" w:type="dxa"/>
        </w:tblCellMar>
      </w:tblPr>
      <w:tblGrid>
        <w:gridCol w:w="1811"/>
        <w:gridCol w:w="1473"/>
        <w:gridCol w:w="972"/>
        <w:gridCol w:w="1725"/>
        <w:gridCol w:w="1532"/>
        <w:gridCol w:w="983"/>
      </w:tblGrid>
      <w:tr w14:paraId="650C0B20">
        <w:tblPrEx>
          <w:tblCellMar>
            <w:top w:w="0" w:type="dxa"/>
            <w:left w:w="108" w:type="dxa"/>
            <w:bottom w:w="0" w:type="dxa"/>
            <w:right w:w="108" w:type="dxa"/>
          </w:tblCellMar>
        </w:tblPrEx>
        <w:trPr>
          <w:trHeight w:val="884" w:hRule="atLeast"/>
          <w:jc w:val="center"/>
        </w:trPr>
        <w:tc>
          <w:tcPr>
            <w:tcW w:w="1811" w:type="dxa"/>
            <w:tcBorders>
              <w:top w:val="single" w:color="auto" w:sz="4" w:space="0"/>
              <w:left w:val="single" w:color="auto" w:sz="4" w:space="0"/>
              <w:bottom w:val="single" w:color="auto" w:sz="4" w:space="0"/>
              <w:right w:val="single" w:color="auto" w:sz="4" w:space="0"/>
            </w:tcBorders>
            <w:noWrap w:val="0"/>
            <w:vAlign w:val="center"/>
          </w:tcPr>
          <w:p w14:paraId="3569F56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473" w:type="dxa"/>
            <w:tcBorders>
              <w:top w:val="single" w:color="auto" w:sz="4" w:space="0"/>
              <w:left w:val="nil"/>
              <w:bottom w:val="single" w:color="auto" w:sz="4" w:space="0"/>
              <w:right w:val="single" w:color="auto" w:sz="4" w:space="0"/>
            </w:tcBorders>
            <w:noWrap w:val="0"/>
            <w:vAlign w:val="center"/>
          </w:tcPr>
          <w:p w14:paraId="1B284B6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72" w:type="dxa"/>
            <w:tcBorders>
              <w:top w:val="single" w:color="auto" w:sz="4" w:space="0"/>
              <w:left w:val="nil"/>
              <w:bottom w:val="single" w:color="auto" w:sz="4" w:space="0"/>
              <w:right w:val="single" w:color="auto" w:sz="4" w:space="0"/>
            </w:tcBorders>
            <w:noWrap w:val="0"/>
            <w:vAlign w:val="center"/>
          </w:tcPr>
          <w:p w14:paraId="0BCB1D0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725" w:type="dxa"/>
            <w:tcBorders>
              <w:top w:val="single" w:color="auto" w:sz="4" w:space="0"/>
              <w:left w:val="nil"/>
              <w:bottom w:val="single" w:color="auto" w:sz="4" w:space="0"/>
              <w:right w:val="single" w:color="auto" w:sz="4" w:space="0"/>
            </w:tcBorders>
            <w:noWrap w:val="0"/>
            <w:vAlign w:val="center"/>
          </w:tcPr>
          <w:p w14:paraId="70DE091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532" w:type="dxa"/>
            <w:tcBorders>
              <w:top w:val="single" w:color="auto" w:sz="4" w:space="0"/>
              <w:left w:val="nil"/>
              <w:bottom w:val="single" w:color="auto" w:sz="4" w:space="0"/>
              <w:right w:val="single" w:color="auto" w:sz="4" w:space="0"/>
            </w:tcBorders>
            <w:noWrap w:val="0"/>
            <w:vAlign w:val="center"/>
          </w:tcPr>
          <w:p w14:paraId="5CA2B6F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83" w:type="dxa"/>
            <w:tcBorders>
              <w:top w:val="single" w:color="auto" w:sz="4" w:space="0"/>
              <w:left w:val="nil"/>
              <w:bottom w:val="single" w:color="auto" w:sz="4" w:space="0"/>
              <w:right w:val="single" w:color="auto" w:sz="4" w:space="0"/>
            </w:tcBorders>
            <w:noWrap w:val="0"/>
            <w:vAlign w:val="center"/>
          </w:tcPr>
          <w:p w14:paraId="0E4284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6496FD0D">
        <w:tblPrEx>
          <w:tblCellMar>
            <w:top w:w="0" w:type="dxa"/>
            <w:left w:w="108" w:type="dxa"/>
            <w:bottom w:w="0" w:type="dxa"/>
            <w:right w:w="108" w:type="dxa"/>
          </w:tblCellMar>
        </w:tblPrEx>
        <w:trPr>
          <w:trHeight w:val="352" w:hRule="atLeast"/>
          <w:jc w:val="center"/>
        </w:trPr>
        <w:tc>
          <w:tcPr>
            <w:tcW w:w="1811" w:type="dxa"/>
            <w:tcBorders>
              <w:top w:val="nil"/>
              <w:left w:val="single" w:color="auto" w:sz="4" w:space="0"/>
              <w:bottom w:val="single" w:color="auto" w:sz="4" w:space="0"/>
              <w:right w:val="single" w:color="auto" w:sz="4" w:space="0"/>
            </w:tcBorders>
            <w:noWrap w:val="0"/>
            <w:vAlign w:val="bottom"/>
          </w:tcPr>
          <w:p w14:paraId="06B3A27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473" w:type="dxa"/>
            <w:tcBorders>
              <w:top w:val="nil"/>
              <w:left w:val="nil"/>
              <w:bottom w:val="single" w:color="auto" w:sz="4" w:space="0"/>
              <w:right w:val="single" w:color="auto" w:sz="4" w:space="0"/>
            </w:tcBorders>
            <w:noWrap w:val="0"/>
            <w:vAlign w:val="center"/>
          </w:tcPr>
          <w:p w14:paraId="20051A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09F06A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46DC7F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32" w:type="dxa"/>
            <w:tcBorders>
              <w:top w:val="nil"/>
              <w:left w:val="nil"/>
              <w:bottom w:val="single" w:color="auto" w:sz="4" w:space="0"/>
              <w:right w:val="single" w:color="auto" w:sz="4" w:space="0"/>
            </w:tcBorders>
            <w:noWrap w:val="0"/>
            <w:vAlign w:val="center"/>
          </w:tcPr>
          <w:p w14:paraId="1027D5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83" w:type="dxa"/>
            <w:tcBorders>
              <w:top w:val="nil"/>
              <w:left w:val="nil"/>
              <w:bottom w:val="single" w:color="auto" w:sz="4" w:space="0"/>
              <w:right w:val="single" w:color="auto" w:sz="4" w:space="0"/>
            </w:tcBorders>
            <w:noWrap w:val="0"/>
            <w:vAlign w:val="center"/>
          </w:tcPr>
          <w:p w14:paraId="17DE5C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E13831B">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01632C7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473" w:type="dxa"/>
            <w:tcBorders>
              <w:top w:val="nil"/>
              <w:left w:val="nil"/>
              <w:bottom w:val="single" w:color="auto" w:sz="4" w:space="0"/>
              <w:right w:val="single" w:color="auto" w:sz="4" w:space="0"/>
            </w:tcBorders>
            <w:noWrap w:val="0"/>
            <w:vAlign w:val="center"/>
          </w:tcPr>
          <w:p w14:paraId="7B7D44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46EE74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5CD5AC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5DFEFC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83" w:type="dxa"/>
            <w:tcBorders>
              <w:top w:val="nil"/>
              <w:left w:val="nil"/>
              <w:bottom w:val="single" w:color="auto" w:sz="4" w:space="0"/>
              <w:right w:val="single" w:color="auto" w:sz="4" w:space="0"/>
            </w:tcBorders>
            <w:noWrap w:val="0"/>
            <w:vAlign w:val="center"/>
          </w:tcPr>
          <w:p w14:paraId="79ACDC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1C95807">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64F779F7">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634D03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4DB49E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C8F9C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532" w:type="dxa"/>
            <w:tcBorders>
              <w:top w:val="nil"/>
              <w:left w:val="nil"/>
              <w:bottom w:val="single" w:color="auto" w:sz="4" w:space="0"/>
              <w:right w:val="single" w:color="auto" w:sz="4" w:space="0"/>
            </w:tcBorders>
            <w:noWrap w:val="0"/>
            <w:vAlign w:val="center"/>
          </w:tcPr>
          <w:p w14:paraId="5BF422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83" w:type="dxa"/>
            <w:tcBorders>
              <w:top w:val="nil"/>
              <w:left w:val="nil"/>
              <w:bottom w:val="single" w:color="auto" w:sz="4" w:space="0"/>
              <w:right w:val="single" w:color="auto" w:sz="4" w:space="0"/>
            </w:tcBorders>
            <w:noWrap w:val="0"/>
            <w:vAlign w:val="center"/>
          </w:tcPr>
          <w:p w14:paraId="49C8C5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D8A14A8">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18FB759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473" w:type="dxa"/>
            <w:tcBorders>
              <w:top w:val="nil"/>
              <w:left w:val="nil"/>
              <w:bottom w:val="single" w:color="auto" w:sz="4" w:space="0"/>
              <w:right w:val="single" w:color="auto" w:sz="4" w:space="0"/>
            </w:tcBorders>
            <w:noWrap w:val="0"/>
            <w:vAlign w:val="center"/>
          </w:tcPr>
          <w:p w14:paraId="4EA5C4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6EEDF9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5EE631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532" w:type="dxa"/>
            <w:tcBorders>
              <w:top w:val="nil"/>
              <w:left w:val="nil"/>
              <w:bottom w:val="single" w:color="auto" w:sz="4" w:space="0"/>
              <w:right w:val="single" w:color="auto" w:sz="4" w:space="0"/>
            </w:tcBorders>
            <w:noWrap w:val="0"/>
            <w:vAlign w:val="center"/>
          </w:tcPr>
          <w:p w14:paraId="40A036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83" w:type="dxa"/>
            <w:tcBorders>
              <w:top w:val="nil"/>
              <w:left w:val="nil"/>
              <w:bottom w:val="single" w:color="auto" w:sz="4" w:space="0"/>
              <w:right w:val="single" w:color="auto" w:sz="4" w:space="0"/>
            </w:tcBorders>
            <w:noWrap w:val="0"/>
            <w:vAlign w:val="center"/>
          </w:tcPr>
          <w:p w14:paraId="59F68F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60DE61F8">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779A1A16">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461A76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72" w:type="dxa"/>
            <w:tcBorders>
              <w:top w:val="nil"/>
              <w:left w:val="nil"/>
              <w:bottom w:val="single" w:color="auto" w:sz="4" w:space="0"/>
              <w:right w:val="single" w:color="auto" w:sz="4" w:space="0"/>
            </w:tcBorders>
            <w:noWrap w:val="0"/>
            <w:vAlign w:val="center"/>
          </w:tcPr>
          <w:p w14:paraId="4A5770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48847E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532" w:type="dxa"/>
            <w:tcBorders>
              <w:top w:val="nil"/>
              <w:left w:val="nil"/>
              <w:bottom w:val="single" w:color="auto" w:sz="4" w:space="0"/>
              <w:right w:val="single" w:color="auto" w:sz="4" w:space="0"/>
            </w:tcBorders>
            <w:noWrap w:val="0"/>
            <w:vAlign w:val="center"/>
          </w:tcPr>
          <w:p w14:paraId="77CA0F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83" w:type="dxa"/>
            <w:tcBorders>
              <w:top w:val="nil"/>
              <w:left w:val="nil"/>
              <w:bottom w:val="single" w:color="auto" w:sz="4" w:space="0"/>
              <w:right w:val="single" w:color="auto" w:sz="4" w:space="0"/>
            </w:tcBorders>
            <w:noWrap w:val="0"/>
            <w:vAlign w:val="center"/>
          </w:tcPr>
          <w:p w14:paraId="3BB640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1CB67D28">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18D0124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473" w:type="dxa"/>
            <w:tcBorders>
              <w:top w:val="nil"/>
              <w:left w:val="nil"/>
              <w:bottom w:val="single" w:color="auto" w:sz="4" w:space="0"/>
              <w:right w:val="single" w:color="auto" w:sz="4" w:space="0"/>
            </w:tcBorders>
            <w:noWrap w:val="0"/>
            <w:vAlign w:val="center"/>
          </w:tcPr>
          <w:p w14:paraId="59602B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765C96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10E95A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532" w:type="dxa"/>
            <w:tcBorders>
              <w:top w:val="nil"/>
              <w:left w:val="nil"/>
              <w:bottom w:val="single" w:color="auto" w:sz="4" w:space="0"/>
              <w:right w:val="single" w:color="auto" w:sz="4" w:space="0"/>
            </w:tcBorders>
            <w:noWrap w:val="0"/>
            <w:vAlign w:val="center"/>
          </w:tcPr>
          <w:p w14:paraId="1A695D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83" w:type="dxa"/>
            <w:tcBorders>
              <w:top w:val="nil"/>
              <w:left w:val="nil"/>
              <w:bottom w:val="single" w:color="auto" w:sz="4" w:space="0"/>
              <w:right w:val="single" w:color="auto" w:sz="4" w:space="0"/>
            </w:tcBorders>
            <w:noWrap w:val="0"/>
            <w:vAlign w:val="center"/>
          </w:tcPr>
          <w:p w14:paraId="7C736E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22C46855">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0BEAA0F4">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2DE30F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26E9E9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A85B9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532" w:type="dxa"/>
            <w:tcBorders>
              <w:top w:val="nil"/>
              <w:left w:val="nil"/>
              <w:bottom w:val="single" w:color="auto" w:sz="4" w:space="0"/>
              <w:right w:val="single" w:color="auto" w:sz="4" w:space="0"/>
            </w:tcBorders>
            <w:noWrap w:val="0"/>
            <w:vAlign w:val="center"/>
          </w:tcPr>
          <w:p w14:paraId="7F6F31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83" w:type="dxa"/>
            <w:tcBorders>
              <w:top w:val="nil"/>
              <w:left w:val="nil"/>
              <w:bottom w:val="single" w:color="auto" w:sz="4" w:space="0"/>
              <w:right w:val="single" w:color="auto" w:sz="4" w:space="0"/>
            </w:tcBorders>
            <w:noWrap w:val="0"/>
            <w:vAlign w:val="center"/>
          </w:tcPr>
          <w:p w14:paraId="014FD0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022CCADD">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388C438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473" w:type="dxa"/>
            <w:tcBorders>
              <w:top w:val="nil"/>
              <w:left w:val="nil"/>
              <w:bottom w:val="single" w:color="auto" w:sz="4" w:space="0"/>
              <w:right w:val="single" w:color="auto" w:sz="4" w:space="0"/>
            </w:tcBorders>
            <w:noWrap w:val="0"/>
            <w:vAlign w:val="center"/>
          </w:tcPr>
          <w:p w14:paraId="5586D7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002A0F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789289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532" w:type="dxa"/>
            <w:tcBorders>
              <w:top w:val="nil"/>
              <w:left w:val="nil"/>
              <w:bottom w:val="single" w:color="auto" w:sz="4" w:space="0"/>
              <w:right w:val="single" w:color="auto" w:sz="4" w:space="0"/>
            </w:tcBorders>
            <w:noWrap w:val="0"/>
            <w:vAlign w:val="center"/>
          </w:tcPr>
          <w:p w14:paraId="1B83CE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83" w:type="dxa"/>
            <w:tcBorders>
              <w:top w:val="nil"/>
              <w:left w:val="nil"/>
              <w:bottom w:val="single" w:color="auto" w:sz="4" w:space="0"/>
              <w:right w:val="single" w:color="auto" w:sz="4" w:space="0"/>
            </w:tcBorders>
            <w:noWrap w:val="0"/>
            <w:vAlign w:val="center"/>
          </w:tcPr>
          <w:p w14:paraId="3A2E69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5568B3">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1D970C69">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7ABDC4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386E9B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6F862F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32" w:type="dxa"/>
            <w:tcBorders>
              <w:top w:val="nil"/>
              <w:left w:val="nil"/>
              <w:bottom w:val="single" w:color="auto" w:sz="4" w:space="0"/>
              <w:right w:val="single" w:color="auto" w:sz="4" w:space="0"/>
            </w:tcBorders>
            <w:noWrap w:val="0"/>
            <w:vAlign w:val="center"/>
          </w:tcPr>
          <w:p w14:paraId="2DF26B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83" w:type="dxa"/>
            <w:tcBorders>
              <w:top w:val="nil"/>
              <w:left w:val="nil"/>
              <w:bottom w:val="single" w:color="auto" w:sz="4" w:space="0"/>
              <w:right w:val="single" w:color="auto" w:sz="4" w:space="0"/>
            </w:tcBorders>
            <w:noWrap w:val="0"/>
            <w:vAlign w:val="center"/>
          </w:tcPr>
          <w:p w14:paraId="4E9655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3D9CCD1">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2589F7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473" w:type="dxa"/>
            <w:tcBorders>
              <w:top w:val="nil"/>
              <w:left w:val="nil"/>
              <w:bottom w:val="single" w:color="auto" w:sz="4" w:space="0"/>
              <w:right w:val="single" w:color="auto" w:sz="4" w:space="0"/>
            </w:tcBorders>
            <w:noWrap w:val="0"/>
            <w:vAlign w:val="center"/>
          </w:tcPr>
          <w:p w14:paraId="1DD74D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58BEBA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4B803D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22A8EA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83" w:type="dxa"/>
            <w:tcBorders>
              <w:top w:val="nil"/>
              <w:left w:val="nil"/>
              <w:bottom w:val="single" w:color="auto" w:sz="4" w:space="0"/>
              <w:right w:val="single" w:color="auto" w:sz="4" w:space="0"/>
            </w:tcBorders>
            <w:noWrap w:val="0"/>
            <w:vAlign w:val="center"/>
          </w:tcPr>
          <w:p w14:paraId="6FD7D0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E2C02ED">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031CFCF4">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4D29E6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5CFD09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237B08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532" w:type="dxa"/>
            <w:tcBorders>
              <w:top w:val="nil"/>
              <w:left w:val="nil"/>
              <w:bottom w:val="single" w:color="auto" w:sz="4" w:space="0"/>
              <w:right w:val="single" w:color="auto" w:sz="4" w:space="0"/>
            </w:tcBorders>
            <w:noWrap w:val="0"/>
            <w:vAlign w:val="center"/>
          </w:tcPr>
          <w:p w14:paraId="4824D5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83" w:type="dxa"/>
            <w:tcBorders>
              <w:top w:val="nil"/>
              <w:left w:val="nil"/>
              <w:bottom w:val="single" w:color="auto" w:sz="4" w:space="0"/>
              <w:right w:val="single" w:color="auto" w:sz="4" w:space="0"/>
            </w:tcBorders>
            <w:noWrap w:val="0"/>
            <w:vAlign w:val="center"/>
          </w:tcPr>
          <w:p w14:paraId="3C3802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FEB3E29">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4EB6360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473" w:type="dxa"/>
            <w:tcBorders>
              <w:top w:val="nil"/>
              <w:left w:val="nil"/>
              <w:bottom w:val="single" w:color="auto" w:sz="4" w:space="0"/>
              <w:right w:val="single" w:color="auto" w:sz="4" w:space="0"/>
            </w:tcBorders>
            <w:noWrap w:val="0"/>
            <w:vAlign w:val="center"/>
          </w:tcPr>
          <w:p w14:paraId="594624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08B2E5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5883B9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532" w:type="dxa"/>
            <w:tcBorders>
              <w:top w:val="nil"/>
              <w:left w:val="nil"/>
              <w:bottom w:val="single" w:color="auto" w:sz="4" w:space="0"/>
              <w:right w:val="single" w:color="auto" w:sz="4" w:space="0"/>
            </w:tcBorders>
            <w:noWrap w:val="0"/>
            <w:vAlign w:val="center"/>
          </w:tcPr>
          <w:p w14:paraId="083E10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83" w:type="dxa"/>
            <w:tcBorders>
              <w:top w:val="nil"/>
              <w:left w:val="nil"/>
              <w:bottom w:val="single" w:color="auto" w:sz="4" w:space="0"/>
              <w:right w:val="single" w:color="auto" w:sz="4" w:space="0"/>
            </w:tcBorders>
            <w:noWrap w:val="0"/>
            <w:vAlign w:val="center"/>
          </w:tcPr>
          <w:p w14:paraId="22247D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F2377D3">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365C4564">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4FB1E5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4C3C07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68EF70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532" w:type="dxa"/>
            <w:tcBorders>
              <w:top w:val="nil"/>
              <w:left w:val="nil"/>
              <w:bottom w:val="single" w:color="auto" w:sz="4" w:space="0"/>
              <w:right w:val="single" w:color="auto" w:sz="4" w:space="0"/>
            </w:tcBorders>
            <w:noWrap w:val="0"/>
            <w:vAlign w:val="center"/>
          </w:tcPr>
          <w:p w14:paraId="4B40A1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83" w:type="dxa"/>
            <w:tcBorders>
              <w:top w:val="nil"/>
              <w:left w:val="nil"/>
              <w:bottom w:val="single" w:color="auto" w:sz="4" w:space="0"/>
              <w:right w:val="single" w:color="auto" w:sz="4" w:space="0"/>
            </w:tcBorders>
            <w:noWrap w:val="0"/>
            <w:vAlign w:val="center"/>
          </w:tcPr>
          <w:p w14:paraId="5805C9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786D6BB">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3D4BD6B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473" w:type="dxa"/>
            <w:tcBorders>
              <w:top w:val="nil"/>
              <w:left w:val="nil"/>
              <w:bottom w:val="single" w:color="auto" w:sz="4" w:space="0"/>
              <w:right w:val="single" w:color="auto" w:sz="4" w:space="0"/>
            </w:tcBorders>
            <w:noWrap w:val="0"/>
            <w:vAlign w:val="center"/>
          </w:tcPr>
          <w:p w14:paraId="7BD2DF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392546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673E3A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4EE5A2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83" w:type="dxa"/>
            <w:tcBorders>
              <w:top w:val="nil"/>
              <w:left w:val="nil"/>
              <w:bottom w:val="single" w:color="auto" w:sz="4" w:space="0"/>
              <w:right w:val="single" w:color="auto" w:sz="4" w:space="0"/>
            </w:tcBorders>
            <w:noWrap w:val="0"/>
            <w:vAlign w:val="center"/>
          </w:tcPr>
          <w:p w14:paraId="72909F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C59AA27">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08B50303">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05D808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5E770A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2455F2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532" w:type="dxa"/>
            <w:tcBorders>
              <w:top w:val="nil"/>
              <w:left w:val="nil"/>
              <w:bottom w:val="single" w:color="auto" w:sz="4" w:space="0"/>
              <w:right w:val="single" w:color="auto" w:sz="4" w:space="0"/>
            </w:tcBorders>
            <w:noWrap w:val="0"/>
            <w:vAlign w:val="center"/>
          </w:tcPr>
          <w:p w14:paraId="6480A6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83" w:type="dxa"/>
            <w:tcBorders>
              <w:top w:val="nil"/>
              <w:left w:val="nil"/>
              <w:bottom w:val="single" w:color="auto" w:sz="4" w:space="0"/>
              <w:right w:val="single" w:color="auto" w:sz="4" w:space="0"/>
            </w:tcBorders>
            <w:noWrap w:val="0"/>
            <w:vAlign w:val="center"/>
          </w:tcPr>
          <w:p w14:paraId="4685C6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91E602">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09CEA63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473" w:type="dxa"/>
            <w:tcBorders>
              <w:top w:val="nil"/>
              <w:left w:val="nil"/>
              <w:bottom w:val="single" w:color="auto" w:sz="4" w:space="0"/>
              <w:right w:val="single" w:color="auto" w:sz="4" w:space="0"/>
            </w:tcBorders>
            <w:noWrap w:val="0"/>
            <w:vAlign w:val="center"/>
          </w:tcPr>
          <w:p w14:paraId="5DF91B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0D7D49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564EC1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24E340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2E9E42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59303DA">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6A5B17A7">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3127B5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5B129F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28E0BD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32" w:type="dxa"/>
            <w:tcBorders>
              <w:top w:val="nil"/>
              <w:left w:val="nil"/>
              <w:bottom w:val="single" w:color="auto" w:sz="4" w:space="0"/>
              <w:right w:val="single" w:color="auto" w:sz="4" w:space="0"/>
            </w:tcBorders>
            <w:noWrap w:val="0"/>
            <w:vAlign w:val="center"/>
          </w:tcPr>
          <w:p w14:paraId="0A2158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83" w:type="dxa"/>
            <w:tcBorders>
              <w:top w:val="nil"/>
              <w:left w:val="nil"/>
              <w:bottom w:val="single" w:color="auto" w:sz="4" w:space="0"/>
              <w:right w:val="single" w:color="auto" w:sz="4" w:space="0"/>
            </w:tcBorders>
            <w:noWrap w:val="0"/>
            <w:vAlign w:val="center"/>
          </w:tcPr>
          <w:p w14:paraId="075487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45E7C6F">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3488C27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473" w:type="dxa"/>
            <w:tcBorders>
              <w:top w:val="nil"/>
              <w:left w:val="nil"/>
              <w:bottom w:val="single" w:color="auto" w:sz="4" w:space="0"/>
              <w:right w:val="single" w:color="auto" w:sz="4" w:space="0"/>
            </w:tcBorders>
            <w:noWrap w:val="0"/>
            <w:vAlign w:val="center"/>
          </w:tcPr>
          <w:p w14:paraId="507685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73B046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62E4AC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12EC47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6B1C74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34F083F">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2FF2EF7F">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007F8C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4CBC73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6FAE53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32" w:type="dxa"/>
            <w:tcBorders>
              <w:top w:val="nil"/>
              <w:left w:val="nil"/>
              <w:bottom w:val="single" w:color="auto" w:sz="4" w:space="0"/>
              <w:right w:val="single" w:color="auto" w:sz="4" w:space="0"/>
            </w:tcBorders>
            <w:noWrap w:val="0"/>
            <w:vAlign w:val="center"/>
          </w:tcPr>
          <w:p w14:paraId="1ADFB4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83" w:type="dxa"/>
            <w:tcBorders>
              <w:top w:val="nil"/>
              <w:left w:val="nil"/>
              <w:bottom w:val="single" w:color="auto" w:sz="4" w:space="0"/>
              <w:right w:val="single" w:color="auto" w:sz="4" w:space="0"/>
            </w:tcBorders>
            <w:noWrap w:val="0"/>
            <w:vAlign w:val="center"/>
          </w:tcPr>
          <w:p w14:paraId="1D0D02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2C1B3BF">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3A03A7E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473" w:type="dxa"/>
            <w:tcBorders>
              <w:top w:val="nil"/>
              <w:left w:val="nil"/>
              <w:bottom w:val="single" w:color="auto" w:sz="4" w:space="0"/>
              <w:right w:val="single" w:color="auto" w:sz="4" w:space="0"/>
            </w:tcBorders>
            <w:noWrap w:val="0"/>
            <w:vAlign w:val="center"/>
          </w:tcPr>
          <w:p w14:paraId="219C2A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2931F5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0CDA98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532" w:type="dxa"/>
            <w:tcBorders>
              <w:top w:val="nil"/>
              <w:left w:val="nil"/>
              <w:bottom w:val="single" w:color="auto" w:sz="4" w:space="0"/>
              <w:right w:val="single" w:color="auto" w:sz="4" w:space="0"/>
            </w:tcBorders>
            <w:noWrap w:val="0"/>
            <w:vAlign w:val="center"/>
          </w:tcPr>
          <w:p w14:paraId="795313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3F45AC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064B878">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490D73B8">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228C61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36C90D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510048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532" w:type="dxa"/>
            <w:tcBorders>
              <w:top w:val="nil"/>
              <w:left w:val="nil"/>
              <w:bottom w:val="single" w:color="auto" w:sz="4" w:space="0"/>
              <w:right w:val="single" w:color="auto" w:sz="4" w:space="0"/>
            </w:tcBorders>
            <w:noWrap w:val="0"/>
            <w:vAlign w:val="center"/>
          </w:tcPr>
          <w:p w14:paraId="63D47A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83" w:type="dxa"/>
            <w:tcBorders>
              <w:top w:val="nil"/>
              <w:left w:val="nil"/>
              <w:bottom w:val="single" w:color="auto" w:sz="4" w:space="0"/>
              <w:right w:val="single" w:color="auto" w:sz="4" w:space="0"/>
            </w:tcBorders>
            <w:noWrap w:val="0"/>
            <w:vAlign w:val="center"/>
          </w:tcPr>
          <w:p w14:paraId="6C1F94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D77CF12">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6C8172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473" w:type="dxa"/>
            <w:tcBorders>
              <w:top w:val="nil"/>
              <w:left w:val="nil"/>
              <w:bottom w:val="single" w:color="auto" w:sz="4" w:space="0"/>
              <w:right w:val="single" w:color="auto" w:sz="4" w:space="0"/>
            </w:tcBorders>
            <w:noWrap w:val="0"/>
            <w:vAlign w:val="center"/>
          </w:tcPr>
          <w:p w14:paraId="562272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0803F6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303030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00C1A9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38D0D6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C10118E">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30A0BA86">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7B4D3B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088D1B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D4CFD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532" w:type="dxa"/>
            <w:tcBorders>
              <w:top w:val="nil"/>
              <w:left w:val="nil"/>
              <w:bottom w:val="single" w:color="auto" w:sz="4" w:space="0"/>
              <w:right w:val="single" w:color="auto" w:sz="4" w:space="0"/>
            </w:tcBorders>
            <w:noWrap w:val="0"/>
            <w:vAlign w:val="center"/>
          </w:tcPr>
          <w:p w14:paraId="47409C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83" w:type="dxa"/>
            <w:tcBorders>
              <w:top w:val="nil"/>
              <w:left w:val="nil"/>
              <w:bottom w:val="single" w:color="auto" w:sz="4" w:space="0"/>
              <w:right w:val="single" w:color="auto" w:sz="4" w:space="0"/>
            </w:tcBorders>
            <w:noWrap w:val="0"/>
            <w:vAlign w:val="center"/>
          </w:tcPr>
          <w:p w14:paraId="5460CB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30AEE67">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4D35233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473" w:type="dxa"/>
            <w:tcBorders>
              <w:top w:val="nil"/>
              <w:left w:val="nil"/>
              <w:bottom w:val="single" w:color="auto" w:sz="4" w:space="0"/>
              <w:right w:val="single" w:color="auto" w:sz="4" w:space="0"/>
            </w:tcBorders>
            <w:noWrap w:val="0"/>
            <w:vAlign w:val="center"/>
          </w:tcPr>
          <w:p w14:paraId="34BDDD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2A21A0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6AFC20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532" w:type="dxa"/>
            <w:tcBorders>
              <w:top w:val="nil"/>
              <w:left w:val="nil"/>
              <w:bottom w:val="single" w:color="auto" w:sz="4" w:space="0"/>
              <w:right w:val="single" w:color="auto" w:sz="4" w:space="0"/>
            </w:tcBorders>
            <w:noWrap w:val="0"/>
            <w:vAlign w:val="center"/>
          </w:tcPr>
          <w:p w14:paraId="6E9B93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83" w:type="dxa"/>
            <w:tcBorders>
              <w:top w:val="nil"/>
              <w:left w:val="nil"/>
              <w:bottom w:val="single" w:color="auto" w:sz="4" w:space="0"/>
              <w:right w:val="single" w:color="auto" w:sz="4" w:space="0"/>
            </w:tcBorders>
            <w:noWrap w:val="0"/>
            <w:vAlign w:val="center"/>
          </w:tcPr>
          <w:p w14:paraId="48DFAD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D409567">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7D292F96">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1B1963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72" w:type="dxa"/>
            <w:tcBorders>
              <w:top w:val="nil"/>
              <w:left w:val="nil"/>
              <w:bottom w:val="single" w:color="auto" w:sz="4" w:space="0"/>
              <w:right w:val="single" w:color="auto" w:sz="4" w:space="0"/>
            </w:tcBorders>
            <w:noWrap w:val="0"/>
            <w:vAlign w:val="center"/>
          </w:tcPr>
          <w:p w14:paraId="162D4D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249E0D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532" w:type="dxa"/>
            <w:tcBorders>
              <w:top w:val="nil"/>
              <w:left w:val="nil"/>
              <w:bottom w:val="single" w:color="auto" w:sz="4" w:space="0"/>
              <w:right w:val="single" w:color="auto" w:sz="4" w:space="0"/>
            </w:tcBorders>
            <w:noWrap w:val="0"/>
            <w:vAlign w:val="center"/>
          </w:tcPr>
          <w:p w14:paraId="46FFBF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83" w:type="dxa"/>
            <w:tcBorders>
              <w:top w:val="nil"/>
              <w:left w:val="nil"/>
              <w:bottom w:val="single" w:color="auto" w:sz="4" w:space="0"/>
              <w:right w:val="single" w:color="auto" w:sz="4" w:space="0"/>
            </w:tcBorders>
            <w:noWrap w:val="0"/>
            <w:vAlign w:val="center"/>
          </w:tcPr>
          <w:p w14:paraId="283911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2B345D09">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79DCFE1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473" w:type="dxa"/>
            <w:tcBorders>
              <w:top w:val="nil"/>
              <w:left w:val="nil"/>
              <w:bottom w:val="single" w:color="auto" w:sz="4" w:space="0"/>
              <w:right w:val="single" w:color="auto" w:sz="4" w:space="0"/>
            </w:tcBorders>
            <w:noWrap w:val="0"/>
            <w:vAlign w:val="center"/>
          </w:tcPr>
          <w:p w14:paraId="4113E8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089680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447BAA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3FD218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83" w:type="dxa"/>
            <w:tcBorders>
              <w:top w:val="nil"/>
              <w:left w:val="nil"/>
              <w:bottom w:val="single" w:color="auto" w:sz="4" w:space="0"/>
              <w:right w:val="single" w:color="auto" w:sz="4" w:space="0"/>
            </w:tcBorders>
            <w:noWrap w:val="0"/>
            <w:vAlign w:val="center"/>
          </w:tcPr>
          <w:p w14:paraId="52E225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160130D">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606545A4">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0E111A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1EE72E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4E6B06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32" w:type="dxa"/>
            <w:tcBorders>
              <w:top w:val="nil"/>
              <w:left w:val="nil"/>
              <w:bottom w:val="single" w:color="auto" w:sz="4" w:space="0"/>
              <w:right w:val="single" w:color="auto" w:sz="4" w:space="0"/>
            </w:tcBorders>
            <w:noWrap w:val="0"/>
            <w:vAlign w:val="center"/>
          </w:tcPr>
          <w:p w14:paraId="781E0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83" w:type="dxa"/>
            <w:tcBorders>
              <w:top w:val="nil"/>
              <w:left w:val="nil"/>
              <w:bottom w:val="single" w:color="auto" w:sz="4" w:space="0"/>
              <w:right w:val="single" w:color="auto" w:sz="4" w:space="0"/>
            </w:tcBorders>
            <w:noWrap w:val="0"/>
            <w:vAlign w:val="center"/>
          </w:tcPr>
          <w:p w14:paraId="0ACC8F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43B3A763">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77CACF3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473" w:type="dxa"/>
            <w:tcBorders>
              <w:top w:val="nil"/>
              <w:left w:val="nil"/>
              <w:bottom w:val="single" w:color="auto" w:sz="4" w:space="0"/>
              <w:right w:val="single" w:color="auto" w:sz="4" w:space="0"/>
            </w:tcBorders>
            <w:noWrap w:val="0"/>
            <w:vAlign w:val="center"/>
          </w:tcPr>
          <w:p w14:paraId="7A2B16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75C297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51FEFC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340D33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4F01FF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AA66998">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4FA28705">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61FFFB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72" w:type="dxa"/>
            <w:tcBorders>
              <w:top w:val="nil"/>
              <w:left w:val="nil"/>
              <w:bottom w:val="single" w:color="auto" w:sz="4" w:space="0"/>
              <w:right w:val="single" w:color="auto" w:sz="4" w:space="0"/>
            </w:tcBorders>
            <w:noWrap w:val="0"/>
            <w:vAlign w:val="center"/>
          </w:tcPr>
          <w:p w14:paraId="387454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0306DA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532" w:type="dxa"/>
            <w:tcBorders>
              <w:top w:val="nil"/>
              <w:left w:val="nil"/>
              <w:bottom w:val="single" w:color="auto" w:sz="4" w:space="0"/>
              <w:right w:val="single" w:color="auto" w:sz="4" w:space="0"/>
            </w:tcBorders>
            <w:noWrap w:val="0"/>
            <w:vAlign w:val="center"/>
          </w:tcPr>
          <w:p w14:paraId="586481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83" w:type="dxa"/>
            <w:tcBorders>
              <w:top w:val="nil"/>
              <w:left w:val="nil"/>
              <w:bottom w:val="single" w:color="auto" w:sz="4" w:space="0"/>
              <w:right w:val="single" w:color="auto" w:sz="4" w:space="0"/>
            </w:tcBorders>
            <w:noWrap w:val="0"/>
            <w:vAlign w:val="center"/>
          </w:tcPr>
          <w:p w14:paraId="42511D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0F2351C">
        <w:tblPrEx>
          <w:tblCellMar>
            <w:top w:w="0" w:type="dxa"/>
            <w:left w:w="108" w:type="dxa"/>
            <w:bottom w:w="0" w:type="dxa"/>
            <w:right w:w="108" w:type="dxa"/>
          </w:tblCellMar>
        </w:tblPrEx>
        <w:trPr>
          <w:trHeight w:val="386" w:hRule="atLeast"/>
          <w:jc w:val="center"/>
        </w:trPr>
        <w:tc>
          <w:tcPr>
            <w:tcW w:w="1811" w:type="dxa"/>
            <w:tcBorders>
              <w:top w:val="nil"/>
              <w:left w:val="single" w:color="auto" w:sz="4" w:space="0"/>
              <w:bottom w:val="single" w:color="auto" w:sz="4" w:space="0"/>
              <w:right w:val="single" w:color="auto" w:sz="4" w:space="0"/>
            </w:tcBorders>
            <w:noWrap w:val="0"/>
            <w:vAlign w:val="bottom"/>
          </w:tcPr>
          <w:p w14:paraId="27E1282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473" w:type="dxa"/>
            <w:tcBorders>
              <w:top w:val="nil"/>
              <w:left w:val="nil"/>
              <w:bottom w:val="single" w:color="auto" w:sz="4" w:space="0"/>
              <w:right w:val="single" w:color="auto" w:sz="4" w:space="0"/>
            </w:tcBorders>
            <w:noWrap w:val="0"/>
            <w:vAlign w:val="center"/>
          </w:tcPr>
          <w:p w14:paraId="43B604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0717B3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4CD3DA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6B0CA4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709C20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620457BB">
      <w:pPr>
        <w:spacing w:line="360" w:lineRule="auto"/>
        <w:ind w:firstLine="525" w:firstLineChars="250"/>
        <w:rPr>
          <w:rFonts w:hint="eastAsia" w:ascii="仿宋_GB2312" w:hAnsi="仿宋" w:eastAsia="仿宋_GB2312"/>
          <w:color w:val="auto"/>
          <w:szCs w:val="21"/>
          <w:highlight w:val="none"/>
        </w:rPr>
      </w:pPr>
    </w:p>
    <w:p w14:paraId="5056CE56">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5716DC4">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宋体" w:hAnsi="宋体" w:eastAsia="宋体" w:cs="宋体"/>
          <w:color w:val="auto"/>
          <w:sz w:val="44"/>
          <w:szCs w:val="44"/>
          <w:highlight w:val="none"/>
        </w:rPr>
        <w:t>残疾人福利性单位声明函</w:t>
      </w:r>
    </w:p>
    <w:p w14:paraId="2EE31CEE">
      <w:pPr>
        <w:spacing w:line="520" w:lineRule="exact"/>
        <w:rPr>
          <w:rFonts w:hint="eastAsia" w:ascii="仿宋_GB2312" w:hAnsi="仿宋_GB2312" w:eastAsia="仿宋_GB2312" w:cs="仿宋_GB2312"/>
          <w:color w:val="auto"/>
          <w:sz w:val="32"/>
          <w:szCs w:val="32"/>
          <w:highlight w:val="none"/>
        </w:rPr>
      </w:pPr>
    </w:p>
    <w:p w14:paraId="7E50F25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DEE190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F6B7049">
      <w:pPr>
        <w:spacing w:line="360" w:lineRule="auto"/>
        <w:contextualSpacing/>
        <w:rPr>
          <w:rFonts w:hint="eastAsia" w:ascii="宋体" w:hAnsi="宋体" w:cs="仿宋_GB2312"/>
          <w:color w:val="auto"/>
          <w:sz w:val="24"/>
          <w:highlight w:val="none"/>
        </w:rPr>
      </w:pPr>
    </w:p>
    <w:p w14:paraId="2B0BB287">
      <w:pPr>
        <w:spacing w:line="360" w:lineRule="auto"/>
        <w:contextualSpacing/>
        <w:rPr>
          <w:rFonts w:hint="eastAsia" w:ascii="宋体" w:hAnsi="宋体" w:cs="仿宋_GB2312"/>
          <w:color w:val="auto"/>
          <w:sz w:val="24"/>
          <w:highlight w:val="none"/>
        </w:rPr>
      </w:pPr>
    </w:p>
    <w:p w14:paraId="7BB69F2D">
      <w:pPr>
        <w:spacing w:line="360" w:lineRule="auto"/>
        <w:contextualSpacing/>
        <w:rPr>
          <w:rFonts w:hint="eastAsia" w:ascii="宋体" w:hAnsi="宋体" w:cs="仿宋_GB2312"/>
          <w:color w:val="auto"/>
          <w:sz w:val="24"/>
          <w:highlight w:val="none"/>
        </w:rPr>
      </w:pPr>
    </w:p>
    <w:p w14:paraId="59C8201C">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3B3BD69E">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F16AD83">
      <w:pPr>
        <w:spacing w:line="360" w:lineRule="auto"/>
        <w:contextualSpacing/>
        <w:rPr>
          <w:rFonts w:hint="eastAsia" w:ascii="宋体" w:hAnsi="宋体" w:cs="仿宋_GB2312"/>
          <w:color w:val="auto"/>
          <w:sz w:val="24"/>
          <w:highlight w:val="none"/>
        </w:rPr>
      </w:pPr>
    </w:p>
    <w:p w14:paraId="531B31CA">
      <w:pPr>
        <w:spacing w:line="360" w:lineRule="auto"/>
        <w:contextualSpacing/>
        <w:rPr>
          <w:rFonts w:hint="eastAsia" w:ascii="宋体" w:hAnsi="宋体" w:cs="仿宋_GB2312"/>
          <w:color w:val="auto"/>
          <w:sz w:val="24"/>
          <w:highlight w:val="none"/>
        </w:rPr>
      </w:pPr>
    </w:p>
    <w:p w14:paraId="0AD7E9B7">
      <w:pPr>
        <w:spacing w:line="360" w:lineRule="auto"/>
        <w:contextualSpacing/>
        <w:rPr>
          <w:rFonts w:hint="eastAsia" w:ascii="宋体" w:hAnsi="宋体" w:cs="仿宋_GB2312"/>
          <w:color w:val="auto"/>
          <w:sz w:val="24"/>
          <w:highlight w:val="none"/>
        </w:rPr>
      </w:pPr>
    </w:p>
    <w:p w14:paraId="052392A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91B7F6C">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250813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6C199CC6">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0C7F4F6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5EC74186">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5DB7447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640E7FC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25DA2B01">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60AE8918">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w:t>
      </w:r>
      <w:r>
        <w:rPr>
          <w:rFonts w:hint="eastAsia"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合同文本</w:t>
      </w:r>
      <w:bookmarkEnd w:id="31"/>
      <w:bookmarkEnd w:id="32"/>
    </w:p>
    <w:p w14:paraId="56DC2C89">
      <w:pPr>
        <w:rPr>
          <w:rFonts w:hint="eastAsia" w:ascii="宋体" w:hAnsi="宋体" w:cs="宋体"/>
          <w:bCs/>
          <w:color w:val="auto"/>
          <w:sz w:val="21"/>
          <w:szCs w:val="21"/>
          <w:highlight w:val="none"/>
        </w:rPr>
      </w:pPr>
      <w:r>
        <w:rPr>
          <w:rFonts w:hint="eastAsia" w:ascii="宋体" w:hAnsi="宋体" w:cs="宋体"/>
          <w:bCs/>
          <w:color w:val="auto"/>
          <w:sz w:val="21"/>
          <w:szCs w:val="21"/>
          <w:highlight w:val="none"/>
        </w:rPr>
        <w:br w:type="page"/>
      </w:r>
    </w:p>
    <w:p w14:paraId="54325130">
      <w:pPr>
        <w:pStyle w:val="9"/>
        <w:spacing w:after="0"/>
        <w:jc w:val="center"/>
        <w:rPr>
          <w:rFonts w:ascii="宋体" w:hAnsi="宋体" w:cs="宋体"/>
          <w:b/>
          <w:bCs/>
          <w:color w:val="auto"/>
          <w:spacing w:val="-20"/>
          <w:kern w:val="44"/>
          <w:sz w:val="48"/>
          <w:szCs w:val="48"/>
          <w:highlight w:val="none"/>
        </w:rPr>
      </w:pPr>
      <w:bookmarkStart w:id="34" w:name="_Toc3995"/>
    </w:p>
    <w:p w14:paraId="07D50E11">
      <w:pPr>
        <w:jc w:val="center"/>
        <w:rPr>
          <w:rFonts w:ascii="宋体" w:hAnsi="宋体" w:cs="宋体"/>
          <w:b/>
          <w:bCs/>
          <w:color w:val="auto"/>
          <w:spacing w:val="-20"/>
          <w:kern w:val="44"/>
          <w:sz w:val="48"/>
          <w:szCs w:val="48"/>
          <w:highlight w:val="none"/>
        </w:rPr>
      </w:pPr>
    </w:p>
    <w:p w14:paraId="7549A118">
      <w:pPr>
        <w:jc w:val="center"/>
        <w:rPr>
          <w:rFonts w:ascii="宋体" w:hAnsi="宋体" w:cs="宋体"/>
          <w:b/>
          <w:bCs/>
          <w:color w:val="auto"/>
          <w:spacing w:val="-20"/>
          <w:kern w:val="44"/>
          <w:sz w:val="48"/>
          <w:szCs w:val="48"/>
          <w:highlight w:val="none"/>
        </w:rPr>
      </w:pPr>
    </w:p>
    <w:p w14:paraId="1EC75B1B">
      <w:pPr>
        <w:jc w:val="center"/>
        <w:rPr>
          <w:rFonts w:ascii="宋体" w:hAnsi="宋体" w:cs="宋体"/>
          <w:b/>
          <w:bCs/>
          <w:color w:val="auto"/>
          <w:spacing w:val="-20"/>
          <w:kern w:val="44"/>
          <w:sz w:val="48"/>
          <w:szCs w:val="48"/>
          <w:highlight w:val="none"/>
        </w:rPr>
      </w:pPr>
    </w:p>
    <w:p w14:paraId="6F63091F">
      <w:pPr>
        <w:jc w:val="center"/>
        <w:rPr>
          <w:rFonts w:ascii="宋体" w:hAnsi="宋体" w:cs="宋体"/>
          <w:b/>
          <w:bCs/>
          <w:color w:val="auto"/>
          <w:spacing w:val="-20"/>
          <w:kern w:val="44"/>
          <w:sz w:val="48"/>
          <w:szCs w:val="48"/>
          <w:highlight w:val="none"/>
        </w:rPr>
      </w:pPr>
    </w:p>
    <w:p w14:paraId="44B8FF3F">
      <w:pPr>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val="en-US" w:eastAsia="zh-CN"/>
        </w:rPr>
        <w:t>服务</w:t>
      </w:r>
      <w:r>
        <w:rPr>
          <w:rFonts w:hint="eastAsia" w:ascii="宋体" w:hAnsi="宋体" w:cs="宋体"/>
          <w:b/>
          <w:bCs/>
          <w:color w:val="auto"/>
          <w:spacing w:val="-20"/>
          <w:kern w:val="44"/>
          <w:sz w:val="48"/>
          <w:szCs w:val="48"/>
          <w:highlight w:val="none"/>
        </w:rPr>
        <w:t>合同</w:t>
      </w:r>
    </w:p>
    <w:p w14:paraId="5B3CDA70">
      <w:pPr>
        <w:rPr>
          <w:rFonts w:ascii="宋体" w:hAnsi="宋体" w:cs="宋体"/>
          <w:b/>
          <w:bCs/>
          <w:color w:val="auto"/>
          <w:spacing w:val="-20"/>
          <w:kern w:val="44"/>
          <w:sz w:val="40"/>
          <w:szCs w:val="40"/>
          <w:highlight w:val="none"/>
        </w:rPr>
      </w:pPr>
    </w:p>
    <w:p w14:paraId="5AD33583">
      <w:pPr>
        <w:rPr>
          <w:rFonts w:ascii="宋体" w:hAnsi="宋体" w:cs="宋体"/>
          <w:b/>
          <w:bCs/>
          <w:color w:val="auto"/>
          <w:spacing w:val="-20"/>
          <w:kern w:val="44"/>
          <w:sz w:val="40"/>
          <w:szCs w:val="40"/>
          <w:highlight w:val="none"/>
        </w:rPr>
      </w:pPr>
    </w:p>
    <w:p w14:paraId="2C438ECA">
      <w:pPr>
        <w:rPr>
          <w:rFonts w:ascii="宋体" w:hAnsi="宋体" w:cs="宋体"/>
          <w:b/>
          <w:bCs/>
          <w:color w:val="auto"/>
          <w:spacing w:val="-20"/>
          <w:kern w:val="44"/>
          <w:sz w:val="40"/>
          <w:szCs w:val="40"/>
          <w:highlight w:val="none"/>
        </w:rPr>
      </w:pPr>
    </w:p>
    <w:p w14:paraId="5248F368">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3BBD2DEC">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724528F4">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24817CB">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75A3781E">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2D1C1173">
      <w:pPr>
        <w:rPr>
          <w:color w:val="auto"/>
          <w:highlight w:val="none"/>
        </w:rPr>
      </w:pPr>
    </w:p>
    <w:p w14:paraId="74F6E109">
      <w:pPr>
        <w:rPr>
          <w:rFonts w:eastAsia="黑体"/>
          <w:color w:val="auto"/>
          <w:sz w:val="44"/>
          <w:szCs w:val="44"/>
          <w:highlight w:val="none"/>
        </w:rPr>
      </w:pPr>
      <w:r>
        <w:rPr>
          <w:rFonts w:eastAsia="黑体"/>
          <w:color w:val="auto"/>
          <w:sz w:val="44"/>
          <w:szCs w:val="44"/>
          <w:highlight w:val="none"/>
        </w:rPr>
        <w:br w:type="page"/>
      </w:r>
    </w:p>
    <w:bookmarkEnd w:id="34"/>
    <w:p w14:paraId="34A6F752">
      <w:pPr>
        <w:spacing w:line="520" w:lineRule="exact"/>
        <w:rPr>
          <w:rFonts w:hint="eastAsia" w:ascii="宋体" w:hAnsi="宋体" w:cs="宋体"/>
          <w:b/>
          <w:color w:val="auto"/>
          <w:sz w:val="32"/>
          <w:szCs w:val="32"/>
          <w:highlight w:val="none"/>
        </w:rPr>
      </w:pPr>
    </w:p>
    <w:p w14:paraId="66174EF8">
      <w:pPr>
        <w:spacing w:line="360" w:lineRule="auto"/>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6B312D4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0603C4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6D65FE1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10476D3B">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67B1E6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24AC5C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46FE327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3ACD6C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4996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DD976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8E131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714A73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BE019D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E4F7D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1A4BB3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AB9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78C4944">
            <w:pPr>
              <w:spacing w:line="360" w:lineRule="auto"/>
              <w:jc w:val="center"/>
              <w:rPr>
                <w:rFonts w:hint="eastAsia"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7F59965">
            <w:pPr>
              <w:spacing w:line="360" w:lineRule="auto"/>
              <w:jc w:val="center"/>
              <w:rPr>
                <w:rFonts w:hint="eastAsia"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9D09118">
            <w:pPr>
              <w:spacing w:line="360" w:lineRule="auto"/>
              <w:jc w:val="center"/>
              <w:rPr>
                <w:rFonts w:hint="eastAsia"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EA9136">
            <w:pPr>
              <w:spacing w:line="360" w:lineRule="auto"/>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0ADD4CA">
            <w:pPr>
              <w:spacing w:line="360" w:lineRule="auto"/>
              <w:jc w:val="center"/>
              <w:rPr>
                <w:rFonts w:hint="eastAsia"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F0870B0">
            <w:pPr>
              <w:spacing w:line="360" w:lineRule="auto"/>
              <w:jc w:val="center"/>
              <w:rPr>
                <w:rFonts w:hint="eastAsia" w:ascii="宋体" w:hAnsi="宋体" w:cs="宋体"/>
                <w:color w:val="auto"/>
                <w:szCs w:val="21"/>
                <w:highlight w:val="none"/>
              </w:rPr>
            </w:pPr>
          </w:p>
        </w:tc>
      </w:tr>
      <w:tr w14:paraId="32F6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1C583D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详见报价表</w:t>
            </w:r>
          </w:p>
        </w:tc>
      </w:tr>
      <w:tr w14:paraId="079A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24063F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优惠率：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64EEFE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0DDE0A0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274DAD0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6EEEF69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46CB448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4E5CA72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4A72B6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1EDC5B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起至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47640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77E67E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378F59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55882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14:paraId="4960B5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320F1E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1DEBF5C7">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68EB5EC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23249D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458490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7AE1C6">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2A2603B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项约定执行：</w:t>
      </w:r>
    </w:p>
    <w:p w14:paraId="1A06AD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1、一次性支付</w:t>
      </w:r>
    </w:p>
    <w:p w14:paraId="5A4BDC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2、分期支付</w:t>
      </w:r>
    </w:p>
    <w:p w14:paraId="5B5A3CC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预付款在合同生效以及具备实施条件后15日内支付，预付款比例为合同金额的30%（以人工投入为主的，可适当降低预付款比例，但不得低于10%，项目分年安排预算的，第二年预付时间为次年相对应月份，以此类推）……服务期限满后七天内支付总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C7124A">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2F4DB7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本项目不收取磋商保证金。</w:t>
      </w:r>
    </w:p>
    <w:p w14:paraId="60F8AD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642F00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01A0716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46C8B8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14:paraId="5707AF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46DD961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3、甲方延期付款的，每天向乙方偿付延期款额3‰滞纳金，但滞纳金累计不得超过延期款额5%。</w:t>
      </w:r>
    </w:p>
    <w:p w14:paraId="45E3387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19A84B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70AF9C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450318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724DF7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4226F0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1B3218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300E00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178A77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222D63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4AA3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56DA51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81CAA7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149D89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749F53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CFF681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246DB3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14:paraId="28FCFA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14:paraId="7717C0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5F62EA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4、服务方案；</w:t>
      </w:r>
    </w:p>
    <w:p w14:paraId="5C7D92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5、响应文件中的其他相关文件。</w:t>
      </w:r>
    </w:p>
    <w:p w14:paraId="715453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42F08DD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1072B9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0ECD66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0"/>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62CB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4A83F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4B909708">
            <w:pPr>
              <w:snapToGrid w:val="0"/>
              <w:spacing w:line="360" w:lineRule="auto"/>
              <w:rPr>
                <w:rFonts w:hint="eastAsia" w:ascii="宋体" w:hAnsi="宋体" w:cs="宋体"/>
                <w:color w:val="auto"/>
                <w:szCs w:val="21"/>
                <w:highlight w:val="none"/>
              </w:rPr>
            </w:pPr>
          </w:p>
          <w:p w14:paraId="6F306A2D">
            <w:pPr>
              <w:snapToGrid w:val="0"/>
              <w:spacing w:line="360" w:lineRule="auto"/>
              <w:rPr>
                <w:rFonts w:hint="eastAsia" w:ascii="宋体" w:hAnsi="宋体" w:cs="宋体"/>
                <w:color w:val="auto"/>
                <w:szCs w:val="21"/>
                <w:highlight w:val="none"/>
              </w:rPr>
            </w:pPr>
          </w:p>
          <w:p w14:paraId="2718F91E">
            <w:pPr>
              <w:snapToGrid w:val="0"/>
              <w:spacing w:line="360" w:lineRule="auto"/>
              <w:ind w:firstLine="945" w:firstLineChars="450"/>
              <w:jc w:val="right"/>
              <w:rPr>
                <w:rFonts w:hint="eastAsia" w:ascii="宋体" w:hAnsi="宋体" w:cs="宋体"/>
                <w:color w:val="auto"/>
                <w:szCs w:val="21"/>
                <w:highlight w:val="none"/>
              </w:rPr>
            </w:pPr>
          </w:p>
          <w:p w14:paraId="60A03EA8">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9A6B89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5E4E55F4">
            <w:pPr>
              <w:snapToGrid w:val="0"/>
              <w:spacing w:line="360" w:lineRule="auto"/>
              <w:rPr>
                <w:rFonts w:hint="eastAsia" w:ascii="宋体" w:hAnsi="宋体" w:cs="宋体"/>
                <w:color w:val="auto"/>
                <w:szCs w:val="21"/>
                <w:highlight w:val="none"/>
              </w:rPr>
            </w:pPr>
          </w:p>
          <w:p w14:paraId="2A1966F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69050E7">
            <w:pPr>
              <w:snapToGrid w:val="0"/>
              <w:spacing w:line="360" w:lineRule="auto"/>
              <w:jc w:val="right"/>
              <w:rPr>
                <w:rFonts w:hint="eastAsia" w:ascii="宋体" w:hAnsi="宋体" w:cs="宋体"/>
                <w:color w:val="auto"/>
                <w:szCs w:val="21"/>
                <w:highlight w:val="none"/>
              </w:rPr>
            </w:pPr>
          </w:p>
          <w:p w14:paraId="64615332">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742E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F6A436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B5D1D1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r>
      <w:tr w14:paraId="6994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56B854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00BB5C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4AE5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1885D7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08483C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0484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A6E5F6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B02637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2130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4565DB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DCCBF7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r>
      <w:tr w14:paraId="1F9E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DAB0C1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78C5DC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5359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CCCD98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ED590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4BE016D6">
      <w:pPr>
        <w:widowControl/>
        <w:jc w:val="left"/>
        <w:rPr>
          <w:rFonts w:hint="eastAsia" w:ascii="宋体" w:hAnsi="宋体" w:cs="宋体"/>
          <w:color w:val="auto"/>
          <w:sz w:val="20"/>
          <w:szCs w:val="20"/>
          <w:highlight w:val="none"/>
        </w:rPr>
      </w:pPr>
    </w:p>
    <w:p w14:paraId="19434427">
      <w:pPr>
        <w:rPr>
          <w:rFonts w:hint="eastAsia" w:ascii="宋体" w:hAnsi="宋体" w:eastAsia="宋体" w:cs="宋体"/>
          <w:color w:val="auto"/>
          <w:highlight w:val="none"/>
        </w:rPr>
      </w:pPr>
    </w:p>
    <w:sectPr>
      <w:footerReference r:id="rId7" w:type="default"/>
      <w:footerReference r:id="rId8" w:type="even"/>
      <w:pgSz w:w="11906" w:h="16838"/>
      <w:pgMar w:top="1134" w:right="924" w:bottom="113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727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1CD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133857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Ktct5dQBAACgAwAADgAAAAAAAAABACAA&#10;AAAjAQAAZHJzL2Uyb0RvYy54bWxQSwUGAAAAAAYABgBZAQAAaQUAAAAA&#10;">
              <v:fill on="f" focussize="0,0"/>
              <v:stroke on="f" weight="1.25pt"/>
              <v:imagedata o:title=""/>
              <o:lock v:ext="edit" aspectratio="f"/>
              <v:textbox inset="0mm,0mm,0mm,0mm" style="mso-fit-shape-to-text:t;">
                <w:txbxContent>
                  <w:p w14:paraId="133857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760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0E15784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qBXlkNQBAACgAwAADgAAAAAAAAABACAA&#10;AAAjAQAAZHJzL2Uyb0RvYy54bWxQSwUGAAAAAAYABgBZAQAAaQUAAAAA&#10;">
              <v:fill on="f" focussize="0,0"/>
              <v:stroke on="f" weight="1.25pt"/>
              <v:imagedata o:title=""/>
              <o:lock v:ext="edit" aspectratio="f"/>
              <v:textbox inset="0mm,0mm,0mm,0mm" style="mso-fit-shape-to-text:t;">
                <w:txbxContent>
                  <w:p w14:paraId="0E15784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DA984">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3E8E7">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C2F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0595B"/>
    <w:multiLevelType w:val="singleLevel"/>
    <w:tmpl w:val="BD10595B"/>
    <w:lvl w:ilvl="0" w:tentative="0">
      <w:start w:val="1"/>
      <w:numFmt w:val="decimal"/>
      <w:pStyle w:val="6"/>
      <w:lvlText w:val="%1."/>
      <w:lvlJc w:val="left"/>
      <w:pPr>
        <w:tabs>
          <w:tab w:val="left" w:pos="360"/>
        </w:tabs>
        <w:ind w:left="360" w:hanging="360"/>
      </w:pPr>
    </w:lvl>
  </w:abstractNum>
  <w:abstractNum w:abstractNumId="1">
    <w:nsid w:val="69761D62"/>
    <w:multiLevelType w:val="multilevel"/>
    <w:tmpl w:val="69761D62"/>
    <w:lvl w:ilvl="0" w:tentative="0">
      <w:start w:val="1"/>
      <w:numFmt w:val="chineseCountingThousand"/>
      <w:lvlText w:val="第%1章"/>
      <w:lvlJc w:val="left"/>
      <w:pPr>
        <w:tabs>
          <w:tab w:val="left" w:pos="1617"/>
        </w:tabs>
        <w:ind w:left="1050" w:firstLine="0"/>
      </w:pPr>
      <w:rPr>
        <w:rFonts w:hint="eastAsia"/>
      </w:rPr>
    </w:lvl>
    <w:lvl w:ilvl="1" w:tentative="0">
      <w:start w:val="1"/>
      <w:numFmt w:val="chineseCountingThousand"/>
      <w:lvlText w:val="%2"/>
      <w:lvlJc w:val="left"/>
      <w:pPr>
        <w:tabs>
          <w:tab w:val="left" w:pos="567"/>
        </w:tabs>
        <w:ind w:left="0" w:firstLine="0"/>
      </w:pPr>
      <w:rPr>
        <w:rFonts w:hint="eastAsia"/>
      </w:rPr>
    </w:lvl>
    <w:lvl w:ilvl="2" w:tentative="0">
      <w:start w:val="1"/>
      <w:numFmt w:val="decimal"/>
      <w:lvlRestart w:val="1"/>
      <w:suff w:val="space"/>
      <w:lvlText w:val="%3."/>
      <w:lvlJc w:val="left"/>
      <w:pPr>
        <w:ind w:left="1260" w:firstLine="0"/>
      </w:pPr>
      <w:rPr>
        <w:rFonts w:hint="eastAsia"/>
      </w:rPr>
    </w:lvl>
    <w:lvl w:ilvl="3" w:tentative="0">
      <w:start w:val="1"/>
      <w:numFmt w:val="lowerRoman"/>
      <w:pStyle w:val="2"/>
      <w:lvlText w:val="(%4)"/>
      <w:lvlJc w:val="right"/>
      <w:pPr>
        <w:ind w:left="0" w:firstLine="0"/>
      </w:pPr>
      <w:rPr>
        <w:rFonts w:hint="eastAsia"/>
      </w:rPr>
    </w:lvl>
    <w:lvl w:ilvl="4" w:tentative="0">
      <w:start w:val="1"/>
      <w:numFmt w:val="decimal"/>
      <w:lvlText w:val="%5)"/>
      <w:lvlJc w:val="left"/>
      <w:pPr>
        <w:ind w:left="0" w:firstLine="0"/>
      </w:pPr>
      <w:rPr>
        <w:rFonts w:hint="eastAsia"/>
      </w:rPr>
    </w:lvl>
    <w:lvl w:ilvl="5" w:tentative="0">
      <w:start w:val="1"/>
      <w:numFmt w:val="lowerLetter"/>
      <w:lvlText w:val="%6)"/>
      <w:lvlJc w:val="left"/>
      <w:pPr>
        <w:ind w:left="0" w:firstLine="0"/>
      </w:pPr>
      <w:rPr>
        <w:rFonts w:hint="eastAsia"/>
      </w:rPr>
    </w:lvl>
    <w:lvl w:ilvl="6" w:tentative="0">
      <w:start w:val="1"/>
      <w:numFmt w:val="lowerRoman"/>
      <w:lvlText w:val="%7)"/>
      <w:lvlJc w:val="righ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OTEzNDRmYTc4MDIyZWE5M2IyMWI5MjU0NWNiNjYifQ=="/>
  </w:docVars>
  <w:rsids>
    <w:rsidRoot w:val="66A6039B"/>
    <w:rsid w:val="000F17CC"/>
    <w:rsid w:val="00632F95"/>
    <w:rsid w:val="00BA5299"/>
    <w:rsid w:val="02445F83"/>
    <w:rsid w:val="02836333"/>
    <w:rsid w:val="028C2065"/>
    <w:rsid w:val="030A0E5C"/>
    <w:rsid w:val="031C102B"/>
    <w:rsid w:val="03231B33"/>
    <w:rsid w:val="0328714A"/>
    <w:rsid w:val="0399281C"/>
    <w:rsid w:val="043A1F42"/>
    <w:rsid w:val="04671EF4"/>
    <w:rsid w:val="048617AB"/>
    <w:rsid w:val="04CE5ACF"/>
    <w:rsid w:val="051E25B2"/>
    <w:rsid w:val="05EA0EFD"/>
    <w:rsid w:val="072B0FB7"/>
    <w:rsid w:val="076D15CF"/>
    <w:rsid w:val="07807554"/>
    <w:rsid w:val="0791135E"/>
    <w:rsid w:val="0874698D"/>
    <w:rsid w:val="08B576D2"/>
    <w:rsid w:val="08C232D1"/>
    <w:rsid w:val="090501C8"/>
    <w:rsid w:val="094A5252"/>
    <w:rsid w:val="09C83B96"/>
    <w:rsid w:val="0A2D54AE"/>
    <w:rsid w:val="0A4342C7"/>
    <w:rsid w:val="0A56456F"/>
    <w:rsid w:val="0B8C5C89"/>
    <w:rsid w:val="0B8E6908"/>
    <w:rsid w:val="0BFC2F22"/>
    <w:rsid w:val="0C1B5C6F"/>
    <w:rsid w:val="0C7C1CB9"/>
    <w:rsid w:val="0CF9542B"/>
    <w:rsid w:val="0D542CEA"/>
    <w:rsid w:val="0D9D4A72"/>
    <w:rsid w:val="0DDF22EF"/>
    <w:rsid w:val="0ED10FB8"/>
    <w:rsid w:val="0F880FEA"/>
    <w:rsid w:val="10841A4A"/>
    <w:rsid w:val="10FB7185"/>
    <w:rsid w:val="11240AD7"/>
    <w:rsid w:val="112E0021"/>
    <w:rsid w:val="11765FEA"/>
    <w:rsid w:val="12F511A7"/>
    <w:rsid w:val="13314495"/>
    <w:rsid w:val="1360594A"/>
    <w:rsid w:val="13D34EB0"/>
    <w:rsid w:val="13D73142"/>
    <w:rsid w:val="140B63F8"/>
    <w:rsid w:val="14AC6233"/>
    <w:rsid w:val="14B52807"/>
    <w:rsid w:val="14C333C2"/>
    <w:rsid w:val="14E87AD6"/>
    <w:rsid w:val="1503389A"/>
    <w:rsid w:val="167F0F82"/>
    <w:rsid w:val="16C44F84"/>
    <w:rsid w:val="16E71CED"/>
    <w:rsid w:val="1715739A"/>
    <w:rsid w:val="17C25FFF"/>
    <w:rsid w:val="18253800"/>
    <w:rsid w:val="18644328"/>
    <w:rsid w:val="19144300"/>
    <w:rsid w:val="19D667DA"/>
    <w:rsid w:val="1A035B1E"/>
    <w:rsid w:val="1A240213"/>
    <w:rsid w:val="1A367BB6"/>
    <w:rsid w:val="1ABD27ED"/>
    <w:rsid w:val="1B3F1EAC"/>
    <w:rsid w:val="1CA8559E"/>
    <w:rsid w:val="1CE22B37"/>
    <w:rsid w:val="1D3C3AC6"/>
    <w:rsid w:val="1DD12460"/>
    <w:rsid w:val="1E0E60C8"/>
    <w:rsid w:val="1EC61EA9"/>
    <w:rsid w:val="1FD004F5"/>
    <w:rsid w:val="1FD25634"/>
    <w:rsid w:val="20A30FF2"/>
    <w:rsid w:val="21020436"/>
    <w:rsid w:val="21410277"/>
    <w:rsid w:val="21C55CF6"/>
    <w:rsid w:val="22723DE8"/>
    <w:rsid w:val="24BE74B6"/>
    <w:rsid w:val="25753B62"/>
    <w:rsid w:val="25783AA2"/>
    <w:rsid w:val="25960E0A"/>
    <w:rsid w:val="27027B2E"/>
    <w:rsid w:val="27291A06"/>
    <w:rsid w:val="298C67CA"/>
    <w:rsid w:val="2A197071"/>
    <w:rsid w:val="2A632A1D"/>
    <w:rsid w:val="2A901DBE"/>
    <w:rsid w:val="2A9817E1"/>
    <w:rsid w:val="2ACC0950"/>
    <w:rsid w:val="2C500C98"/>
    <w:rsid w:val="2C522201"/>
    <w:rsid w:val="2CA14A1C"/>
    <w:rsid w:val="2CF950D6"/>
    <w:rsid w:val="2D982C35"/>
    <w:rsid w:val="2DD53C24"/>
    <w:rsid w:val="2E01478A"/>
    <w:rsid w:val="2E5A143E"/>
    <w:rsid w:val="2E7E31A4"/>
    <w:rsid w:val="2E8B77F8"/>
    <w:rsid w:val="2EB47CCA"/>
    <w:rsid w:val="2F154177"/>
    <w:rsid w:val="2F5F1F54"/>
    <w:rsid w:val="2F763CAE"/>
    <w:rsid w:val="30C8258C"/>
    <w:rsid w:val="30CC25D1"/>
    <w:rsid w:val="318F0270"/>
    <w:rsid w:val="31A87050"/>
    <w:rsid w:val="31BF1674"/>
    <w:rsid w:val="33370B5F"/>
    <w:rsid w:val="342F7A89"/>
    <w:rsid w:val="35137358"/>
    <w:rsid w:val="359E4FD6"/>
    <w:rsid w:val="365051CD"/>
    <w:rsid w:val="36E46467"/>
    <w:rsid w:val="370A7D4B"/>
    <w:rsid w:val="38F30F7F"/>
    <w:rsid w:val="38F35529"/>
    <w:rsid w:val="39010EFA"/>
    <w:rsid w:val="3ABC194A"/>
    <w:rsid w:val="3BB21EA5"/>
    <w:rsid w:val="3CB30D14"/>
    <w:rsid w:val="3D6A22A2"/>
    <w:rsid w:val="3D9730FC"/>
    <w:rsid w:val="3E20284D"/>
    <w:rsid w:val="3F412AD4"/>
    <w:rsid w:val="3F424339"/>
    <w:rsid w:val="3F9D456A"/>
    <w:rsid w:val="3F9D5210"/>
    <w:rsid w:val="3FC1012F"/>
    <w:rsid w:val="3FF102E8"/>
    <w:rsid w:val="41490219"/>
    <w:rsid w:val="415E375B"/>
    <w:rsid w:val="42077FA5"/>
    <w:rsid w:val="425E2DCE"/>
    <w:rsid w:val="42B76458"/>
    <w:rsid w:val="42C13FA2"/>
    <w:rsid w:val="42CE526A"/>
    <w:rsid w:val="434F5A51"/>
    <w:rsid w:val="43B9111D"/>
    <w:rsid w:val="43CA545D"/>
    <w:rsid w:val="4531746B"/>
    <w:rsid w:val="45561886"/>
    <w:rsid w:val="466B0126"/>
    <w:rsid w:val="469D6230"/>
    <w:rsid w:val="46DD5122"/>
    <w:rsid w:val="472F44BF"/>
    <w:rsid w:val="474B6557"/>
    <w:rsid w:val="477B0EA2"/>
    <w:rsid w:val="480108E8"/>
    <w:rsid w:val="481D67C6"/>
    <w:rsid w:val="487979B8"/>
    <w:rsid w:val="48B620CF"/>
    <w:rsid w:val="48F6431E"/>
    <w:rsid w:val="4A64447A"/>
    <w:rsid w:val="4ACD12A8"/>
    <w:rsid w:val="4C661230"/>
    <w:rsid w:val="4D0A4797"/>
    <w:rsid w:val="4DB94955"/>
    <w:rsid w:val="4DCD168A"/>
    <w:rsid w:val="4E482767"/>
    <w:rsid w:val="4EE71EA3"/>
    <w:rsid w:val="4F5A374D"/>
    <w:rsid w:val="50D70E34"/>
    <w:rsid w:val="50DD469C"/>
    <w:rsid w:val="515D3A2F"/>
    <w:rsid w:val="51B54ED5"/>
    <w:rsid w:val="522E3B7B"/>
    <w:rsid w:val="5338205E"/>
    <w:rsid w:val="5354268C"/>
    <w:rsid w:val="53A960F5"/>
    <w:rsid w:val="54016AA9"/>
    <w:rsid w:val="5455279C"/>
    <w:rsid w:val="55142657"/>
    <w:rsid w:val="56117693"/>
    <w:rsid w:val="564C5E20"/>
    <w:rsid w:val="58FF538E"/>
    <w:rsid w:val="5A5A5DCA"/>
    <w:rsid w:val="5A850AC5"/>
    <w:rsid w:val="5AC97CB7"/>
    <w:rsid w:val="5AE54F11"/>
    <w:rsid w:val="5C8774B6"/>
    <w:rsid w:val="5D0944A4"/>
    <w:rsid w:val="5D3A2E77"/>
    <w:rsid w:val="5D465377"/>
    <w:rsid w:val="5D4D2BAA"/>
    <w:rsid w:val="5E211941"/>
    <w:rsid w:val="5E934DA7"/>
    <w:rsid w:val="5EC073AC"/>
    <w:rsid w:val="5F7411CB"/>
    <w:rsid w:val="6014296B"/>
    <w:rsid w:val="60C21D5E"/>
    <w:rsid w:val="62150714"/>
    <w:rsid w:val="629C69EC"/>
    <w:rsid w:val="630D5296"/>
    <w:rsid w:val="634E31D8"/>
    <w:rsid w:val="63576530"/>
    <w:rsid w:val="63932A86"/>
    <w:rsid w:val="63A147E3"/>
    <w:rsid w:val="64A744DA"/>
    <w:rsid w:val="65CD0625"/>
    <w:rsid w:val="65D13934"/>
    <w:rsid w:val="65DC72C2"/>
    <w:rsid w:val="663D12E2"/>
    <w:rsid w:val="669E5263"/>
    <w:rsid w:val="66A6039B"/>
    <w:rsid w:val="66DC57F7"/>
    <w:rsid w:val="67634DBC"/>
    <w:rsid w:val="68810ABC"/>
    <w:rsid w:val="690D5FA9"/>
    <w:rsid w:val="69DA3A17"/>
    <w:rsid w:val="6A292C20"/>
    <w:rsid w:val="6A3B0684"/>
    <w:rsid w:val="6AD40467"/>
    <w:rsid w:val="6AF61974"/>
    <w:rsid w:val="6B026C91"/>
    <w:rsid w:val="6BD96B5C"/>
    <w:rsid w:val="6C427652"/>
    <w:rsid w:val="6CB5251A"/>
    <w:rsid w:val="6E4C2A0A"/>
    <w:rsid w:val="6EBC1C2F"/>
    <w:rsid w:val="6EC06455"/>
    <w:rsid w:val="6ED34F4F"/>
    <w:rsid w:val="6F1162B7"/>
    <w:rsid w:val="6F2337BF"/>
    <w:rsid w:val="6F3E05A4"/>
    <w:rsid w:val="6F4638FD"/>
    <w:rsid w:val="6F5A4806"/>
    <w:rsid w:val="6F9B7998"/>
    <w:rsid w:val="6FE67789"/>
    <w:rsid w:val="70251F1D"/>
    <w:rsid w:val="705B5186"/>
    <w:rsid w:val="70AF1D24"/>
    <w:rsid w:val="70C42176"/>
    <w:rsid w:val="713779A1"/>
    <w:rsid w:val="724755D0"/>
    <w:rsid w:val="72C073F3"/>
    <w:rsid w:val="73734595"/>
    <w:rsid w:val="73912694"/>
    <w:rsid w:val="745720C8"/>
    <w:rsid w:val="755A5A0C"/>
    <w:rsid w:val="75AF3742"/>
    <w:rsid w:val="786F3C2C"/>
    <w:rsid w:val="7891516A"/>
    <w:rsid w:val="79624DDD"/>
    <w:rsid w:val="7A526DB4"/>
    <w:rsid w:val="7ACA53E2"/>
    <w:rsid w:val="7BCE38FC"/>
    <w:rsid w:val="7C025299"/>
    <w:rsid w:val="7D1F12A4"/>
    <w:rsid w:val="7D494CE4"/>
    <w:rsid w:val="7DB02351"/>
    <w:rsid w:val="7E8C6CEA"/>
    <w:rsid w:val="7F005876"/>
    <w:rsid w:val="7F0C5D7F"/>
    <w:rsid w:val="7F3F6048"/>
    <w:rsid w:val="7F4A6F47"/>
    <w:rsid w:val="7FBE7A03"/>
    <w:rsid w:val="7FED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4">
    <w:name w:val="heading 5"/>
    <w:basedOn w:val="1"/>
    <w:next w:val="5"/>
    <w:qFormat/>
    <w:uiPriority w:val="9"/>
    <w:pPr>
      <w:keepNext/>
      <w:keepLines/>
      <w:spacing w:before="280" w:after="290" w:line="376" w:lineRule="auto"/>
      <w:outlineLvl w:val="4"/>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qFormat/>
    <w:uiPriority w:val="0"/>
    <w:pPr>
      <w:jc w:val="center"/>
    </w:p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5">
    <w:name w:val="toc 1"/>
    <w:basedOn w:val="1"/>
    <w:next w:val="1"/>
    <w:unhideWhenUsed/>
    <w:qFormat/>
    <w:uiPriority w:val="39"/>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w:basedOn w:val="9"/>
    <w:qFormat/>
    <w:uiPriority w:val="0"/>
    <w:pPr>
      <w:ind w:firstLine="420" w:firstLineChars="100"/>
    </w:pPr>
    <w:rPr>
      <w:rFonts w:ascii="Times New Roman" w:hAnsi="Times New Roman" w:eastAsia="宋体"/>
    </w:rPr>
  </w:style>
  <w:style w:type="paragraph" w:styleId="19">
    <w:name w:val="Body Text First Indent 2"/>
    <w:basedOn w:val="10"/>
    <w:next w:val="1"/>
    <w:unhideWhenUsed/>
    <w:qFormat/>
    <w:uiPriority w:val="99"/>
    <w:pPr>
      <w:tabs>
        <w:tab w:val="left" w:pos="0"/>
      </w:tabs>
      <w:spacing w:after="120"/>
      <w:ind w:left="420" w:leftChars="200" w:firstLine="420" w:firstLineChars="200"/>
    </w:pPr>
    <w:rPr>
      <w:spacing w:val="-4"/>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nhideWhenUsed/>
    <w:qFormat/>
    <w:uiPriority w:val="99"/>
    <w:rPr>
      <w:color w:val="0000FF"/>
      <w:u w:val="single"/>
    </w:rPr>
  </w:style>
  <w:style w:type="character" w:styleId="24">
    <w:name w:val="annotation reference"/>
    <w:basedOn w:val="22"/>
    <w:qFormat/>
    <w:uiPriority w:val="0"/>
    <w:rPr>
      <w:sz w:val="21"/>
      <w:szCs w:val="21"/>
    </w:rPr>
  </w:style>
  <w:style w:type="paragraph" w:styleId="25">
    <w:name w:val="List Paragraph"/>
    <w:basedOn w:val="1"/>
    <w:qFormat/>
    <w:uiPriority w:val="34"/>
    <w:pPr>
      <w:ind w:firstLine="420" w:firstLineChars="200"/>
    </w:p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列出段落1"/>
    <w:basedOn w:val="1"/>
    <w:qFormat/>
    <w:uiPriority w:val="34"/>
    <w:pPr>
      <w:ind w:firstLine="420" w:firstLineChars="200"/>
    </w:pPr>
  </w:style>
  <w:style w:type="paragraph" w:customStyle="1" w:styleId="28">
    <w:name w:val="_Style 57"/>
    <w:basedOn w:val="1"/>
    <w:next w:val="25"/>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21967</Words>
  <Characters>23150</Characters>
  <Lines>0</Lines>
  <Paragraphs>0</Paragraphs>
  <TotalTime>0</TotalTime>
  <ScaleCrop>false</ScaleCrop>
  <LinksUpToDate>false</LinksUpToDate>
  <CharactersWithSpaces>23305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2021-06-23T08:58:00Z</dcterms:created>
  <dc:creator>NTKO</dc:creator>
  <cp:lastModifiedBy>Lin</cp:lastModifiedBy>
  <cp:lastPrinted>2023-06-08T07:13:00Z</cp:lastPrinted>
  <dcterms:modified xsi:type="dcterms:W3CDTF">2025-09-02T02:47:58Z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FD88C45F42AC42F4A2ECF9F87837D32E</vt:lpwstr>
  </property>
  <property fmtid="{D5CDD505-2E9C-101B-9397-08002B2CF9AE}" pid="4" name="KSOTemplateDocerSaveRecord">
    <vt:lpwstr>eyJoZGlkIjoiYzI2NDFhMmEwOGFlZDUwNTAyM2E4ZGVhMGRmY2FhM2IiLCJ1c2VySWQiOiIyNjA2MTE0MjcifQ==</vt:lpwstr>
  </property>
</Properties>
</file>