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F7CEAF">
      <w:pPr>
        <w:tabs>
          <w:tab w:val="left" w:pos="1710"/>
        </w:tabs>
        <w:rPr>
          <w:color w:val="auto"/>
          <w:highlight w:val="none"/>
        </w:rPr>
      </w:pPr>
      <w:bookmarkStart w:id="0" w:name="_Toc183682338"/>
      <w:bookmarkStart w:id="1" w:name="_Toc217446030"/>
    </w:p>
    <w:p w14:paraId="508D889F">
      <w:pPr>
        <w:tabs>
          <w:tab w:val="left" w:pos="1710"/>
        </w:tabs>
        <w:rPr>
          <w:color w:val="auto"/>
          <w:highlight w:val="none"/>
        </w:rPr>
      </w:pPr>
    </w:p>
    <w:p w14:paraId="59C0A9CC">
      <w:pPr>
        <w:tabs>
          <w:tab w:val="left" w:pos="1710"/>
        </w:tabs>
        <w:rPr>
          <w:color w:val="auto"/>
          <w:highlight w:val="none"/>
        </w:rPr>
      </w:pPr>
    </w:p>
    <w:p w14:paraId="03088E18">
      <w:pPr>
        <w:tabs>
          <w:tab w:val="left" w:pos="1710"/>
        </w:tabs>
        <w:rPr>
          <w:color w:val="auto"/>
          <w:highlight w:val="none"/>
        </w:rPr>
      </w:pPr>
    </w:p>
    <w:p w14:paraId="28724DCF">
      <w:pPr>
        <w:tabs>
          <w:tab w:val="left" w:pos="1710"/>
        </w:tabs>
        <w:rPr>
          <w:color w:val="auto"/>
          <w:highlight w:val="none"/>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6312"/>
      </w:tblGrid>
      <w:tr w14:paraId="48A1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360" w:type="dxa"/>
            <w:gridSpan w:val="2"/>
            <w:tcBorders>
              <w:top w:val="nil"/>
              <w:left w:val="nil"/>
              <w:right w:val="nil"/>
            </w:tcBorders>
            <w:noWrap w:val="0"/>
            <w:vAlign w:val="top"/>
          </w:tcPr>
          <w:p w14:paraId="20170C30">
            <w:pPr>
              <w:snapToGrid w:val="0"/>
              <w:spacing w:line="240" w:lineRule="atLeast"/>
              <w:jc w:val="center"/>
              <w:rPr>
                <w:rFonts w:hint="eastAsia"/>
                <w:b/>
                <w:color w:val="auto"/>
                <w:sz w:val="60"/>
                <w:szCs w:val="60"/>
                <w:highlight w:val="none"/>
              </w:rPr>
            </w:pPr>
            <w:r>
              <w:rPr>
                <w:rFonts w:hint="eastAsia"/>
                <w:b/>
                <w:color w:val="auto"/>
                <w:sz w:val="60"/>
                <w:szCs w:val="60"/>
                <w:highlight w:val="none"/>
              </w:rPr>
              <w:t xml:space="preserve"> 采购文件</w:t>
            </w:r>
          </w:p>
        </w:tc>
      </w:tr>
      <w:tr w14:paraId="6586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2048" w:type="dxa"/>
            <w:noWrap w:val="0"/>
            <w:vAlign w:val="center"/>
          </w:tcPr>
          <w:p w14:paraId="1C04BDEA">
            <w:pPr>
              <w:rPr>
                <w:b/>
                <w:color w:val="auto"/>
                <w:sz w:val="32"/>
                <w:szCs w:val="32"/>
                <w:highlight w:val="none"/>
              </w:rPr>
            </w:pPr>
            <w:r>
              <w:rPr>
                <w:b/>
                <w:color w:val="auto"/>
                <w:sz w:val="32"/>
                <w:szCs w:val="32"/>
                <w:highlight w:val="none"/>
              </w:rPr>
              <w:t>项目名称：</w:t>
            </w:r>
          </w:p>
        </w:tc>
        <w:tc>
          <w:tcPr>
            <w:tcW w:w="6312" w:type="dxa"/>
            <w:noWrap w:val="0"/>
            <w:vAlign w:val="center"/>
          </w:tcPr>
          <w:p w14:paraId="5DE32A9D">
            <w:pPr>
              <w:rPr>
                <w:rFonts w:hint="eastAsia" w:eastAsia="宋体"/>
                <w:b/>
                <w:color w:val="auto"/>
                <w:sz w:val="32"/>
                <w:szCs w:val="32"/>
                <w:highlight w:val="none"/>
                <w:lang w:eastAsia="zh-CN"/>
              </w:rPr>
            </w:pPr>
            <w:r>
              <w:rPr>
                <w:rFonts w:hint="eastAsia"/>
                <w:b/>
                <w:color w:val="auto"/>
                <w:sz w:val="32"/>
                <w:szCs w:val="32"/>
                <w:highlight w:val="none"/>
                <w:lang w:eastAsia="zh-CN"/>
              </w:rPr>
              <w:t>2025年达标项目建设</w:t>
            </w:r>
          </w:p>
        </w:tc>
      </w:tr>
      <w:tr w14:paraId="331B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2048" w:type="dxa"/>
            <w:noWrap w:val="0"/>
            <w:vAlign w:val="center"/>
          </w:tcPr>
          <w:p w14:paraId="25BD0D0F">
            <w:pPr>
              <w:rPr>
                <w:b/>
                <w:color w:val="auto"/>
                <w:sz w:val="32"/>
                <w:szCs w:val="32"/>
                <w:highlight w:val="none"/>
              </w:rPr>
            </w:pPr>
            <w:r>
              <w:rPr>
                <w:b/>
                <w:color w:val="auto"/>
                <w:sz w:val="32"/>
                <w:szCs w:val="32"/>
                <w:highlight w:val="none"/>
              </w:rPr>
              <w:t>项目编号：</w:t>
            </w:r>
          </w:p>
        </w:tc>
        <w:tc>
          <w:tcPr>
            <w:tcW w:w="6312" w:type="dxa"/>
            <w:noWrap w:val="0"/>
            <w:vAlign w:val="center"/>
          </w:tcPr>
          <w:p w14:paraId="77AC5259">
            <w:pPr>
              <w:rPr>
                <w:rFonts w:hint="eastAsia" w:eastAsia="宋体"/>
                <w:b/>
                <w:color w:val="auto"/>
                <w:sz w:val="32"/>
                <w:szCs w:val="32"/>
                <w:highlight w:val="none"/>
                <w:lang w:eastAsia="zh-CN"/>
              </w:rPr>
            </w:pPr>
            <w:r>
              <w:rPr>
                <w:rFonts w:hint="eastAsia"/>
                <w:b/>
                <w:color w:val="auto"/>
                <w:sz w:val="32"/>
                <w:szCs w:val="32"/>
                <w:highlight w:val="none"/>
                <w:lang w:eastAsia="zh-CN"/>
              </w:rPr>
              <w:t>GGZC2025-C3-990207-GXLZ</w:t>
            </w:r>
          </w:p>
        </w:tc>
      </w:tr>
      <w:tr w14:paraId="1267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2048" w:type="dxa"/>
            <w:noWrap w:val="0"/>
            <w:vAlign w:val="center"/>
          </w:tcPr>
          <w:p w14:paraId="4C02B198">
            <w:pPr>
              <w:rPr>
                <w:rFonts w:hint="eastAsia" w:eastAsia="宋体"/>
                <w:b/>
                <w:color w:val="auto"/>
                <w:sz w:val="32"/>
                <w:szCs w:val="32"/>
                <w:highlight w:val="none"/>
                <w:lang w:eastAsia="zh-CN"/>
              </w:rPr>
            </w:pPr>
            <w:r>
              <w:rPr>
                <w:b/>
                <w:color w:val="auto"/>
                <w:sz w:val="32"/>
                <w:szCs w:val="32"/>
                <w:highlight w:val="none"/>
              </w:rPr>
              <w:t>联系电话：</w:t>
            </w:r>
          </w:p>
        </w:tc>
        <w:tc>
          <w:tcPr>
            <w:tcW w:w="6312" w:type="dxa"/>
            <w:noWrap w:val="0"/>
            <w:vAlign w:val="center"/>
          </w:tcPr>
          <w:p w14:paraId="7316EC38">
            <w:pPr>
              <w:rPr>
                <w:rFonts w:hint="eastAsia" w:eastAsia="宋体"/>
                <w:b/>
                <w:color w:val="auto"/>
                <w:sz w:val="32"/>
                <w:szCs w:val="32"/>
                <w:highlight w:val="none"/>
                <w:lang w:eastAsia="zh-CN"/>
              </w:rPr>
            </w:pPr>
            <w:r>
              <w:rPr>
                <w:rFonts w:hint="eastAsia"/>
                <w:b/>
                <w:color w:val="auto"/>
                <w:sz w:val="32"/>
                <w:szCs w:val="32"/>
                <w:highlight w:val="none"/>
                <w:lang w:eastAsia="zh-CN"/>
              </w:rPr>
              <w:t>0775-4553636</w:t>
            </w:r>
          </w:p>
        </w:tc>
      </w:tr>
      <w:tr w14:paraId="3B86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2048" w:type="dxa"/>
            <w:noWrap w:val="0"/>
            <w:vAlign w:val="center"/>
          </w:tcPr>
          <w:p w14:paraId="61A32B48">
            <w:pPr>
              <w:rPr>
                <w:b/>
                <w:color w:val="auto"/>
                <w:sz w:val="32"/>
                <w:szCs w:val="32"/>
                <w:highlight w:val="none"/>
              </w:rPr>
            </w:pPr>
            <w:r>
              <w:rPr>
                <w:rFonts w:hint="eastAsia"/>
                <w:b/>
                <w:color w:val="auto"/>
                <w:sz w:val="32"/>
                <w:szCs w:val="32"/>
                <w:highlight w:val="none"/>
              </w:rPr>
              <w:t>采购方式：</w:t>
            </w:r>
          </w:p>
        </w:tc>
        <w:tc>
          <w:tcPr>
            <w:tcW w:w="6312" w:type="dxa"/>
            <w:noWrap w:val="0"/>
            <w:vAlign w:val="center"/>
          </w:tcPr>
          <w:p w14:paraId="245BBAE9">
            <w:pPr>
              <w:rPr>
                <w:b/>
                <w:color w:val="auto"/>
                <w:sz w:val="32"/>
                <w:szCs w:val="32"/>
                <w:highlight w:val="none"/>
              </w:rPr>
            </w:pPr>
            <w:r>
              <w:rPr>
                <w:rFonts w:hint="eastAsia"/>
                <w:b/>
                <w:color w:val="auto"/>
                <w:sz w:val="32"/>
                <w:szCs w:val="32"/>
                <w:highlight w:val="none"/>
              </w:rPr>
              <w:t>竞争性磋商</w:t>
            </w:r>
          </w:p>
        </w:tc>
      </w:tr>
    </w:tbl>
    <w:p w14:paraId="7D555355">
      <w:pPr>
        <w:tabs>
          <w:tab w:val="left" w:pos="1710"/>
        </w:tabs>
        <w:rPr>
          <w:color w:val="auto"/>
          <w:highlight w:val="none"/>
        </w:rPr>
      </w:pPr>
    </w:p>
    <w:p w14:paraId="3E6B19FC">
      <w:pPr>
        <w:rPr>
          <w:color w:val="auto"/>
          <w:highlight w:val="none"/>
        </w:rPr>
      </w:pPr>
    </w:p>
    <w:p w14:paraId="4FAEDAC8">
      <w:pPr>
        <w:rPr>
          <w:color w:val="auto"/>
          <w:highlight w:val="none"/>
        </w:rPr>
      </w:pPr>
    </w:p>
    <w:p w14:paraId="07BDF0E7">
      <w:pPr>
        <w:rPr>
          <w:color w:val="auto"/>
          <w:highlight w:val="none"/>
        </w:rPr>
      </w:pPr>
    </w:p>
    <w:p w14:paraId="1058FB9D">
      <w:pPr>
        <w:rPr>
          <w:color w:val="auto"/>
          <w:highlight w:val="none"/>
        </w:rPr>
      </w:pPr>
    </w:p>
    <w:p w14:paraId="27AF00A1">
      <w:pPr>
        <w:rPr>
          <w:color w:val="auto"/>
          <w:highlight w:val="none"/>
        </w:rPr>
      </w:pPr>
    </w:p>
    <w:p w14:paraId="504CC4F1">
      <w:pPr>
        <w:rPr>
          <w:color w:val="auto"/>
          <w:highlight w:val="none"/>
        </w:rPr>
      </w:pPr>
    </w:p>
    <w:p w14:paraId="22B033DD">
      <w:pPr>
        <w:rPr>
          <w:color w:val="auto"/>
          <w:highlight w:val="none"/>
        </w:rPr>
      </w:pPr>
    </w:p>
    <w:p w14:paraId="564E11E1">
      <w:pPr>
        <w:rPr>
          <w:color w:val="auto"/>
          <w:highlight w:val="none"/>
        </w:rPr>
      </w:pPr>
    </w:p>
    <w:p w14:paraId="3AC7D40B">
      <w:pPr>
        <w:rPr>
          <w:color w:val="auto"/>
          <w:highlight w:val="none"/>
        </w:rPr>
      </w:pPr>
    </w:p>
    <w:p w14:paraId="5F5FEF00">
      <w:pPr>
        <w:rPr>
          <w:color w:val="auto"/>
          <w:highlight w:val="none"/>
        </w:rPr>
      </w:pPr>
    </w:p>
    <w:p w14:paraId="66B5FE37">
      <w:pPr>
        <w:rPr>
          <w:color w:val="auto"/>
          <w:highlight w:val="none"/>
        </w:rPr>
      </w:pPr>
    </w:p>
    <w:p w14:paraId="32C833C6">
      <w:pPr>
        <w:rPr>
          <w:color w:val="auto"/>
          <w:highlight w:val="none"/>
        </w:rPr>
      </w:pPr>
    </w:p>
    <w:p w14:paraId="62CDE003">
      <w:pPr>
        <w:rPr>
          <w:color w:val="auto"/>
          <w:highlight w:val="none"/>
        </w:rPr>
      </w:pPr>
    </w:p>
    <w:p w14:paraId="65AF281D">
      <w:pPr>
        <w:rPr>
          <w:color w:val="auto"/>
          <w:highlight w:val="none"/>
        </w:rPr>
      </w:pPr>
    </w:p>
    <w:tbl>
      <w:tblPr>
        <w:tblStyle w:val="53"/>
        <w:tblW w:w="0" w:type="auto"/>
        <w:jc w:val="center"/>
        <w:tblLayout w:type="fixed"/>
        <w:tblCellMar>
          <w:top w:w="0" w:type="dxa"/>
          <w:left w:w="108" w:type="dxa"/>
          <w:bottom w:w="0" w:type="dxa"/>
          <w:right w:w="108" w:type="dxa"/>
        </w:tblCellMar>
      </w:tblPr>
      <w:tblGrid>
        <w:gridCol w:w="2707"/>
        <w:gridCol w:w="6"/>
        <w:gridCol w:w="5571"/>
      </w:tblGrid>
      <w:tr w14:paraId="761B6482">
        <w:tblPrEx>
          <w:tblCellMar>
            <w:top w:w="0" w:type="dxa"/>
            <w:left w:w="108" w:type="dxa"/>
            <w:bottom w:w="0" w:type="dxa"/>
            <w:right w:w="108" w:type="dxa"/>
          </w:tblCellMar>
        </w:tblPrEx>
        <w:trPr>
          <w:trHeight w:val="703" w:hRule="atLeast"/>
          <w:jc w:val="center"/>
        </w:trPr>
        <w:tc>
          <w:tcPr>
            <w:tcW w:w="2707" w:type="dxa"/>
            <w:noWrap w:val="0"/>
            <w:vAlign w:val="center"/>
          </w:tcPr>
          <w:p w14:paraId="58DAD7F3">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noWrap w:val="0"/>
            <w:vAlign w:val="center"/>
          </w:tcPr>
          <w:p w14:paraId="53D5B09C">
            <w:pPr>
              <w:autoSpaceDE w:val="0"/>
              <w:autoSpaceDN w:val="0"/>
              <w:adjustRightInd w:val="0"/>
              <w:jc w:val="left"/>
              <w:rPr>
                <w:rFonts w:hint="eastAsia" w:eastAsia="宋体"/>
                <w:b/>
                <w:color w:val="auto"/>
                <w:sz w:val="32"/>
                <w:szCs w:val="32"/>
                <w:highlight w:val="none"/>
                <w:lang w:eastAsia="zh-CN"/>
              </w:rPr>
            </w:pPr>
            <w:r>
              <w:rPr>
                <w:rFonts w:hint="eastAsia"/>
                <w:b/>
                <w:color w:val="auto"/>
                <w:sz w:val="32"/>
                <w:szCs w:val="32"/>
                <w:highlight w:val="none"/>
                <w:lang w:eastAsia="zh-CN"/>
              </w:rPr>
              <w:t>贵港市职业教育中心</w:t>
            </w:r>
          </w:p>
        </w:tc>
      </w:tr>
      <w:tr w14:paraId="2D4AEA42">
        <w:tblPrEx>
          <w:tblCellMar>
            <w:top w:w="0" w:type="dxa"/>
            <w:left w:w="108" w:type="dxa"/>
            <w:bottom w:w="0" w:type="dxa"/>
            <w:right w:w="108" w:type="dxa"/>
          </w:tblCellMar>
        </w:tblPrEx>
        <w:trPr>
          <w:trHeight w:val="703" w:hRule="atLeast"/>
          <w:jc w:val="center"/>
        </w:trPr>
        <w:tc>
          <w:tcPr>
            <w:tcW w:w="2713" w:type="dxa"/>
            <w:gridSpan w:val="2"/>
            <w:noWrap w:val="0"/>
            <w:vAlign w:val="top"/>
          </w:tcPr>
          <w:p w14:paraId="0647E723">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noWrap w:val="0"/>
            <w:vAlign w:val="top"/>
          </w:tcPr>
          <w:p w14:paraId="5C205B34">
            <w:pPr>
              <w:autoSpaceDE w:val="0"/>
              <w:autoSpaceDN w:val="0"/>
              <w:adjustRightInd w:val="0"/>
              <w:rPr>
                <w:rFonts w:hint="eastAsia" w:eastAsia="宋体"/>
                <w:b/>
                <w:color w:val="auto"/>
                <w:sz w:val="32"/>
                <w:szCs w:val="32"/>
                <w:highlight w:val="none"/>
                <w:u w:val="single"/>
                <w:lang w:eastAsia="zh-CN"/>
              </w:rPr>
            </w:pPr>
            <w:r>
              <w:rPr>
                <w:rFonts w:hint="eastAsia"/>
                <w:b/>
                <w:color w:val="auto"/>
                <w:sz w:val="32"/>
                <w:szCs w:val="32"/>
                <w:highlight w:val="none"/>
                <w:lang w:eastAsia="zh-CN"/>
              </w:rPr>
              <w:t>广西乐正工程项目管理有限公司</w:t>
            </w:r>
          </w:p>
        </w:tc>
      </w:tr>
    </w:tbl>
    <w:p w14:paraId="3C8F2CBA">
      <w:pPr>
        <w:rPr>
          <w:color w:val="auto"/>
          <w:highlight w:val="none"/>
        </w:rPr>
      </w:pPr>
    </w:p>
    <w:p w14:paraId="106773BF">
      <w:pPr>
        <w:ind w:firstLine="321" w:firstLineChars="100"/>
        <w:jc w:val="center"/>
        <w:rPr>
          <w:rFonts w:hint="eastAsia" w:eastAsia="宋体"/>
          <w:b/>
          <w:color w:val="auto"/>
          <w:sz w:val="32"/>
          <w:szCs w:val="32"/>
          <w:highlight w:val="none"/>
          <w:lang w:eastAsia="zh-CN"/>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fmt="decimal"/>
          <w:cols w:space="720" w:num="1"/>
          <w:titlePg/>
          <w:docGrid w:linePitch="312" w:charSpace="0"/>
        </w:sectPr>
      </w:pPr>
      <w:r>
        <w:rPr>
          <w:rFonts w:hint="eastAsia"/>
          <w:b/>
          <w:color w:val="auto"/>
          <w:sz w:val="32"/>
          <w:szCs w:val="32"/>
          <w:highlight w:val="none"/>
          <w:lang w:eastAsia="zh-CN"/>
        </w:rPr>
        <w:t>2025年08月</w:t>
      </w:r>
    </w:p>
    <w:p w14:paraId="1976DC1E">
      <w:pPr>
        <w:rPr>
          <w:color w:val="auto"/>
          <w:sz w:val="32"/>
          <w:szCs w:val="32"/>
          <w:highlight w:val="none"/>
        </w:rPr>
      </w:pPr>
    </w:p>
    <w:p w14:paraId="3D2AB40E">
      <w:pPr>
        <w:pStyle w:val="28"/>
        <w:snapToGrid w:val="0"/>
        <w:spacing w:before="120" w:after="120" w:line="320" w:lineRule="exact"/>
        <w:jc w:val="center"/>
        <w:outlineLvl w:val="0"/>
        <w:rPr>
          <w:rFonts w:ascii="Times New Roman" w:hAnsi="Times New Roman" w:cs="Times New Roman"/>
          <w:color w:val="auto"/>
          <w:sz w:val="32"/>
          <w:szCs w:val="32"/>
          <w:highlight w:val="none"/>
        </w:rPr>
      </w:pPr>
      <w:bookmarkStart w:id="2" w:name="_Toc559"/>
      <w:bookmarkStart w:id="3" w:name="_Toc17133"/>
      <w:r>
        <w:rPr>
          <w:rFonts w:ascii="Times New Roman" w:hAnsi="Times New Roman" w:cs="Times New Roman"/>
          <w:color w:val="auto"/>
          <w:sz w:val="32"/>
          <w:szCs w:val="32"/>
          <w:highlight w:val="none"/>
        </w:rPr>
        <w:t>目    录</w:t>
      </w:r>
      <w:bookmarkEnd w:id="2"/>
      <w:bookmarkEnd w:id="3"/>
    </w:p>
    <w:sdt>
      <w:sdtPr>
        <w:rPr>
          <w:rFonts w:ascii="宋体" w:hAnsi="宋体" w:eastAsia="宋体" w:cs="Times New Roman"/>
          <w:color w:val="auto"/>
          <w:kern w:val="2"/>
          <w:sz w:val="21"/>
          <w:szCs w:val="24"/>
          <w:highlight w:val="none"/>
          <w:lang w:val="en-US" w:eastAsia="zh-CN" w:bidi="ar-SA"/>
        </w:rPr>
        <w:id w:val="147466126"/>
        <w15:color w:val="DBDBDB"/>
        <w:docPartObj>
          <w:docPartGallery w:val="Table of Contents"/>
          <w:docPartUnique/>
        </w:docPartObj>
      </w:sdtPr>
      <w:sdtEndPr>
        <w:rPr>
          <w:rFonts w:ascii="Times New Roman" w:hAnsi="Times New Roman" w:eastAsia="宋体" w:cs="Times New Roman"/>
          <w:b/>
          <w:bCs/>
          <w:caps/>
          <w:color w:val="auto"/>
          <w:kern w:val="2"/>
          <w:sz w:val="24"/>
          <w:szCs w:val="28"/>
          <w:highlight w:val="none"/>
          <w:lang w:val="en-US" w:eastAsia="zh-CN" w:bidi="ar-SA"/>
        </w:rPr>
      </w:sdtEndPr>
      <w:sdtContent>
        <w:p w14:paraId="353033C9">
          <w:pPr>
            <w:spacing w:before="0" w:beforeLines="0" w:after="0" w:afterLines="0" w:line="240" w:lineRule="auto"/>
            <w:ind w:left="0" w:leftChars="0" w:right="0" w:rightChars="0" w:firstLine="0" w:firstLineChars="0"/>
            <w:jc w:val="center"/>
            <w:rPr>
              <w:color w:val="auto"/>
              <w:highlight w:val="none"/>
            </w:rPr>
          </w:pPr>
        </w:p>
        <w:p w14:paraId="463EC1AD">
          <w:pPr>
            <w:pStyle w:val="187"/>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_Toc11643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_Toc11643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9986012">
          <w:pPr>
            <w:pStyle w:val="187"/>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_Toc28092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_Toc28092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86C35D6">
          <w:pPr>
            <w:pStyle w:val="187"/>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_Toc9714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_Toc9714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28942BD">
          <w:pPr>
            <w:pStyle w:val="187"/>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_Toc6498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评审方法及标准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_Toc6498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DC915DE">
          <w:pPr>
            <w:pStyle w:val="187"/>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_Toc30217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合同主要条款格式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_Toc30217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69DE1B5">
          <w:pPr>
            <w:pStyle w:val="187"/>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_Toc17396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_Toc17396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48B0B64">
          <w:pPr>
            <w:pStyle w:val="35"/>
            <w:ind w:firstLine="241"/>
            <w:rPr>
              <w:rFonts w:ascii="Times New Roman" w:hAnsi="Times New Roman" w:eastAsia="宋体" w:cs="Times New Roman"/>
              <w:b/>
              <w:bCs/>
              <w:caps/>
              <w:color w:val="auto"/>
              <w:kern w:val="2"/>
              <w:sz w:val="24"/>
              <w:szCs w:val="28"/>
              <w:highlight w:val="none"/>
              <w:lang w:val="en-US" w:eastAsia="zh-CN" w:bidi="ar-SA"/>
            </w:rPr>
          </w:pPr>
          <w:r>
            <w:rPr>
              <w:rFonts w:hint="eastAsia" w:ascii="宋体" w:hAnsi="宋体" w:eastAsia="宋体" w:cs="宋体"/>
              <w:color w:val="auto"/>
              <w:sz w:val="24"/>
              <w:szCs w:val="24"/>
              <w:highlight w:val="none"/>
            </w:rPr>
            <w:fldChar w:fldCharType="end"/>
          </w:r>
        </w:p>
      </w:sdtContent>
    </w:sdt>
    <w:p w14:paraId="0BF0A379">
      <w:pPr>
        <w:rPr>
          <w:color w:val="auto"/>
          <w:highlight w:val="none"/>
        </w:rPr>
      </w:pPr>
    </w:p>
    <w:p w14:paraId="06C5D85D">
      <w:pPr>
        <w:spacing w:before="120" w:beforeLines="50" w:line="480" w:lineRule="exact"/>
        <w:rPr>
          <w:color w:val="auto"/>
          <w:sz w:val="28"/>
          <w:szCs w:val="28"/>
          <w:highlight w:val="none"/>
        </w:rPr>
      </w:pPr>
    </w:p>
    <w:p w14:paraId="4566E94F">
      <w:pPr>
        <w:spacing w:before="120" w:beforeLines="50" w:line="480" w:lineRule="exact"/>
        <w:rPr>
          <w:color w:val="auto"/>
          <w:sz w:val="30"/>
          <w:highlight w:val="none"/>
        </w:rPr>
        <w:sectPr>
          <w:headerReference r:id="rId7" w:type="first"/>
          <w:pgSz w:w="11906" w:h="16838"/>
          <w:pgMar w:top="1418" w:right="1418" w:bottom="1246" w:left="1418" w:header="851" w:footer="992" w:gutter="0"/>
          <w:pgNumType w:fmt="decimal"/>
          <w:cols w:space="720" w:num="1"/>
          <w:titlePg/>
          <w:docGrid w:linePitch="312" w:charSpace="0"/>
        </w:sectPr>
      </w:pPr>
    </w:p>
    <w:p w14:paraId="70BF5AD6">
      <w:pPr>
        <w:rPr>
          <w:color w:val="auto"/>
          <w:highlight w:val="none"/>
        </w:rPr>
      </w:pPr>
      <w:bookmarkStart w:id="4" w:name="_Toc254970630"/>
      <w:bookmarkStart w:id="5" w:name="_Toc254970489"/>
      <w:bookmarkStart w:id="6" w:name="_Toc21148"/>
    </w:p>
    <w:p w14:paraId="383DF5FD">
      <w:pPr>
        <w:pStyle w:val="28"/>
        <w:snapToGrid w:val="0"/>
        <w:spacing w:before="120" w:after="120" w:line="320" w:lineRule="exact"/>
        <w:jc w:val="center"/>
        <w:outlineLvl w:val="0"/>
        <w:rPr>
          <w:rFonts w:ascii="Times New Roman" w:hAnsi="Times New Roman" w:cs="Times New Roman"/>
          <w:color w:val="auto"/>
          <w:sz w:val="32"/>
          <w:szCs w:val="32"/>
          <w:highlight w:val="none"/>
        </w:rPr>
      </w:pPr>
      <w:bookmarkStart w:id="7" w:name="_Toc11643"/>
      <w:r>
        <w:rPr>
          <w:rFonts w:ascii="Times New Roman" w:hAnsi="Times New Roman" w:cs="Times New Roman"/>
          <w:color w:val="auto"/>
          <w:sz w:val="32"/>
          <w:szCs w:val="32"/>
          <w:highlight w:val="none"/>
        </w:rPr>
        <w:t xml:space="preserve">第一章  </w:t>
      </w:r>
      <w:bookmarkEnd w:id="4"/>
      <w:bookmarkEnd w:id="5"/>
      <w:r>
        <w:rPr>
          <w:rFonts w:ascii="Times New Roman" w:hAnsi="Times New Roman" w:cs="Times New Roman"/>
          <w:color w:val="auto"/>
          <w:sz w:val="32"/>
          <w:szCs w:val="32"/>
          <w:highlight w:val="none"/>
        </w:rPr>
        <w:t>竞争性磋商公告</w:t>
      </w:r>
      <w:bookmarkEnd w:id="6"/>
      <w:bookmarkEnd w:id="7"/>
    </w:p>
    <w:p w14:paraId="44C546F8">
      <w:pPr>
        <w:spacing w:line="400" w:lineRule="exact"/>
        <w:jc w:val="center"/>
        <w:rPr>
          <w:color w:val="auto"/>
          <w:kern w:val="0"/>
          <w:sz w:val="24"/>
          <w:highlight w:val="none"/>
        </w:rPr>
      </w:pPr>
      <w:r>
        <w:rPr>
          <w:rFonts w:hint="eastAsia"/>
          <w:color w:val="auto"/>
          <w:kern w:val="0"/>
          <w:sz w:val="24"/>
          <w:highlight w:val="none"/>
          <w:lang w:eastAsia="zh-CN"/>
        </w:rPr>
        <w:t>广西乐正工程项目管理有限公司</w:t>
      </w:r>
      <w:r>
        <w:rPr>
          <w:color w:val="auto"/>
          <w:kern w:val="0"/>
          <w:sz w:val="24"/>
          <w:highlight w:val="none"/>
        </w:rPr>
        <w:t>关于</w:t>
      </w:r>
      <w:r>
        <w:rPr>
          <w:rFonts w:hint="eastAsia"/>
          <w:color w:val="auto"/>
          <w:kern w:val="0"/>
          <w:sz w:val="24"/>
          <w:highlight w:val="none"/>
          <w:lang w:eastAsia="zh-CN"/>
        </w:rPr>
        <w:t>2025年达标项目建设</w:t>
      </w:r>
      <w:r>
        <w:rPr>
          <w:color w:val="auto"/>
          <w:sz w:val="24"/>
          <w:highlight w:val="none"/>
        </w:rPr>
        <w:t>(</w:t>
      </w:r>
      <w:r>
        <w:rPr>
          <w:rFonts w:hint="eastAsia"/>
          <w:color w:val="auto"/>
          <w:sz w:val="24"/>
          <w:highlight w:val="none"/>
          <w:lang w:eastAsia="zh-CN"/>
        </w:rPr>
        <w:t>GGZC2025-C3-990207-GXLZ</w:t>
      </w:r>
      <w:r>
        <w:rPr>
          <w:color w:val="auto"/>
          <w:sz w:val="24"/>
          <w:highlight w:val="none"/>
        </w:rPr>
        <w:t>)</w:t>
      </w:r>
      <w:r>
        <w:rPr>
          <w:color w:val="auto"/>
          <w:kern w:val="0"/>
          <w:sz w:val="24"/>
          <w:highlight w:val="none"/>
        </w:rPr>
        <w:t>竞争性磋商公告</w:t>
      </w:r>
    </w:p>
    <w:p w14:paraId="4CFC3C08">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项目概况                                                    </w:t>
      </w:r>
    </w:p>
    <w:p w14:paraId="54AB7187">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2025年达标项目建设采购项目的潜在供应商应在广西政府采购云平台获取采购文件，并于2025年09月02日 15:30（北京时间）前提交响应文件。                            </w:t>
      </w:r>
    </w:p>
    <w:p w14:paraId="0E3F912A">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6"/>
          <w:rFonts w:hint="eastAsia" w:ascii="宋体" w:hAnsi="宋体" w:eastAsia="宋体" w:cs="宋体"/>
          <w:i w:val="0"/>
          <w:iCs w:val="0"/>
          <w:caps w:val="0"/>
          <w:color w:val="000000"/>
          <w:spacing w:val="0"/>
          <w:sz w:val="21"/>
          <w:szCs w:val="21"/>
        </w:rPr>
        <w:t>一、项目基本情况</w:t>
      </w:r>
    </w:p>
    <w:p w14:paraId="45CC1045">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项目编号：GGZC2025-C3-990207-GXLZ </w:t>
      </w:r>
    </w:p>
    <w:p w14:paraId="7B74AA65">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项目名称：2025年达标项目建设 </w:t>
      </w:r>
    </w:p>
    <w:p w14:paraId="3E86CF44">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采购方式：竞争性磋商 </w:t>
      </w:r>
    </w:p>
    <w:p w14:paraId="17A7924F">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预算总金额（元）：740000  </w:t>
      </w:r>
      <w:bookmarkStart w:id="129" w:name="_GoBack"/>
      <w:bookmarkEnd w:id="129"/>
    </w:p>
    <w:p w14:paraId="539A1B3C">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采购需求：</w:t>
      </w:r>
    </w:p>
    <w:p w14:paraId="070DCAC4">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Style w:val="61"/>
          <w:rFonts w:hint="eastAsia" w:ascii="宋体" w:hAnsi="宋体" w:eastAsia="宋体" w:cs="宋体"/>
          <w:i w:val="0"/>
          <w:iCs w:val="0"/>
          <w:caps w:val="0"/>
          <w:color w:val="000000"/>
          <w:spacing w:val="0"/>
          <w:sz w:val="21"/>
          <w:szCs w:val="21"/>
          <w:shd w:val="clear" w:fill="F7F7F7"/>
        </w:rPr>
        <w:t>标项一</w:t>
      </w:r>
      <w:r>
        <w:rPr>
          <w:rFonts w:hint="eastAsia" w:ascii="宋体" w:hAnsi="宋体" w:eastAsia="宋体" w:cs="宋体"/>
          <w:i w:val="0"/>
          <w:iCs w:val="0"/>
          <w:caps w:val="0"/>
          <w:color w:val="000000"/>
          <w:spacing w:val="0"/>
          <w:sz w:val="21"/>
          <w:szCs w:val="21"/>
          <w:shd w:val="clear" w:fill="F7F7F7"/>
        </w:rPr>
        <w:t> </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标项名称:学校内控系统采购</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数量:1</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预算金额（元）:300000</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简要规格描述或项目基本概况介绍、用途：学校内控系统1套；详见采购文件。</w:t>
      </w:r>
    </w:p>
    <w:p w14:paraId="53B72A12">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最高限价（如有）：</w:t>
      </w:r>
      <w:r>
        <w:rPr>
          <w:rStyle w:val="61"/>
          <w:rFonts w:hint="eastAsia" w:ascii="宋体" w:hAnsi="宋体" w:eastAsia="宋体" w:cs="宋体"/>
          <w:i w:val="0"/>
          <w:iCs w:val="0"/>
          <w:caps w:val="0"/>
          <w:color w:val="000000"/>
          <w:spacing w:val="0"/>
          <w:sz w:val="21"/>
          <w:szCs w:val="21"/>
          <w:shd w:val="clear" w:fill="F7F7F7"/>
        </w:rPr>
        <w:t>300000</w:t>
      </w:r>
    </w:p>
    <w:p w14:paraId="5491AFC1">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合同履约期限：</w:t>
      </w:r>
      <w:r>
        <w:rPr>
          <w:rStyle w:val="61"/>
          <w:rFonts w:hint="eastAsia" w:ascii="宋体" w:hAnsi="宋体" w:eastAsia="宋体" w:cs="宋体"/>
          <w:i w:val="0"/>
          <w:iCs w:val="0"/>
          <w:caps w:val="0"/>
          <w:color w:val="000000"/>
          <w:spacing w:val="0"/>
          <w:sz w:val="21"/>
          <w:szCs w:val="21"/>
          <w:shd w:val="clear" w:fill="F7F7F7"/>
        </w:rPr>
        <w:t>自签订合同之日起60日历日内。</w:t>
      </w:r>
    </w:p>
    <w:p w14:paraId="2035D44A">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本标项（</w:t>
      </w:r>
      <w:r>
        <w:rPr>
          <w:rStyle w:val="61"/>
          <w:rFonts w:hint="eastAsia" w:ascii="宋体" w:hAnsi="宋体" w:eastAsia="宋体" w:cs="宋体"/>
          <w:i w:val="0"/>
          <w:iCs w:val="0"/>
          <w:caps w:val="0"/>
          <w:color w:val="000000"/>
          <w:spacing w:val="0"/>
          <w:sz w:val="21"/>
          <w:szCs w:val="21"/>
          <w:shd w:val="clear" w:fill="F7F7F7"/>
        </w:rPr>
        <w:t>否</w:t>
      </w:r>
      <w:r>
        <w:rPr>
          <w:rFonts w:hint="eastAsia" w:ascii="宋体" w:hAnsi="宋体" w:eastAsia="宋体" w:cs="宋体"/>
          <w:i w:val="0"/>
          <w:iCs w:val="0"/>
          <w:caps w:val="0"/>
          <w:color w:val="000000"/>
          <w:spacing w:val="0"/>
          <w:sz w:val="21"/>
          <w:szCs w:val="21"/>
          <w:shd w:val="clear" w:fill="F7F7F7"/>
        </w:rPr>
        <w:t>）接受联合体投标</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备注：</w:t>
      </w:r>
    </w:p>
    <w:p w14:paraId="4DCC8997">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Style w:val="61"/>
          <w:rFonts w:hint="eastAsia" w:ascii="宋体" w:hAnsi="宋体" w:eastAsia="宋体" w:cs="宋体"/>
          <w:i w:val="0"/>
          <w:iCs w:val="0"/>
          <w:caps w:val="0"/>
          <w:color w:val="000000"/>
          <w:spacing w:val="0"/>
          <w:sz w:val="21"/>
          <w:szCs w:val="21"/>
          <w:shd w:val="clear" w:fill="F7F7F7"/>
        </w:rPr>
        <w:t>标项二</w:t>
      </w:r>
      <w:r>
        <w:rPr>
          <w:rFonts w:hint="eastAsia" w:ascii="宋体" w:hAnsi="宋体" w:eastAsia="宋体" w:cs="宋体"/>
          <w:i w:val="0"/>
          <w:iCs w:val="0"/>
          <w:caps w:val="0"/>
          <w:color w:val="000000"/>
          <w:spacing w:val="0"/>
          <w:sz w:val="21"/>
          <w:szCs w:val="21"/>
          <w:shd w:val="clear" w:fill="F7F7F7"/>
        </w:rPr>
        <w:t> </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标项名称:阅卷系统采购</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数量:1</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预算金额（元）:140000</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简要规格描述或项目基本概况介绍、用途：阅卷系统1套；详见采购文件。</w:t>
      </w:r>
    </w:p>
    <w:p w14:paraId="7AC2353E">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最高限价（如有）：</w:t>
      </w:r>
      <w:r>
        <w:rPr>
          <w:rStyle w:val="61"/>
          <w:rFonts w:hint="eastAsia" w:ascii="宋体" w:hAnsi="宋体" w:eastAsia="宋体" w:cs="宋体"/>
          <w:i w:val="0"/>
          <w:iCs w:val="0"/>
          <w:caps w:val="0"/>
          <w:color w:val="000000"/>
          <w:spacing w:val="0"/>
          <w:sz w:val="21"/>
          <w:szCs w:val="21"/>
          <w:shd w:val="clear" w:fill="F7F7F7"/>
        </w:rPr>
        <w:t>139800</w:t>
      </w:r>
    </w:p>
    <w:p w14:paraId="17BE6043">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合同履约期限：</w:t>
      </w:r>
      <w:r>
        <w:rPr>
          <w:rStyle w:val="61"/>
          <w:rFonts w:hint="eastAsia" w:ascii="宋体" w:hAnsi="宋体" w:eastAsia="宋体" w:cs="宋体"/>
          <w:i w:val="0"/>
          <w:iCs w:val="0"/>
          <w:caps w:val="0"/>
          <w:color w:val="000000"/>
          <w:spacing w:val="0"/>
          <w:sz w:val="21"/>
          <w:szCs w:val="21"/>
          <w:shd w:val="clear" w:fill="F7F7F7"/>
        </w:rPr>
        <w:t>自签订合同之日起60日历日内。</w:t>
      </w:r>
    </w:p>
    <w:p w14:paraId="79104439">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本标项（</w:t>
      </w:r>
      <w:r>
        <w:rPr>
          <w:rStyle w:val="61"/>
          <w:rFonts w:hint="eastAsia" w:ascii="宋体" w:hAnsi="宋体" w:eastAsia="宋体" w:cs="宋体"/>
          <w:i w:val="0"/>
          <w:iCs w:val="0"/>
          <w:caps w:val="0"/>
          <w:color w:val="000000"/>
          <w:spacing w:val="0"/>
          <w:sz w:val="21"/>
          <w:szCs w:val="21"/>
          <w:shd w:val="clear" w:fill="F7F7F7"/>
        </w:rPr>
        <w:t>否</w:t>
      </w:r>
      <w:r>
        <w:rPr>
          <w:rFonts w:hint="eastAsia" w:ascii="宋体" w:hAnsi="宋体" w:eastAsia="宋体" w:cs="宋体"/>
          <w:i w:val="0"/>
          <w:iCs w:val="0"/>
          <w:caps w:val="0"/>
          <w:color w:val="000000"/>
          <w:spacing w:val="0"/>
          <w:sz w:val="21"/>
          <w:szCs w:val="21"/>
          <w:shd w:val="clear" w:fill="F7F7F7"/>
        </w:rPr>
        <w:t>）接受联合体投标</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备注：</w:t>
      </w:r>
    </w:p>
    <w:p w14:paraId="2C67EC80">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Style w:val="61"/>
          <w:rFonts w:hint="eastAsia" w:ascii="宋体" w:hAnsi="宋体" w:eastAsia="宋体" w:cs="宋体"/>
          <w:i w:val="0"/>
          <w:iCs w:val="0"/>
          <w:caps w:val="0"/>
          <w:color w:val="000000"/>
          <w:spacing w:val="0"/>
          <w:sz w:val="21"/>
          <w:szCs w:val="21"/>
          <w:shd w:val="clear" w:fill="F7F7F7"/>
        </w:rPr>
        <w:t>标项三</w:t>
      </w:r>
      <w:r>
        <w:rPr>
          <w:rFonts w:hint="eastAsia" w:ascii="宋体" w:hAnsi="宋体" w:eastAsia="宋体" w:cs="宋体"/>
          <w:i w:val="0"/>
          <w:iCs w:val="0"/>
          <w:caps w:val="0"/>
          <w:color w:val="000000"/>
          <w:spacing w:val="0"/>
          <w:sz w:val="21"/>
          <w:szCs w:val="21"/>
          <w:shd w:val="clear" w:fill="F7F7F7"/>
        </w:rPr>
        <w:t> </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标项名称:师资队伍建设（教师培训）</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数量:1</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预算金额（元）:300000</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简要规格描述或项目基本概况介绍、用途：师资队伍建设（教师培训）1项；详见采购文件。</w:t>
      </w:r>
    </w:p>
    <w:p w14:paraId="10492D2A">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最高限价（如有）：</w:t>
      </w:r>
      <w:r>
        <w:rPr>
          <w:rStyle w:val="61"/>
          <w:rFonts w:hint="eastAsia" w:ascii="宋体" w:hAnsi="宋体" w:eastAsia="宋体" w:cs="宋体"/>
          <w:i w:val="0"/>
          <w:iCs w:val="0"/>
          <w:caps w:val="0"/>
          <w:color w:val="000000"/>
          <w:spacing w:val="0"/>
          <w:sz w:val="21"/>
          <w:szCs w:val="21"/>
          <w:shd w:val="clear" w:fill="F7F7F7"/>
        </w:rPr>
        <w:t>300000</w:t>
      </w:r>
    </w:p>
    <w:p w14:paraId="10AA4EE8">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合同履约期限：</w:t>
      </w:r>
      <w:r>
        <w:rPr>
          <w:rStyle w:val="61"/>
          <w:rFonts w:hint="eastAsia" w:ascii="宋体" w:hAnsi="宋体" w:eastAsia="宋体" w:cs="宋体"/>
          <w:i w:val="0"/>
          <w:iCs w:val="0"/>
          <w:caps w:val="0"/>
          <w:color w:val="000000"/>
          <w:spacing w:val="0"/>
          <w:sz w:val="21"/>
          <w:szCs w:val="21"/>
          <w:shd w:val="clear" w:fill="F7F7F7"/>
        </w:rPr>
        <w:t>签订合同后，采购人根据实际情况制定具体培训开始的时间及培训期限，成交人接到采购人通知后按采购文件和采购人要求以及响应文件承诺提供培训服务。</w:t>
      </w:r>
    </w:p>
    <w:p w14:paraId="39FF36FE">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本标项（</w:t>
      </w:r>
      <w:r>
        <w:rPr>
          <w:rStyle w:val="61"/>
          <w:rFonts w:hint="eastAsia" w:ascii="宋体" w:hAnsi="宋体" w:eastAsia="宋体" w:cs="宋体"/>
          <w:i w:val="0"/>
          <w:iCs w:val="0"/>
          <w:caps w:val="0"/>
          <w:color w:val="000000"/>
          <w:spacing w:val="0"/>
          <w:sz w:val="21"/>
          <w:szCs w:val="21"/>
          <w:shd w:val="clear" w:fill="F7F7F7"/>
        </w:rPr>
        <w:t>否</w:t>
      </w:r>
      <w:r>
        <w:rPr>
          <w:rFonts w:hint="eastAsia" w:ascii="宋体" w:hAnsi="宋体" w:eastAsia="宋体" w:cs="宋体"/>
          <w:i w:val="0"/>
          <w:iCs w:val="0"/>
          <w:caps w:val="0"/>
          <w:color w:val="000000"/>
          <w:spacing w:val="0"/>
          <w:sz w:val="21"/>
          <w:szCs w:val="21"/>
          <w:shd w:val="clear" w:fill="F7F7F7"/>
        </w:rPr>
        <w:t>）接受联合体投标</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备注：</w:t>
      </w:r>
    </w:p>
    <w:p w14:paraId="7CFF2051">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6"/>
          <w:rFonts w:hint="eastAsia" w:ascii="宋体" w:hAnsi="宋体" w:eastAsia="宋体" w:cs="宋体"/>
          <w:i w:val="0"/>
          <w:iCs w:val="0"/>
          <w:caps w:val="0"/>
          <w:color w:val="000000"/>
          <w:spacing w:val="0"/>
          <w:sz w:val="21"/>
          <w:szCs w:val="21"/>
        </w:rPr>
        <w:t>二、申请人的资格要求：</w:t>
      </w:r>
    </w:p>
    <w:p w14:paraId="6615AB6F">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1.满足《中华人民共和国政府采购法》第二十二条规定；</w:t>
      </w:r>
    </w:p>
    <w:p w14:paraId="62BCC2EA">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2.落实政府采购政策需满足的资格要求：分标1、2、3：本项目为专门面向小微企业采购；即供应商应为符合政策要求的小微企业或监狱企业或残疾人福利性单位。 </w:t>
      </w:r>
    </w:p>
    <w:p w14:paraId="30BC3221">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3.本项目的特定资格要求：</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【分标1、2、3】</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1）资质要求：无。</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（2）业绩要求：无。</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（4）未被列入失信被执行人、重大税收违法失信主体、政府采购严重违法失信行为记录名单。</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（5）本项目不允许分公司参与响应。</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（6）本项目不允许分包。</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（7）本项目不接受联合体。</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（8）按照磋商公告的规定获得采购文件。采购文件有规定时按要求提交磋商保证金。 </w:t>
      </w:r>
    </w:p>
    <w:p w14:paraId="578697C6">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6"/>
          <w:rFonts w:hint="eastAsia" w:ascii="宋体" w:hAnsi="宋体" w:eastAsia="宋体" w:cs="宋体"/>
          <w:i w:val="0"/>
          <w:iCs w:val="0"/>
          <w:caps w:val="0"/>
          <w:color w:val="000000"/>
          <w:spacing w:val="0"/>
          <w:sz w:val="21"/>
          <w:szCs w:val="21"/>
        </w:rPr>
        <w:t>三、获取采购文件</w:t>
      </w:r>
    </w:p>
    <w:p w14:paraId="49BA52DA">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时间：2025年08月21日至2025年09月02日，每天上午00:00至12:00，下午12:00至23:59（北京时间，法定节假日除外）</w:t>
      </w:r>
    </w:p>
    <w:p w14:paraId="3FE57E5D">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地点（网址）：广西政府采购云平台 </w:t>
      </w:r>
    </w:p>
    <w:p w14:paraId="5131BC2A">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方式：供应商登录广西政府采购云平台https://www.gcy.zfcg.gxzf.gov.cn/在线申请获取采购文件（进入“项目采购”应用，在获取采购文件菜单中选择项目，申请获取采购文件） </w:t>
      </w:r>
    </w:p>
    <w:p w14:paraId="02C71C7A">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售价（元）：0 </w:t>
      </w:r>
    </w:p>
    <w:p w14:paraId="3BC60184">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6"/>
          <w:rFonts w:hint="eastAsia" w:ascii="宋体" w:hAnsi="宋体" w:eastAsia="宋体" w:cs="宋体"/>
          <w:i w:val="0"/>
          <w:iCs w:val="0"/>
          <w:caps w:val="0"/>
          <w:color w:val="000000"/>
          <w:spacing w:val="0"/>
          <w:sz w:val="21"/>
          <w:szCs w:val="21"/>
        </w:rPr>
        <w:t>四、响应文件提交</w:t>
      </w:r>
      <w:r>
        <w:rPr>
          <w:rFonts w:hint="eastAsia" w:ascii="宋体" w:hAnsi="宋体" w:eastAsia="宋体" w:cs="宋体"/>
          <w:i w:val="0"/>
          <w:iCs w:val="0"/>
          <w:caps w:val="0"/>
          <w:color w:val="000000"/>
          <w:spacing w:val="0"/>
          <w:sz w:val="21"/>
          <w:szCs w:val="21"/>
        </w:rPr>
        <w:t> </w:t>
      </w:r>
    </w:p>
    <w:p w14:paraId="1FA94CC9">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截止时间：2025年09月02日 15:30（北京时间）</w:t>
      </w:r>
    </w:p>
    <w:p w14:paraId="57CEF739">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地点（网址）：请登录广西政府采购云平台投标客户端投标 </w:t>
      </w:r>
    </w:p>
    <w:p w14:paraId="0881C56D">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6"/>
          <w:rFonts w:hint="eastAsia" w:ascii="宋体" w:hAnsi="宋体" w:eastAsia="宋体" w:cs="宋体"/>
          <w:i w:val="0"/>
          <w:iCs w:val="0"/>
          <w:caps w:val="0"/>
          <w:color w:val="000000"/>
          <w:spacing w:val="0"/>
          <w:sz w:val="21"/>
          <w:szCs w:val="21"/>
        </w:rPr>
        <w:t>五、响应文件开启</w:t>
      </w:r>
      <w:r>
        <w:rPr>
          <w:rFonts w:hint="eastAsia" w:ascii="宋体" w:hAnsi="宋体" w:eastAsia="宋体" w:cs="宋体"/>
          <w:i w:val="0"/>
          <w:iCs w:val="0"/>
          <w:caps w:val="0"/>
          <w:color w:val="000000"/>
          <w:spacing w:val="0"/>
          <w:sz w:val="21"/>
          <w:szCs w:val="21"/>
        </w:rPr>
        <w:t> </w:t>
      </w:r>
    </w:p>
    <w:p w14:paraId="5EB92BBD">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开启时间：2025年09月02日 15:30 （北京时间）</w:t>
      </w:r>
    </w:p>
    <w:p w14:paraId="43EA4B6C">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地点：供应商登录广西政府采购云平台电子开标大厅截标。 </w:t>
      </w:r>
    </w:p>
    <w:p w14:paraId="5441A7FA">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6"/>
          <w:rFonts w:hint="eastAsia" w:ascii="宋体" w:hAnsi="宋体" w:eastAsia="宋体" w:cs="宋体"/>
          <w:i w:val="0"/>
          <w:iCs w:val="0"/>
          <w:caps w:val="0"/>
          <w:color w:val="000000"/>
          <w:spacing w:val="0"/>
          <w:sz w:val="21"/>
          <w:szCs w:val="21"/>
        </w:rPr>
        <w:t>六、公告期限</w:t>
      </w:r>
    </w:p>
    <w:p w14:paraId="7796DBC6">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自本公告发布之日起5个工作日。</w:t>
      </w:r>
    </w:p>
    <w:p w14:paraId="64E0D5AE">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6"/>
          <w:rFonts w:hint="eastAsia" w:ascii="宋体" w:hAnsi="宋体" w:eastAsia="宋体" w:cs="宋体"/>
          <w:i w:val="0"/>
          <w:iCs w:val="0"/>
          <w:caps w:val="0"/>
          <w:color w:val="000000"/>
          <w:spacing w:val="0"/>
          <w:sz w:val="21"/>
          <w:szCs w:val="21"/>
        </w:rPr>
        <w:t>七、其他补充事宜</w:t>
      </w:r>
      <w:r>
        <w:rPr>
          <w:rFonts w:hint="eastAsia" w:ascii="宋体" w:hAnsi="宋体" w:eastAsia="宋体" w:cs="宋体"/>
          <w:i w:val="0"/>
          <w:iCs w:val="0"/>
          <w:caps w:val="0"/>
          <w:color w:val="000000"/>
          <w:spacing w:val="0"/>
          <w:sz w:val="21"/>
          <w:szCs w:val="21"/>
        </w:rPr>
        <w:t> </w:t>
      </w:r>
    </w:p>
    <w:p w14:paraId="26163936">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1.公告发布媒体：中国政府采购网、广西壮族自治区政府采购网、全国公共资源交易平台（广西 ·贵港）、贵港市政府采购网。</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2.需落实的政府采购政策：本项目适用政府采购促进中小企业、监狱企业发展、促进残疾人就业、节能环保等有关政策，具体详见采购文件。</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3.本项目不收取磋商保证金。</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4.监督部门：贵港市财政局政府采购监督管理科 联系电话：0775-4555290,0775-4564649</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5.注意事项：</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1）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（2）为确保网上操作合法、有效和安全，请供应商确保在电子投标过程中能够对相关数据电文进行加密和使用电子签章，妥善保管CA数字证书并使用有效的CA数字证书参与整个招标活动。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（3）若对项目采购电子交易系统操作有疑问，可登录广西政府采购云平台（https://www.gcy.zfcg.gxzf.gov.cn/），点击右侧咨询小采或帮助文档或拨打客服热线95763  </w:t>
      </w:r>
    </w:p>
    <w:p w14:paraId="2683F4A5">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6"/>
          <w:rFonts w:hint="eastAsia" w:ascii="宋体" w:hAnsi="宋体" w:eastAsia="宋体" w:cs="宋体"/>
          <w:i w:val="0"/>
          <w:iCs w:val="0"/>
          <w:caps w:val="0"/>
          <w:color w:val="000000"/>
          <w:spacing w:val="0"/>
          <w:sz w:val="21"/>
          <w:szCs w:val="21"/>
        </w:rPr>
        <w:t>八、凡对本次招标提出询问，请按以下方式联系</w:t>
      </w:r>
    </w:p>
    <w:p w14:paraId="3FCDE8F7">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1.采购人信息</w:t>
      </w:r>
    </w:p>
    <w:p w14:paraId="2727EDBC">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称：贵港市职业教育中心 </w:t>
      </w:r>
    </w:p>
    <w:p w14:paraId="6E1CAFCD">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址：贵港市港南区南山路138号 </w:t>
      </w:r>
    </w:p>
    <w:p w14:paraId="0B41AC82">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项目联系人：陶老师 </w:t>
      </w:r>
    </w:p>
    <w:p w14:paraId="215381EE">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项目联系方式：0775-4327488  </w:t>
      </w:r>
    </w:p>
    <w:p w14:paraId="57393788">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2.采购代理机构信息</w:t>
      </w:r>
    </w:p>
    <w:p w14:paraId="0736F7F5">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称：广西乐正工程项目管理有限公司 </w:t>
      </w:r>
    </w:p>
    <w:p w14:paraId="1B339559">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址：广西贵港市达开路与荷城路交汇处东南角锦泰尊品1幢1单元1201号 </w:t>
      </w:r>
    </w:p>
    <w:p w14:paraId="62240FBA">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项目联系人：韦工 </w:t>
      </w:r>
    </w:p>
    <w:p w14:paraId="0E49488B">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项目联系方式：0775-4553636</w:t>
      </w:r>
    </w:p>
    <w:p w14:paraId="738A16B1">
      <w:pPr>
        <w:pStyle w:val="4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p>
    <w:p w14:paraId="65273AD7">
      <w:pPr>
        <w:spacing w:line="312" w:lineRule="auto"/>
        <w:ind w:firstLine="420" w:firstLineChars="200"/>
        <w:jc w:val="right"/>
        <w:rPr>
          <w:color w:val="auto"/>
          <w:kern w:val="0"/>
          <w:szCs w:val="21"/>
          <w:highlight w:val="none"/>
        </w:rPr>
      </w:pPr>
    </w:p>
    <w:p w14:paraId="5CEC2878">
      <w:pPr>
        <w:pStyle w:val="28"/>
        <w:snapToGrid w:val="0"/>
        <w:spacing w:before="120" w:after="120" w:line="320" w:lineRule="exact"/>
        <w:jc w:val="center"/>
        <w:outlineLvl w:val="9"/>
        <w:rPr>
          <w:rFonts w:ascii="Times New Roman" w:hAnsi="Times New Roman" w:cs="Times New Roman"/>
          <w:color w:val="auto"/>
          <w:highlight w:val="none"/>
        </w:rPr>
        <w:sectPr>
          <w:headerReference r:id="rId9" w:type="first"/>
          <w:footerReference r:id="rId11" w:type="first"/>
          <w:headerReference r:id="rId8" w:type="default"/>
          <w:footerReference r:id="rId10" w:type="default"/>
          <w:pgSz w:w="11906" w:h="16838"/>
          <w:pgMar w:top="1135" w:right="1133" w:bottom="1246" w:left="1418" w:header="851" w:footer="903" w:gutter="0"/>
          <w:pgNumType w:fmt="decimal"/>
          <w:cols w:space="720" w:num="1"/>
          <w:docGrid w:linePitch="312" w:charSpace="0"/>
        </w:sectPr>
      </w:pPr>
    </w:p>
    <w:p w14:paraId="31FB1889">
      <w:pPr>
        <w:rPr>
          <w:color w:val="auto"/>
          <w:highlight w:val="none"/>
        </w:rPr>
      </w:pPr>
      <w:bookmarkStart w:id="8" w:name="_Toc15694"/>
    </w:p>
    <w:p w14:paraId="1DD2D873">
      <w:pPr>
        <w:pStyle w:val="28"/>
        <w:snapToGrid w:val="0"/>
        <w:spacing w:before="120" w:after="120" w:line="320" w:lineRule="exact"/>
        <w:jc w:val="center"/>
        <w:outlineLvl w:val="0"/>
        <w:rPr>
          <w:rFonts w:ascii="Times New Roman" w:hAnsi="Times New Roman" w:cs="Times New Roman"/>
          <w:color w:val="auto"/>
          <w:sz w:val="32"/>
          <w:szCs w:val="32"/>
          <w:highlight w:val="none"/>
        </w:rPr>
      </w:pPr>
      <w:bookmarkStart w:id="9" w:name="_Toc28092"/>
      <w:r>
        <w:rPr>
          <w:rFonts w:ascii="Times New Roman" w:hAnsi="Times New Roman" w:cs="Times New Roman"/>
          <w:color w:val="auto"/>
          <w:sz w:val="32"/>
          <w:szCs w:val="32"/>
          <w:highlight w:val="none"/>
        </w:rPr>
        <w:t>第二章  采购需求</w:t>
      </w:r>
      <w:bookmarkEnd w:id="8"/>
      <w:bookmarkEnd w:id="9"/>
    </w:p>
    <w:p w14:paraId="191AEB0B">
      <w:pPr>
        <w:spacing w:before="120"/>
        <w:rPr>
          <w:rFonts w:ascii="黑体" w:hAnsi="黑体" w:eastAsia="黑体" w:cs="Arial"/>
          <w:b/>
          <w:color w:val="auto"/>
          <w:kern w:val="0"/>
          <w:sz w:val="28"/>
          <w:szCs w:val="28"/>
          <w:highlight w:val="none"/>
        </w:rPr>
      </w:pPr>
      <w:bookmarkStart w:id="10" w:name="_Toc254970631"/>
      <w:bookmarkStart w:id="11" w:name="_Toc254970490"/>
      <w:r>
        <w:rPr>
          <w:rFonts w:hint="eastAsia" w:ascii="宋体" w:hAnsi="宋体" w:eastAsia="宋体" w:cs="宋体"/>
          <w:i w:val="0"/>
          <w:iCs w:val="0"/>
          <w:caps w:val="0"/>
          <w:color w:val="auto"/>
          <w:spacing w:val="0"/>
          <w:sz w:val="28"/>
          <w:szCs w:val="28"/>
          <w:highlight w:val="none"/>
          <w:shd w:val="clear" w:fill="F7F7F7"/>
        </w:rPr>
        <w:t>标项一:学校内控系统采购</w:t>
      </w:r>
    </w:p>
    <w:p w14:paraId="5A7B4B69">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255EB67C">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67AB628B">
      <w:pPr>
        <w:spacing w:line="360" w:lineRule="auto"/>
        <w:rPr>
          <w:color w:val="auto"/>
          <w:szCs w:val="21"/>
          <w:highlight w:val="none"/>
        </w:rPr>
      </w:pPr>
      <w:r>
        <w:rPr>
          <w:rFonts w:hint="eastAsia"/>
          <w:color w:val="auto"/>
          <w:szCs w:val="21"/>
          <w:highlight w:val="none"/>
        </w:rPr>
        <w:t>详见采购文件“评审方法及标准</w:t>
      </w:r>
      <w:r>
        <w:rPr>
          <w:color w:val="auto"/>
          <w:szCs w:val="21"/>
          <w:highlight w:val="none"/>
        </w:rPr>
        <w:t>/政府采购政策应用说明”。</w:t>
      </w:r>
    </w:p>
    <w:p w14:paraId="017B6F3F">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14:paraId="66E9BA1B">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标注“▲”的条款或要求系指实质性条款或实质性要求，必须满足，如存在负偏离将导致响应被否决。</w:t>
      </w:r>
    </w:p>
    <w:p w14:paraId="74216FF2">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53DC9D9B">
      <w:pPr>
        <w:spacing w:line="360" w:lineRule="auto"/>
        <w:rPr>
          <w:color w:val="auto"/>
          <w:szCs w:val="21"/>
          <w:highlight w:val="none"/>
        </w:rPr>
      </w:pPr>
      <w:r>
        <w:rPr>
          <w:rFonts w:hint="eastAsia"/>
          <w:color w:val="auto"/>
          <w:szCs w:val="21"/>
          <w:highlight w:val="none"/>
        </w:rPr>
        <w:t>1.需实现的功能、目标及应用场景</w:t>
      </w:r>
    </w:p>
    <w:p w14:paraId="737525F3">
      <w:pPr>
        <w:spacing w:line="360" w:lineRule="auto"/>
        <w:rPr>
          <w:color w:val="auto"/>
          <w:szCs w:val="21"/>
          <w:highlight w:val="none"/>
        </w:rPr>
      </w:pPr>
      <w:r>
        <w:rPr>
          <w:rFonts w:hint="eastAsia"/>
          <w:color w:val="auto"/>
          <w:szCs w:val="21"/>
          <w:highlight w:val="none"/>
        </w:rPr>
        <w:t>满足采购文件要求，验收达到合格标准。</w:t>
      </w:r>
    </w:p>
    <w:p w14:paraId="2156AFE8">
      <w:pPr>
        <w:spacing w:line="360" w:lineRule="auto"/>
        <w:rPr>
          <w:color w:val="auto"/>
          <w:szCs w:val="21"/>
          <w:highlight w:val="none"/>
        </w:rPr>
      </w:pPr>
      <w:bookmarkStart w:id="12" w:name="_Hlk89170486"/>
      <w:r>
        <w:rPr>
          <w:color w:val="auto"/>
          <w:szCs w:val="21"/>
          <w:highlight w:val="none"/>
        </w:rPr>
        <w:t>2</w:t>
      </w:r>
      <w:r>
        <w:rPr>
          <w:rFonts w:hint="eastAsia"/>
          <w:color w:val="auto"/>
          <w:szCs w:val="21"/>
          <w:highlight w:val="none"/>
        </w:rPr>
        <w:t>.</w:t>
      </w:r>
      <w:r>
        <w:rPr>
          <w:color w:val="auto"/>
          <w:szCs w:val="21"/>
          <w:highlight w:val="none"/>
        </w:rPr>
        <w:t>需执行的国家相关标准、行业标准、地方标准或者其他标准、规范</w:t>
      </w:r>
    </w:p>
    <w:p w14:paraId="1FC797D7">
      <w:pPr>
        <w:spacing w:line="360" w:lineRule="auto"/>
        <w:rPr>
          <w:i/>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i/>
          <w:color w:val="auto"/>
          <w:szCs w:val="21"/>
          <w:highlight w:val="none"/>
          <w:u w:val="single"/>
        </w:rPr>
        <w:t>详见技术指标要求</w:t>
      </w:r>
    </w:p>
    <w:bookmarkEnd w:id="12"/>
    <w:p w14:paraId="4B0CD051">
      <w:pPr>
        <w:spacing w:line="360" w:lineRule="auto"/>
        <w:rPr>
          <w:color w:val="auto"/>
          <w:szCs w:val="21"/>
          <w:highlight w:val="none"/>
        </w:rPr>
      </w:pPr>
      <w:r>
        <w:rPr>
          <w:color w:val="auto"/>
          <w:szCs w:val="21"/>
          <w:highlight w:val="none"/>
        </w:rPr>
        <w:t>3</w:t>
      </w:r>
      <w:r>
        <w:rPr>
          <w:rFonts w:hint="eastAsia"/>
          <w:color w:val="auto"/>
          <w:szCs w:val="21"/>
          <w:highlight w:val="none"/>
        </w:rPr>
        <w:t>.标的所属行业：</w:t>
      </w:r>
    </w:p>
    <w:p w14:paraId="591E8E78">
      <w:pPr>
        <w:spacing w:line="360" w:lineRule="auto"/>
        <w:rPr>
          <w:rFonts w:hint="eastAsia"/>
          <w:b/>
          <w:bCs/>
          <w:color w:val="auto"/>
          <w:sz w:val="30"/>
          <w:szCs w:val="30"/>
          <w:highlight w:val="none"/>
          <w:lang w:val="en-US" w:eastAsia="zh-CN"/>
        </w:rPr>
      </w:pPr>
      <w:r>
        <w:rPr>
          <w:rFonts w:hint="eastAsia"/>
          <w:b/>
          <w:bCs/>
          <w:color w:val="auto"/>
          <w:sz w:val="30"/>
          <w:szCs w:val="30"/>
          <w:highlight w:val="none"/>
          <w:lang w:val="en-US" w:eastAsia="zh-CN"/>
        </w:rPr>
        <w:t>工业</w:t>
      </w:r>
    </w:p>
    <w:p w14:paraId="743E9F96">
      <w:pPr>
        <w:spacing w:line="360" w:lineRule="auto"/>
        <w:rPr>
          <w:color w:val="auto"/>
          <w:szCs w:val="21"/>
          <w:highlight w:val="none"/>
        </w:rPr>
      </w:pPr>
      <w:r>
        <w:rPr>
          <w:color w:val="auto"/>
          <w:szCs w:val="21"/>
          <w:highlight w:val="none"/>
        </w:rPr>
        <w:t>4</w:t>
      </w:r>
      <w:r>
        <w:rPr>
          <w:rFonts w:hint="eastAsia"/>
          <w:color w:val="auto"/>
          <w:szCs w:val="21"/>
          <w:highlight w:val="none"/>
        </w:rPr>
        <w:t>.核心产品</w:t>
      </w:r>
    </w:p>
    <w:p w14:paraId="3762EF00">
      <w:pPr>
        <w:spacing w:line="360" w:lineRule="auto"/>
        <w:rPr>
          <w:color w:val="auto"/>
          <w:szCs w:val="21"/>
          <w:highlight w:val="none"/>
        </w:rPr>
      </w:pPr>
      <w:r>
        <w:rPr>
          <w:rFonts w:hint="eastAsia"/>
          <w:color w:val="auto"/>
          <w:szCs w:val="21"/>
          <w:highlight w:val="none"/>
        </w:rPr>
        <w:t>本项目为服务项目，不适用核心产品规定。</w:t>
      </w:r>
    </w:p>
    <w:p w14:paraId="3CE5536F">
      <w:pPr>
        <w:numPr>
          <w:ilvl w:val="0"/>
          <w:numId w:val="1"/>
        </w:numPr>
        <w:spacing w:line="360" w:lineRule="auto"/>
        <w:rPr>
          <w:rFonts w:hint="eastAsia"/>
          <w:color w:val="auto"/>
          <w:szCs w:val="21"/>
          <w:highlight w:val="none"/>
        </w:rPr>
      </w:pPr>
      <w:r>
        <w:rPr>
          <w:rFonts w:hint="eastAsia"/>
          <w:color w:val="auto"/>
          <w:szCs w:val="21"/>
          <w:highlight w:val="none"/>
        </w:rPr>
        <w:t>服务内容和标准</w:t>
      </w:r>
      <w:bookmarkStart w:id="13" w:name="_Hlk132788047"/>
    </w:p>
    <w:bookmarkEnd w:id="13"/>
    <w:p w14:paraId="45307194">
      <w:pPr>
        <w:snapToGrid w:val="0"/>
        <w:spacing w:line="360" w:lineRule="auto"/>
        <w:rPr>
          <w:b/>
          <w:bCs/>
          <w:color w:val="auto"/>
          <w:szCs w:val="21"/>
          <w:highlight w:val="none"/>
        </w:rPr>
      </w:pPr>
    </w:p>
    <w:tbl>
      <w:tblPr>
        <w:tblStyle w:val="53"/>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086"/>
        <w:gridCol w:w="750"/>
        <w:gridCol w:w="7336"/>
      </w:tblGrid>
      <w:tr w14:paraId="3F42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14:paraId="04005818">
            <w:pPr>
              <w:tabs>
                <w:tab w:val="left" w:pos="993"/>
                <w:tab w:val="left" w:pos="1134"/>
                <w:tab w:val="left" w:pos="1418"/>
              </w:tabs>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0484BF2">
            <w:pPr>
              <w:tabs>
                <w:tab w:val="left" w:pos="993"/>
                <w:tab w:val="left" w:pos="1134"/>
                <w:tab w:val="left" w:pos="1418"/>
              </w:tabs>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服务名称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1617B23">
            <w:pPr>
              <w:tabs>
                <w:tab w:val="left" w:pos="993"/>
                <w:tab w:val="left" w:pos="1134"/>
                <w:tab w:val="left" w:pos="1418"/>
              </w:tabs>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7336" w:type="dxa"/>
            <w:tcBorders>
              <w:top w:val="single" w:color="auto" w:sz="4" w:space="0"/>
              <w:left w:val="single" w:color="auto" w:sz="4" w:space="0"/>
              <w:bottom w:val="single" w:color="auto" w:sz="4" w:space="0"/>
              <w:right w:val="single" w:color="auto" w:sz="4" w:space="0"/>
            </w:tcBorders>
            <w:noWrap w:val="0"/>
            <w:vAlign w:val="center"/>
          </w:tcPr>
          <w:p w14:paraId="132A38B7">
            <w:pPr>
              <w:tabs>
                <w:tab w:val="left" w:pos="993"/>
                <w:tab w:val="left" w:pos="1134"/>
                <w:tab w:val="left" w:pos="1418"/>
              </w:tabs>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服务内容和</w:t>
            </w:r>
            <w:r>
              <w:rPr>
                <w:rFonts w:hint="eastAsia" w:ascii="宋体" w:hAnsi="宋体" w:eastAsia="宋体" w:cs="宋体"/>
                <w:b/>
                <w:bCs/>
                <w:color w:val="auto"/>
                <w:kern w:val="0"/>
                <w:szCs w:val="21"/>
                <w:highlight w:val="none"/>
                <w:lang w:eastAsia="zh-Hans"/>
              </w:rPr>
              <w:t>标准</w:t>
            </w:r>
          </w:p>
        </w:tc>
      </w:tr>
      <w:tr w14:paraId="4147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14:paraId="6E3D50AF">
            <w:pPr>
              <w:tabs>
                <w:tab w:val="left" w:pos="993"/>
                <w:tab w:val="left" w:pos="1134"/>
                <w:tab w:val="left" w:pos="1418"/>
              </w:tabs>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367527B5">
            <w:pPr>
              <w:tabs>
                <w:tab w:val="left" w:pos="993"/>
                <w:tab w:val="left" w:pos="1134"/>
                <w:tab w:val="left" w:pos="1418"/>
              </w:tabs>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学校内控系统</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CCDF7D7">
            <w:pPr>
              <w:pStyle w:val="182"/>
              <w:spacing w:line="360" w:lineRule="auto"/>
              <w:jc w:val="center"/>
              <w:rPr>
                <w:rFonts w:hint="eastAsia" w:ascii="宋体" w:hAnsi="宋体" w:eastAsia="宋体" w:cs="宋体"/>
                <w:color w:val="auto"/>
                <w:sz w:val="21"/>
                <w:szCs w:val="21"/>
                <w:highlight w:val="none"/>
              </w:rPr>
            </w:pPr>
            <w:r>
              <w:rPr>
                <w:rFonts w:hint="eastAsia" w:ascii="新宋体" w:hAnsi="新宋体" w:eastAsia="新宋体" w:cs="新宋体"/>
                <w:bCs/>
                <w:color w:val="auto"/>
                <w:szCs w:val="21"/>
                <w:highlight w:val="none"/>
              </w:rPr>
              <w:t>1</w:t>
            </w:r>
            <w:r>
              <w:rPr>
                <w:rFonts w:hint="eastAsia" w:ascii="Arial" w:hAnsi="宋体" w:cs="Arial"/>
                <w:bCs/>
                <w:color w:val="auto"/>
                <w:szCs w:val="21"/>
                <w:highlight w:val="none"/>
              </w:rPr>
              <w:t>套</w:t>
            </w:r>
          </w:p>
        </w:tc>
        <w:tc>
          <w:tcPr>
            <w:tcW w:w="7336" w:type="dxa"/>
            <w:tcBorders>
              <w:top w:val="single" w:color="auto" w:sz="4" w:space="0"/>
              <w:left w:val="single" w:color="auto" w:sz="4" w:space="0"/>
              <w:bottom w:val="single" w:color="auto" w:sz="4" w:space="0"/>
              <w:right w:val="single" w:color="auto" w:sz="4" w:space="0"/>
            </w:tcBorders>
            <w:noWrap w:val="0"/>
            <w:vAlign w:val="center"/>
          </w:tcPr>
          <w:p w14:paraId="52CCCB1D">
            <w:pPr>
              <w:widowControl/>
              <w:spacing w:line="360" w:lineRule="exact"/>
              <w:jc w:val="left"/>
              <w:rPr>
                <w:rFonts w:ascii="宋体" w:hAnsi="宋体"/>
                <w:b/>
                <w:bCs/>
                <w:color w:val="auto"/>
                <w:kern w:val="0"/>
                <w:szCs w:val="21"/>
                <w:highlight w:val="none"/>
              </w:rPr>
            </w:pPr>
            <w:r>
              <w:rPr>
                <w:rFonts w:hint="eastAsia" w:ascii="宋体" w:hAnsi="宋体"/>
                <w:b/>
                <w:bCs/>
                <w:color w:val="auto"/>
                <w:kern w:val="0"/>
                <w:szCs w:val="21"/>
                <w:highlight w:val="none"/>
              </w:rPr>
              <w:t>（一）系统总体要求</w:t>
            </w:r>
          </w:p>
          <w:p w14:paraId="0E8C2494">
            <w:pPr>
              <w:widowControl/>
              <w:jc w:val="left"/>
              <w:rPr>
                <w:rFonts w:hint="eastAsia" w:ascii="宋体" w:hAnsi="宋体"/>
                <w:b/>
                <w:color w:val="auto"/>
                <w:kern w:val="0"/>
                <w:szCs w:val="21"/>
                <w:highlight w:val="none"/>
                <w:u w:val="single"/>
              </w:rPr>
            </w:pPr>
            <w:r>
              <w:rPr>
                <w:rFonts w:hint="eastAsia" w:ascii="宋体" w:hAnsi="宋体" w:cs="宋体"/>
                <w:color w:val="auto"/>
                <w:kern w:val="0"/>
                <w:szCs w:val="21"/>
                <w:highlight w:val="none"/>
                <w:lang w:eastAsia="zh-CN"/>
              </w:rPr>
              <w:t>▲</w:t>
            </w:r>
            <w:r>
              <w:rPr>
                <w:rFonts w:ascii="宋体" w:hAnsi="宋体"/>
                <w:color w:val="auto"/>
                <w:kern w:val="0"/>
                <w:szCs w:val="21"/>
                <w:highlight w:val="none"/>
              </w:rPr>
              <w:t>软件系统必须符合</w:t>
            </w:r>
            <w:r>
              <w:rPr>
                <w:rFonts w:hint="eastAsia" w:ascii="宋体" w:hAnsi="宋体"/>
                <w:color w:val="auto"/>
                <w:kern w:val="0"/>
                <w:szCs w:val="21"/>
                <w:highlight w:val="none"/>
              </w:rPr>
              <w:t>现行新版《政府会计制度》和</w:t>
            </w:r>
            <w:r>
              <w:rPr>
                <w:rFonts w:ascii="宋体" w:hAnsi="宋体"/>
                <w:color w:val="auto"/>
                <w:kern w:val="0"/>
                <w:szCs w:val="21"/>
                <w:highlight w:val="none"/>
              </w:rPr>
              <w:t>《行政事业单位内部控制规范（试行）》制度文件的相关要求</w:t>
            </w:r>
            <w:r>
              <w:rPr>
                <w:rFonts w:hint="eastAsia" w:ascii="宋体" w:hAnsi="宋体"/>
                <w:color w:val="auto"/>
                <w:kern w:val="0"/>
                <w:szCs w:val="21"/>
                <w:highlight w:val="none"/>
              </w:rPr>
              <w:t>。</w:t>
            </w:r>
            <w:r>
              <w:rPr>
                <w:rFonts w:hint="eastAsia" w:ascii="宋体" w:hAnsi="宋体"/>
                <w:b/>
                <w:color w:val="auto"/>
                <w:kern w:val="0"/>
                <w:szCs w:val="21"/>
                <w:highlight w:val="none"/>
                <w:u w:val="single"/>
              </w:rPr>
              <w:t>（</w:t>
            </w:r>
            <w:r>
              <w:rPr>
                <w:rFonts w:hint="eastAsia" w:ascii="宋体" w:hAnsi="宋体"/>
                <w:b/>
                <w:color w:val="auto"/>
                <w:szCs w:val="21"/>
                <w:highlight w:val="none"/>
                <w:u w:val="single"/>
              </w:rPr>
              <w:t>技术需求及要求中所提及的所有制度、规范等均以现行的为标准，如在服务期内有改动的，应配合采购人进行更新，不得额外收取费用</w:t>
            </w:r>
            <w:r>
              <w:rPr>
                <w:rFonts w:hint="eastAsia" w:ascii="宋体" w:hAnsi="宋体"/>
                <w:b/>
                <w:color w:val="auto"/>
                <w:kern w:val="0"/>
                <w:szCs w:val="21"/>
                <w:highlight w:val="none"/>
                <w:u w:val="single"/>
              </w:rPr>
              <w:t>）</w:t>
            </w:r>
          </w:p>
          <w:p w14:paraId="4758DBA6">
            <w:pPr>
              <w:widowControl/>
              <w:jc w:val="left"/>
              <w:rPr>
                <w:rFonts w:ascii="宋体" w:hAnsi="宋体"/>
                <w:color w:val="auto"/>
                <w:kern w:val="0"/>
                <w:szCs w:val="21"/>
                <w:highlight w:val="none"/>
              </w:rPr>
            </w:pPr>
            <w:r>
              <w:rPr>
                <w:rFonts w:hint="eastAsia" w:ascii="宋体" w:hAnsi="宋体" w:cs="宋体"/>
                <w:color w:val="auto"/>
                <w:kern w:val="0"/>
                <w:szCs w:val="21"/>
                <w:highlight w:val="none"/>
              </w:rPr>
              <w:t>本项目系统根据贵港市职业教育中心学校的业务特点，理顺预算管理和支出管理业务流程，变事后管控前移为事前、事中管控，建设内控管理软件系统将业务流程固化下来。</w:t>
            </w:r>
          </w:p>
          <w:p w14:paraId="5202959C">
            <w:pPr>
              <w:widowControl/>
              <w:spacing w:line="360" w:lineRule="exact"/>
              <w:jc w:val="left"/>
              <w:rPr>
                <w:rFonts w:ascii="宋体" w:hAnsi="宋体"/>
                <w:b/>
                <w:bCs/>
                <w:color w:val="auto"/>
                <w:kern w:val="0"/>
                <w:szCs w:val="21"/>
                <w:highlight w:val="none"/>
              </w:rPr>
            </w:pPr>
            <w:r>
              <w:rPr>
                <w:rFonts w:hint="eastAsia" w:ascii="宋体" w:hAnsi="宋体"/>
                <w:b/>
                <w:bCs/>
                <w:color w:val="auto"/>
                <w:kern w:val="0"/>
                <w:szCs w:val="21"/>
                <w:highlight w:val="none"/>
              </w:rPr>
              <w:t>（二）系统功能要求</w:t>
            </w:r>
          </w:p>
          <w:p w14:paraId="73717C81">
            <w:pPr>
              <w:widowControl/>
              <w:spacing w:line="360" w:lineRule="exact"/>
              <w:jc w:val="left"/>
              <w:rPr>
                <w:rFonts w:ascii="宋体" w:hAnsi="宋体"/>
                <w:color w:val="auto"/>
                <w:kern w:val="0"/>
                <w:szCs w:val="21"/>
                <w:highlight w:val="none"/>
              </w:rPr>
            </w:pPr>
            <w:r>
              <w:rPr>
                <w:rFonts w:ascii="宋体" w:hAnsi="宋体"/>
                <w:color w:val="auto"/>
                <w:kern w:val="0"/>
                <w:szCs w:val="21"/>
                <w:highlight w:val="none"/>
              </w:rPr>
              <w:t>1、系统架构</w:t>
            </w:r>
          </w:p>
          <w:p w14:paraId="62DB5C12">
            <w:pPr>
              <w:widowControl/>
              <w:spacing w:line="360" w:lineRule="exact"/>
              <w:jc w:val="left"/>
              <w:rPr>
                <w:rFonts w:ascii="宋体" w:hAnsi="宋体"/>
                <w:color w:val="auto"/>
                <w:kern w:val="0"/>
                <w:szCs w:val="21"/>
                <w:highlight w:val="none"/>
              </w:rPr>
            </w:pPr>
            <w:r>
              <w:rPr>
                <w:rFonts w:hint="eastAsia" w:ascii="宋体" w:hAnsi="宋体" w:cs="宋体"/>
                <w:color w:val="auto"/>
                <w:kern w:val="0"/>
                <w:szCs w:val="21"/>
                <w:highlight w:val="none"/>
                <w:lang w:eastAsia="zh-CN"/>
              </w:rPr>
              <w:t>▲</w:t>
            </w:r>
            <w:r>
              <w:rPr>
                <w:rFonts w:ascii="宋体" w:hAnsi="宋体"/>
                <w:color w:val="auto"/>
                <w:kern w:val="0"/>
                <w:szCs w:val="21"/>
                <w:highlight w:val="none"/>
              </w:rPr>
              <w:t>（1）软件系统采用B/S结构；</w:t>
            </w:r>
          </w:p>
          <w:p w14:paraId="74B48634">
            <w:pPr>
              <w:widowControl/>
              <w:wordWrap w:val="0"/>
              <w:spacing w:line="360" w:lineRule="exact"/>
              <w:jc w:val="left"/>
              <w:rPr>
                <w:rFonts w:ascii="宋体" w:hAnsi="宋体"/>
                <w:color w:val="auto"/>
                <w:kern w:val="0"/>
                <w:szCs w:val="21"/>
                <w:highlight w:val="none"/>
              </w:rPr>
            </w:pPr>
            <w:r>
              <w:rPr>
                <w:rFonts w:hint="eastAsia" w:ascii="宋体" w:hAnsi="宋体" w:cs="宋体"/>
                <w:color w:val="auto"/>
                <w:kern w:val="0"/>
                <w:szCs w:val="21"/>
                <w:highlight w:val="none"/>
                <w:lang w:eastAsia="zh-CN"/>
              </w:rPr>
              <w:t>▲</w:t>
            </w:r>
            <w:r>
              <w:rPr>
                <w:rFonts w:ascii="宋体" w:hAnsi="宋体"/>
                <w:color w:val="auto"/>
                <w:kern w:val="0"/>
                <w:szCs w:val="21"/>
                <w:highlight w:val="none"/>
              </w:rPr>
              <w:t>（2）系统采用集中式部署方式，集中应用服务器使用</w:t>
            </w:r>
            <w:r>
              <w:rPr>
                <w:rFonts w:hint="eastAsia" w:ascii="宋体" w:hAnsi="宋体"/>
                <w:color w:val="auto"/>
                <w:kern w:val="0"/>
                <w:szCs w:val="21"/>
                <w:highlight w:val="none"/>
              </w:rPr>
              <w:t>Nginx、redis-server或者其他国产</w:t>
            </w:r>
            <w:r>
              <w:rPr>
                <w:rFonts w:ascii="宋体" w:hAnsi="宋体"/>
                <w:color w:val="auto"/>
                <w:kern w:val="0"/>
                <w:szCs w:val="21"/>
                <w:highlight w:val="none"/>
              </w:rPr>
              <w:t>应用中间件，数据库服务器使用M</w:t>
            </w:r>
            <w:r>
              <w:rPr>
                <w:rFonts w:hint="eastAsia" w:ascii="宋体" w:hAnsi="宋体"/>
                <w:color w:val="auto"/>
                <w:kern w:val="0"/>
                <w:szCs w:val="21"/>
                <w:highlight w:val="none"/>
              </w:rPr>
              <w:t>y-</w:t>
            </w:r>
            <w:r>
              <w:rPr>
                <w:rFonts w:ascii="宋体" w:hAnsi="宋体"/>
                <w:color w:val="auto"/>
                <w:kern w:val="0"/>
                <w:szCs w:val="21"/>
                <w:highlight w:val="none"/>
              </w:rPr>
              <w:t>SQL SERVER</w:t>
            </w:r>
            <w:r>
              <w:rPr>
                <w:rFonts w:hint="eastAsia" w:ascii="宋体" w:hAnsi="宋体"/>
                <w:color w:val="auto"/>
                <w:kern w:val="0"/>
                <w:szCs w:val="21"/>
                <w:highlight w:val="none"/>
              </w:rPr>
              <w:t>或者是人大金仓等国产</w:t>
            </w:r>
            <w:r>
              <w:rPr>
                <w:rFonts w:ascii="宋体" w:hAnsi="宋体"/>
                <w:color w:val="auto"/>
                <w:kern w:val="0"/>
                <w:szCs w:val="21"/>
                <w:highlight w:val="none"/>
              </w:rPr>
              <w:t>数据库；</w:t>
            </w:r>
          </w:p>
          <w:p w14:paraId="46B49E2C">
            <w:pPr>
              <w:widowControl/>
              <w:spacing w:line="360" w:lineRule="exact"/>
              <w:jc w:val="left"/>
              <w:rPr>
                <w:rFonts w:ascii="宋体" w:hAnsi="宋体"/>
                <w:color w:val="auto"/>
                <w:kern w:val="0"/>
                <w:szCs w:val="21"/>
                <w:highlight w:val="none"/>
              </w:rPr>
            </w:pPr>
            <w:r>
              <w:rPr>
                <w:rFonts w:hint="eastAsia" w:ascii="宋体" w:hAnsi="宋体" w:cs="宋体"/>
                <w:color w:val="auto"/>
                <w:kern w:val="0"/>
                <w:szCs w:val="21"/>
                <w:highlight w:val="none"/>
                <w:lang w:eastAsia="zh-CN"/>
              </w:rPr>
              <w:t>▲</w:t>
            </w:r>
            <w:r>
              <w:rPr>
                <w:rFonts w:ascii="宋体" w:hAnsi="宋体"/>
                <w:color w:val="auto"/>
                <w:kern w:val="0"/>
                <w:szCs w:val="21"/>
                <w:highlight w:val="none"/>
              </w:rPr>
              <w:t>（3）客户端支持VPN和专线连接方式的登陆使用；</w:t>
            </w:r>
          </w:p>
          <w:p w14:paraId="39E42D90">
            <w:pPr>
              <w:widowControl/>
              <w:spacing w:line="360" w:lineRule="exact"/>
              <w:jc w:val="left"/>
              <w:rPr>
                <w:rFonts w:ascii="宋体" w:hAnsi="宋体"/>
                <w:color w:val="auto"/>
                <w:kern w:val="0"/>
                <w:szCs w:val="21"/>
                <w:highlight w:val="none"/>
              </w:rPr>
            </w:pPr>
            <w:r>
              <w:rPr>
                <w:rFonts w:hint="eastAsia" w:ascii="宋体" w:hAnsi="宋体" w:cs="宋体"/>
                <w:color w:val="auto"/>
                <w:kern w:val="0"/>
                <w:szCs w:val="21"/>
                <w:highlight w:val="none"/>
                <w:lang w:eastAsia="zh-CN"/>
              </w:rPr>
              <w:t>▲</w:t>
            </w:r>
            <w:r>
              <w:rPr>
                <w:rFonts w:ascii="宋体" w:hAnsi="宋体"/>
                <w:color w:val="auto"/>
                <w:kern w:val="0"/>
                <w:szCs w:val="21"/>
                <w:highlight w:val="none"/>
              </w:rPr>
              <w:t>（4）服务端支持32位和64位Windows Server 2003及以上版本操作系统</w:t>
            </w:r>
            <w:r>
              <w:rPr>
                <w:rFonts w:hint="eastAsia" w:ascii="宋体" w:hAnsi="宋体"/>
                <w:color w:val="auto"/>
                <w:kern w:val="0"/>
                <w:szCs w:val="21"/>
                <w:highlight w:val="none"/>
              </w:rPr>
              <w:t>，同时要求能与国库操作系统进行适配</w:t>
            </w:r>
            <w:r>
              <w:rPr>
                <w:rFonts w:ascii="宋体" w:hAnsi="宋体"/>
                <w:color w:val="auto"/>
                <w:kern w:val="0"/>
                <w:szCs w:val="21"/>
                <w:highlight w:val="none"/>
              </w:rPr>
              <w:t>；</w:t>
            </w:r>
          </w:p>
          <w:p w14:paraId="1E770726">
            <w:pPr>
              <w:widowControl/>
              <w:spacing w:line="360" w:lineRule="exact"/>
              <w:jc w:val="left"/>
              <w:rPr>
                <w:rFonts w:hint="eastAsia" w:ascii="宋体" w:hAnsi="宋体" w:eastAsia="宋体"/>
                <w:color w:val="auto"/>
                <w:kern w:val="0"/>
                <w:szCs w:val="21"/>
                <w:highlight w:val="none"/>
                <w:lang w:eastAsia="zh-CN"/>
              </w:rPr>
            </w:pPr>
            <w:r>
              <w:rPr>
                <w:rFonts w:hint="eastAsia" w:ascii="宋体" w:hAnsi="宋体" w:cs="宋体"/>
                <w:color w:val="auto"/>
                <w:kern w:val="0"/>
                <w:szCs w:val="21"/>
                <w:highlight w:val="none"/>
                <w:lang w:eastAsia="zh-CN"/>
              </w:rPr>
              <w:t>▲</w:t>
            </w:r>
            <w:r>
              <w:rPr>
                <w:rFonts w:ascii="宋体" w:hAnsi="宋体"/>
                <w:color w:val="auto"/>
                <w:kern w:val="0"/>
                <w:szCs w:val="21"/>
                <w:highlight w:val="none"/>
              </w:rPr>
              <w:t>（5）客户端支持32位和64位Windows操作系统</w:t>
            </w:r>
            <w:r>
              <w:rPr>
                <w:rFonts w:hint="eastAsia" w:ascii="宋体" w:hAnsi="宋体"/>
                <w:color w:val="auto"/>
                <w:kern w:val="0"/>
                <w:szCs w:val="21"/>
                <w:highlight w:val="none"/>
                <w:lang w:eastAsia="zh-CN"/>
              </w:rPr>
              <w:t>；</w:t>
            </w:r>
          </w:p>
          <w:p w14:paraId="28B599BF">
            <w:pPr>
              <w:widowControl/>
              <w:spacing w:line="360" w:lineRule="exact"/>
              <w:jc w:val="left"/>
              <w:rPr>
                <w:rFonts w:hint="eastAsia" w:ascii="宋体" w:hAnsi="宋体"/>
                <w:color w:val="auto"/>
                <w:kern w:val="0"/>
                <w:szCs w:val="21"/>
                <w:highlight w:val="none"/>
              </w:rPr>
            </w:pPr>
            <w:r>
              <w:rPr>
                <w:rFonts w:ascii="宋体" w:hAnsi="宋体"/>
                <w:color w:val="auto"/>
                <w:kern w:val="0"/>
                <w:szCs w:val="21"/>
                <w:highlight w:val="none"/>
              </w:rPr>
              <w:t>2、系统业务操作要求</w:t>
            </w:r>
          </w:p>
          <w:p w14:paraId="024865D2">
            <w:pPr>
              <w:widowControl/>
              <w:spacing w:line="400" w:lineRule="exact"/>
              <w:jc w:val="left"/>
              <w:rPr>
                <w:rFonts w:hint="eastAsia" w:ascii="宋体" w:hAnsi="宋体" w:cs="宋体"/>
                <w:color w:val="auto"/>
                <w:kern w:val="0"/>
                <w:szCs w:val="21"/>
                <w:highlight w:val="none"/>
              </w:rPr>
            </w:pPr>
            <w:r>
              <w:rPr>
                <w:rFonts w:hint="eastAsia" w:ascii="宋体" w:hAnsi="宋体" w:cs="宋体"/>
                <w:b/>
                <w:color w:val="auto"/>
                <w:szCs w:val="21"/>
                <w:highlight w:val="none"/>
                <w:lang w:eastAsia="zh-CN"/>
              </w:rPr>
              <w:t>▲</w:t>
            </w:r>
            <w:r>
              <w:rPr>
                <w:rFonts w:hint="eastAsia" w:ascii="宋体" w:hAnsi="宋体" w:cs="宋体"/>
                <w:color w:val="auto"/>
                <w:kern w:val="0"/>
                <w:szCs w:val="21"/>
                <w:highlight w:val="none"/>
              </w:rPr>
              <w:t>（1）纯html页面，工作流定义采用可视化指定审批节点的方式定义，审批过程根据业务需求可加签、转办等功能；</w:t>
            </w:r>
          </w:p>
          <w:p w14:paraId="260BF8F8">
            <w:pPr>
              <w:widowControl/>
              <w:spacing w:line="400" w:lineRule="exact"/>
              <w:jc w:val="left"/>
              <w:rPr>
                <w:rFonts w:hint="eastAsia" w:ascii="宋体" w:hAnsi="宋体" w:cs="宋体"/>
                <w:color w:val="auto"/>
                <w:kern w:val="0"/>
                <w:szCs w:val="21"/>
                <w:highlight w:val="none"/>
              </w:rPr>
            </w:pPr>
            <w:r>
              <w:rPr>
                <w:rFonts w:hint="eastAsia" w:ascii="宋体" w:hAnsi="宋体" w:cs="宋体"/>
                <w:b/>
                <w:color w:val="auto"/>
                <w:szCs w:val="21"/>
                <w:highlight w:val="none"/>
                <w:lang w:eastAsia="zh-CN"/>
              </w:rPr>
              <w:t>▲</w:t>
            </w:r>
            <w:r>
              <w:rPr>
                <w:rFonts w:hint="eastAsia" w:ascii="宋体" w:hAnsi="宋体" w:cs="宋体"/>
                <w:color w:val="auto"/>
                <w:kern w:val="0"/>
                <w:szCs w:val="21"/>
                <w:highlight w:val="none"/>
              </w:rPr>
              <w:t>（2）根据贵港市职业教育中心学校的业务需求，可根据不同业务类别、审批要素等，定义审批流程。并在执行时，动态判定应该走的审批流程。</w:t>
            </w:r>
          </w:p>
          <w:p w14:paraId="0E8B4E0C">
            <w:pPr>
              <w:widowControl/>
              <w:spacing w:line="400" w:lineRule="exact"/>
              <w:jc w:val="left"/>
              <w:rPr>
                <w:rFonts w:hint="eastAsia" w:ascii="宋体" w:hAnsi="宋体" w:cs="宋体"/>
                <w:color w:val="auto"/>
                <w:kern w:val="0"/>
                <w:szCs w:val="21"/>
                <w:highlight w:val="none"/>
              </w:rPr>
            </w:pPr>
            <w:r>
              <w:rPr>
                <w:rFonts w:hint="eastAsia" w:ascii="宋体" w:hAnsi="宋体" w:cs="宋体"/>
                <w:b/>
                <w:color w:val="auto"/>
                <w:szCs w:val="21"/>
                <w:highlight w:val="none"/>
                <w:lang w:eastAsia="zh-CN"/>
              </w:rPr>
              <w:t>▲</w:t>
            </w:r>
            <w:r>
              <w:rPr>
                <w:rFonts w:hint="eastAsia" w:ascii="宋体" w:hAnsi="宋体" w:cs="宋体"/>
                <w:color w:val="auto"/>
                <w:kern w:val="0"/>
                <w:szCs w:val="21"/>
                <w:highlight w:val="none"/>
              </w:rPr>
              <w:t>（3）已经在走审批流的单据，审批领导或者审批的节点有变动了，系统可以实现自动变更成新的审批领导。</w:t>
            </w:r>
          </w:p>
          <w:p w14:paraId="0B099BDC">
            <w:pPr>
              <w:widowControl/>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（4）支持自定义不同角色登录，系统登录页展示不同的业务功能，方便领导快速找到自己需要关注的内容。</w:t>
            </w:r>
          </w:p>
          <w:p w14:paraId="50248D12">
            <w:pPr>
              <w:widowControl/>
              <w:spacing w:line="400" w:lineRule="exact"/>
              <w:jc w:val="left"/>
              <w:rPr>
                <w:rFonts w:hint="eastAsia" w:ascii="宋体" w:hAnsi="宋体" w:cs="宋体"/>
                <w:color w:val="auto"/>
                <w:kern w:val="0"/>
                <w:szCs w:val="21"/>
                <w:highlight w:val="none"/>
              </w:rPr>
            </w:pPr>
            <w:r>
              <w:rPr>
                <w:rFonts w:hint="eastAsia" w:ascii="宋体" w:hAnsi="宋体" w:cs="宋体"/>
                <w:b/>
                <w:color w:val="auto"/>
                <w:szCs w:val="21"/>
                <w:highlight w:val="none"/>
                <w:lang w:eastAsia="zh-CN"/>
              </w:rPr>
              <w:t>▲</w:t>
            </w:r>
            <w:r>
              <w:rPr>
                <w:rFonts w:hint="eastAsia" w:ascii="宋体" w:hAnsi="宋体" w:cs="宋体"/>
                <w:color w:val="auto"/>
                <w:kern w:val="0"/>
                <w:szCs w:val="21"/>
                <w:highlight w:val="none"/>
              </w:rPr>
              <w:t>（5）支持自定义设置打印业务单据模板，可以根据单位需求自定义调整业务单据的打印格式。</w:t>
            </w:r>
          </w:p>
          <w:p w14:paraId="012BC303">
            <w:pPr>
              <w:widowControl/>
              <w:spacing w:line="400" w:lineRule="exact"/>
              <w:jc w:val="left"/>
              <w:rPr>
                <w:rFonts w:ascii="宋体" w:hAnsi="宋体"/>
                <w:color w:val="auto"/>
                <w:kern w:val="0"/>
                <w:szCs w:val="21"/>
                <w:highlight w:val="none"/>
              </w:rPr>
            </w:pPr>
            <w:r>
              <w:rPr>
                <w:rFonts w:hint="eastAsia" w:ascii="宋体" w:hAnsi="宋体" w:cs="宋体"/>
                <w:color w:val="auto"/>
                <w:kern w:val="0"/>
                <w:szCs w:val="21"/>
                <w:highlight w:val="none"/>
              </w:rPr>
              <w:t>（6）支持系统内信息推送，可发布系统公告，站内信息等。</w:t>
            </w:r>
          </w:p>
          <w:p w14:paraId="6FE83FA2">
            <w:pPr>
              <w:widowControl/>
              <w:spacing w:line="360" w:lineRule="exact"/>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7</w:t>
            </w:r>
            <w:r>
              <w:rPr>
                <w:rFonts w:ascii="宋体" w:hAnsi="宋体"/>
                <w:color w:val="auto"/>
                <w:kern w:val="0"/>
                <w:szCs w:val="21"/>
                <w:highlight w:val="none"/>
              </w:rPr>
              <w:t>）客户端可以实现自动下载安装，并能自动升级修复，同时操作界面应当简洁易用，便于操作人员的操作使用；</w:t>
            </w:r>
          </w:p>
          <w:p w14:paraId="43BE3C31">
            <w:pPr>
              <w:widowControl/>
              <w:spacing w:line="360" w:lineRule="exact"/>
              <w:jc w:val="left"/>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8</w:t>
            </w:r>
            <w:r>
              <w:rPr>
                <w:rFonts w:ascii="宋体" w:hAnsi="宋体"/>
                <w:color w:val="auto"/>
                <w:kern w:val="0"/>
                <w:szCs w:val="21"/>
                <w:highlight w:val="none"/>
              </w:rPr>
              <w:t>）</w:t>
            </w:r>
            <w:r>
              <w:rPr>
                <w:rFonts w:hint="eastAsia" w:ascii="宋体" w:hAnsi="宋体"/>
                <w:color w:val="auto"/>
                <w:kern w:val="0"/>
                <w:szCs w:val="21"/>
                <w:highlight w:val="none"/>
              </w:rPr>
              <w:t>审批流程的定</w:t>
            </w:r>
            <w:r>
              <w:rPr>
                <w:rFonts w:ascii="宋体" w:hAnsi="宋体"/>
                <w:color w:val="auto"/>
                <w:kern w:val="0"/>
                <w:szCs w:val="21"/>
                <w:highlight w:val="none"/>
              </w:rPr>
              <w:t>制，可以实现由系统管理员的统一设定</w:t>
            </w:r>
            <w:r>
              <w:rPr>
                <w:rFonts w:hint="eastAsia" w:ascii="宋体" w:hAnsi="宋体"/>
                <w:color w:val="auto"/>
                <w:kern w:val="0"/>
                <w:szCs w:val="21"/>
                <w:highlight w:val="none"/>
              </w:rPr>
              <w:t>，</w:t>
            </w:r>
            <w:r>
              <w:rPr>
                <w:rFonts w:ascii="宋体" w:hAnsi="宋体"/>
                <w:color w:val="auto"/>
                <w:kern w:val="0"/>
                <w:szCs w:val="21"/>
                <w:highlight w:val="none"/>
              </w:rPr>
              <w:t>应能通过系统方便快捷地</w:t>
            </w:r>
            <w:r>
              <w:rPr>
                <w:rFonts w:hint="eastAsia" w:ascii="宋体" w:hAnsi="宋体"/>
                <w:color w:val="auto"/>
                <w:kern w:val="0"/>
                <w:szCs w:val="21"/>
                <w:highlight w:val="none"/>
              </w:rPr>
              <w:t>调整</w:t>
            </w:r>
            <w:r>
              <w:rPr>
                <w:rFonts w:ascii="宋体" w:hAnsi="宋体"/>
                <w:color w:val="auto"/>
                <w:kern w:val="0"/>
                <w:szCs w:val="21"/>
                <w:highlight w:val="none"/>
              </w:rPr>
              <w:t>。</w:t>
            </w:r>
          </w:p>
          <w:p w14:paraId="38AFF028">
            <w:pPr>
              <w:widowControl/>
              <w:spacing w:line="360" w:lineRule="exact"/>
              <w:jc w:val="left"/>
              <w:rPr>
                <w:rFonts w:ascii="宋体" w:hAnsi="宋体"/>
                <w:color w:val="auto"/>
                <w:kern w:val="0"/>
                <w:szCs w:val="21"/>
                <w:highlight w:val="none"/>
              </w:rPr>
            </w:pPr>
            <w:r>
              <w:rPr>
                <w:rFonts w:hint="eastAsia" w:ascii="宋体" w:hAnsi="宋体" w:cs="宋体"/>
                <w:color w:val="auto"/>
                <w:kern w:val="0"/>
                <w:szCs w:val="21"/>
                <w:highlight w:val="none"/>
                <w:lang w:eastAsia="zh-CN"/>
              </w:rPr>
              <w:t>▲</w:t>
            </w:r>
            <w:r>
              <w:rPr>
                <w:rFonts w:ascii="宋体" w:hAnsi="宋体"/>
                <w:color w:val="auto"/>
                <w:kern w:val="0"/>
                <w:szCs w:val="21"/>
                <w:highlight w:val="none"/>
              </w:rPr>
              <w:t>（</w:t>
            </w:r>
            <w:r>
              <w:rPr>
                <w:rFonts w:hint="eastAsia" w:ascii="宋体" w:hAnsi="宋体"/>
                <w:color w:val="auto"/>
                <w:kern w:val="0"/>
                <w:szCs w:val="21"/>
                <w:highlight w:val="none"/>
              </w:rPr>
              <w:t>9</w:t>
            </w:r>
            <w:r>
              <w:rPr>
                <w:rFonts w:ascii="宋体" w:hAnsi="宋体"/>
                <w:color w:val="auto"/>
                <w:kern w:val="0"/>
                <w:szCs w:val="21"/>
                <w:highlight w:val="none"/>
              </w:rPr>
              <w:t>）</w:t>
            </w:r>
            <w:r>
              <w:rPr>
                <w:rFonts w:hint="eastAsia" w:ascii="宋体" w:hAnsi="宋体"/>
                <w:color w:val="auto"/>
                <w:szCs w:val="21"/>
                <w:highlight w:val="none"/>
              </w:rPr>
              <w:t>不限制安装电脑数量，不限制操作员数量，不限制电脑端及移动端站点数量</w:t>
            </w:r>
          </w:p>
          <w:p w14:paraId="4F571354">
            <w:pPr>
              <w:widowControl/>
              <w:spacing w:line="360" w:lineRule="exact"/>
              <w:jc w:val="left"/>
              <w:rPr>
                <w:rFonts w:ascii="宋体" w:hAnsi="宋体"/>
                <w:b/>
                <w:bCs/>
                <w:color w:val="auto"/>
                <w:kern w:val="0"/>
                <w:szCs w:val="21"/>
                <w:highlight w:val="none"/>
              </w:rPr>
            </w:pPr>
            <w:r>
              <w:rPr>
                <w:rFonts w:hint="eastAsia" w:ascii="宋体" w:hAnsi="宋体"/>
                <w:b/>
                <w:bCs/>
                <w:color w:val="auto"/>
                <w:kern w:val="0"/>
                <w:szCs w:val="21"/>
                <w:highlight w:val="none"/>
              </w:rPr>
              <w:t>（三）系统主要功能模块</w:t>
            </w:r>
          </w:p>
          <w:p w14:paraId="3C30138A">
            <w:pPr>
              <w:widowControl/>
              <w:spacing w:line="360" w:lineRule="exact"/>
              <w:jc w:val="left"/>
              <w:rPr>
                <w:rFonts w:ascii="宋体" w:hAnsi="宋体"/>
                <w:color w:val="auto"/>
                <w:kern w:val="0"/>
                <w:szCs w:val="21"/>
                <w:highlight w:val="none"/>
              </w:rPr>
            </w:pPr>
            <w:r>
              <w:rPr>
                <w:rFonts w:ascii="宋体" w:hAnsi="宋体"/>
                <w:color w:val="auto"/>
                <w:kern w:val="0"/>
                <w:szCs w:val="21"/>
                <w:highlight w:val="none"/>
              </w:rPr>
              <w:t>软件系统应包含以下主要功能模块要求，</w:t>
            </w:r>
            <w:r>
              <w:rPr>
                <w:rFonts w:hint="eastAsia" w:ascii="宋体" w:hAnsi="宋体"/>
                <w:color w:val="auto"/>
                <w:kern w:val="0"/>
                <w:szCs w:val="21"/>
                <w:highlight w:val="none"/>
              </w:rPr>
              <w:t>在不涉及软件底层代码改动情况下，</w:t>
            </w:r>
            <w:r>
              <w:rPr>
                <w:rFonts w:hint="eastAsia"/>
                <w:color w:val="auto"/>
                <w:highlight w:val="none"/>
              </w:rPr>
              <w:t>功能模块可增加、定制及更新，可以根据用户的实际业务需求进行拓展，并增加新的业务功能模块</w:t>
            </w:r>
            <w:r>
              <w:rPr>
                <w:rFonts w:ascii="宋体" w:hAnsi="宋体"/>
                <w:color w:val="auto"/>
                <w:kern w:val="0"/>
                <w:szCs w:val="21"/>
                <w:highlight w:val="none"/>
              </w:rPr>
              <w:t>，以便随时启用新的业务功能模块。</w:t>
            </w:r>
          </w:p>
          <w:p w14:paraId="7CF4C5CC">
            <w:pPr>
              <w:widowControl/>
              <w:spacing w:line="360" w:lineRule="exact"/>
              <w:jc w:val="left"/>
              <w:rPr>
                <w:rFonts w:ascii="宋体" w:hAnsi="宋体"/>
                <w:b/>
                <w:bCs/>
                <w:color w:val="auto"/>
                <w:szCs w:val="21"/>
                <w:highlight w:val="none"/>
              </w:rPr>
            </w:pPr>
            <w:r>
              <w:rPr>
                <w:rFonts w:hint="eastAsia" w:ascii="宋体" w:hAnsi="宋体"/>
                <w:color w:val="auto"/>
                <w:szCs w:val="21"/>
                <w:highlight w:val="none"/>
              </w:rPr>
              <w:t>1、内控基础</w:t>
            </w:r>
            <w:r>
              <w:rPr>
                <w:rFonts w:ascii="宋体" w:hAnsi="宋体"/>
                <w:color w:val="auto"/>
                <w:szCs w:val="21"/>
                <w:highlight w:val="none"/>
              </w:rPr>
              <w:t>平台</w:t>
            </w:r>
          </w:p>
          <w:p w14:paraId="74A296A4">
            <w:pPr>
              <w:spacing w:line="360" w:lineRule="exact"/>
              <w:jc w:val="left"/>
              <w:rPr>
                <w:rFonts w:ascii="宋体" w:hAnsi="宋体"/>
                <w:color w:val="auto"/>
                <w:kern w:val="0"/>
                <w:szCs w:val="21"/>
                <w:highlight w:val="none"/>
              </w:rPr>
            </w:pPr>
            <w:r>
              <w:rPr>
                <w:rFonts w:hint="eastAsia" w:ascii="宋体" w:hAnsi="宋体"/>
                <w:color w:val="auto"/>
                <w:kern w:val="0"/>
                <w:szCs w:val="21"/>
                <w:highlight w:val="none"/>
              </w:rPr>
              <w:t>本系统平台由系统管理员身份进行集中管理，实现组织机构、工作流程、系统级报销标准、操作员及权限的设置。同时能够满足以下要求：</w:t>
            </w:r>
          </w:p>
          <w:p w14:paraId="6EE50392">
            <w:pPr>
              <w:spacing w:line="360" w:lineRule="exact"/>
              <w:jc w:val="left"/>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支持组织结构管理：统一的组织结构管理</w:t>
            </w:r>
            <w:r>
              <w:rPr>
                <w:rFonts w:hint="eastAsia" w:ascii="宋体" w:hAnsi="宋体"/>
                <w:color w:val="auto"/>
                <w:kern w:val="0"/>
                <w:szCs w:val="21"/>
                <w:highlight w:val="none"/>
              </w:rPr>
              <w:t>，</w:t>
            </w:r>
            <w:r>
              <w:rPr>
                <w:rFonts w:ascii="宋体" w:hAnsi="宋体"/>
                <w:color w:val="auto"/>
                <w:kern w:val="0"/>
                <w:szCs w:val="21"/>
                <w:highlight w:val="none"/>
              </w:rPr>
              <w:t>支持多层组织结构</w:t>
            </w:r>
            <w:r>
              <w:rPr>
                <w:rFonts w:hint="eastAsia" w:ascii="宋体" w:hAnsi="宋体"/>
                <w:color w:val="auto"/>
                <w:kern w:val="0"/>
                <w:szCs w:val="21"/>
                <w:highlight w:val="none"/>
              </w:rPr>
              <w:t>和</w:t>
            </w:r>
            <w:r>
              <w:rPr>
                <w:rFonts w:ascii="宋体" w:hAnsi="宋体"/>
                <w:color w:val="auto"/>
                <w:kern w:val="0"/>
                <w:szCs w:val="21"/>
                <w:highlight w:val="none"/>
              </w:rPr>
              <w:t>用户授权管理，满足高效、共享基础资料管理要求。</w:t>
            </w:r>
          </w:p>
          <w:p w14:paraId="4A2625DB">
            <w:pPr>
              <w:spacing w:line="360" w:lineRule="exact"/>
              <w:jc w:val="left"/>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支持</w:t>
            </w:r>
            <w:r>
              <w:rPr>
                <w:rFonts w:hint="eastAsia" w:ascii="宋体" w:hAnsi="宋体"/>
                <w:color w:val="auto"/>
                <w:kern w:val="0"/>
                <w:szCs w:val="21"/>
                <w:highlight w:val="none"/>
              </w:rPr>
              <w:t>统一</w:t>
            </w:r>
            <w:r>
              <w:rPr>
                <w:rFonts w:ascii="宋体" w:hAnsi="宋体"/>
                <w:color w:val="auto"/>
                <w:kern w:val="0"/>
                <w:szCs w:val="21"/>
                <w:highlight w:val="none"/>
              </w:rPr>
              <w:t>权限管理：采用统一的权限控制机制，根据角色、</w:t>
            </w:r>
            <w:r>
              <w:rPr>
                <w:rFonts w:hint="eastAsia" w:ascii="宋体" w:hAnsi="宋体"/>
                <w:color w:val="auto"/>
                <w:kern w:val="0"/>
                <w:szCs w:val="21"/>
                <w:highlight w:val="none"/>
              </w:rPr>
              <w:t>操作员双重</w:t>
            </w:r>
            <w:r>
              <w:rPr>
                <w:rFonts w:ascii="宋体" w:hAnsi="宋体"/>
                <w:color w:val="auto"/>
                <w:kern w:val="0"/>
                <w:szCs w:val="21"/>
                <w:highlight w:val="none"/>
              </w:rPr>
              <w:t>权限控制，可实现一人多限，限制保密信息的数据交换</w:t>
            </w:r>
            <w:r>
              <w:rPr>
                <w:rFonts w:hint="eastAsia" w:ascii="宋体" w:hAnsi="宋体"/>
                <w:color w:val="auto"/>
                <w:kern w:val="0"/>
                <w:szCs w:val="21"/>
                <w:highlight w:val="none"/>
              </w:rPr>
              <w:t>。支持</w:t>
            </w:r>
            <w:r>
              <w:rPr>
                <w:rFonts w:ascii="宋体" w:hAnsi="宋体"/>
                <w:color w:val="auto"/>
                <w:kern w:val="0"/>
                <w:szCs w:val="21"/>
                <w:highlight w:val="none"/>
              </w:rPr>
              <w:t>角色</w:t>
            </w:r>
            <w:r>
              <w:rPr>
                <w:rFonts w:hint="eastAsia" w:ascii="宋体" w:hAnsi="宋体"/>
                <w:color w:val="auto"/>
                <w:kern w:val="0"/>
                <w:szCs w:val="21"/>
                <w:highlight w:val="none"/>
              </w:rPr>
              <w:t>功能权限</w:t>
            </w:r>
            <w:r>
              <w:rPr>
                <w:rFonts w:ascii="宋体" w:hAnsi="宋体"/>
                <w:color w:val="auto"/>
                <w:kern w:val="0"/>
                <w:szCs w:val="21"/>
                <w:highlight w:val="none"/>
              </w:rPr>
              <w:t>管理，维护平台的角色信息（角色编号、角色名称等），设置角色拥有的菜单功能权限</w:t>
            </w:r>
            <w:r>
              <w:rPr>
                <w:rFonts w:hint="eastAsia" w:ascii="宋体" w:hAnsi="宋体"/>
                <w:color w:val="auto"/>
                <w:kern w:val="0"/>
                <w:szCs w:val="21"/>
                <w:highlight w:val="none"/>
              </w:rPr>
              <w:t>。同时，支持操作员数据权限</w:t>
            </w:r>
            <w:r>
              <w:rPr>
                <w:rFonts w:ascii="宋体" w:hAnsi="宋体"/>
                <w:color w:val="auto"/>
                <w:kern w:val="0"/>
                <w:szCs w:val="21"/>
                <w:highlight w:val="none"/>
              </w:rPr>
              <w:t>管理，维护平台的用户信息，设置</w:t>
            </w:r>
            <w:r>
              <w:rPr>
                <w:rFonts w:hint="eastAsia" w:ascii="宋体" w:hAnsi="宋体"/>
                <w:color w:val="auto"/>
                <w:kern w:val="0"/>
                <w:szCs w:val="21"/>
                <w:highlight w:val="none"/>
              </w:rPr>
              <w:t>操作员</w:t>
            </w:r>
            <w:r>
              <w:rPr>
                <w:rFonts w:ascii="宋体" w:hAnsi="宋体"/>
                <w:color w:val="auto"/>
                <w:kern w:val="0"/>
                <w:szCs w:val="21"/>
                <w:highlight w:val="none"/>
              </w:rPr>
              <w:t>所属角色</w:t>
            </w:r>
            <w:r>
              <w:rPr>
                <w:rFonts w:hint="eastAsia" w:ascii="宋体" w:hAnsi="宋体"/>
                <w:color w:val="auto"/>
                <w:kern w:val="0"/>
                <w:szCs w:val="21"/>
                <w:highlight w:val="none"/>
              </w:rPr>
              <w:t>及其授权访问的科目、报表、项目等系统基础资料。</w:t>
            </w:r>
            <w:r>
              <w:rPr>
                <w:rFonts w:ascii="宋体" w:hAnsi="宋体"/>
                <w:color w:val="auto"/>
                <w:kern w:val="0"/>
                <w:szCs w:val="21"/>
                <w:highlight w:val="none"/>
              </w:rPr>
              <w:t>一个用户可以对应多个角色</w:t>
            </w:r>
            <w:r>
              <w:rPr>
                <w:rFonts w:hint="eastAsia" w:ascii="宋体" w:hAnsi="宋体"/>
                <w:color w:val="auto"/>
                <w:kern w:val="0"/>
                <w:szCs w:val="21"/>
                <w:highlight w:val="none"/>
              </w:rPr>
              <w:t>。</w:t>
            </w:r>
          </w:p>
          <w:p w14:paraId="27FB1408">
            <w:pPr>
              <w:spacing w:line="360" w:lineRule="exact"/>
              <w:jc w:val="left"/>
              <w:rPr>
                <w:rFonts w:ascii="宋体" w:hAnsi="宋体"/>
                <w:color w:val="auto"/>
                <w:kern w:val="0"/>
                <w:szCs w:val="21"/>
                <w:highlight w:val="none"/>
              </w:rPr>
            </w:pPr>
            <w:r>
              <w:rPr>
                <w:rFonts w:hint="eastAsia" w:ascii="宋体" w:hAnsi="宋体"/>
                <w:color w:val="auto"/>
                <w:kern w:val="0"/>
                <w:szCs w:val="21"/>
                <w:highlight w:val="none"/>
              </w:rPr>
              <w:t>（3）基础数据与</w:t>
            </w:r>
            <w:r>
              <w:rPr>
                <w:rFonts w:ascii="宋体" w:hAnsi="宋体"/>
                <w:color w:val="auto"/>
                <w:kern w:val="0"/>
                <w:szCs w:val="21"/>
                <w:highlight w:val="none"/>
              </w:rPr>
              <w:t>财政</w:t>
            </w:r>
            <w:r>
              <w:rPr>
                <w:rFonts w:hint="eastAsia" w:ascii="宋体" w:hAnsi="宋体"/>
                <w:color w:val="auto"/>
                <w:kern w:val="0"/>
                <w:szCs w:val="21"/>
                <w:highlight w:val="none"/>
              </w:rPr>
              <w:t>业务系统同步：如支出功能分类科目、支出政府经济科目、支出部门经济科目等</w:t>
            </w:r>
            <w:r>
              <w:rPr>
                <w:rFonts w:ascii="宋体" w:hAnsi="宋体"/>
                <w:color w:val="auto"/>
                <w:kern w:val="0"/>
                <w:szCs w:val="21"/>
                <w:highlight w:val="none"/>
              </w:rPr>
              <w:t>基础数据信息与财政业务系统的信息</w:t>
            </w:r>
            <w:r>
              <w:rPr>
                <w:rFonts w:hint="eastAsia" w:ascii="宋体" w:hAnsi="宋体"/>
                <w:color w:val="auto"/>
                <w:kern w:val="0"/>
                <w:szCs w:val="21"/>
                <w:highlight w:val="none"/>
              </w:rPr>
              <w:t>保持一致。</w:t>
            </w:r>
            <w:bookmarkStart w:id="14" w:name="_Toc456596219"/>
          </w:p>
          <w:bookmarkEnd w:id="14"/>
          <w:p w14:paraId="7CFB3D95">
            <w:pPr>
              <w:tabs>
                <w:tab w:val="left" w:pos="6359"/>
              </w:tabs>
              <w:spacing w:line="360" w:lineRule="exact"/>
              <w:jc w:val="left"/>
              <w:rPr>
                <w:rFonts w:ascii="宋体" w:hAnsi="宋体"/>
                <w:color w:val="auto"/>
                <w:szCs w:val="21"/>
                <w:highlight w:val="none"/>
              </w:rPr>
            </w:pPr>
            <w:r>
              <w:rPr>
                <w:rFonts w:hint="eastAsia" w:ascii="宋体" w:hAnsi="宋体"/>
                <w:color w:val="auto"/>
                <w:szCs w:val="21"/>
                <w:highlight w:val="none"/>
              </w:rPr>
              <w:t>2、预算管理系统</w:t>
            </w:r>
          </w:p>
          <w:p w14:paraId="54D6277C">
            <w:pPr>
              <w:tabs>
                <w:tab w:val="left" w:pos="6359"/>
              </w:tabs>
              <w:spacing w:line="360" w:lineRule="exact"/>
              <w:jc w:val="left"/>
              <w:rPr>
                <w:rFonts w:ascii="宋体" w:hAnsi="宋体"/>
                <w:b/>
                <w:bCs/>
                <w:color w:val="auto"/>
                <w:szCs w:val="21"/>
                <w:highlight w:val="none"/>
              </w:rPr>
            </w:pPr>
            <w:r>
              <w:rPr>
                <w:rFonts w:hint="eastAsia" w:ascii="宋体" w:hAnsi="宋体"/>
                <w:color w:val="auto"/>
                <w:szCs w:val="21"/>
                <w:highlight w:val="none"/>
              </w:rPr>
              <w:t>(1)预算编制管理</w:t>
            </w:r>
          </w:p>
          <w:p w14:paraId="4C9AD1CD">
            <w:pPr>
              <w:spacing w:line="360" w:lineRule="exact"/>
              <w:jc w:val="left"/>
              <w:rPr>
                <w:rFonts w:hint="eastAsia" w:ascii="宋体" w:hAnsi="宋体"/>
                <w:color w:val="auto"/>
                <w:kern w:val="0"/>
                <w:szCs w:val="21"/>
                <w:highlight w:val="none"/>
              </w:rPr>
            </w:pPr>
            <w:r>
              <w:rPr>
                <w:rFonts w:hint="eastAsia" w:ascii="宋体" w:hAnsi="宋体"/>
                <w:color w:val="auto"/>
                <w:kern w:val="0"/>
                <w:szCs w:val="21"/>
                <w:highlight w:val="none"/>
              </w:rPr>
              <w:t>预算编制管理系统是推行预算编制常态化管理的应用系统。通过客观情况动态化建立预算项目数据库，在每年财政部门预算编制前通过本系统进行预算申报，并得到沟通、确认，由财务部门最终形成财政年度部门预算“一上”编制信息，实现预算编制常态化。同时支持单位内预算N上N下模式，完成对收入、支出预算（多个维度）的编制。</w:t>
            </w:r>
          </w:p>
          <w:p w14:paraId="646EE34D">
            <w:pPr>
              <w:spacing w:line="360" w:lineRule="exact"/>
              <w:jc w:val="left"/>
              <w:rPr>
                <w:rFonts w:ascii="宋体" w:hAnsi="宋体"/>
                <w:color w:val="auto"/>
                <w:kern w:val="0"/>
                <w:szCs w:val="21"/>
                <w:highlight w:val="none"/>
              </w:rPr>
            </w:pPr>
            <w:r>
              <w:rPr>
                <w:rFonts w:ascii="宋体" w:hAnsi="宋体"/>
                <w:color w:val="auto"/>
                <w:kern w:val="0"/>
                <w:szCs w:val="21"/>
                <w:highlight w:val="none"/>
              </w:rPr>
              <w:fldChar w:fldCharType="begin"/>
            </w:r>
            <w:r>
              <w:rPr>
                <w:rFonts w:hint="eastAsia" w:ascii="宋体" w:hAnsi="宋体"/>
                <w:color w:val="auto"/>
                <w:kern w:val="0"/>
                <w:szCs w:val="21"/>
                <w:highlight w:val="none"/>
              </w:rPr>
              <w:instrText xml:space="preserve">= 1 \* GB3</w:instrText>
            </w:r>
            <w:r>
              <w:rPr>
                <w:rFonts w:ascii="宋体" w:hAnsi="宋体"/>
                <w:color w:val="auto"/>
                <w:kern w:val="0"/>
                <w:szCs w:val="21"/>
                <w:highlight w:val="none"/>
              </w:rPr>
              <w:fldChar w:fldCharType="separate"/>
            </w:r>
            <w:r>
              <w:rPr>
                <w:rFonts w:hint="eastAsia" w:ascii="宋体" w:hAnsi="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可灵活定义</w:t>
            </w:r>
            <w:r>
              <w:rPr>
                <w:rFonts w:hint="eastAsia" w:ascii="宋体" w:hAnsi="宋体"/>
                <w:color w:val="auto"/>
                <w:kern w:val="0"/>
                <w:szCs w:val="21"/>
                <w:highlight w:val="none"/>
              </w:rPr>
              <w:t>各类</w:t>
            </w:r>
            <w:r>
              <w:rPr>
                <w:rFonts w:ascii="宋体" w:hAnsi="宋体"/>
                <w:color w:val="auto"/>
                <w:kern w:val="0"/>
                <w:szCs w:val="21"/>
                <w:highlight w:val="none"/>
              </w:rPr>
              <w:t>预算编制模板</w:t>
            </w:r>
            <w:r>
              <w:rPr>
                <w:rFonts w:hint="eastAsia" w:ascii="宋体" w:hAnsi="宋体"/>
                <w:color w:val="auto"/>
                <w:kern w:val="0"/>
                <w:szCs w:val="21"/>
                <w:highlight w:val="none"/>
              </w:rPr>
              <w:t>：依据财政上报的格式要求进行自定义模板设置，并可以导出以便导入财政预算平台。</w:t>
            </w:r>
          </w:p>
          <w:p w14:paraId="33A263C1">
            <w:pPr>
              <w:spacing w:line="360" w:lineRule="exact"/>
              <w:jc w:val="left"/>
              <w:rPr>
                <w:rFonts w:ascii="宋体" w:hAnsi="宋体"/>
                <w:color w:val="auto"/>
                <w:kern w:val="0"/>
                <w:szCs w:val="21"/>
                <w:highlight w:val="none"/>
              </w:rPr>
            </w:pPr>
            <w:r>
              <w:rPr>
                <w:rFonts w:ascii="宋体" w:hAnsi="宋体"/>
                <w:color w:val="auto"/>
                <w:kern w:val="0"/>
                <w:szCs w:val="21"/>
                <w:highlight w:val="none"/>
              </w:rPr>
              <w:fldChar w:fldCharType="begin"/>
            </w:r>
            <w:r>
              <w:rPr>
                <w:rFonts w:hint="eastAsia" w:ascii="宋体" w:hAnsi="宋体"/>
                <w:color w:val="auto"/>
                <w:kern w:val="0"/>
                <w:szCs w:val="21"/>
                <w:highlight w:val="none"/>
              </w:rPr>
              <w:instrText xml:space="preserve">= 2 \* GB3</w:instrText>
            </w:r>
            <w:r>
              <w:rPr>
                <w:rFonts w:ascii="宋体" w:hAnsi="宋体"/>
                <w:color w:val="auto"/>
                <w:kern w:val="0"/>
                <w:szCs w:val="21"/>
                <w:highlight w:val="none"/>
              </w:rPr>
              <w:fldChar w:fldCharType="separate"/>
            </w:r>
            <w:r>
              <w:rPr>
                <w:rFonts w:hint="eastAsia" w:ascii="宋体" w:hAnsi="宋体"/>
                <w:color w:val="auto"/>
                <w:kern w:val="0"/>
                <w:szCs w:val="21"/>
                <w:highlight w:val="none"/>
              </w:rPr>
              <w:t>②</w:t>
            </w:r>
            <w:r>
              <w:rPr>
                <w:rFonts w:ascii="宋体" w:hAnsi="宋体"/>
                <w:color w:val="auto"/>
                <w:kern w:val="0"/>
                <w:szCs w:val="21"/>
                <w:highlight w:val="none"/>
              </w:rPr>
              <w:fldChar w:fldCharType="end"/>
            </w:r>
            <w:r>
              <w:rPr>
                <w:rFonts w:ascii="宋体" w:hAnsi="宋体"/>
                <w:color w:val="auto"/>
                <w:kern w:val="0"/>
                <w:szCs w:val="21"/>
                <w:highlight w:val="none"/>
              </w:rPr>
              <w:t>可灵活定义审核流程</w:t>
            </w:r>
            <w:r>
              <w:rPr>
                <w:rFonts w:hint="eastAsia" w:ascii="宋体" w:hAnsi="宋体"/>
                <w:color w:val="auto"/>
                <w:kern w:val="0"/>
                <w:szCs w:val="21"/>
                <w:highlight w:val="none"/>
              </w:rPr>
              <w:t>：根据归口管理设置审核节点,自动通知到责任部门及责任人进行审核提醒。(财务拥有跨越节点的查看权)</w:t>
            </w:r>
          </w:p>
          <w:p w14:paraId="3072C7F0">
            <w:pPr>
              <w:spacing w:line="360" w:lineRule="exact"/>
              <w:jc w:val="left"/>
              <w:rPr>
                <w:rFonts w:ascii="宋体" w:hAnsi="宋体"/>
                <w:color w:val="auto"/>
                <w:kern w:val="0"/>
                <w:szCs w:val="21"/>
                <w:highlight w:val="none"/>
              </w:rPr>
            </w:pPr>
            <w:r>
              <w:rPr>
                <w:rFonts w:ascii="宋体" w:hAnsi="宋体"/>
                <w:color w:val="auto"/>
                <w:kern w:val="0"/>
                <w:szCs w:val="21"/>
                <w:highlight w:val="none"/>
              </w:rPr>
              <w:fldChar w:fldCharType="begin"/>
            </w:r>
            <w:r>
              <w:rPr>
                <w:rFonts w:hint="eastAsia" w:ascii="宋体" w:hAnsi="宋体"/>
                <w:color w:val="auto"/>
                <w:kern w:val="0"/>
                <w:szCs w:val="21"/>
                <w:highlight w:val="none"/>
              </w:rPr>
              <w:instrText xml:space="preserve">= 3 \* GB3</w:instrText>
            </w:r>
            <w:r>
              <w:rPr>
                <w:rFonts w:ascii="宋体" w:hAnsi="宋体"/>
                <w:color w:val="auto"/>
                <w:kern w:val="0"/>
                <w:szCs w:val="21"/>
                <w:highlight w:val="none"/>
              </w:rPr>
              <w:fldChar w:fldCharType="separate"/>
            </w:r>
            <w:r>
              <w:rPr>
                <w:rFonts w:hint="eastAsia" w:ascii="宋体" w:hAnsi="宋体"/>
                <w:color w:val="auto"/>
                <w:kern w:val="0"/>
                <w:szCs w:val="21"/>
                <w:highlight w:val="none"/>
              </w:rPr>
              <w:t>③</w:t>
            </w:r>
            <w:r>
              <w:rPr>
                <w:rFonts w:ascii="宋体" w:hAnsi="宋体"/>
                <w:color w:val="auto"/>
                <w:kern w:val="0"/>
                <w:szCs w:val="21"/>
                <w:highlight w:val="none"/>
              </w:rPr>
              <w:fldChar w:fldCharType="end"/>
            </w:r>
            <w:r>
              <w:rPr>
                <w:rFonts w:ascii="宋体" w:hAnsi="宋体"/>
                <w:color w:val="auto"/>
                <w:kern w:val="0"/>
                <w:szCs w:val="21"/>
                <w:highlight w:val="none"/>
              </w:rPr>
              <w:t>项目申报，</w:t>
            </w:r>
            <w:r>
              <w:rPr>
                <w:rFonts w:hint="eastAsia" w:ascii="宋体" w:hAnsi="宋体"/>
                <w:color w:val="auto"/>
                <w:kern w:val="0"/>
                <w:szCs w:val="21"/>
                <w:highlight w:val="none"/>
              </w:rPr>
              <w:t>必须</w:t>
            </w:r>
            <w:r>
              <w:rPr>
                <w:rFonts w:ascii="宋体" w:hAnsi="宋体"/>
                <w:color w:val="auto"/>
                <w:kern w:val="0"/>
                <w:szCs w:val="21"/>
                <w:highlight w:val="none"/>
              </w:rPr>
              <w:t>满足项目负责人进行项目预算的申报</w:t>
            </w:r>
            <w:r>
              <w:rPr>
                <w:rFonts w:hint="eastAsia" w:ascii="宋体" w:hAnsi="宋体"/>
                <w:color w:val="auto"/>
                <w:kern w:val="0"/>
                <w:szCs w:val="21"/>
                <w:highlight w:val="none"/>
              </w:rPr>
              <w:t>：同一笔项目预算资金可以拆分、分为培训费差旅费其他支出等不同费用情况,并可根据使用者需求进行不同属性条件的汇总查询。同时可以自定义项目信息。</w:t>
            </w:r>
          </w:p>
          <w:p w14:paraId="652DF413">
            <w:pPr>
              <w:spacing w:line="360" w:lineRule="exact"/>
              <w:jc w:val="left"/>
              <w:rPr>
                <w:rFonts w:ascii="宋体" w:hAnsi="宋体"/>
                <w:color w:val="auto"/>
                <w:kern w:val="0"/>
                <w:szCs w:val="21"/>
                <w:highlight w:val="none"/>
              </w:rPr>
            </w:pPr>
            <w:r>
              <w:rPr>
                <w:rFonts w:ascii="宋体" w:hAnsi="宋体"/>
                <w:color w:val="auto"/>
                <w:kern w:val="0"/>
                <w:szCs w:val="21"/>
                <w:highlight w:val="none"/>
              </w:rPr>
              <w:fldChar w:fldCharType="begin"/>
            </w:r>
            <w:r>
              <w:rPr>
                <w:rFonts w:hint="eastAsia" w:ascii="宋体" w:hAnsi="宋体"/>
                <w:color w:val="auto"/>
                <w:kern w:val="0"/>
                <w:szCs w:val="21"/>
                <w:highlight w:val="none"/>
              </w:rPr>
              <w:instrText xml:space="preserve">= 4 \* GB3</w:instrText>
            </w:r>
            <w:r>
              <w:rPr>
                <w:rFonts w:ascii="宋体" w:hAnsi="宋体"/>
                <w:color w:val="auto"/>
                <w:kern w:val="0"/>
                <w:szCs w:val="21"/>
                <w:highlight w:val="none"/>
              </w:rPr>
              <w:fldChar w:fldCharType="separate"/>
            </w:r>
            <w:r>
              <w:rPr>
                <w:rFonts w:hint="eastAsia" w:ascii="宋体" w:hAnsi="宋体"/>
                <w:color w:val="auto"/>
                <w:kern w:val="0"/>
                <w:szCs w:val="21"/>
                <w:highlight w:val="none"/>
              </w:rPr>
              <w:t>④</w:t>
            </w:r>
            <w:r>
              <w:rPr>
                <w:rFonts w:ascii="宋体" w:hAnsi="宋体"/>
                <w:color w:val="auto"/>
                <w:kern w:val="0"/>
                <w:szCs w:val="21"/>
                <w:highlight w:val="none"/>
              </w:rPr>
              <w:fldChar w:fldCharType="end"/>
            </w:r>
            <w:r>
              <w:rPr>
                <w:rFonts w:ascii="宋体" w:hAnsi="宋体"/>
                <w:color w:val="auto"/>
                <w:kern w:val="0"/>
                <w:szCs w:val="21"/>
                <w:highlight w:val="none"/>
              </w:rPr>
              <w:t>可灵活定义人员经费</w:t>
            </w:r>
            <w:r>
              <w:rPr>
                <w:rFonts w:hint="eastAsia" w:ascii="宋体" w:hAnsi="宋体"/>
                <w:color w:val="auto"/>
                <w:kern w:val="0"/>
                <w:szCs w:val="21"/>
                <w:highlight w:val="none"/>
              </w:rPr>
              <w:t>、公用经费</w:t>
            </w:r>
            <w:r>
              <w:rPr>
                <w:rFonts w:ascii="宋体" w:hAnsi="宋体"/>
                <w:color w:val="auto"/>
                <w:kern w:val="0"/>
                <w:szCs w:val="21"/>
                <w:highlight w:val="none"/>
              </w:rPr>
              <w:t>的</w:t>
            </w:r>
            <w:r>
              <w:rPr>
                <w:rFonts w:hint="eastAsia" w:ascii="宋体" w:hAnsi="宋体"/>
                <w:color w:val="auto"/>
                <w:kern w:val="0"/>
                <w:szCs w:val="21"/>
                <w:highlight w:val="none"/>
              </w:rPr>
              <w:t>取数来源和</w:t>
            </w:r>
            <w:r>
              <w:rPr>
                <w:rFonts w:ascii="宋体" w:hAnsi="宋体"/>
                <w:color w:val="auto"/>
                <w:kern w:val="0"/>
                <w:szCs w:val="21"/>
                <w:highlight w:val="none"/>
              </w:rPr>
              <w:t>定额控制数。</w:t>
            </w:r>
          </w:p>
          <w:p w14:paraId="22CB2A01">
            <w:pPr>
              <w:spacing w:line="360" w:lineRule="exact"/>
              <w:jc w:val="left"/>
              <w:rPr>
                <w:rFonts w:ascii="宋体" w:hAnsi="宋体"/>
                <w:color w:val="auto"/>
                <w:kern w:val="0"/>
                <w:szCs w:val="21"/>
                <w:highlight w:val="none"/>
              </w:rPr>
            </w:pPr>
            <w:r>
              <w:rPr>
                <w:rFonts w:ascii="宋体" w:hAnsi="宋体"/>
                <w:color w:val="auto"/>
                <w:kern w:val="0"/>
                <w:szCs w:val="21"/>
                <w:highlight w:val="none"/>
              </w:rPr>
              <w:fldChar w:fldCharType="begin"/>
            </w:r>
            <w:r>
              <w:rPr>
                <w:rFonts w:hint="eastAsia" w:ascii="宋体" w:hAnsi="宋体"/>
                <w:color w:val="auto"/>
                <w:kern w:val="0"/>
                <w:szCs w:val="21"/>
                <w:highlight w:val="none"/>
              </w:rPr>
              <w:instrText xml:space="preserve">= 5 \* GB3</w:instrText>
            </w:r>
            <w:r>
              <w:rPr>
                <w:rFonts w:ascii="宋体" w:hAnsi="宋体"/>
                <w:color w:val="auto"/>
                <w:kern w:val="0"/>
                <w:szCs w:val="21"/>
                <w:highlight w:val="none"/>
              </w:rPr>
              <w:fldChar w:fldCharType="separate"/>
            </w:r>
            <w:r>
              <w:rPr>
                <w:rFonts w:hint="eastAsia" w:ascii="宋体" w:hAnsi="宋体"/>
                <w:color w:val="auto"/>
                <w:kern w:val="0"/>
                <w:szCs w:val="21"/>
                <w:highlight w:val="none"/>
              </w:rPr>
              <w:t>⑤</w:t>
            </w:r>
            <w:r>
              <w:rPr>
                <w:rFonts w:ascii="宋体" w:hAnsi="宋体"/>
                <w:color w:val="auto"/>
                <w:kern w:val="0"/>
                <w:szCs w:val="21"/>
                <w:highlight w:val="none"/>
              </w:rPr>
              <w:fldChar w:fldCharType="end"/>
            </w:r>
            <w:r>
              <w:rPr>
                <w:rFonts w:hint="eastAsia" w:ascii="宋体" w:hAnsi="宋体"/>
                <w:color w:val="auto"/>
                <w:kern w:val="0"/>
                <w:szCs w:val="21"/>
                <w:highlight w:val="none"/>
              </w:rPr>
              <w:t>项目绩效内容自定义，可以实现项目执行情况查询、以及项目绩效评价。</w:t>
            </w:r>
          </w:p>
          <w:p w14:paraId="459DA658">
            <w:pPr>
              <w:spacing w:line="360" w:lineRule="exact"/>
              <w:jc w:val="left"/>
              <w:rPr>
                <w:rFonts w:ascii="宋体" w:hAnsi="宋体"/>
                <w:color w:val="auto"/>
                <w:kern w:val="0"/>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6 \* GB3</w:instrText>
            </w:r>
            <w:r>
              <w:rPr>
                <w:rFonts w:ascii="宋体" w:hAnsi="宋体"/>
                <w:color w:val="auto"/>
                <w:szCs w:val="21"/>
                <w:highlight w:val="none"/>
              </w:rPr>
              <w:fldChar w:fldCharType="separate"/>
            </w:r>
            <w:r>
              <w:rPr>
                <w:rFonts w:hint="eastAsia" w:ascii="宋体" w:hAnsi="宋体"/>
                <w:color w:val="auto"/>
                <w:szCs w:val="21"/>
                <w:highlight w:val="none"/>
              </w:rPr>
              <w:t>⑥</w:t>
            </w:r>
            <w:r>
              <w:rPr>
                <w:rFonts w:ascii="宋体" w:hAnsi="宋体"/>
                <w:color w:val="auto"/>
                <w:szCs w:val="21"/>
                <w:highlight w:val="none"/>
              </w:rPr>
              <w:fldChar w:fldCharType="end"/>
            </w:r>
            <w:r>
              <w:rPr>
                <w:rFonts w:hint="eastAsia" w:ascii="宋体" w:hAnsi="宋体"/>
                <w:color w:val="auto"/>
                <w:szCs w:val="21"/>
                <w:highlight w:val="none"/>
              </w:rPr>
              <w:t>预算项目管理</w:t>
            </w:r>
            <w:r>
              <w:rPr>
                <w:rFonts w:hint="eastAsia" w:ascii="宋体" w:hAnsi="宋体"/>
                <w:color w:val="auto"/>
                <w:kern w:val="0"/>
                <w:szCs w:val="21"/>
                <w:highlight w:val="none"/>
              </w:rPr>
              <w:t>，实现项目编制、报送、排序、审批项目，使不同岗位的工作人员可以方便、有序地参加协同工作，提高工作效率；供内部用户浏览与查询，以便实时掌握项目编审的进度，帮助领导全面、及时地掌握项目申报方面的信息和动态，为领导提供高效、安全、灵便的指挥调度手段和决策依据。 “项目评审、绩效考评”，各部门可以查询到填报项目的预算进度以及最终项目预算资金分解的具体明细资金情况。项目支出与预算指标挂接，预算指标实时控制项目支出，避免了项目超预算情况。对专项资金的来源、流向、支出、结余等使用情况严格控制。实现项目从申报、评审、排序、核对、批复、执行跟踪、绩效考核的全过程管理。项目预算绩效可以自定义绩效指标明细内容，项目完结后进行绩效完成指标内容填写，并可以上传佐证附件材料。</w:t>
            </w:r>
          </w:p>
          <w:p w14:paraId="1930A5E8">
            <w:pPr>
              <w:spacing w:line="360" w:lineRule="exact"/>
              <w:jc w:val="left"/>
              <w:rPr>
                <w:rFonts w:ascii="宋体" w:hAnsi="宋体"/>
                <w:b/>
                <w:bCs/>
                <w:color w:val="auto"/>
                <w:kern w:val="0"/>
                <w:szCs w:val="21"/>
                <w:highlight w:val="none"/>
              </w:rPr>
            </w:pPr>
            <w:r>
              <w:rPr>
                <w:rFonts w:hint="eastAsia" w:ascii="宋体" w:hAnsi="宋体"/>
                <w:color w:val="auto"/>
                <w:kern w:val="0"/>
                <w:szCs w:val="21"/>
                <w:highlight w:val="none"/>
              </w:rPr>
              <w:t>（2）预算指标管理</w:t>
            </w:r>
          </w:p>
          <w:p w14:paraId="1C8D6A22">
            <w:pPr>
              <w:pStyle w:val="188"/>
              <w:spacing w:line="36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除了可获取财政</w:t>
            </w:r>
            <w:r>
              <w:rPr>
                <w:rFonts w:ascii="宋体" w:hAnsi="宋体" w:eastAsia="宋体"/>
                <w:color w:val="auto"/>
                <w:sz w:val="21"/>
                <w:szCs w:val="21"/>
                <w:highlight w:val="none"/>
              </w:rPr>
              <w:t>一体化平台中预算、指标数据</w:t>
            </w:r>
            <w:r>
              <w:rPr>
                <w:rFonts w:hint="eastAsia" w:ascii="宋体" w:hAnsi="宋体" w:eastAsia="宋体"/>
                <w:color w:val="auto"/>
                <w:sz w:val="21"/>
                <w:szCs w:val="21"/>
                <w:highlight w:val="none"/>
              </w:rPr>
              <w:t>外</w:t>
            </w:r>
            <w:r>
              <w:rPr>
                <w:rFonts w:ascii="宋体" w:hAnsi="宋体" w:eastAsia="宋体"/>
                <w:color w:val="auto"/>
                <w:sz w:val="21"/>
                <w:szCs w:val="21"/>
                <w:highlight w:val="none"/>
              </w:rPr>
              <w:t>，</w:t>
            </w:r>
            <w:r>
              <w:rPr>
                <w:rFonts w:hint="eastAsia" w:ascii="宋体" w:hAnsi="宋体" w:eastAsia="宋体"/>
                <w:color w:val="auto"/>
                <w:sz w:val="21"/>
                <w:szCs w:val="21"/>
                <w:highlight w:val="none"/>
              </w:rPr>
              <w:t>还可根据单位的需求自定义添加预算指标数据，</w:t>
            </w:r>
            <w:r>
              <w:rPr>
                <w:rFonts w:ascii="宋体" w:hAnsi="宋体" w:eastAsia="宋体"/>
                <w:color w:val="auto"/>
                <w:sz w:val="21"/>
                <w:szCs w:val="21"/>
                <w:highlight w:val="none"/>
              </w:rPr>
              <w:t>并实现预算信息、指标信息与财政系统</w:t>
            </w:r>
            <w:r>
              <w:rPr>
                <w:rFonts w:hint="eastAsia" w:ascii="宋体" w:hAnsi="宋体" w:eastAsia="宋体"/>
                <w:color w:val="auto"/>
                <w:sz w:val="21"/>
                <w:szCs w:val="21"/>
                <w:highlight w:val="none"/>
              </w:rPr>
              <w:t>、账务系统</w:t>
            </w:r>
            <w:r>
              <w:rPr>
                <w:rFonts w:ascii="宋体" w:hAnsi="宋体" w:eastAsia="宋体"/>
                <w:color w:val="auto"/>
                <w:sz w:val="21"/>
                <w:szCs w:val="21"/>
                <w:highlight w:val="none"/>
              </w:rPr>
              <w:t>保持一致。</w:t>
            </w:r>
          </w:p>
          <w:p w14:paraId="63745894">
            <w:pPr>
              <w:pStyle w:val="188"/>
              <w:spacing w:line="360" w:lineRule="exact"/>
              <w:rPr>
                <w:rFonts w:ascii="宋体" w:hAnsi="宋体" w:eastAsia="宋体"/>
                <w:color w:val="auto"/>
                <w:sz w:val="21"/>
                <w:szCs w:val="21"/>
                <w:highlight w:val="none"/>
              </w:rPr>
            </w:pPr>
            <w:r>
              <w:rPr>
                <w:rFonts w:ascii="宋体" w:hAnsi="宋体" w:eastAsia="宋体"/>
                <w:color w:val="auto"/>
                <w:sz w:val="21"/>
                <w:szCs w:val="21"/>
                <w:highlight w:val="none"/>
              </w:rPr>
              <w:fldChar w:fldCharType="begin"/>
            </w:r>
            <w:r>
              <w:rPr>
                <w:rFonts w:hint="eastAsia" w:ascii="宋体" w:hAnsi="宋体" w:eastAsia="宋体"/>
                <w:color w:val="auto"/>
                <w:sz w:val="21"/>
                <w:szCs w:val="21"/>
                <w:highlight w:val="none"/>
              </w:rPr>
              <w:instrText xml:space="preserve">= 1 \* GB3</w:instrText>
            </w:r>
            <w:r>
              <w:rPr>
                <w:rFonts w:ascii="宋体" w:hAnsi="宋体" w:eastAsia="宋体"/>
                <w:color w:val="auto"/>
                <w:sz w:val="21"/>
                <w:szCs w:val="21"/>
                <w:highlight w:val="none"/>
              </w:rPr>
              <w:fldChar w:fldCharType="separate"/>
            </w:r>
            <w:r>
              <w:rPr>
                <w:rFonts w:hint="eastAsia" w:ascii="宋体" w:hAnsi="宋体" w:eastAsia="宋体"/>
                <w:color w:val="auto"/>
                <w:sz w:val="21"/>
                <w:szCs w:val="21"/>
                <w:highlight w:val="none"/>
              </w:rPr>
              <w:t>①</w:t>
            </w:r>
            <w:r>
              <w:rPr>
                <w:rFonts w:ascii="宋体" w:hAnsi="宋体" w:eastAsia="宋体"/>
                <w:color w:val="auto"/>
                <w:sz w:val="21"/>
                <w:szCs w:val="21"/>
                <w:highlight w:val="none"/>
              </w:rPr>
              <w:fldChar w:fldCharType="end"/>
            </w:r>
            <w:r>
              <w:rPr>
                <w:rFonts w:hint="eastAsia" w:ascii="宋体" w:hAnsi="宋体" w:eastAsia="宋体"/>
                <w:color w:val="auto"/>
                <w:sz w:val="21"/>
                <w:szCs w:val="21"/>
                <w:highlight w:val="none"/>
              </w:rPr>
              <w:t>与预算编制系统有接口，</w:t>
            </w:r>
            <w:r>
              <w:rPr>
                <w:rFonts w:ascii="宋体" w:hAnsi="宋体" w:eastAsia="宋体"/>
                <w:color w:val="auto"/>
                <w:sz w:val="21"/>
                <w:szCs w:val="21"/>
                <w:highlight w:val="none"/>
              </w:rPr>
              <w:t>建立起</w:t>
            </w:r>
            <w:r>
              <w:rPr>
                <w:rFonts w:hint="eastAsia" w:ascii="宋体" w:hAnsi="宋体" w:eastAsia="宋体"/>
                <w:color w:val="auto"/>
                <w:sz w:val="21"/>
                <w:szCs w:val="21"/>
                <w:highlight w:val="none"/>
              </w:rPr>
              <w:t>单位</w:t>
            </w:r>
            <w:r>
              <w:rPr>
                <w:rFonts w:ascii="宋体" w:hAnsi="宋体" w:eastAsia="宋体"/>
                <w:color w:val="auto"/>
                <w:sz w:val="21"/>
                <w:szCs w:val="21"/>
                <w:highlight w:val="none"/>
              </w:rPr>
              <w:t>预算控制体系，在预算执行过程中，通过预算控制下的管理，防止各个业务环节在资金使用时超支，不按进度使用资金</w:t>
            </w:r>
            <w:r>
              <w:rPr>
                <w:rFonts w:hint="eastAsia" w:ascii="宋体" w:hAnsi="宋体" w:eastAsia="宋体"/>
                <w:color w:val="auto"/>
                <w:sz w:val="21"/>
                <w:szCs w:val="21"/>
                <w:highlight w:val="none"/>
              </w:rPr>
              <w:t>（各资金使用部门有权限查看各自部门的预算资金使用情况）</w:t>
            </w:r>
            <w:r>
              <w:rPr>
                <w:rFonts w:ascii="宋体" w:hAnsi="宋体" w:eastAsia="宋体"/>
                <w:color w:val="auto"/>
                <w:sz w:val="21"/>
                <w:szCs w:val="21"/>
                <w:highlight w:val="none"/>
              </w:rPr>
              <w:t>。</w:t>
            </w:r>
          </w:p>
          <w:p w14:paraId="077560E0">
            <w:pPr>
              <w:pStyle w:val="188"/>
              <w:spacing w:line="360" w:lineRule="exact"/>
              <w:rPr>
                <w:rFonts w:ascii="宋体" w:hAnsi="宋体" w:eastAsia="宋体"/>
                <w:color w:val="auto"/>
                <w:sz w:val="21"/>
                <w:szCs w:val="21"/>
                <w:highlight w:val="none"/>
              </w:rPr>
            </w:pPr>
            <w:r>
              <w:rPr>
                <w:rFonts w:ascii="宋体" w:hAnsi="宋体" w:eastAsia="宋体"/>
                <w:color w:val="auto"/>
                <w:sz w:val="21"/>
                <w:szCs w:val="21"/>
                <w:highlight w:val="none"/>
              </w:rPr>
              <w:fldChar w:fldCharType="begin"/>
            </w:r>
            <w:r>
              <w:rPr>
                <w:rFonts w:hint="eastAsia" w:ascii="宋体" w:hAnsi="宋体" w:eastAsia="宋体"/>
                <w:color w:val="auto"/>
                <w:sz w:val="21"/>
                <w:szCs w:val="21"/>
                <w:highlight w:val="none"/>
              </w:rPr>
              <w:instrText xml:space="preserve">= 2 \* GB3</w:instrText>
            </w:r>
            <w:r>
              <w:rPr>
                <w:rFonts w:ascii="宋体" w:hAnsi="宋体" w:eastAsia="宋体"/>
                <w:color w:val="auto"/>
                <w:sz w:val="21"/>
                <w:szCs w:val="21"/>
                <w:highlight w:val="none"/>
              </w:rPr>
              <w:fldChar w:fldCharType="separate"/>
            </w:r>
            <w:r>
              <w:rPr>
                <w:rFonts w:hint="eastAsia" w:ascii="宋体" w:hAnsi="宋体" w:eastAsia="宋体"/>
                <w:color w:val="auto"/>
                <w:sz w:val="21"/>
                <w:szCs w:val="21"/>
                <w:highlight w:val="none"/>
              </w:rPr>
              <w:t>②</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t>实现与财政预算管理系统</w:t>
            </w:r>
            <w:r>
              <w:rPr>
                <w:rFonts w:hint="eastAsia" w:ascii="宋体" w:hAnsi="宋体" w:eastAsia="宋体"/>
                <w:color w:val="auto"/>
                <w:sz w:val="21"/>
                <w:szCs w:val="21"/>
                <w:highlight w:val="none"/>
              </w:rPr>
              <w:t>的数据对</w:t>
            </w:r>
            <w:r>
              <w:rPr>
                <w:rFonts w:ascii="宋体" w:hAnsi="宋体" w:eastAsia="宋体"/>
                <w:color w:val="auto"/>
                <w:sz w:val="21"/>
                <w:szCs w:val="21"/>
                <w:highlight w:val="none"/>
              </w:rPr>
              <w:t>接，</w:t>
            </w:r>
            <w:r>
              <w:rPr>
                <w:rFonts w:hint="eastAsia" w:ascii="宋体" w:hAnsi="宋体" w:eastAsia="宋体"/>
                <w:color w:val="auto"/>
                <w:sz w:val="21"/>
                <w:szCs w:val="21"/>
                <w:highlight w:val="none"/>
              </w:rPr>
              <w:t>导</w:t>
            </w:r>
            <w:r>
              <w:rPr>
                <w:rFonts w:ascii="宋体" w:hAnsi="宋体" w:eastAsia="宋体"/>
                <w:color w:val="auto"/>
                <w:sz w:val="21"/>
                <w:szCs w:val="21"/>
                <w:highlight w:val="none"/>
              </w:rPr>
              <w:t>入单位年初预算信息、指标信息和调整信息。</w:t>
            </w:r>
          </w:p>
          <w:p w14:paraId="551DAF83">
            <w:pPr>
              <w:pStyle w:val="188"/>
              <w:spacing w:line="360" w:lineRule="exact"/>
              <w:rPr>
                <w:rFonts w:ascii="宋体" w:hAnsi="宋体" w:eastAsia="宋体"/>
                <w:color w:val="auto"/>
                <w:sz w:val="21"/>
                <w:szCs w:val="21"/>
                <w:highlight w:val="none"/>
              </w:rPr>
            </w:pPr>
            <w:r>
              <w:rPr>
                <w:rFonts w:ascii="宋体" w:hAnsi="宋体" w:eastAsia="宋体"/>
                <w:color w:val="auto"/>
                <w:sz w:val="21"/>
                <w:szCs w:val="21"/>
                <w:highlight w:val="none"/>
              </w:rPr>
              <w:fldChar w:fldCharType="begin"/>
            </w:r>
            <w:r>
              <w:rPr>
                <w:rFonts w:hint="eastAsia" w:ascii="宋体" w:hAnsi="宋体" w:eastAsia="宋体"/>
                <w:color w:val="auto"/>
                <w:sz w:val="21"/>
                <w:szCs w:val="21"/>
                <w:highlight w:val="none"/>
              </w:rPr>
              <w:instrText xml:space="preserve">= 3 \* GB3</w:instrText>
            </w:r>
            <w:r>
              <w:rPr>
                <w:rFonts w:ascii="宋体" w:hAnsi="宋体" w:eastAsia="宋体"/>
                <w:color w:val="auto"/>
                <w:sz w:val="21"/>
                <w:szCs w:val="21"/>
                <w:highlight w:val="none"/>
              </w:rPr>
              <w:fldChar w:fldCharType="separate"/>
            </w:r>
            <w:r>
              <w:rPr>
                <w:rFonts w:hint="eastAsia" w:ascii="宋体" w:hAnsi="宋体" w:eastAsia="宋体"/>
                <w:color w:val="auto"/>
                <w:sz w:val="21"/>
                <w:szCs w:val="21"/>
                <w:highlight w:val="none"/>
              </w:rPr>
              <w:t>③</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t>实现对接入的年初预算信息及调整预算信息的自动对比，并以直观方式展现两个版本间的数据差异。</w:t>
            </w:r>
          </w:p>
          <w:p w14:paraId="2CB2A037">
            <w:pPr>
              <w:pStyle w:val="188"/>
              <w:spacing w:line="360" w:lineRule="exact"/>
              <w:rPr>
                <w:rFonts w:ascii="宋体" w:hAnsi="宋体" w:eastAsia="宋体"/>
                <w:color w:val="auto"/>
                <w:sz w:val="21"/>
                <w:szCs w:val="21"/>
                <w:highlight w:val="none"/>
              </w:rPr>
            </w:pPr>
            <w:r>
              <w:rPr>
                <w:rFonts w:ascii="宋体" w:hAnsi="宋体" w:eastAsia="宋体"/>
                <w:color w:val="auto"/>
                <w:sz w:val="21"/>
                <w:szCs w:val="21"/>
                <w:highlight w:val="none"/>
              </w:rPr>
              <w:fldChar w:fldCharType="begin"/>
            </w:r>
            <w:r>
              <w:rPr>
                <w:rFonts w:hint="eastAsia" w:ascii="宋体" w:hAnsi="宋体" w:eastAsia="宋体"/>
                <w:color w:val="auto"/>
                <w:sz w:val="21"/>
                <w:szCs w:val="21"/>
                <w:highlight w:val="none"/>
              </w:rPr>
              <w:instrText xml:space="preserve">= 4 \* GB3</w:instrText>
            </w:r>
            <w:r>
              <w:rPr>
                <w:rFonts w:ascii="宋体" w:hAnsi="宋体" w:eastAsia="宋体"/>
                <w:color w:val="auto"/>
                <w:sz w:val="21"/>
                <w:szCs w:val="21"/>
                <w:highlight w:val="none"/>
              </w:rPr>
              <w:fldChar w:fldCharType="separate"/>
            </w:r>
            <w:r>
              <w:rPr>
                <w:rFonts w:hint="eastAsia" w:ascii="宋体" w:hAnsi="宋体" w:eastAsia="宋体"/>
                <w:color w:val="auto"/>
                <w:sz w:val="21"/>
                <w:szCs w:val="21"/>
                <w:highlight w:val="none"/>
              </w:rPr>
              <w:t>④</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t>对接入的预算指标，可以根据教育系统的管理口径进行拆分和细化。</w:t>
            </w:r>
          </w:p>
          <w:p w14:paraId="0CEF174C">
            <w:pPr>
              <w:pStyle w:val="188"/>
              <w:spacing w:line="360" w:lineRule="exact"/>
              <w:rPr>
                <w:rFonts w:ascii="宋体" w:hAnsi="宋体" w:eastAsia="宋体"/>
                <w:color w:val="auto"/>
                <w:sz w:val="21"/>
                <w:szCs w:val="21"/>
                <w:highlight w:val="none"/>
              </w:rPr>
            </w:pPr>
            <w:r>
              <w:rPr>
                <w:rFonts w:ascii="宋体" w:hAnsi="宋体" w:eastAsia="宋体"/>
                <w:color w:val="auto"/>
                <w:sz w:val="21"/>
                <w:szCs w:val="21"/>
                <w:highlight w:val="none"/>
              </w:rPr>
              <w:fldChar w:fldCharType="begin"/>
            </w:r>
            <w:r>
              <w:rPr>
                <w:rFonts w:hint="eastAsia" w:ascii="宋体" w:hAnsi="宋体" w:eastAsia="宋体"/>
                <w:color w:val="auto"/>
                <w:sz w:val="21"/>
                <w:szCs w:val="21"/>
                <w:highlight w:val="none"/>
              </w:rPr>
              <w:instrText xml:space="preserve">= 5 \* GB3</w:instrText>
            </w:r>
            <w:r>
              <w:rPr>
                <w:rFonts w:ascii="宋体" w:hAnsi="宋体" w:eastAsia="宋体"/>
                <w:color w:val="auto"/>
                <w:sz w:val="21"/>
                <w:szCs w:val="21"/>
                <w:highlight w:val="none"/>
              </w:rPr>
              <w:fldChar w:fldCharType="separate"/>
            </w:r>
            <w:r>
              <w:rPr>
                <w:rFonts w:hint="eastAsia" w:ascii="宋体" w:hAnsi="宋体" w:eastAsia="宋体"/>
                <w:color w:val="auto"/>
                <w:sz w:val="21"/>
                <w:szCs w:val="21"/>
                <w:highlight w:val="none"/>
              </w:rPr>
              <w:t>⑤</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t>提供指标</w:t>
            </w:r>
            <w:r>
              <w:rPr>
                <w:rFonts w:hint="eastAsia" w:ascii="宋体" w:hAnsi="宋体" w:eastAsia="宋体"/>
                <w:color w:val="auto"/>
                <w:sz w:val="21"/>
                <w:szCs w:val="21"/>
                <w:highlight w:val="none"/>
              </w:rPr>
              <w:t>分解、下发、</w:t>
            </w:r>
            <w:r>
              <w:rPr>
                <w:rFonts w:ascii="宋体" w:hAnsi="宋体" w:eastAsia="宋体"/>
                <w:color w:val="auto"/>
                <w:sz w:val="21"/>
                <w:szCs w:val="21"/>
                <w:highlight w:val="none"/>
              </w:rPr>
              <w:t>分配、调整、</w:t>
            </w:r>
            <w:r>
              <w:rPr>
                <w:rFonts w:hint="eastAsia" w:ascii="宋体" w:hAnsi="宋体" w:eastAsia="宋体"/>
                <w:color w:val="auto"/>
                <w:sz w:val="21"/>
                <w:szCs w:val="21"/>
                <w:highlight w:val="none"/>
              </w:rPr>
              <w:t>支出、</w:t>
            </w:r>
            <w:r>
              <w:rPr>
                <w:rFonts w:ascii="宋体" w:hAnsi="宋体" w:eastAsia="宋体"/>
                <w:color w:val="auto"/>
                <w:sz w:val="21"/>
                <w:szCs w:val="21"/>
                <w:highlight w:val="none"/>
              </w:rPr>
              <w:t>查询、统计、分析等功能。</w:t>
            </w:r>
          </w:p>
          <w:p w14:paraId="6AC9FE79">
            <w:pPr>
              <w:pStyle w:val="188"/>
              <w:spacing w:line="360" w:lineRule="exact"/>
              <w:rPr>
                <w:rFonts w:ascii="宋体" w:hAnsi="宋体" w:eastAsia="宋体"/>
                <w:color w:val="auto"/>
                <w:sz w:val="21"/>
                <w:szCs w:val="21"/>
                <w:highlight w:val="none"/>
              </w:rPr>
            </w:pPr>
            <w:r>
              <w:rPr>
                <w:rFonts w:ascii="宋体" w:hAnsi="宋体" w:eastAsia="宋体"/>
                <w:color w:val="auto"/>
                <w:sz w:val="21"/>
                <w:szCs w:val="21"/>
                <w:highlight w:val="none"/>
              </w:rPr>
              <w:fldChar w:fldCharType="begin"/>
            </w:r>
            <w:r>
              <w:rPr>
                <w:rFonts w:hint="eastAsia" w:ascii="宋体" w:hAnsi="宋体" w:eastAsia="宋体"/>
                <w:color w:val="auto"/>
                <w:sz w:val="21"/>
                <w:szCs w:val="21"/>
                <w:highlight w:val="none"/>
              </w:rPr>
              <w:instrText xml:space="preserve">= 6 \* GB3</w:instrText>
            </w:r>
            <w:r>
              <w:rPr>
                <w:rFonts w:ascii="宋体" w:hAnsi="宋体" w:eastAsia="宋体"/>
                <w:color w:val="auto"/>
                <w:sz w:val="21"/>
                <w:szCs w:val="21"/>
                <w:highlight w:val="none"/>
              </w:rPr>
              <w:fldChar w:fldCharType="separate"/>
            </w:r>
            <w:r>
              <w:rPr>
                <w:rFonts w:hint="eastAsia" w:ascii="宋体" w:hAnsi="宋体" w:eastAsia="宋体"/>
                <w:color w:val="auto"/>
                <w:sz w:val="21"/>
                <w:szCs w:val="21"/>
                <w:highlight w:val="none"/>
              </w:rPr>
              <w:t>⑥</w:t>
            </w:r>
            <w:r>
              <w:rPr>
                <w:rFonts w:ascii="宋体" w:hAnsi="宋体" w:eastAsia="宋体"/>
                <w:color w:val="auto"/>
                <w:sz w:val="21"/>
                <w:szCs w:val="21"/>
                <w:highlight w:val="none"/>
              </w:rPr>
              <w:fldChar w:fldCharType="end"/>
            </w:r>
            <w:r>
              <w:rPr>
                <w:rFonts w:hint="eastAsia" w:ascii="宋体" w:hAnsi="宋体" w:eastAsia="宋体"/>
                <w:color w:val="auto"/>
                <w:sz w:val="21"/>
                <w:szCs w:val="21"/>
                <w:highlight w:val="none"/>
              </w:rPr>
              <w:t>支持预算指标的调整或追加功能及查询。</w:t>
            </w:r>
          </w:p>
          <w:p w14:paraId="5623DFDD">
            <w:pPr>
              <w:widowControl/>
              <w:spacing w:line="360" w:lineRule="exact"/>
              <w:jc w:val="left"/>
              <w:rPr>
                <w:rFonts w:ascii="宋体" w:hAnsi="宋体"/>
                <w:color w:val="auto"/>
                <w:kern w:val="0"/>
                <w:szCs w:val="21"/>
                <w:highlight w:val="none"/>
              </w:rPr>
            </w:pPr>
            <w:r>
              <w:rPr>
                <w:rFonts w:ascii="宋体" w:hAnsi="宋体"/>
                <w:color w:val="auto"/>
                <w:kern w:val="0"/>
                <w:szCs w:val="21"/>
                <w:highlight w:val="none"/>
              </w:rPr>
              <w:fldChar w:fldCharType="begin"/>
            </w:r>
            <w:r>
              <w:rPr>
                <w:rFonts w:hint="eastAsia" w:ascii="宋体" w:hAnsi="宋体"/>
                <w:color w:val="auto"/>
                <w:kern w:val="0"/>
                <w:szCs w:val="21"/>
                <w:highlight w:val="none"/>
              </w:rPr>
              <w:instrText xml:space="preserve">= 7 \* GB3</w:instrText>
            </w:r>
            <w:r>
              <w:rPr>
                <w:rFonts w:ascii="宋体" w:hAnsi="宋体"/>
                <w:color w:val="auto"/>
                <w:kern w:val="0"/>
                <w:szCs w:val="21"/>
                <w:highlight w:val="none"/>
              </w:rPr>
              <w:fldChar w:fldCharType="separate"/>
            </w:r>
            <w:r>
              <w:rPr>
                <w:rFonts w:hint="eastAsia" w:ascii="宋体" w:hAnsi="宋体"/>
                <w:color w:val="auto"/>
                <w:kern w:val="0"/>
                <w:szCs w:val="21"/>
                <w:highlight w:val="none"/>
              </w:rPr>
              <w:t>⑦</w:t>
            </w:r>
            <w:r>
              <w:rPr>
                <w:rFonts w:ascii="宋体" w:hAnsi="宋体"/>
                <w:color w:val="auto"/>
                <w:kern w:val="0"/>
                <w:szCs w:val="21"/>
                <w:highlight w:val="none"/>
              </w:rPr>
              <w:fldChar w:fldCharType="end"/>
            </w:r>
            <w:r>
              <w:rPr>
                <w:rFonts w:hint="eastAsia" w:ascii="宋体" w:hAnsi="宋体"/>
                <w:color w:val="auto"/>
                <w:kern w:val="0"/>
                <w:szCs w:val="21"/>
                <w:highlight w:val="none"/>
              </w:rPr>
              <w:t>支持自定义预算报表功能，可自定义预算执行分析报表等。</w:t>
            </w:r>
          </w:p>
          <w:p w14:paraId="5DC31769">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实现预算指标的实时监控、实时查询、实时控制，能够快捷准确地对各项预算的支出情况进行查询、分类检索与统计，检查预算执行情况，生成预算执行情况季报表、月报表，确保预算执行的刚性，以全面贯彻执行《预算法》相关要求，又能满足单位预算管控要求、归口部门管控要求</w:t>
            </w:r>
          </w:p>
          <w:p w14:paraId="77BB1825">
            <w:pPr>
              <w:widowControl/>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⑧支持图形化展示直观反映预算执行情况。</w:t>
            </w:r>
          </w:p>
          <w:p w14:paraId="2542BB20">
            <w:pPr>
              <w:widowControl/>
              <w:spacing w:line="400" w:lineRule="exact"/>
              <w:jc w:val="left"/>
              <w:rPr>
                <w:rFonts w:hint="eastAsia" w:ascii="宋体" w:hAnsi="宋体" w:cs="宋体"/>
                <w:color w:val="auto"/>
                <w:kern w:val="0"/>
                <w:sz w:val="24"/>
                <w:highlight w:val="none"/>
              </w:rPr>
            </w:pP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⑨支持单位内部预算编制汇总，实现单位内部预算编制，一上一下、二上二下，以及预算项目自评反馈。</w:t>
            </w:r>
          </w:p>
          <w:p w14:paraId="2ABB4A71">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#⑩</w:t>
            </w:r>
            <w:r>
              <w:rPr>
                <w:rFonts w:hint="eastAsia"/>
                <w:color w:val="auto"/>
                <w:highlight w:val="none"/>
              </w:rPr>
              <w:t>支持内部预算、财政预算即相互独立又统一的设置，满足学校部门经费的独立性又保持国库预算的一致性。并可实时自动生成不同预算方式的预算执行报表。</w:t>
            </w:r>
          </w:p>
          <w:p w14:paraId="3BDC5A8F">
            <w:pPr>
              <w:tabs>
                <w:tab w:val="left" w:pos="6359"/>
              </w:tabs>
              <w:spacing w:line="360" w:lineRule="exact"/>
              <w:jc w:val="left"/>
              <w:rPr>
                <w:rFonts w:hint="eastAsia" w:ascii="宋体" w:hAnsi="宋体"/>
                <w:color w:val="auto"/>
                <w:szCs w:val="21"/>
                <w:highlight w:val="none"/>
              </w:rPr>
            </w:pPr>
            <w:r>
              <w:rPr>
                <w:rFonts w:hint="eastAsia" w:ascii="宋体" w:hAnsi="宋体"/>
                <w:color w:val="auto"/>
                <w:szCs w:val="21"/>
                <w:highlight w:val="none"/>
              </w:rPr>
              <w:t>3、收入支出管控系统</w:t>
            </w:r>
          </w:p>
          <w:p w14:paraId="2AF3C461">
            <w:pPr>
              <w:tabs>
                <w:tab w:val="left" w:pos="6359"/>
              </w:tabs>
              <w:spacing w:line="40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(1)收入管理</w:t>
            </w:r>
            <w:r>
              <w:rPr>
                <w:rFonts w:hint="eastAsia" w:ascii="宋体" w:hAnsi="宋体" w:cs="宋体"/>
                <w:b/>
                <w:bCs/>
                <w:color w:val="auto"/>
                <w:szCs w:val="21"/>
                <w:highlight w:val="none"/>
              </w:rPr>
              <w:t xml:space="preserve"> </w:t>
            </w:r>
          </w:p>
          <w:p w14:paraId="252601F9">
            <w:pPr>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①收入登记：用于非合同收入的收入登记，并能根据不同收入类别，自动匹配审批流程。实现列表数据导出。</w:t>
            </w:r>
          </w:p>
          <w:p w14:paraId="36463C06">
            <w:pPr>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②收入合同：对合同模块里的收入合同的进行确认。</w:t>
            </w:r>
          </w:p>
          <w:p w14:paraId="5ED052EE">
            <w:pPr>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③应收管理：对应收未收的收入进行管理，实现按收入类别、部门、经办人、时间、应付单位、收入事项名称等实现应收金额、应收日期、已收金额等数据查询、汇总。实现数据导出。</w:t>
            </w:r>
          </w:p>
          <w:p w14:paraId="65AABACC">
            <w:pPr>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④收入查询分析：所有收入的数据实现按时间、部门、经办人、应付单位、收入类别，应收总额、已收金额、未收金额等等信息进行查询、汇总。实现数据导出，并可以图形统计方式直观展示。</w:t>
            </w:r>
          </w:p>
          <w:p w14:paraId="7A9CB550">
            <w:pPr>
              <w:spacing w:line="360" w:lineRule="exact"/>
              <w:jc w:val="left"/>
              <w:rPr>
                <w:rFonts w:hint="eastAsia" w:ascii="宋体" w:hAnsi="宋体"/>
                <w:color w:val="auto"/>
                <w:szCs w:val="21"/>
                <w:highlight w:val="none"/>
              </w:rPr>
            </w:pPr>
            <w:r>
              <w:rPr>
                <w:rFonts w:hint="eastAsia" w:ascii="宋体" w:hAnsi="宋体" w:cs="宋体"/>
                <w:color w:val="auto"/>
                <w:kern w:val="0"/>
                <w:szCs w:val="21"/>
                <w:highlight w:val="none"/>
              </w:rPr>
              <w:t>⑤收入到期预警：对于分期的收入合同，要求能够设定预警条件，在到期前进行预警。</w:t>
            </w:r>
          </w:p>
          <w:p w14:paraId="5E310568">
            <w:pPr>
              <w:spacing w:line="360" w:lineRule="exact"/>
              <w:jc w:val="left"/>
              <w:rPr>
                <w:color w:val="auto"/>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⑥</w:t>
            </w:r>
            <w:r>
              <w:rPr>
                <w:rFonts w:hint="eastAsia"/>
                <w:color w:val="auto"/>
                <w:highlight w:val="none"/>
              </w:rPr>
              <w:t>在劳务、培训等收入业务发生时，实现自动按收入比例对本项目业务的支出进行判断及管控。</w:t>
            </w:r>
          </w:p>
          <w:p w14:paraId="10A08E2F">
            <w:pPr>
              <w:tabs>
                <w:tab w:val="left" w:pos="6359"/>
              </w:tabs>
              <w:spacing w:line="360" w:lineRule="exact"/>
              <w:jc w:val="left"/>
              <w:rPr>
                <w:rFonts w:ascii="宋体" w:hAnsi="宋体"/>
                <w:b/>
                <w:bCs/>
                <w:color w:val="auto"/>
                <w:szCs w:val="21"/>
                <w:highlight w:val="none"/>
              </w:rPr>
            </w:pPr>
            <w:r>
              <w:rPr>
                <w:rFonts w:hint="eastAsia" w:ascii="宋体" w:hAnsi="宋体"/>
                <w:color w:val="auto"/>
                <w:szCs w:val="21"/>
                <w:highlight w:val="none"/>
              </w:rPr>
              <w:t>(2)经费申请系统</w:t>
            </w:r>
          </w:p>
          <w:p w14:paraId="46068A75">
            <w:pPr>
              <w:spacing w:line="360" w:lineRule="exact"/>
              <w:jc w:val="left"/>
              <w:rPr>
                <w:rFonts w:ascii="宋体" w:hAnsi="宋体"/>
                <w:color w:val="auto"/>
                <w:kern w:val="0"/>
                <w:szCs w:val="21"/>
                <w:highlight w:val="none"/>
              </w:rPr>
            </w:pPr>
            <w:r>
              <w:rPr>
                <w:rFonts w:hint="eastAsia" w:ascii="宋体" w:hAnsi="宋体"/>
                <w:color w:val="auto"/>
                <w:kern w:val="0"/>
                <w:szCs w:val="21"/>
                <w:highlight w:val="none"/>
              </w:rPr>
              <w:t>经费申请系统是内控体系的一部分，对单位资金使用活动的事前申请、经费规划，从而在经费执行时起到限制和监督的作用。经费申请可与网上报销系统联用。</w:t>
            </w:r>
          </w:p>
          <w:p w14:paraId="2402408E">
            <w:pPr>
              <w:spacing w:line="360" w:lineRule="exact"/>
              <w:jc w:val="left"/>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1 \* GB3</w:instrText>
            </w:r>
            <w:r>
              <w:rPr>
                <w:rFonts w:ascii="宋体" w:hAnsi="宋体"/>
                <w:color w:val="auto"/>
                <w:szCs w:val="21"/>
                <w:highlight w:val="none"/>
              </w:rPr>
              <w:fldChar w:fldCharType="separate"/>
            </w:r>
            <w:r>
              <w:rPr>
                <w:rFonts w:hint="eastAsia" w:ascii="宋体" w:hAnsi="宋体"/>
                <w:color w:val="auto"/>
                <w:szCs w:val="21"/>
                <w:highlight w:val="none"/>
              </w:rPr>
              <w:t>①</w:t>
            </w:r>
            <w:r>
              <w:rPr>
                <w:rFonts w:ascii="宋体" w:hAnsi="宋体"/>
                <w:color w:val="auto"/>
                <w:szCs w:val="21"/>
                <w:highlight w:val="none"/>
              </w:rPr>
              <w:fldChar w:fldCharType="end"/>
            </w:r>
            <w:r>
              <w:rPr>
                <w:rFonts w:hint="eastAsia" w:ascii="宋体" w:hAnsi="宋体"/>
                <w:color w:val="auto"/>
                <w:szCs w:val="21"/>
                <w:highlight w:val="none"/>
              </w:rPr>
              <w:t>可灵活设置不同类型的经费支出申请单，比如一般经费支出申请单、公务接待经费支出申请单、差旅经费申请单、会议经费申请单、培训经费申请单等，提供灵活自定义的单据设置功能，用户可定义单据要素、经费构成项、审核节点和流程。</w:t>
            </w:r>
          </w:p>
          <w:p w14:paraId="308931C6">
            <w:pPr>
              <w:spacing w:line="360" w:lineRule="exact"/>
              <w:jc w:val="left"/>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2 \* GB3</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color w:val="auto"/>
                <w:szCs w:val="21"/>
                <w:highlight w:val="none"/>
              </w:rPr>
              <w:t>经费申请单登记簿、额度退回登记簿等查询功能，提供经费申请单登记簿，方便查询各类申请单送审、审核、已完结或作废等情况。经费支出申请单编制与指标系统联用，占用相关指标额度，剩余指标额度可以设置手动或自动退回，并提供退回额度登记簿查询。</w:t>
            </w:r>
          </w:p>
          <w:p w14:paraId="191342BA">
            <w:pPr>
              <w:spacing w:line="360" w:lineRule="exact"/>
              <w:jc w:val="left"/>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3 \* GB3</w:instrText>
            </w:r>
            <w:r>
              <w:rPr>
                <w:rFonts w:ascii="宋体" w:hAnsi="宋体"/>
                <w:color w:val="auto"/>
                <w:szCs w:val="21"/>
                <w:highlight w:val="none"/>
              </w:rPr>
              <w:fldChar w:fldCharType="separate"/>
            </w:r>
            <w:r>
              <w:rPr>
                <w:rFonts w:hint="eastAsia" w:ascii="宋体" w:hAnsi="宋体"/>
                <w:color w:val="auto"/>
                <w:szCs w:val="21"/>
                <w:highlight w:val="none"/>
              </w:rPr>
              <w:t>③</w:t>
            </w:r>
            <w:r>
              <w:rPr>
                <w:rFonts w:ascii="宋体" w:hAnsi="宋体"/>
                <w:color w:val="auto"/>
                <w:szCs w:val="21"/>
                <w:highlight w:val="none"/>
              </w:rPr>
              <w:fldChar w:fldCharType="end"/>
            </w:r>
            <w:r>
              <w:rPr>
                <w:rFonts w:hint="eastAsia" w:ascii="宋体" w:hAnsi="宋体"/>
                <w:color w:val="auto"/>
                <w:szCs w:val="21"/>
                <w:highlight w:val="none"/>
              </w:rPr>
              <w:t>经费申请明细账、经费申请执行情况表查询功能，方便掌握全单位、本部门或指定项目的经费申请明细账；全面掌握全单位、本部门或指定项目的经费申请金额、使用金额、余额、执行进度百分比等执行情况信息。</w:t>
            </w:r>
          </w:p>
          <w:p w14:paraId="7811EB21">
            <w:pPr>
              <w:spacing w:line="360" w:lineRule="exact"/>
              <w:jc w:val="left"/>
              <w:rPr>
                <w:rFonts w:ascii="宋体" w:hAnsi="宋体"/>
                <w:color w:val="auto"/>
                <w:szCs w:val="21"/>
                <w:highlight w:val="none"/>
              </w:rPr>
            </w:pPr>
            <w:r>
              <w:rPr>
                <w:rFonts w:hint="eastAsia" w:ascii="宋体" w:hAnsi="宋体" w:cs="宋体"/>
                <w:color w:val="auto"/>
                <w:kern w:val="0"/>
                <w:szCs w:val="21"/>
                <w:highlight w:val="none"/>
                <w:lang w:eastAsia="zh-CN"/>
              </w:rPr>
              <w:t>▲</w:t>
            </w:r>
            <w:r>
              <w:rPr>
                <w:rFonts w:hint="eastAsia" w:ascii="宋体" w:hAnsi="宋体"/>
                <w:color w:val="auto"/>
                <w:szCs w:val="21"/>
                <w:highlight w:val="none"/>
              </w:rPr>
              <w:t>④实现经费支出申请单在经费申请的流程中任意环节挂接指标的功能，即申请部门申请时不挂接指标，运转至财务部门时才挂接指标。</w:t>
            </w:r>
          </w:p>
          <w:p w14:paraId="6C8B4B38">
            <w:pPr>
              <w:spacing w:line="360" w:lineRule="exact"/>
              <w:jc w:val="left"/>
              <w:rPr>
                <w:rFonts w:ascii="宋体" w:hAnsi="宋体"/>
                <w:color w:val="auto"/>
                <w:szCs w:val="21"/>
                <w:highlight w:val="none"/>
              </w:rPr>
            </w:pPr>
            <w:r>
              <w:rPr>
                <w:rFonts w:hint="eastAsia" w:ascii="宋体" w:hAnsi="宋体" w:cs="宋体"/>
                <w:color w:val="auto"/>
                <w:kern w:val="0"/>
                <w:szCs w:val="21"/>
                <w:highlight w:val="none"/>
                <w:lang w:eastAsia="zh-CN"/>
              </w:rPr>
              <w:t>▲</w:t>
            </w:r>
            <w:r>
              <w:rPr>
                <w:rFonts w:hint="eastAsia" w:ascii="宋体" w:hAnsi="宋体"/>
                <w:color w:val="auto"/>
                <w:szCs w:val="21"/>
                <w:highlight w:val="none"/>
              </w:rPr>
              <w:t>⑤实现出差报销时如果出差人重复日期无法完成报销的功能。</w:t>
            </w:r>
          </w:p>
          <w:p w14:paraId="2773D619">
            <w:pPr>
              <w:tabs>
                <w:tab w:val="left" w:pos="6359"/>
              </w:tabs>
              <w:spacing w:line="360" w:lineRule="exact"/>
              <w:jc w:val="left"/>
              <w:rPr>
                <w:rFonts w:ascii="宋体" w:hAnsi="宋体"/>
                <w:b/>
                <w:bCs/>
                <w:color w:val="auto"/>
                <w:szCs w:val="21"/>
                <w:highlight w:val="none"/>
              </w:rPr>
            </w:pPr>
            <w:r>
              <w:rPr>
                <w:rFonts w:hint="eastAsia" w:ascii="宋体" w:hAnsi="宋体"/>
                <w:color w:val="auto"/>
                <w:szCs w:val="21"/>
                <w:highlight w:val="none"/>
              </w:rPr>
              <w:t>(3)网上报销系统</w:t>
            </w:r>
          </w:p>
          <w:p w14:paraId="0901F73E">
            <w:pPr>
              <w:spacing w:line="360" w:lineRule="exact"/>
              <w:jc w:val="left"/>
              <w:rPr>
                <w:rFonts w:ascii="宋体" w:hAnsi="宋体"/>
                <w:color w:val="auto"/>
                <w:kern w:val="0"/>
                <w:szCs w:val="21"/>
                <w:highlight w:val="none"/>
              </w:rPr>
            </w:pPr>
            <w:r>
              <w:rPr>
                <w:rFonts w:hint="eastAsia" w:ascii="宋体" w:hAnsi="宋体"/>
                <w:color w:val="auto"/>
                <w:kern w:val="0"/>
                <w:szCs w:val="21"/>
                <w:highlight w:val="none"/>
              </w:rPr>
              <w:t>网上报销系统是支出管控领域重要的子系统，实现与预算指标联用，并受预算指标系统的预算控制，网上报销系统可以直接生成收付款单信息。</w:t>
            </w:r>
          </w:p>
          <w:p w14:paraId="68B99FE3">
            <w:pPr>
              <w:spacing w:line="360" w:lineRule="exact"/>
              <w:jc w:val="left"/>
              <w:rPr>
                <w:rFonts w:ascii="宋体" w:hAnsi="宋体"/>
                <w:color w:val="auto"/>
                <w:kern w:val="0"/>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1 \* GB3</w:instrText>
            </w:r>
            <w:r>
              <w:rPr>
                <w:rFonts w:ascii="宋体" w:hAnsi="宋体"/>
                <w:color w:val="auto"/>
                <w:szCs w:val="21"/>
                <w:highlight w:val="none"/>
              </w:rPr>
              <w:fldChar w:fldCharType="separate"/>
            </w:r>
            <w:r>
              <w:rPr>
                <w:rFonts w:hint="eastAsia" w:ascii="宋体" w:hAnsi="宋体"/>
                <w:color w:val="auto"/>
                <w:szCs w:val="21"/>
                <w:highlight w:val="none"/>
              </w:rPr>
              <w:t>①</w:t>
            </w:r>
            <w:r>
              <w:rPr>
                <w:rFonts w:ascii="宋体" w:hAnsi="宋体"/>
                <w:color w:val="auto"/>
                <w:szCs w:val="21"/>
                <w:highlight w:val="none"/>
              </w:rPr>
              <w:fldChar w:fldCharType="end"/>
            </w:r>
            <w:r>
              <w:rPr>
                <w:rFonts w:hint="eastAsia" w:ascii="宋体" w:hAnsi="宋体"/>
                <w:color w:val="auto"/>
                <w:szCs w:val="21"/>
                <w:highlight w:val="none"/>
              </w:rPr>
              <w:t>提供灵活、丰富的参数控制开关；比如借款单和报销单单据号编码规则设置；比如单据保存检查指标额度的控制提醒；比如单据打印的节点控制（预约、送审、审核、付讫）等。</w:t>
            </w:r>
          </w:p>
          <w:p w14:paraId="2A99A16D">
            <w:pPr>
              <w:spacing w:line="360" w:lineRule="exact"/>
              <w:jc w:val="left"/>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2 \* GB3</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color w:val="auto"/>
                <w:szCs w:val="21"/>
                <w:highlight w:val="none"/>
              </w:rPr>
              <w:t>提供丰富的单据模板，灵活的向导式便捷设置。提供借款单、报销单包括一般费用报销单、差旅费报销单、公务接待报销单、会议费报销单、培训费报销单、其他业务报销等。</w:t>
            </w:r>
          </w:p>
          <w:p w14:paraId="2B03EEAB">
            <w:pPr>
              <w:spacing w:line="360" w:lineRule="exact"/>
              <w:jc w:val="left"/>
              <w:rPr>
                <w:rFonts w:ascii="宋体" w:hAnsi="宋体"/>
                <w:color w:val="auto"/>
                <w:kern w:val="0"/>
                <w:szCs w:val="21"/>
                <w:highlight w:val="none"/>
              </w:rPr>
            </w:pPr>
            <w:r>
              <w:rPr>
                <w:rFonts w:hint="eastAsia" w:ascii="宋体" w:hAnsi="宋体"/>
                <w:color w:val="auto"/>
                <w:szCs w:val="21"/>
                <w:highlight w:val="none"/>
              </w:rPr>
              <w:t>向导式、积木式设置，灵活设置单据表外项、报销明细内容、结算方式等。</w:t>
            </w:r>
          </w:p>
          <w:p w14:paraId="57463082">
            <w:pPr>
              <w:spacing w:line="360" w:lineRule="exact"/>
              <w:jc w:val="left"/>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3 \* GB3</w:instrText>
            </w:r>
            <w:r>
              <w:rPr>
                <w:rFonts w:ascii="宋体" w:hAnsi="宋体"/>
                <w:color w:val="auto"/>
                <w:szCs w:val="21"/>
                <w:highlight w:val="none"/>
              </w:rPr>
              <w:fldChar w:fldCharType="separate"/>
            </w:r>
            <w:r>
              <w:rPr>
                <w:rFonts w:hint="eastAsia" w:ascii="宋体" w:hAnsi="宋体"/>
                <w:color w:val="auto"/>
                <w:szCs w:val="21"/>
                <w:highlight w:val="none"/>
              </w:rPr>
              <w:t>③</w:t>
            </w:r>
            <w:r>
              <w:rPr>
                <w:rFonts w:ascii="宋体" w:hAnsi="宋体"/>
                <w:color w:val="auto"/>
                <w:szCs w:val="21"/>
                <w:highlight w:val="none"/>
              </w:rPr>
              <w:fldChar w:fldCharType="end"/>
            </w:r>
            <w:r>
              <w:rPr>
                <w:rFonts w:hint="eastAsia" w:ascii="宋体" w:hAnsi="宋体"/>
                <w:color w:val="auto"/>
                <w:szCs w:val="21"/>
                <w:highlight w:val="none"/>
              </w:rPr>
              <w:t>提供借款单登记簿、借款单统计、预警、账龄等借款类信息查询。</w:t>
            </w:r>
          </w:p>
          <w:p w14:paraId="71E076F1">
            <w:pPr>
              <w:spacing w:line="360" w:lineRule="exact"/>
              <w:jc w:val="left"/>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4 \* GB3</w:instrText>
            </w:r>
            <w:r>
              <w:rPr>
                <w:rFonts w:ascii="宋体" w:hAnsi="宋体"/>
                <w:color w:val="auto"/>
                <w:szCs w:val="21"/>
                <w:highlight w:val="none"/>
              </w:rPr>
              <w:fldChar w:fldCharType="separate"/>
            </w:r>
            <w:r>
              <w:rPr>
                <w:rFonts w:hint="eastAsia" w:ascii="宋体" w:hAnsi="宋体"/>
                <w:color w:val="auto"/>
                <w:szCs w:val="21"/>
                <w:highlight w:val="none"/>
              </w:rPr>
              <w:t>④</w:t>
            </w:r>
            <w:r>
              <w:rPr>
                <w:rFonts w:ascii="宋体" w:hAnsi="宋体"/>
                <w:color w:val="auto"/>
                <w:szCs w:val="21"/>
                <w:highlight w:val="none"/>
              </w:rPr>
              <w:fldChar w:fldCharType="end"/>
            </w:r>
            <w:r>
              <w:rPr>
                <w:rFonts w:hint="eastAsia" w:ascii="宋体" w:hAnsi="宋体"/>
                <w:color w:val="auto"/>
                <w:szCs w:val="21"/>
                <w:highlight w:val="none"/>
              </w:rPr>
              <w:t>提供报销单登记簿、报销单统计、明细账等查询，以便总体掌握全单位、本部门或本人报销业务明细查询、汇总统计查询。</w:t>
            </w:r>
          </w:p>
          <w:p w14:paraId="1F7F7549">
            <w:pPr>
              <w:spacing w:line="360" w:lineRule="exact"/>
              <w:jc w:val="left"/>
              <w:rPr>
                <w:rFonts w:hint="eastAsia"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5 \* GB3</w:instrText>
            </w:r>
            <w:r>
              <w:rPr>
                <w:rFonts w:ascii="宋体" w:hAnsi="宋体"/>
                <w:color w:val="auto"/>
                <w:szCs w:val="21"/>
                <w:highlight w:val="none"/>
              </w:rPr>
              <w:fldChar w:fldCharType="separate"/>
            </w:r>
            <w:r>
              <w:rPr>
                <w:rFonts w:hint="eastAsia" w:ascii="宋体" w:hAnsi="宋体"/>
                <w:color w:val="auto"/>
                <w:szCs w:val="21"/>
                <w:highlight w:val="none"/>
              </w:rPr>
              <w:t>⑤</w:t>
            </w:r>
            <w:r>
              <w:rPr>
                <w:rFonts w:ascii="宋体" w:hAnsi="宋体"/>
                <w:color w:val="auto"/>
                <w:szCs w:val="21"/>
                <w:highlight w:val="none"/>
              </w:rPr>
              <w:fldChar w:fldCharType="end"/>
            </w:r>
            <w:r>
              <w:rPr>
                <w:rFonts w:hint="eastAsia" w:ascii="宋体" w:hAnsi="宋体"/>
                <w:color w:val="auto"/>
                <w:szCs w:val="21"/>
                <w:highlight w:val="none"/>
              </w:rPr>
              <w:t>还款处理，实现对借款单还款操作，并显示应收金额、本次还款金额、已收金额、指标金额、指标已还金额、指标未还金额等。</w:t>
            </w:r>
          </w:p>
          <w:p w14:paraId="29868952">
            <w:pPr>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⑥实现出差报销时出现同一出差人有重复日期则无法完成报销的功能。</w:t>
            </w:r>
          </w:p>
          <w:p w14:paraId="545CD618">
            <w:pPr>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⑦</w:t>
            </w:r>
            <w:r>
              <w:rPr>
                <w:rFonts w:hint="eastAsia" w:ascii="宋体" w:hAnsi="宋体" w:cs="宋体"/>
                <w:color w:val="auto"/>
                <w:szCs w:val="21"/>
                <w:highlight w:val="none"/>
              </w:rPr>
              <w:t>报销环节实现电子票据出现重复票据则无法完成报销的功能。</w:t>
            </w:r>
          </w:p>
          <w:p w14:paraId="18B48A70">
            <w:pPr>
              <w:spacing w:line="360" w:lineRule="exact"/>
              <w:jc w:val="left"/>
              <w:rPr>
                <w:rFonts w:ascii="宋体" w:hAnsi="宋体"/>
                <w:color w:val="auto"/>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⑧</w:t>
            </w:r>
            <w:r>
              <w:rPr>
                <w:rFonts w:hint="eastAsia" w:ascii="宋体" w:hAnsi="宋体" w:cs="宋体"/>
                <w:color w:val="auto"/>
                <w:szCs w:val="21"/>
                <w:highlight w:val="none"/>
              </w:rPr>
              <w:t>支持一个申请单多个事项的多次独立报销功能。报销审批过程可朔源查看申请单。</w:t>
            </w:r>
          </w:p>
          <w:p w14:paraId="7220017D">
            <w:pPr>
              <w:spacing w:line="360" w:lineRule="exact"/>
              <w:jc w:val="left"/>
              <w:rPr>
                <w:rFonts w:hint="eastAsia"/>
                <w:color w:val="auto"/>
                <w:highlight w:val="none"/>
              </w:rPr>
            </w:pPr>
            <w:r>
              <w:rPr>
                <w:rFonts w:hint="eastAsia" w:ascii="宋体" w:hAnsi="宋体" w:cs="宋体"/>
                <w:color w:val="auto"/>
                <w:kern w:val="0"/>
                <w:szCs w:val="21"/>
                <w:highlight w:val="none"/>
              </w:rPr>
              <w:t>#⑨</w:t>
            </w:r>
            <w:r>
              <w:rPr>
                <w:rFonts w:hint="eastAsia"/>
                <w:color w:val="auto"/>
                <w:highlight w:val="none"/>
              </w:rPr>
              <w:t>软件支持在直接报销等业务发生时能够自动生成</w:t>
            </w:r>
            <w:r>
              <w:rPr>
                <w:color w:val="auto"/>
                <w:highlight w:val="none"/>
              </w:rPr>
              <w:t>应收款项数据，</w:t>
            </w:r>
            <w:r>
              <w:rPr>
                <w:rFonts w:hint="eastAsia"/>
                <w:color w:val="auto"/>
                <w:highlight w:val="none"/>
              </w:rPr>
              <w:t>并且包括对</w:t>
            </w:r>
            <w:r>
              <w:rPr>
                <w:color w:val="auto"/>
                <w:highlight w:val="none"/>
              </w:rPr>
              <w:t>收入确认、</w:t>
            </w:r>
            <w:r>
              <w:rPr>
                <w:rFonts w:hint="eastAsia"/>
                <w:color w:val="auto"/>
                <w:highlight w:val="none"/>
              </w:rPr>
              <w:t>统计等功能</w:t>
            </w:r>
            <w:r>
              <w:rPr>
                <w:color w:val="auto"/>
                <w:highlight w:val="none"/>
              </w:rPr>
              <w:t>。</w:t>
            </w:r>
          </w:p>
          <w:p w14:paraId="4E5CBC76">
            <w:pPr>
              <w:spacing w:line="360" w:lineRule="exact"/>
              <w:jc w:val="left"/>
              <w:rPr>
                <w:rFonts w:hint="eastAsia"/>
                <w:color w:val="auto"/>
                <w:highlight w:val="none"/>
              </w:rPr>
            </w:pPr>
            <w:r>
              <w:rPr>
                <w:rFonts w:hint="eastAsia" w:ascii="宋体" w:hAnsi="宋体" w:cs="宋体"/>
                <w:color w:val="auto"/>
                <w:kern w:val="0"/>
                <w:szCs w:val="21"/>
                <w:highlight w:val="none"/>
              </w:rPr>
              <w:t>#⑩</w:t>
            </w:r>
            <w:r>
              <w:rPr>
                <w:rFonts w:hint="eastAsia"/>
                <w:color w:val="auto"/>
                <w:highlight w:val="none"/>
              </w:rPr>
              <w:t>支持公务用车独立申请，归口部门统一报销，并实现相关数据汇总，追溯。</w:t>
            </w:r>
          </w:p>
          <w:p w14:paraId="027793CC">
            <w:pPr>
              <w:spacing w:line="360" w:lineRule="exact"/>
              <w:jc w:val="left"/>
              <w:rPr>
                <w:rFonts w:hint="eastAsia"/>
                <w:color w:val="auto"/>
                <w:highlight w:val="none"/>
              </w:rPr>
            </w:pPr>
            <w:r>
              <w:rPr>
                <w:rFonts w:hint="eastAsia" w:ascii="宋体" w:hAnsi="宋体" w:cs="宋体"/>
                <w:color w:val="auto"/>
                <w:kern w:val="0"/>
                <w:szCs w:val="21"/>
                <w:highlight w:val="none"/>
              </w:rPr>
              <w:t>#(11)</w:t>
            </w:r>
            <w:r>
              <w:rPr>
                <w:rFonts w:hint="eastAsia"/>
                <w:color w:val="auto"/>
                <w:highlight w:val="none"/>
              </w:rPr>
              <w:t>对专项项目管理时，实现根据专项项目的不同，自动适配不同的颜色显示来提醒。</w:t>
            </w:r>
          </w:p>
          <w:p w14:paraId="428A0D84">
            <w:pPr>
              <w:spacing w:line="360" w:lineRule="exact"/>
              <w:jc w:val="left"/>
              <w:rPr>
                <w:rFonts w:hint="eastAsia"/>
                <w:color w:val="auto"/>
                <w:highlight w:val="none"/>
              </w:rPr>
            </w:pPr>
            <w:r>
              <w:rPr>
                <w:rFonts w:hint="eastAsia" w:ascii="宋体" w:hAnsi="宋体" w:cs="宋体"/>
                <w:color w:val="auto"/>
                <w:kern w:val="0"/>
                <w:szCs w:val="21"/>
                <w:highlight w:val="none"/>
              </w:rPr>
              <w:t>#(12)</w:t>
            </w:r>
            <w:r>
              <w:rPr>
                <w:rFonts w:hint="eastAsia"/>
                <w:color w:val="auto"/>
                <w:highlight w:val="none"/>
              </w:rPr>
              <w:t>薪资管理能够按明细导入，并立即自动生成包含管理部门明细薪资统计表、业务部门明细薪资统计表数据，同时包含汇总统计功能，方便领导进行审批薪资数据。</w:t>
            </w:r>
          </w:p>
          <w:p w14:paraId="2F24AF01">
            <w:pPr>
              <w:spacing w:line="360" w:lineRule="exact"/>
              <w:jc w:val="left"/>
              <w:rPr>
                <w:rFonts w:hint="eastAsia"/>
                <w:color w:val="auto"/>
                <w:highlight w:val="none"/>
              </w:rPr>
            </w:pPr>
            <w:r>
              <w:rPr>
                <w:rFonts w:hint="eastAsia" w:ascii="宋体" w:hAnsi="宋体" w:cs="宋体"/>
                <w:color w:val="auto"/>
                <w:kern w:val="0"/>
                <w:szCs w:val="21"/>
                <w:highlight w:val="none"/>
              </w:rPr>
              <w:t>#(13)</w:t>
            </w:r>
            <w:r>
              <w:rPr>
                <w:rFonts w:hint="eastAsia"/>
                <w:color w:val="auto"/>
                <w:highlight w:val="none"/>
              </w:rPr>
              <w:t>支持劳务费用分别用应发金额、实发金额计算个税的功能。</w:t>
            </w:r>
          </w:p>
          <w:p w14:paraId="3455F367">
            <w:pPr>
              <w:spacing w:line="360" w:lineRule="exact"/>
              <w:jc w:val="left"/>
              <w:rPr>
                <w:rFonts w:ascii="宋体" w:hAnsi="宋体"/>
                <w:color w:val="auto"/>
                <w:szCs w:val="21"/>
                <w:highlight w:val="none"/>
              </w:rPr>
            </w:pPr>
            <w:r>
              <w:rPr>
                <w:rFonts w:hint="eastAsia" w:ascii="宋体" w:hAnsi="宋体" w:cs="宋体"/>
                <w:color w:val="auto"/>
                <w:kern w:val="0"/>
                <w:szCs w:val="21"/>
                <w:highlight w:val="none"/>
              </w:rPr>
              <w:t>#(14)</w:t>
            </w:r>
            <w:r>
              <w:rPr>
                <w:rFonts w:hint="eastAsia"/>
                <w:color w:val="auto"/>
                <w:highlight w:val="none"/>
              </w:rPr>
              <w:t>软件提供对未及时提交发票、未及时报销经办人等预警功能，并且能够自定义预警条件。</w:t>
            </w:r>
          </w:p>
          <w:p w14:paraId="46E60304">
            <w:pPr>
              <w:tabs>
                <w:tab w:val="left" w:pos="6359"/>
              </w:tabs>
              <w:spacing w:line="360" w:lineRule="exact"/>
              <w:jc w:val="left"/>
              <w:rPr>
                <w:rFonts w:ascii="宋体" w:hAnsi="宋体"/>
                <w:color w:val="auto"/>
                <w:szCs w:val="21"/>
                <w:highlight w:val="none"/>
              </w:rPr>
            </w:pPr>
            <w:r>
              <w:rPr>
                <w:rFonts w:hint="eastAsia" w:ascii="宋体" w:hAnsi="宋体"/>
                <w:color w:val="auto"/>
                <w:szCs w:val="21"/>
                <w:highlight w:val="none"/>
              </w:rPr>
              <w:t>4、合同管理系统</w:t>
            </w:r>
          </w:p>
          <w:p w14:paraId="6A4DAF9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结合单位特点，将合同进行细化分类，对预算执行过程中涉及的各种合同进行集中管理。</w:t>
            </w:r>
          </w:p>
          <w:p w14:paraId="13156278">
            <w:pPr>
              <w:spacing w:line="360" w:lineRule="exact"/>
              <w:jc w:val="left"/>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1 \* GB3</w:instrText>
            </w:r>
            <w:r>
              <w:rPr>
                <w:rFonts w:ascii="宋体" w:hAnsi="宋体"/>
                <w:color w:val="auto"/>
                <w:szCs w:val="21"/>
                <w:highlight w:val="none"/>
              </w:rPr>
              <w:fldChar w:fldCharType="separate"/>
            </w:r>
            <w:r>
              <w:rPr>
                <w:rFonts w:hint="eastAsia" w:ascii="宋体" w:hAnsi="宋体"/>
                <w:color w:val="auto"/>
                <w:szCs w:val="21"/>
                <w:highlight w:val="none"/>
              </w:rPr>
              <w:t>①</w:t>
            </w:r>
            <w:r>
              <w:rPr>
                <w:rFonts w:ascii="宋体" w:hAnsi="宋体"/>
                <w:color w:val="auto"/>
                <w:szCs w:val="21"/>
                <w:highlight w:val="none"/>
              </w:rPr>
              <w:fldChar w:fldCharType="end"/>
            </w:r>
            <w:r>
              <w:rPr>
                <w:rFonts w:hint="eastAsia" w:ascii="宋体" w:hAnsi="宋体"/>
                <w:color w:val="auto"/>
                <w:szCs w:val="21"/>
                <w:highlight w:val="none"/>
              </w:rPr>
              <w:t>系统具备围绕合同录入、合同处理（变更、提醒）、合同收支款管理、合同质保金（收取、返还）、统计分析等模块的业务流程管理的功能。</w:t>
            </w:r>
          </w:p>
          <w:p w14:paraId="367130A7">
            <w:pPr>
              <w:spacing w:line="360" w:lineRule="exact"/>
              <w:jc w:val="left"/>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2 \* GB3</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color w:val="auto"/>
                <w:szCs w:val="21"/>
                <w:highlight w:val="none"/>
              </w:rPr>
              <w:t>系统具备通过系统化实现数据录入及审核责任部门化功能。</w:t>
            </w:r>
          </w:p>
          <w:p w14:paraId="091426D6">
            <w:pPr>
              <w:spacing w:line="360" w:lineRule="exact"/>
              <w:jc w:val="left"/>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3 \* GB3</w:instrText>
            </w:r>
            <w:r>
              <w:rPr>
                <w:rFonts w:ascii="宋体" w:hAnsi="宋体"/>
                <w:color w:val="auto"/>
                <w:szCs w:val="21"/>
                <w:highlight w:val="none"/>
              </w:rPr>
              <w:fldChar w:fldCharType="separate"/>
            </w:r>
            <w:r>
              <w:rPr>
                <w:rFonts w:hint="eastAsia" w:ascii="宋体" w:hAnsi="宋体"/>
                <w:color w:val="auto"/>
                <w:szCs w:val="21"/>
                <w:highlight w:val="none"/>
              </w:rPr>
              <w:t>③</w:t>
            </w:r>
            <w:r>
              <w:rPr>
                <w:rFonts w:ascii="宋体" w:hAnsi="宋体"/>
                <w:color w:val="auto"/>
                <w:szCs w:val="21"/>
                <w:highlight w:val="none"/>
              </w:rPr>
              <w:fldChar w:fldCharType="end"/>
            </w:r>
            <w:r>
              <w:rPr>
                <w:rFonts w:hint="eastAsia" w:ascii="宋体" w:hAnsi="宋体"/>
                <w:color w:val="auto"/>
                <w:szCs w:val="21"/>
                <w:highlight w:val="none"/>
              </w:rPr>
              <w:t>系统具备通过系统化实现数据处理多部门参与，实现系统稽核和制约，数据共享，达到直接查询列印报表的功能。</w:t>
            </w:r>
          </w:p>
          <w:p w14:paraId="1BF5ED2C">
            <w:pPr>
              <w:pStyle w:val="28"/>
              <w:spacing w:line="420" w:lineRule="exact"/>
              <w:textAlignment w:val="baseline"/>
              <w:rPr>
                <w:rFonts w:hAnsi="宋体" w:cs="宋体"/>
                <w:color w:val="auto"/>
                <w:szCs w:val="21"/>
                <w:highlight w:val="none"/>
                <w:lang w:val="en-US" w:eastAsia="zh-CN"/>
              </w:rPr>
            </w:pPr>
            <w:r>
              <w:rPr>
                <w:rFonts w:hAnsi="宋体"/>
                <w:color w:val="auto"/>
                <w:szCs w:val="21"/>
                <w:highlight w:val="none"/>
                <w:lang w:val="en-US" w:eastAsia="zh-CN"/>
              </w:rPr>
              <w:fldChar w:fldCharType="begin"/>
            </w:r>
            <w:r>
              <w:rPr>
                <w:rFonts w:hint="eastAsia" w:hAnsi="宋体"/>
                <w:color w:val="auto"/>
                <w:szCs w:val="21"/>
                <w:highlight w:val="none"/>
                <w:lang w:val="en-US" w:eastAsia="zh-CN"/>
              </w:rPr>
              <w:instrText xml:space="preserve">= 4 \* GB3</w:instrText>
            </w:r>
            <w:r>
              <w:rPr>
                <w:rFonts w:hAnsi="宋体"/>
                <w:color w:val="auto"/>
                <w:szCs w:val="21"/>
                <w:highlight w:val="none"/>
                <w:lang w:val="en-US" w:eastAsia="zh-CN"/>
              </w:rPr>
              <w:fldChar w:fldCharType="separate"/>
            </w:r>
            <w:r>
              <w:rPr>
                <w:rFonts w:hint="eastAsia" w:hAnsi="宋体"/>
                <w:color w:val="auto"/>
                <w:szCs w:val="21"/>
                <w:highlight w:val="none"/>
                <w:lang w:val="en-US" w:eastAsia="zh-CN"/>
              </w:rPr>
              <w:t>④</w:t>
            </w:r>
            <w:r>
              <w:rPr>
                <w:rFonts w:hAnsi="宋体"/>
                <w:color w:val="auto"/>
                <w:szCs w:val="21"/>
                <w:highlight w:val="none"/>
                <w:lang w:val="en-US" w:eastAsia="zh-CN"/>
              </w:rPr>
              <w:fldChar w:fldCharType="end"/>
            </w:r>
            <w:r>
              <w:rPr>
                <w:rFonts w:hint="eastAsia" w:hAnsi="宋体"/>
                <w:color w:val="auto"/>
                <w:szCs w:val="21"/>
                <w:highlight w:val="none"/>
                <w:lang w:val="en-US" w:eastAsia="zh-CN"/>
              </w:rPr>
              <w:t>合同管理与费用报销支付审批相结管理，实现收、付款事前、事中、事后的全过程管理。</w:t>
            </w:r>
            <w:r>
              <w:rPr>
                <w:rFonts w:hint="eastAsia" w:hAnsi="宋体" w:cs="宋体"/>
                <w:color w:val="auto"/>
                <w:szCs w:val="21"/>
                <w:highlight w:val="none"/>
                <w:lang w:val="en-US" w:eastAsia="zh-CN"/>
              </w:rPr>
              <w:t>合同需要实现不同方式、不同阶段、不同条件的支付，并能有效跟踪合同支付或收取资金情况，确保合同资金的有效管控。</w:t>
            </w:r>
          </w:p>
          <w:p w14:paraId="5337783C">
            <w:pPr>
              <w:spacing w:line="400" w:lineRule="exact"/>
              <w:jc w:val="left"/>
              <w:rPr>
                <w:rFonts w:hint="eastAsia" w:ascii="宋体" w:hAnsi="宋体" w:cs="宋体"/>
                <w:color w:val="auto"/>
                <w:szCs w:val="21"/>
                <w:highlight w:val="none"/>
              </w:rPr>
            </w:pPr>
            <w:bookmarkStart w:id="15" w:name="OLE_LINK8"/>
            <w:bookmarkStart w:id="16" w:name="OLE_LINK7"/>
            <w:r>
              <w:rPr>
                <w:rFonts w:hint="eastAsia" w:ascii="宋体" w:hAnsi="宋体" w:cs="宋体"/>
                <w:b/>
                <w:color w:val="auto"/>
                <w:szCs w:val="21"/>
                <w:highlight w:val="none"/>
                <w:lang w:eastAsia="zh-CN"/>
              </w:rPr>
              <w:t>▲</w:t>
            </w:r>
            <w:r>
              <w:rPr>
                <w:rFonts w:hint="eastAsia" w:ascii="宋体" w:hAnsi="宋体" w:cs="宋体"/>
                <w:color w:val="auto"/>
                <w:szCs w:val="21"/>
                <w:highlight w:val="none"/>
              </w:rPr>
              <w:t>⑤合同支付，实现选择应支付金额条款，确定支付条件说明，上传附件实现支付。</w:t>
            </w:r>
          </w:p>
          <w:bookmarkEnd w:id="15"/>
          <w:bookmarkEnd w:id="16"/>
          <w:p w14:paraId="202C5195">
            <w:pPr>
              <w:spacing w:line="400" w:lineRule="exact"/>
              <w:jc w:val="left"/>
              <w:rPr>
                <w:rFonts w:hint="eastAsia" w:ascii="宋体" w:hAnsi="宋体" w:cs="宋体"/>
                <w:color w:val="auto"/>
                <w:szCs w:val="21"/>
                <w:highlight w:val="none"/>
              </w:rPr>
            </w:pPr>
            <w:r>
              <w:rPr>
                <w:rFonts w:hint="eastAsia" w:ascii="宋体" w:hAnsi="宋体" w:cs="宋体"/>
                <w:b/>
                <w:color w:val="auto"/>
                <w:szCs w:val="21"/>
                <w:highlight w:val="none"/>
                <w:lang w:eastAsia="zh-CN"/>
              </w:rPr>
              <w:t>▲</w:t>
            </w:r>
            <w:r>
              <w:rPr>
                <w:rFonts w:hint="eastAsia" w:ascii="宋体" w:hAnsi="宋体" w:cs="宋体"/>
                <w:color w:val="auto"/>
                <w:szCs w:val="21"/>
                <w:highlight w:val="none"/>
              </w:rPr>
              <w:t>⑥实现收、退质保金，履约保证金的管理。具备能够自定义提醒条件，在质保金、履约保证金到期前进行提醒。</w:t>
            </w:r>
          </w:p>
          <w:p w14:paraId="484B636B">
            <w:pPr>
              <w:spacing w:line="400" w:lineRule="exact"/>
              <w:jc w:val="left"/>
              <w:rPr>
                <w:rFonts w:hint="eastAsia"/>
                <w:color w:val="auto"/>
                <w:szCs w:val="21"/>
                <w:highlight w:val="none"/>
              </w:rPr>
            </w:pPr>
            <w:r>
              <w:rPr>
                <w:rFonts w:hint="eastAsia" w:ascii="宋体" w:hAnsi="宋体" w:cs="宋体"/>
                <w:color w:val="auto"/>
                <w:szCs w:val="21"/>
                <w:highlight w:val="none"/>
              </w:rPr>
              <w:t>⑦实现自定义统计分析功能，能够按经办人、归档时间、合同编号、经办部门、合同甲乙方等条件灵活进行查询。</w:t>
            </w:r>
          </w:p>
          <w:p w14:paraId="333EF6EB">
            <w:pPr>
              <w:spacing w:line="360" w:lineRule="exact"/>
              <w:jc w:val="left"/>
              <w:rPr>
                <w:rFonts w:hint="eastAsia" w:ascii="宋体" w:hAnsi="宋体"/>
                <w:color w:val="auto"/>
                <w:szCs w:val="21"/>
                <w:highlight w:val="none"/>
              </w:rPr>
            </w:pPr>
            <w:r>
              <w:rPr>
                <w:rFonts w:hint="eastAsia" w:ascii="宋体" w:hAnsi="宋体"/>
                <w:color w:val="auto"/>
                <w:szCs w:val="21"/>
                <w:highlight w:val="none"/>
              </w:rPr>
              <w:t>5、采购管理系统</w:t>
            </w:r>
          </w:p>
          <w:p w14:paraId="530EAC95">
            <w:pPr>
              <w:spacing w:line="400" w:lineRule="exact"/>
              <w:rPr>
                <w:rFonts w:hint="eastAsia" w:ascii="宋体" w:hAnsi="宋体"/>
                <w:color w:val="auto"/>
                <w:szCs w:val="21"/>
                <w:highlight w:val="none"/>
              </w:rPr>
            </w:pPr>
            <w:r>
              <w:rPr>
                <w:rFonts w:hint="eastAsia" w:ascii="宋体" w:hAnsi="宋体"/>
                <w:color w:val="auto"/>
                <w:szCs w:val="21"/>
                <w:highlight w:val="none"/>
              </w:rPr>
              <w:t>采购管理系统能够对各类采购活动的全流程管控，包括采购需求、计划的执行和最后采购验收与采购过程管理。主要内容包括供应商管理、采购商品管理、采购申请、采购打包管理、采购管理与采购档案管理，旨在规范行政事业单位各种采购业务流程，加强对行政事业单位采购活动管理，促进采购业务有条不紊实施，提高财政性资金的使用效益，保障采购质量。具体需求如下：</w:t>
            </w:r>
          </w:p>
          <w:p w14:paraId="65DE704E">
            <w:pPr>
              <w:spacing w:line="400" w:lineRule="exact"/>
              <w:rPr>
                <w:rFonts w:hint="eastAsia" w:ascii="宋体" w:hAnsi="宋体"/>
                <w:color w:val="auto"/>
                <w:szCs w:val="21"/>
                <w:highlight w:val="none"/>
              </w:rPr>
            </w:pPr>
            <w:r>
              <w:rPr>
                <w:rFonts w:hint="eastAsia" w:ascii="宋体" w:hAnsi="宋体"/>
                <w:color w:val="auto"/>
                <w:szCs w:val="21"/>
                <w:highlight w:val="none"/>
              </w:rPr>
              <w:t xml:space="preserve">（1）采购管理系统需与预算管理系统、合同管理系统、资产管理系统能够实现有效的功能对接。 </w:t>
            </w:r>
          </w:p>
          <w:p w14:paraId="61C69B7B">
            <w:pPr>
              <w:spacing w:line="400" w:lineRule="exact"/>
              <w:rPr>
                <w:rFonts w:hint="eastAsia" w:ascii="宋体" w:hAnsi="宋体"/>
                <w:color w:val="auto"/>
                <w:szCs w:val="21"/>
                <w:highlight w:val="none"/>
              </w:rPr>
            </w:pPr>
            <w:r>
              <w:rPr>
                <w:rFonts w:hint="eastAsia" w:ascii="宋体" w:hAnsi="宋体"/>
                <w:color w:val="auto"/>
                <w:szCs w:val="21"/>
                <w:highlight w:val="none"/>
              </w:rPr>
              <w:t>（2）采购系统支持与其他功能模块的无缝连接，采购项目签订合同后即可转入合同管理模块进行管理，对于可以列入到固定资产范围的实物，采购验收后系统会自动转入资产管理系统进行后续资产入库处理。</w:t>
            </w:r>
          </w:p>
          <w:p w14:paraId="65B6A0CD">
            <w:pPr>
              <w:spacing w:line="400" w:lineRule="exact"/>
              <w:rPr>
                <w:rFonts w:hint="eastAsia" w:ascii="宋体" w:hAnsi="宋体"/>
                <w:color w:val="auto"/>
                <w:szCs w:val="21"/>
                <w:highlight w:val="none"/>
              </w:rPr>
            </w:pPr>
            <w:r>
              <w:rPr>
                <w:rFonts w:hint="eastAsia" w:ascii="宋体" w:hAnsi="宋体"/>
                <w:color w:val="auto"/>
                <w:szCs w:val="21"/>
                <w:highlight w:val="none"/>
              </w:rPr>
              <w:t>（3）采购管理。各部门根据工作需要、实际需求提出采购申请；通过部门请购单新增各部门需要申请的采购信息。</w:t>
            </w:r>
          </w:p>
          <w:p w14:paraId="267C9347">
            <w:pPr>
              <w:spacing w:line="400" w:lineRule="exact"/>
              <w:rPr>
                <w:rFonts w:hint="eastAsia" w:ascii="宋体" w:hAnsi="宋体"/>
                <w:color w:val="auto"/>
                <w:szCs w:val="21"/>
                <w:highlight w:val="none"/>
              </w:rPr>
            </w:pPr>
            <w:r>
              <w:rPr>
                <w:rFonts w:hint="eastAsia" w:ascii="宋体" w:hAnsi="宋体"/>
                <w:color w:val="auto"/>
                <w:szCs w:val="21"/>
                <w:highlight w:val="none"/>
              </w:rPr>
              <w:t xml:space="preserve">（4）采购执行管理。采购专员根据批复的采购申请单，选择或录入供应商，提交采购部门负责人审核。需实现采购全周期过程管理。需支持统一集中采购管理模式，即实现固定资产和物资实现集中采购，统一管理。系统需采用先预算、后计划、再执行的设计模式，实现从预算、计划到执行的采购全过程管理。需支持货物类、工程类、服务类。     </w:t>
            </w:r>
          </w:p>
          <w:p w14:paraId="28394BB3">
            <w:pPr>
              <w:spacing w:line="400" w:lineRule="exact"/>
              <w:rPr>
                <w:rFonts w:hint="eastAsia" w:ascii="宋体" w:hAnsi="宋体"/>
                <w:color w:val="auto"/>
                <w:szCs w:val="21"/>
                <w:highlight w:val="none"/>
              </w:rPr>
            </w:pPr>
            <w:r>
              <w:rPr>
                <w:rFonts w:hint="eastAsia" w:ascii="宋体" w:hAnsi="宋体" w:cs="宋体"/>
                <w:color w:val="auto"/>
                <w:szCs w:val="21"/>
                <w:highlight w:val="none"/>
              </w:rPr>
              <w:t>（5）支持采购招标进程的节点控制功能，满足采购项目过程节点的控制，实现单位对招标过程的全管控，可追溯，透明化。</w:t>
            </w:r>
          </w:p>
          <w:p w14:paraId="223D318E">
            <w:pPr>
              <w:spacing w:line="400" w:lineRule="exact"/>
              <w:rPr>
                <w:rFonts w:hint="eastAsia" w:ascii="宋体" w:hAnsi="宋体"/>
                <w:color w:val="auto"/>
                <w:szCs w:val="21"/>
                <w:highlight w:val="none"/>
              </w:rPr>
            </w:pPr>
            <w:r>
              <w:rPr>
                <w:rFonts w:hint="eastAsia" w:ascii="宋体" w:hAnsi="宋体"/>
                <w:color w:val="auto"/>
                <w:szCs w:val="21"/>
                <w:highlight w:val="none"/>
              </w:rPr>
              <w:t>（6）采购验收管理。可根据采购到货签收的实际数量，填制入库单据，对入库单进行审核、确认，并提供入库单查询功能，支持相关制度的查阅与参考。对采购订单进行验收，支持一张采购订单进行多次验收；</w:t>
            </w:r>
          </w:p>
          <w:p w14:paraId="431808E3">
            <w:pPr>
              <w:spacing w:line="400" w:lineRule="exact"/>
              <w:rPr>
                <w:rFonts w:hint="eastAsia" w:ascii="宋体" w:hAnsi="宋体"/>
                <w:color w:val="auto"/>
                <w:szCs w:val="21"/>
                <w:highlight w:val="none"/>
              </w:rPr>
            </w:pPr>
            <w:r>
              <w:rPr>
                <w:rFonts w:hint="eastAsia" w:ascii="宋体" w:hAnsi="宋体"/>
                <w:color w:val="auto"/>
                <w:szCs w:val="21"/>
                <w:highlight w:val="none"/>
              </w:rPr>
              <w:t>（7）供应商管理。提供供应商目录功能，支持对供应商信息进行维护，对供应商各类资质证信息进行维护。提供供应商评价功能，可建立供应商考核指标进行供应商评价，通过设置评价方案，确定考核与评价标准，对质量、交货、产品类型等方面的改进进行跟踪考核，提供供应商评价向导、评价结果汇总等一系列操作，并对供应商情况进行打分。</w:t>
            </w:r>
          </w:p>
          <w:p w14:paraId="5DAC331B">
            <w:pPr>
              <w:spacing w:line="400" w:lineRule="exact"/>
              <w:rPr>
                <w:rFonts w:hint="eastAsia" w:ascii="宋体" w:hAnsi="宋体"/>
                <w:color w:val="auto"/>
                <w:szCs w:val="21"/>
                <w:highlight w:val="none"/>
              </w:rPr>
            </w:pPr>
            <w:r>
              <w:rPr>
                <w:rFonts w:hint="eastAsia" w:ascii="宋体" w:hAnsi="宋体"/>
                <w:color w:val="auto"/>
                <w:szCs w:val="21"/>
                <w:highlight w:val="none"/>
              </w:rPr>
              <w:t>（8）采购综合查询。记录采购的全过程并回顾，并支持穿透相应的预算、请购单、采购单、采购结果、合同、验收、支付等相关联信息。支持查看系统当前已进行的各个阶段的采购情况，支持采购单号、类别、采购类型、采购金额、采购日期、单据状态等字段信息的查看，支持根据采购单号进行筛选查询与排序。支持与预算指标的关联，根据时间、类型、状态等各个维度的信息查询各个部门的采购情况。根据供应商类型、类型、时间等多个维度去查询供应商采购信息。</w:t>
            </w:r>
          </w:p>
          <w:p w14:paraId="42E8826D">
            <w:pPr>
              <w:spacing w:line="360" w:lineRule="exact"/>
              <w:jc w:val="left"/>
              <w:rPr>
                <w:rFonts w:hint="eastAsia" w:ascii="宋体" w:hAnsi="宋体"/>
                <w:color w:val="auto"/>
                <w:kern w:val="0"/>
                <w:szCs w:val="21"/>
                <w:highlight w:val="none"/>
              </w:rPr>
            </w:pPr>
            <w:r>
              <w:rPr>
                <w:rFonts w:hint="eastAsia" w:ascii="宋体" w:hAnsi="宋体"/>
                <w:color w:val="auto"/>
                <w:kern w:val="0"/>
                <w:szCs w:val="21"/>
                <w:highlight w:val="none"/>
              </w:rPr>
              <w:t>6、固定资产系统</w:t>
            </w:r>
          </w:p>
          <w:p w14:paraId="10E0DA14">
            <w:pPr>
              <w:spacing w:line="360" w:lineRule="exact"/>
              <w:jc w:val="left"/>
              <w:rPr>
                <w:rFonts w:hint="eastAsia" w:ascii="宋体" w:hAnsi="宋体"/>
                <w:color w:val="auto"/>
                <w:kern w:val="0"/>
                <w:szCs w:val="21"/>
                <w:highlight w:val="none"/>
              </w:rPr>
            </w:pPr>
            <w:r>
              <w:rPr>
                <w:rFonts w:hint="eastAsia" w:ascii="宋体" w:hAnsi="宋体"/>
                <w:color w:val="auto"/>
                <w:szCs w:val="21"/>
                <w:highlight w:val="none"/>
              </w:rPr>
              <w:t>（1）</w:t>
            </w:r>
            <w:r>
              <w:rPr>
                <w:rFonts w:hint="eastAsia" w:ascii="宋体" w:hAnsi="宋体"/>
                <w:color w:val="auto"/>
                <w:kern w:val="0"/>
                <w:szCs w:val="21"/>
                <w:highlight w:val="none"/>
              </w:rPr>
              <w:t>支持卡片式管理，为每个固定资产设置管理卡片</w:t>
            </w:r>
          </w:p>
          <w:p w14:paraId="2A370375">
            <w:pPr>
              <w:spacing w:line="360" w:lineRule="exact"/>
              <w:jc w:val="left"/>
              <w:rPr>
                <w:rFonts w:hint="eastAsia" w:ascii="宋体" w:hAnsi="宋体"/>
                <w:color w:val="auto"/>
                <w:kern w:val="0"/>
                <w:szCs w:val="21"/>
                <w:highlight w:val="none"/>
              </w:rPr>
            </w:pPr>
            <w:r>
              <w:rPr>
                <w:rFonts w:hint="eastAsia" w:ascii="宋体" w:hAnsi="宋体"/>
                <w:color w:val="auto"/>
                <w:szCs w:val="21"/>
                <w:highlight w:val="none"/>
              </w:rPr>
              <w:t>（2）</w:t>
            </w:r>
            <w:r>
              <w:rPr>
                <w:rFonts w:hint="eastAsia" w:ascii="宋体" w:hAnsi="宋体"/>
                <w:color w:val="auto"/>
                <w:kern w:val="0"/>
                <w:szCs w:val="21"/>
                <w:highlight w:val="none"/>
              </w:rPr>
              <w:t>支持资产部门化管理，按部门及使用部门分别管理资产</w:t>
            </w:r>
          </w:p>
          <w:p w14:paraId="7495A8DB">
            <w:pPr>
              <w:spacing w:line="360" w:lineRule="exact"/>
              <w:jc w:val="left"/>
              <w:rPr>
                <w:rFonts w:hint="eastAsia" w:ascii="宋体" w:hAnsi="宋体"/>
                <w:color w:val="auto"/>
                <w:kern w:val="0"/>
                <w:szCs w:val="21"/>
                <w:highlight w:val="none"/>
              </w:rPr>
            </w:pPr>
            <w:r>
              <w:rPr>
                <w:rFonts w:hint="eastAsia" w:ascii="宋体" w:hAnsi="宋体"/>
                <w:color w:val="auto"/>
                <w:szCs w:val="21"/>
                <w:highlight w:val="none"/>
              </w:rPr>
              <w:t>（3）</w:t>
            </w:r>
            <w:r>
              <w:rPr>
                <w:rFonts w:hint="eastAsia" w:ascii="宋体" w:hAnsi="宋体"/>
                <w:color w:val="auto"/>
                <w:kern w:val="0"/>
                <w:szCs w:val="21"/>
                <w:highlight w:val="none"/>
              </w:rPr>
              <w:t>支持固定资产实物明细台账的查询</w:t>
            </w:r>
          </w:p>
          <w:p w14:paraId="149BB136">
            <w:pPr>
              <w:spacing w:line="360" w:lineRule="exact"/>
              <w:jc w:val="left"/>
              <w:rPr>
                <w:rFonts w:hint="eastAsia" w:ascii="宋体" w:hAnsi="宋体"/>
                <w:color w:val="auto"/>
                <w:kern w:val="0"/>
                <w:szCs w:val="21"/>
                <w:highlight w:val="none"/>
              </w:rPr>
            </w:pPr>
            <w:r>
              <w:rPr>
                <w:rFonts w:hint="eastAsia" w:ascii="宋体" w:hAnsi="宋体"/>
                <w:color w:val="auto"/>
                <w:szCs w:val="21"/>
                <w:highlight w:val="none"/>
              </w:rPr>
              <w:t>（4）</w:t>
            </w:r>
            <w:r>
              <w:rPr>
                <w:rFonts w:hint="eastAsia" w:ascii="宋体" w:hAnsi="宋体"/>
                <w:color w:val="auto"/>
                <w:kern w:val="0"/>
                <w:szCs w:val="21"/>
                <w:highlight w:val="none"/>
              </w:rPr>
              <w:t>支持对个人资产的领用、借出、归还、维修、交接等相关应用，实现个人名下资产的相关管理。</w:t>
            </w:r>
          </w:p>
          <w:p w14:paraId="2F9FEF35">
            <w:pPr>
              <w:spacing w:line="360" w:lineRule="exact"/>
              <w:jc w:val="left"/>
              <w:rPr>
                <w:rFonts w:hint="eastAsia" w:ascii="宋体" w:hAnsi="宋体"/>
                <w:color w:val="auto"/>
                <w:kern w:val="0"/>
                <w:szCs w:val="21"/>
                <w:highlight w:val="none"/>
              </w:rPr>
            </w:pPr>
            <w:r>
              <w:rPr>
                <w:rFonts w:hint="eastAsia" w:ascii="宋体" w:hAnsi="宋体"/>
                <w:color w:val="auto"/>
                <w:szCs w:val="21"/>
                <w:highlight w:val="none"/>
              </w:rPr>
              <w:t>（5）</w:t>
            </w:r>
            <w:r>
              <w:rPr>
                <w:rFonts w:hint="eastAsia" w:ascii="宋体" w:hAnsi="宋体"/>
                <w:color w:val="auto"/>
                <w:kern w:val="0"/>
                <w:szCs w:val="21"/>
                <w:highlight w:val="none"/>
              </w:rPr>
              <w:t>支持RFID物联网卡应用，提高资产盘点效率。</w:t>
            </w:r>
          </w:p>
          <w:p w14:paraId="3E1285C5">
            <w:pPr>
              <w:spacing w:line="360" w:lineRule="exact"/>
              <w:jc w:val="left"/>
              <w:rPr>
                <w:rFonts w:hint="eastAsia"/>
                <w:color w:val="auto"/>
                <w:highlight w:val="none"/>
              </w:rPr>
            </w:pPr>
            <w:r>
              <w:rPr>
                <w:rFonts w:hint="eastAsia" w:ascii="宋体" w:hAnsi="宋体" w:cs="宋体"/>
                <w:color w:val="auto"/>
                <w:kern w:val="0"/>
                <w:szCs w:val="21"/>
                <w:highlight w:val="none"/>
              </w:rPr>
              <w:t>#</w:t>
            </w:r>
            <w:r>
              <w:rPr>
                <w:rFonts w:hint="eastAsia"/>
                <w:color w:val="auto"/>
                <w:highlight w:val="none"/>
              </w:rPr>
              <w:t>（6）支持资产报修申请，同时具备多个申请单汇总统一报销的功能，并实现相关数据汇总，追溯。</w:t>
            </w:r>
          </w:p>
          <w:p w14:paraId="49FD490B">
            <w:pPr>
              <w:spacing w:line="360" w:lineRule="exact"/>
              <w:jc w:val="left"/>
              <w:rPr>
                <w:rFonts w:ascii="宋体" w:hAnsi="宋体"/>
                <w:color w:val="auto"/>
                <w:kern w:val="0"/>
                <w:szCs w:val="21"/>
                <w:highlight w:val="none"/>
              </w:rPr>
            </w:pPr>
            <w:r>
              <w:rPr>
                <w:rFonts w:hint="eastAsia" w:ascii="宋体" w:hAnsi="宋体" w:cs="宋体"/>
                <w:color w:val="auto"/>
                <w:kern w:val="0"/>
                <w:szCs w:val="21"/>
                <w:highlight w:val="none"/>
              </w:rPr>
              <w:t>#</w:t>
            </w:r>
            <w:r>
              <w:rPr>
                <w:rFonts w:hint="eastAsia"/>
                <w:color w:val="auto"/>
                <w:highlight w:val="none"/>
              </w:rPr>
              <w:t>（7）软件支持通过采购单据直接生成资产卡片信息及资产入库单据的功能。</w:t>
            </w:r>
          </w:p>
          <w:p w14:paraId="5CB5576B">
            <w:pPr>
              <w:spacing w:line="360" w:lineRule="exact"/>
              <w:jc w:val="left"/>
              <w:rPr>
                <w:rFonts w:hint="eastAsia" w:ascii="宋体" w:hAnsi="宋体"/>
                <w:color w:val="auto"/>
                <w:kern w:val="0"/>
                <w:szCs w:val="21"/>
                <w:highlight w:val="none"/>
              </w:rPr>
            </w:pPr>
            <w:r>
              <w:rPr>
                <w:rFonts w:hint="eastAsia" w:ascii="宋体" w:hAnsi="宋体"/>
                <w:color w:val="auto"/>
                <w:kern w:val="0"/>
                <w:szCs w:val="21"/>
                <w:highlight w:val="none"/>
              </w:rPr>
              <w:t>7、物资管理</w:t>
            </w:r>
          </w:p>
          <w:p w14:paraId="3A27CDB0">
            <w:pPr>
              <w:spacing w:line="360" w:lineRule="exact"/>
              <w:jc w:val="left"/>
              <w:rPr>
                <w:rFonts w:hint="eastAsia" w:ascii="宋体" w:hAnsi="宋体"/>
                <w:color w:val="auto"/>
                <w:kern w:val="0"/>
                <w:szCs w:val="21"/>
                <w:highlight w:val="none"/>
              </w:rPr>
            </w:pPr>
            <w:r>
              <w:rPr>
                <w:rFonts w:hint="eastAsia" w:ascii="宋体" w:hAnsi="宋体"/>
                <w:color w:val="auto"/>
                <w:kern w:val="0"/>
                <w:szCs w:val="21"/>
                <w:highlight w:val="none"/>
              </w:rPr>
              <w:t>（1）支持物资入库、物资领用功能，并且能够根据业务要求，设置相应的审核流程。</w:t>
            </w:r>
          </w:p>
          <w:p w14:paraId="41EDCCB6">
            <w:pPr>
              <w:spacing w:line="360" w:lineRule="exact"/>
              <w:jc w:val="left"/>
              <w:rPr>
                <w:rFonts w:hint="eastAsia" w:ascii="宋体" w:hAnsi="宋体"/>
                <w:color w:val="auto"/>
                <w:kern w:val="0"/>
                <w:szCs w:val="21"/>
                <w:highlight w:val="none"/>
              </w:rPr>
            </w:pPr>
            <w:r>
              <w:rPr>
                <w:rFonts w:hint="eastAsia" w:ascii="宋体" w:hAnsi="宋体"/>
                <w:color w:val="auto"/>
                <w:kern w:val="0"/>
                <w:szCs w:val="21"/>
                <w:highlight w:val="none"/>
              </w:rPr>
              <w:t>（2）支持自定义物资查询的功能，能够按照物资类别、物资名称、领用部门、领用人员、领用时间等条件进行查询及统计。实现对耗材物资入库、领用、结存一体化的管理。</w:t>
            </w:r>
          </w:p>
          <w:p w14:paraId="4C86C88D">
            <w:pPr>
              <w:spacing w:line="360" w:lineRule="exact"/>
              <w:jc w:val="left"/>
              <w:rPr>
                <w:rFonts w:ascii="宋体" w:hAnsi="宋体"/>
                <w:color w:val="auto"/>
                <w:szCs w:val="21"/>
                <w:highlight w:val="none"/>
              </w:rPr>
            </w:pPr>
            <w:r>
              <w:rPr>
                <w:rFonts w:hint="eastAsia" w:ascii="宋体" w:hAnsi="宋体"/>
                <w:color w:val="auto"/>
                <w:kern w:val="0"/>
                <w:szCs w:val="21"/>
                <w:highlight w:val="none"/>
              </w:rPr>
              <w:t>8、项目管理</w:t>
            </w:r>
          </w:p>
          <w:p w14:paraId="6D1B038C">
            <w:pPr>
              <w:spacing w:line="360" w:lineRule="exact"/>
              <w:jc w:val="left"/>
              <w:rPr>
                <w:rFonts w:hint="eastAsia" w:ascii="宋体" w:hAnsi="宋体"/>
                <w:color w:val="auto"/>
                <w:szCs w:val="21"/>
                <w:highlight w:val="none"/>
              </w:rPr>
            </w:pPr>
            <w:r>
              <w:rPr>
                <w:rFonts w:hint="eastAsia" w:ascii="宋体" w:hAnsi="宋体"/>
                <w:color w:val="auto"/>
                <w:szCs w:val="21"/>
                <w:highlight w:val="none"/>
              </w:rPr>
              <w:t>（1）支持项目管理的项目立项、项目申报、项目评审、储备项目入库等。</w:t>
            </w:r>
          </w:p>
          <w:p w14:paraId="1478A0B7">
            <w:pPr>
              <w:spacing w:line="360" w:lineRule="exact"/>
              <w:jc w:val="left"/>
              <w:rPr>
                <w:rFonts w:hint="eastAsia" w:ascii="宋体" w:hAnsi="宋体"/>
                <w:color w:val="auto"/>
                <w:szCs w:val="21"/>
                <w:highlight w:val="none"/>
              </w:rPr>
            </w:pPr>
            <w:r>
              <w:rPr>
                <w:rFonts w:hint="eastAsia" w:ascii="宋体" w:hAnsi="宋体"/>
                <w:color w:val="auto"/>
                <w:szCs w:val="21"/>
                <w:highlight w:val="none"/>
              </w:rPr>
              <w:t>（2）支持滚动项目查询，以便及时启动储备项目。</w:t>
            </w:r>
          </w:p>
          <w:p w14:paraId="14164F9C">
            <w:pPr>
              <w:spacing w:line="360" w:lineRule="exact"/>
              <w:jc w:val="left"/>
              <w:rPr>
                <w:rFonts w:hint="eastAsia" w:ascii="宋体" w:hAnsi="宋体"/>
                <w:color w:val="auto"/>
                <w:szCs w:val="21"/>
                <w:highlight w:val="none"/>
              </w:rPr>
            </w:pPr>
            <w:r>
              <w:rPr>
                <w:rFonts w:hint="eastAsia" w:ascii="宋体" w:hAnsi="宋体"/>
                <w:color w:val="auto"/>
                <w:szCs w:val="21"/>
                <w:highlight w:val="none"/>
              </w:rPr>
              <w:t>（3）支持手动提交相关项目档案：系统支持手动提交自定义类型的各种项目文档。</w:t>
            </w:r>
          </w:p>
          <w:p w14:paraId="285EA169">
            <w:pPr>
              <w:spacing w:line="360" w:lineRule="exact"/>
              <w:jc w:val="left"/>
              <w:rPr>
                <w:rFonts w:hint="eastAsia" w:ascii="宋体" w:hAnsi="宋体"/>
                <w:color w:val="auto"/>
                <w:szCs w:val="21"/>
                <w:highlight w:val="none"/>
              </w:rPr>
            </w:pPr>
            <w:r>
              <w:rPr>
                <w:rFonts w:hint="eastAsia" w:ascii="宋体" w:hAnsi="宋体"/>
                <w:color w:val="auto"/>
                <w:szCs w:val="21"/>
                <w:highlight w:val="none"/>
              </w:rPr>
              <w:t>（4）按项目对相关的所有申请进行归集，并可追溯查看每一个申请单的内容和审批过程，查询这些申请单的报销单据和余额。</w:t>
            </w:r>
          </w:p>
          <w:p w14:paraId="1330E22E">
            <w:pPr>
              <w:spacing w:line="360" w:lineRule="exact"/>
              <w:jc w:val="left"/>
              <w:rPr>
                <w:rFonts w:hint="eastAsia" w:ascii="宋体" w:hAnsi="宋体"/>
                <w:color w:val="auto"/>
                <w:szCs w:val="21"/>
                <w:highlight w:val="none"/>
              </w:rPr>
            </w:pPr>
            <w:r>
              <w:rPr>
                <w:rFonts w:hint="eastAsia" w:ascii="宋体" w:hAnsi="宋体"/>
                <w:color w:val="auto"/>
                <w:szCs w:val="21"/>
                <w:highlight w:val="none"/>
              </w:rPr>
              <w:t>（5）支持任意设置项目管理报表的功能。</w:t>
            </w:r>
          </w:p>
          <w:p w14:paraId="089986C6">
            <w:pPr>
              <w:spacing w:line="360" w:lineRule="exact"/>
              <w:jc w:val="left"/>
              <w:rPr>
                <w:rFonts w:hint="eastAsia" w:ascii="宋体" w:hAnsi="宋体"/>
                <w:color w:val="auto"/>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9</w:t>
            </w:r>
            <w:r>
              <w:rPr>
                <w:rFonts w:hint="eastAsia" w:ascii="宋体" w:hAnsi="宋体"/>
                <w:color w:val="auto"/>
                <w:szCs w:val="21"/>
                <w:highlight w:val="none"/>
              </w:rPr>
              <w:t>、短信提醒功能</w:t>
            </w:r>
          </w:p>
          <w:p w14:paraId="1A734A7D">
            <w:pPr>
              <w:spacing w:line="360" w:lineRule="exact"/>
              <w:jc w:val="left"/>
              <w:rPr>
                <w:rFonts w:hint="eastAsia" w:ascii="宋体" w:hAnsi="宋体"/>
                <w:color w:val="auto"/>
                <w:szCs w:val="21"/>
                <w:highlight w:val="none"/>
              </w:rPr>
            </w:pPr>
            <w:r>
              <w:rPr>
                <w:rFonts w:hint="eastAsia" w:ascii="宋体" w:hAnsi="宋体"/>
                <w:color w:val="auto"/>
                <w:szCs w:val="21"/>
                <w:highlight w:val="none"/>
              </w:rPr>
              <w:t>支持单据流转到相关节点，短信自动提醒的功能。要求能够指定任意节点是否具备短信提醒。</w:t>
            </w:r>
          </w:p>
          <w:p w14:paraId="692C2CF2">
            <w:pPr>
              <w:adjustRightInd w:val="0"/>
              <w:snapToGrid w:val="0"/>
              <w:spacing w:line="400" w:lineRule="exact"/>
              <w:jc w:val="left"/>
              <w:rPr>
                <w:rFonts w:ascii="宋体" w:hAnsi="宋体" w:cs="仿宋"/>
                <w:color w:val="auto"/>
                <w:szCs w:val="21"/>
                <w:highlight w:val="none"/>
              </w:rPr>
            </w:pPr>
            <w:r>
              <w:rPr>
                <w:rFonts w:hint="eastAsia" w:ascii="宋体" w:hAnsi="宋体" w:cs="仿宋"/>
                <w:color w:val="auto"/>
                <w:szCs w:val="21"/>
                <w:highlight w:val="none"/>
              </w:rPr>
              <w:t>10、内部控制辅助建设</w:t>
            </w:r>
          </w:p>
          <w:p w14:paraId="2BC1A3D3">
            <w:pPr>
              <w:adjustRightInd w:val="0"/>
              <w:snapToGrid w:val="0"/>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支持对组织管理信息、岗位管理信息、权限管理信息、工作流程图等查询的功能，同时能够进行导出，以便于内控编报材料的收集。</w:t>
            </w:r>
          </w:p>
          <w:p w14:paraId="37CD4F00">
            <w:pPr>
              <w:spacing w:line="360" w:lineRule="exact"/>
              <w:jc w:val="left"/>
              <w:rPr>
                <w:rFonts w:hint="eastAsia" w:ascii="宋体" w:hAnsi="宋体"/>
                <w:color w:val="auto"/>
                <w:szCs w:val="21"/>
                <w:highlight w:val="none"/>
              </w:rPr>
            </w:pPr>
            <w:r>
              <w:rPr>
                <w:rFonts w:hint="eastAsia" w:ascii="宋体" w:hAnsi="宋体"/>
                <w:color w:val="auto"/>
                <w:szCs w:val="21"/>
                <w:highlight w:val="none"/>
              </w:rPr>
              <w:t>11、移动端应用系统</w:t>
            </w:r>
          </w:p>
          <w:p w14:paraId="1D9A9908">
            <w:pPr>
              <w:spacing w:line="360" w:lineRule="exact"/>
              <w:jc w:val="left"/>
              <w:rPr>
                <w:rFonts w:hint="eastAsia" w:ascii="宋体" w:hAnsi="宋体"/>
                <w:color w:val="auto"/>
                <w:szCs w:val="21"/>
                <w:highlight w:val="none"/>
              </w:rPr>
            </w:pPr>
            <w:r>
              <w:rPr>
                <w:rFonts w:hint="eastAsia" w:ascii="宋体" w:hAnsi="宋体"/>
                <w:color w:val="auto"/>
                <w:szCs w:val="21"/>
                <w:highlight w:val="none"/>
              </w:rPr>
              <w:t>移动端应用系统实现与PC端的基础数据、操作员权限、审核流程、单据要素的同步，为移动办公进行报销单等编制、审核、查询提供移动、实时查询。</w:t>
            </w:r>
          </w:p>
          <w:p w14:paraId="780FC813">
            <w:pPr>
              <w:spacing w:line="360" w:lineRule="exact"/>
              <w:jc w:val="left"/>
              <w:rPr>
                <w:rFonts w:hint="eastAsia" w:ascii="宋体" w:hAnsi="宋体"/>
                <w:color w:val="auto"/>
                <w:szCs w:val="21"/>
                <w:highlight w:val="none"/>
              </w:rPr>
            </w:pPr>
            <w:r>
              <w:rPr>
                <w:rFonts w:hint="eastAsia" w:ascii="宋体" w:hAnsi="宋体"/>
                <w:color w:val="auto"/>
                <w:szCs w:val="21"/>
                <w:highlight w:val="none"/>
              </w:rPr>
              <w:t>（1）提供报销审批，方便移动端进行报销单编制、审批、查询等操作。</w:t>
            </w:r>
          </w:p>
          <w:p w14:paraId="0CFDBBFB">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lang w:eastAsia="zh-Hans"/>
              </w:rPr>
            </w:pPr>
            <w:r>
              <w:rPr>
                <w:rFonts w:hint="eastAsia" w:ascii="宋体" w:hAnsi="宋体"/>
                <w:color w:val="auto"/>
                <w:szCs w:val="21"/>
                <w:highlight w:val="none"/>
              </w:rPr>
              <w:t>（2）经费查询，可查询单位经费、部门经费、项目经费等。</w:t>
            </w:r>
          </w:p>
        </w:tc>
      </w:tr>
    </w:tbl>
    <w:p w14:paraId="4D10C874">
      <w:pPr>
        <w:spacing w:line="360" w:lineRule="auto"/>
        <w:rPr>
          <w:rFonts w:hint="eastAsia"/>
          <w:color w:val="auto"/>
          <w:szCs w:val="21"/>
          <w:highlight w:val="none"/>
        </w:rPr>
      </w:pPr>
    </w:p>
    <w:p w14:paraId="1698C8E0">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6A78D3E6">
      <w:pPr>
        <w:pStyle w:val="20"/>
        <w:spacing w:before="179" w:line="220" w:lineRule="auto"/>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1.</w:t>
      </w:r>
      <w:r>
        <w:rPr>
          <w:rFonts w:hint="eastAsia" w:ascii="宋体" w:hAnsi="宋体" w:eastAsia="宋体" w:cs="宋体"/>
          <w:b/>
          <w:bCs/>
          <w:color w:val="auto"/>
          <w:spacing w:val="-2"/>
          <w:sz w:val="21"/>
          <w:szCs w:val="21"/>
          <w:highlight w:val="none"/>
          <w:lang w:eastAsia="zh-CN"/>
        </w:rPr>
        <w:t>合同履约期限</w:t>
      </w:r>
      <w:r>
        <w:rPr>
          <w:rFonts w:hint="eastAsia" w:ascii="宋体" w:hAnsi="宋体" w:eastAsia="宋体" w:cs="宋体"/>
          <w:b/>
          <w:bCs/>
          <w:color w:val="auto"/>
          <w:spacing w:val="-2"/>
          <w:sz w:val="21"/>
          <w:szCs w:val="21"/>
          <w:highlight w:val="none"/>
        </w:rPr>
        <w:t>：</w:t>
      </w:r>
      <w:r>
        <w:rPr>
          <w:rFonts w:hint="eastAsia" w:ascii="宋体" w:hAnsi="宋体" w:eastAsia="宋体" w:cs="宋体"/>
          <w:b w:val="0"/>
          <w:bCs w:val="0"/>
          <w:color w:val="auto"/>
          <w:spacing w:val="-2"/>
          <w:sz w:val="21"/>
          <w:szCs w:val="21"/>
          <w:highlight w:val="none"/>
        </w:rPr>
        <w:t>自签订合同之日起60日历日内</w:t>
      </w:r>
      <w:r>
        <w:rPr>
          <w:rFonts w:hint="eastAsia" w:ascii="宋体" w:hAnsi="宋体" w:eastAsia="宋体" w:cs="宋体"/>
          <w:color w:val="auto"/>
          <w:sz w:val="21"/>
          <w:szCs w:val="21"/>
          <w:highlight w:val="none"/>
          <w:lang w:eastAsia="zh-CN"/>
        </w:rPr>
        <w:t>。</w:t>
      </w:r>
    </w:p>
    <w:p w14:paraId="2460ABC5">
      <w:pPr>
        <w:pStyle w:val="20"/>
        <w:spacing w:before="183" w:line="289" w:lineRule="auto"/>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2.合同签订日期：</w:t>
      </w:r>
      <w:r>
        <w:rPr>
          <w:rFonts w:hint="eastAsia" w:ascii="宋体" w:hAnsi="宋体" w:eastAsia="宋体" w:cs="宋体"/>
          <w:color w:val="auto"/>
          <w:spacing w:val="-5"/>
          <w:sz w:val="21"/>
          <w:szCs w:val="21"/>
          <w:highlight w:val="none"/>
        </w:rPr>
        <w:t>自成交通知书发出之日起</w:t>
      </w:r>
      <w:r>
        <w:rPr>
          <w:rFonts w:hint="eastAsia" w:ascii="宋体" w:hAnsi="宋体" w:eastAsia="宋体" w:cs="宋体"/>
          <w:color w:val="auto"/>
          <w:spacing w:val="-33"/>
          <w:sz w:val="21"/>
          <w:szCs w:val="21"/>
          <w:highlight w:val="none"/>
        </w:rPr>
        <w:t xml:space="preserve"> </w:t>
      </w:r>
      <w:r>
        <w:rPr>
          <w:rFonts w:hint="eastAsia" w:ascii="宋体" w:hAnsi="宋体" w:cs="宋体"/>
          <w:color w:val="auto"/>
          <w:spacing w:val="-5"/>
          <w:sz w:val="21"/>
          <w:szCs w:val="21"/>
          <w:highlight w:val="none"/>
          <w:lang w:val="en-US" w:eastAsia="zh-CN"/>
        </w:rPr>
        <w:t>25</w:t>
      </w:r>
      <w:r>
        <w:rPr>
          <w:rFonts w:hint="eastAsia" w:ascii="宋体" w:hAnsi="宋体" w:eastAsia="宋体" w:cs="宋体"/>
          <w:color w:val="auto"/>
          <w:spacing w:val="-5"/>
          <w:sz w:val="21"/>
          <w:szCs w:val="21"/>
          <w:highlight w:val="none"/>
        </w:rPr>
        <w:t>日内签订合同。</w:t>
      </w:r>
    </w:p>
    <w:p w14:paraId="2337DEF5">
      <w:pPr>
        <w:pStyle w:val="20"/>
        <w:spacing w:before="181" w:line="220" w:lineRule="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3.服务地点：</w:t>
      </w:r>
      <w:r>
        <w:rPr>
          <w:rFonts w:hint="eastAsia" w:ascii="宋体" w:hAnsi="宋体" w:cs="宋体"/>
          <w:color w:val="auto"/>
          <w:spacing w:val="-3"/>
          <w:sz w:val="21"/>
          <w:szCs w:val="21"/>
          <w:highlight w:val="none"/>
          <w:lang w:eastAsia="zh-CN"/>
        </w:rPr>
        <w:t>采购人指定地点</w:t>
      </w:r>
      <w:r>
        <w:rPr>
          <w:rFonts w:hint="eastAsia" w:ascii="宋体" w:hAnsi="宋体" w:eastAsia="宋体" w:cs="宋体"/>
          <w:color w:val="auto"/>
          <w:spacing w:val="-3"/>
          <w:sz w:val="21"/>
          <w:szCs w:val="21"/>
          <w:highlight w:val="none"/>
        </w:rPr>
        <w:t>。</w:t>
      </w:r>
    </w:p>
    <w:p w14:paraId="5A703DD8">
      <w:pPr>
        <w:pStyle w:val="20"/>
        <w:spacing w:before="182" w:line="220" w:lineRule="auto"/>
        <w:rPr>
          <w:rFonts w:hint="default" w:ascii="宋体" w:hAnsi="宋体" w:eastAsia="宋体" w:cs="宋体"/>
          <w:b w:val="0"/>
          <w:bCs w:val="0"/>
          <w:color w:val="auto"/>
          <w:spacing w:val="-3"/>
          <w:sz w:val="21"/>
          <w:szCs w:val="21"/>
          <w:highlight w:val="none"/>
          <w:lang w:val="en-US" w:eastAsia="zh-CN"/>
        </w:rPr>
      </w:pPr>
      <w:r>
        <w:rPr>
          <w:rFonts w:hint="eastAsia" w:ascii="宋体" w:hAnsi="宋体" w:cs="宋体"/>
          <w:b/>
          <w:bCs/>
          <w:color w:val="auto"/>
          <w:spacing w:val="-3"/>
          <w:sz w:val="21"/>
          <w:szCs w:val="21"/>
          <w:highlight w:val="none"/>
          <w:lang w:val="en-US" w:eastAsia="zh-CN"/>
        </w:rPr>
        <w:t>4.交付文件：</w:t>
      </w:r>
      <w:r>
        <w:rPr>
          <w:rFonts w:hint="eastAsia" w:ascii="宋体" w:hAnsi="宋体" w:cs="宋体"/>
          <w:b w:val="0"/>
          <w:bCs w:val="0"/>
          <w:color w:val="auto"/>
          <w:spacing w:val="-3"/>
          <w:sz w:val="21"/>
          <w:szCs w:val="21"/>
          <w:highlight w:val="none"/>
          <w:lang w:val="en-US" w:eastAsia="zh-CN"/>
        </w:rPr>
        <w:t>贵港市职业教育中心学校各部门人员培训报告、软件验收报告、软件部署安装报告。</w:t>
      </w:r>
    </w:p>
    <w:p w14:paraId="470A85D9">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color w:val="auto"/>
          <w:spacing w:val="-3"/>
          <w:sz w:val="21"/>
          <w:szCs w:val="21"/>
          <w:highlight w:val="none"/>
          <w:lang w:val="en-US" w:eastAsia="zh-CN"/>
        </w:rPr>
      </w:pPr>
      <w:r>
        <w:rPr>
          <w:rFonts w:hint="eastAsia" w:ascii="宋体" w:hAnsi="宋体" w:cs="宋体"/>
          <w:b/>
          <w:bCs/>
          <w:color w:val="auto"/>
          <w:spacing w:val="-3"/>
          <w:sz w:val="21"/>
          <w:szCs w:val="21"/>
          <w:highlight w:val="none"/>
          <w:lang w:val="en-US" w:eastAsia="zh-CN"/>
        </w:rPr>
        <w:t>5.质保期:</w:t>
      </w:r>
      <w:r>
        <w:rPr>
          <w:rFonts w:hint="eastAsia" w:cs="宋体"/>
          <w:color w:val="auto"/>
          <w:sz w:val="21"/>
          <w:szCs w:val="21"/>
          <w:highlight w:val="none"/>
          <w:lang w:val="en-US" w:eastAsia="zh-CN"/>
        </w:rPr>
        <w:t>按国家有关规定或厂家承诺实行“三包”，质保期从验收合格之日起不少于2年,质保期间提供免费软件服务，软件同版本免费升级。</w:t>
      </w:r>
    </w:p>
    <w:p w14:paraId="66BD309B">
      <w:pPr>
        <w:pStyle w:val="20"/>
        <w:spacing w:before="182" w:line="22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pacing w:val="-3"/>
          <w:sz w:val="21"/>
          <w:szCs w:val="21"/>
          <w:highlight w:val="none"/>
          <w:lang w:val="en-US" w:eastAsia="zh-CN"/>
        </w:rPr>
        <w:t>6</w:t>
      </w:r>
      <w:r>
        <w:rPr>
          <w:rFonts w:hint="eastAsia" w:ascii="宋体" w:hAnsi="宋体" w:eastAsia="宋体" w:cs="宋体"/>
          <w:b/>
          <w:bCs/>
          <w:color w:val="auto"/>
          <w:spacing w:val="-3"/>
          <w:sz w:val="21"/>
          <w:szCs w:val="21"/>
          <w:highlight w:val="none"/>
        </w:rPr>
        <w:t>.售后服务要求</w:t>
      </w:r>
    </w:p>
    <w:p w14:paraId="6BE08140">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1"/>
          <w:szCs w:val="21"/>
          <w:highlight w:val="none"/>
        </w:rPr>
      </w:pPr>
      <w:r>
        <w:rPr>
          <w:rFonts w:hint="eastAsia"/>
          <w:color w:val="auto"/>
          <w:sz w:val="21"/>
          <w:szCs w:val="21"/>
          <w:highlight w:val="none"/>
        </w:rPr>
        <w:t>（1）免费上门安装调试，免费现场培训相关人员至掌握操作及日常维护。</w:t>
      </w:r>
    </w:p>
    <w:p w14:paraId="00ACC9B2">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1"/>
          <w:szCs w:val="21"/>
          <w:highlight w:val="none"/>
        </w:rPr>
      </w:pPr>
      <w:r>
        <w:rPr>
          <w:rFonts w:hint="eastAsia"/>
          <w:color w:val="auto"/>
          <w:sz w:val="21"/>
          <w:szCs w:val="21"/>
          <w:highlight w:val="none"/>
        </w:rPr>
        <w:t>（2）培训服务：项目初始实施阶段，</w:t>
      </w:r>
      <w:r>
        <w:rPr>
          <w:rFonts w:hint="eastAsia"/>
          <w:color w:val="auto"/>
          <w:sz w:val="21"/>
          <w:szCs w:val="21"/>
          <w:highlight w:val="none"/>
          <w:lang w:eastAsia="zh-CN"/>
        </w:rPr>
        <w:t>成交</w:t>
      </w:r>
      <w:r>
        <w:rPr>
          <w:rFonts w:hint="eastAsia"/>
          <w:color w:val="auto"/>
          <w:sz w:val="21"/>
          <w:szCs w:val="21"/>
          <w:highlight w:val="none"/>
        </w:rPr>
        <w:t>供货商上门培训不少于7天。免费服务期内，根据</w:t>
      </w:r>
      <w:r>
        <w:rPr>
          <w:rFonts w:hint="eastAsia"/>
          <w:color w:val="auto"/>
          <w:sz w:val="21"/>
          <w:szCs w:val="21"/>
          <w:highlight w:val="none"/>
          <w:lang w:eastAsia="zh-CN"/>
        </w:rPr>
        <w:t>采购人</w:t>
      </w:r>
      <w:r>
        <w:rPr>
          <w:rFonts w:hint="eastAsia"/>
          <w:color w:val="auto"/>
          <w:sz w:val="21"/>
          <w:szCs w:val="21"/>
          <w:highlight w:val="none"/>
        </w:rPr>
        <w:t>提出需求，提供每年一次的集中培训指导。</w:t>
      </w:r>
    </w:p>
    <w:p w14:paraId="6E65965E">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1"/>
          <w:szCs w:val="21"/>
          <w:highlight w:val="none"/>
        </w:rPr>
      </w:pPr>
      <w:r>
        <w:rPr>
          <w:rFonts w:hint="eastAsia"/>
          <w:color w:val="auto"/>
          <w:sz w:val="21"/>
          <w:szCs w:val="21"/>
          <w:highlight w:val="none"/>
        </w:rPr>
        <w:t>（3）提供现场安装调试、使用指导培训服务；2年以内（含2年）免费软件升级服务、终身技术支持服务。提供售后服务联系电话及联系人。免费质保期内，接到报障电话后2小时内响应，24小时内派工程技术人员到达现场进行检修。</w:t>
      </w:r>
    </w:p>
    <w:p w14:paraId="4B10A02F">
      <w:pPr>
        <w:pStyle w:val="20"/>
        <w:spacing w:before="177" w:line="219" w:lineRule="auto"/>
        <w:rPr>
          <w:rFonts w:hint="eastAsia" w:ascii="宋体" w:hAnsi="宋体" w:eastAsia="宋体" w:cs="宋体"/>
          <w:color w:val="auto"/>
          <w:sz w:val="21"/>
          <w:szCs w:val="21"/>
          <w:highlight w:val="none"/>
        </w:rPr>
      </w:pPr>
      <w:r>
        <w:rPr>
          <w:color w:val="auto"/>
          <w:szCs w:val="21"/>
          <w:highlight w:val="none"/>
        </w:rPr>
        <w:t>▲</w:t>
      </w:r>
      <w:r>
        <w:rPr>
          <w:rFonts w:hint="eastAsia" w:ascii="宋体" w:hAnsi="宋体" w:cs="宋体"/>
          <w:b/>
          <w:bCs/>
          <w:color w:val="auto"/>
          <w:spacing w:val="-4"/>
          <w:sz w:val="21"/>
          <w:szCs w:val="21"/>
          <w:highlight w:val="none"/>
          <w:lang w:val="en-US" w:eastAsia="zh-CN"/>
        </w:rPr>
        <w:t>7</w:t>
      </w:r>
      <w:r>
        <w:rPr>
          <w:rFonts w:hint="eastAsia" w:ascii="宋体" w:hAnsi="宋体" w:eastAsia="宋体" w:cs="宋体"/>
          <w:b/>
          <w:bCs/>
          <w:color w:val="auto"/>
          <w:spacing w:val="-4"/>
          <w:sz w:val="21"/>
          <w:szCs w:val="21"/>
          <w:highlight w:val="none"/>
        </w:rPr>
        <w:t>.报价及其他要求</w:t>
      </w:r>
    </w:p>
    <w:p w14:paraId="62F8F161">
      <w:pPr>
        <w:spacing w:line="360" w:lineRule="exact"/>
        <w:ind w:firstLine="210" w:firstLineChars="100"/>
        <w:jc w:val="left"/>
        <w:rPr>
          <w:rFonts w:ascii="宋体" w:hAnsi="宋体" w:cs="宋体"/>
          <w:color w:val="auto"/>
          <w:kern w:val="1"/>
          <w:szCs w:val="21"/>
          <w:highlight w:val="none"/>
        </w:rPr>
      </w:pPr>
      <w:r>
        <w:rPr>
          <w:rFonts w:hint="eastAsia" w:ascii="宋体" w:hAnsi="宋体" w:cs="宋体"/>
          <w:color w:val="auto"/>
          <w:kern w:val="1"/>
          <w:szCs w:val="21"/>
          <w:highlight w:val="none"/>
        </w:rPr>
        <w:t>报价为采购人指定地点的现场交货价，包括（但不限于）：</w:t>
      </w:r>
    </w:p>
    <w:p w14:paraId="2BD0A4CD">
      <w:pPr>
        <w:spacing w:line="360" w:lineRule="exact"/>
        <w:jc w:val="left"/>
        <w:rPr>
          <w:rFonts w:ascii="宋体" w:hAnsi="宋体" w:cs="宋体"/>
          <w:color w:val="auto"/>
          <w:kern w:val="1"/>
          <w:szCs w:val="21"/>
          <w:highlight w:val="none"/>
        </w:rPr>
      </w:pPr>
      <w:r>
        <w:rPr>
          <w:rFonts w:hint="eastAsia" w:ascii="宋体" w:hAnsi="宋体" w:cs="宋体"/>
          <w:color w:val="auto"/>
          <w:kern w:val="1"/>
          <w:szCs w:val="21"/>
          <w:highlight w:val="none"/>
        </w:rPr>
        <w:t>（1）软件的价格：包括软件款、安装调试费、验收费；</w:t>
      </w:r>
    </w:p>
    <w:p w14:paraId="4195E670">
      <w:pPr>
        <w:spacing w:line="360" w:lineRule="exact"/>
        <w:jc w:val="left"/>
        <w:rPr>
          <w:rFonts w:ascii="宋体" w:hAnsi="宋体" w:cs="宋体"/>
          <w:color w:val="auto"/>
          <w:kern w:val="1"/>
          <w:szCs w:val="21"/>
          <w:highlight w:val="none"/>
        </w:rPr>
      </w:pPr>
      <w:r>
        <w:rPr>
          <w:rFonts w:hint="eastAsia" w:ascii="宋体" w:hAnsi="宋体" w:cs="宋体"/>
          <w:color w:val="auto"/>
          <w:kern w:val="1"/>
          <w:szCs w:val="21"/>
          <w:highlight w:val="none"/>
        </w:rPr>
        <w:t>（2）运输、装卸、调试、培训、技术支持、售后服务费。</w:t>
      </w:r>
    </w:p>
    <w:p w14:paraId="20C57C45">
      <w:pPr>
        <w:spacing w:line="360" w:lineRule="exact"/>
        <w:jc w:val="left"/>
        <w:rPr>
          <w:rFonts w:ascii="宋体" w:hAnsi="宋体" w:cs="宋体"/>
          <w:color w:val="auto"/>
          <w:kern w:val="1"/>
          <w:szCs w:val="21"/>
          <w:highlight w:val="none"/>
        </w:rPr>
      </w:pPr>
      <w:r>
        <w:rPr>
          <w:rFonts w:hint="eastAsia" w:ascii="宋体" w:hAnsi="宋体" w:cs="宋体"/>
          <w:color w:val="auto"/>
          <w:kern w:val="1"/>
          <w:szCs w:val="21"/>
          <w:highlight w:val="none"/>
        </w:rPr>
        <w:t>（3）招标代理服务费、保险费和各项税金。</w:t>
      </w:r>
    </w:p>
    <w:p w14:paraId="7B367D92">
      <w:pPr>
        <w:spacing w:line="360" w:lineRule="exact"/>
        <w:jc w:val="left"/>
        <w:rPr>
          <w:rFonts w:ascii="宋体" w:hAnsi="宋体" w:cs="宋体"/>
          <w:color w:val="auto"/>
          <w:kern w:val="1"/>
          <w:szCs w:val="21"/>
          <w:highlight w:val="none"/>
        </w:rPr>
      </w:pPr>
      <w:r>
        <w:rPr>
          <w:rFonts w:hint="eastAsia" w:ascii="宋体" w:hAnsi="宋体" w:cs="宋体"/>
          <w:color w:val="auto"/>
          <w:kern w:val="1"/>
          <w:szCs w:val="21"/>
          <w:highlight w:val="none"/>
        </w:rPr>
        <w:t>注：</w:t>
      </w:r>
      <w:r>
        <w:rPr>
          <w:rFonts w:hint="eastAsia" w:ascii="宋体" w:hAnsi="宋体" w:cs="宋体"/>
          <w:color w:val="auto"/>
          <w:kern w:val="1"/>
          <w:szCs w:val="21"/>
          <w:highlight w:val="none"/>
          <w:lang w:eastAsia="zh-CN"/>
        </w:rPr>
        <w:t>成交</w:t>
      </w:r>
      <w:r>
        <w:rPr>
          <w:rFonts w:hint="eastAsia"/>
          <w:color w:val="auto"/>
          <w:sz w:val="21"/>
          <w:szCs w:val="21"/>
          <w:highlight w:val="none"/>
        </w:rPr>
        <w:t>供货商</w:t>
      </w:r>
      <w:r>
        <w:rPr>
          <w:rFonts w:hint="eastAsia" w:ascii="宋体" w:hAnsi="宋体" w:cs="宋体"/>
          <w:color w:val="auto"/>
          <w:kern w:val="1"/>
          <w:szCs w:val="21"/>
          <w:highlight w:val="none"/>
        </w:rPr>
        <w:t>自行考虑完成项目所需的辅材、教学光盘等数量，报价中应包含全部内容，成交后采购人不再另行支付额外费用。</w:t>
      </w:r>
    </w:p>
    <w:p w14:paraId="7B74903F">
      <w:pPr>
        <w:spacing w:line="360" w:lineRule="exact"/>
        <w:jc w:val="left"/>
        <w:rPr>
          <w:rFonts w:ascii="宋体" w:hAnsi="宋体" w:cs="宋体"/>
          <w:b/>
          <w:bCs/>
          <w:color w:val="auto"/>
          <w:kern w:val="1"/>
          <w:szCs w:val="21"/>
          <w:highlight w:val="none"/>
        </w:rPr>
      </w:pP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8</w:t>
      </w:r>
      <w:r>
        <w:rPr>
          <w:rFonts w:hint="eastAsia" w:ascii="宋体" w:hAnsi="宋体" w:cs="宋体"/>
          <w:b/>
          <w:bCs/>
          <w:color w:val="auto"/>
          <w:kern w:val="1"/>
          <w:szCs w:val="21"/>
          <w:highlight w:val="none"/>
          <w:lang w:val="en-US" w:eastAsia="zh-CN"/>
        </w:rPr>
        <w:t>.</w:t>
      </w:r>
      <w:r>
        <w:rPr>
          <w:rFonts w:hint="eastAsia" w:ascii="宋体" w:hAnsi="宋体" w:cs="宋体"/>
          <w:b/>
          <w:bCs/>
          <w:color w:val="auto"/>
          <w:kern w:val="1"/>
          <w:szCs w:val="21"/>
          <w:highlight w:val="none"/>
        </w:rPr>
        <w:t>功能扩展承诺</w:t>
      </w:r>
    </w:p>
    <w:p w14:paraId="33CC3FFF">
      <w:pPr>
        <w:spacing w:line="360" w:lineRule="exact"/>
        <w:jc w:val="left"/>
        <w:rPr>
          <w:color w:val="auto"/>
          <w:sz w:val="21"/>
          <w:szCs w:val="21"/>
          <w:highlight w:val="none"/>
        </w:rPr>
      </w:pPr>
      <w:r>
        <w:rPr>
          <w:rFonts w:hint="eastAsia" w:ascii="宋体" w:hAnsi="宋体" w:cs="宋体"/>
          <w:color w:val="auto"/>
          <w:kern w:val="1"/>
          <w:szCs w:val="21"/>
          <w:highlight w:val="none"/>
          <w:lang w:eastAsia="zh-CN"/>
        </w:rPr>
        <w:t>成交</w:t>
      </w:r>
      <w:r>
        <w:rPr>
          <w:rFonts w:hint="eastAsia" w:ascii="宋体" w:hAnsi="宋体" w:cs="宋体"/>
          <w:color w:val="auto"/>
          <w:kern w:val="1"/>
          <w:szCs w:val="21"/>
          <w:highlight w:val="none"/>
        </w:rPr>
        <w:t>供货商承诺由原厂商为</w:t>
      </w:r>
      <w:r>
        <w:rPr>
          <w:rFonts w:hint="eastAsia" w:ascii="宋体" w:hAnsi="宋体" w:cs="宋体"/>
          <w:color w:val="auto"/>
          <w:kern w:val="1"/>
          <w:szCs w:val="21"/>
          <w:highlight w:val="none"/>
          <w:lang w:eastAsia="zh-CN"/>
        </w:rPr>
        <w:t>采购人</w:t>
      </w:r>
      <w:r>
        <w:rPr>
          <w:rFonts w:hint="eastAsia" w:ascii="宋体" w:hAnsi="宋体" w:cs="宋体"/>
          <w:color w:val="auto"/>
          <w:kern w:val="1"/>
          <w:szCs w:val="21"/>
          <w:highlight w:val="none"/>
        </w:rPr>
        <w:t>提供完善、即时的售后服务，承诺可针对用户各类业务系统进行嵌入性订制开发服务。同时采购人有权对系统进行综合评定，评定其是否符合贵港市职业教育中心长远发展的业务需求。</w:t>
      </w:r>
    </w:p>
    <w:p w14:paraId="62E23AF9">
      <w:pPr>
        <w:pStyle w:val="20"/>
        <w:spacing w:before="179" w:line="220" w:lineRule="auto"/>
        <w:rPr>
          <w:color w:val="auto"/>
          <w:sz w:val="21"/>
          <w:szCs w:val="21"/>
          <w:highlight w:val="none"/>
        </w:rPr>
      </w:pPr>
      <w:r>
        <w:rPr>
          <w:rFonts w:hint="eastAsia"/>
          <w:b/>
          <w:bCs/>
          <w:color w:val="auto"/>
          <w:spacing w:val="-4"/>
          <w:sz w:val="21"/>
          <w:szCs w:val="21"/>
          <w:highlight w:val="none"/>
          <w:lang w:val="en-US" w:eastAsia="zh-CN"/>
        </w:rPr>
        <w:t>9</w:t>
      </w:r>
      <w:r>
        <w:rPr>
          <w:b/>
          <w:bCs/>
          <w:color w:val="auto"/>
          <w:spacing w:val="-4"/>
          <w:sz w:val="21"/>
          <w:szCs w:val="21"/>
          <w:highlight w:val="none"/>
        </w:rPr>
        <w:t>.付款方式</w:t>
      </w:r>
    </w:p>
    <w:p w14:paraId="796AF75D">
      <w:pPr>
        <w:spacing w:line="360" w:lineRule="exact"/>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合同签订</w:t>
      </w:r>
      <w:r>
        <w:rPr>
          <w:rFonts w:hint="eastAsia" w:ascii="宋体" w:hAnsi="宋体" w:cs="宋体"/>
          <w:color w:val="auto"/>
          <w:kern w:val="1"/>
          <w:szCs w:val="21"/>
          <w:highlight w:val="none"/>
          <w:lang w:val="en-US" w:eastAsia="zh-CN"/>
        </w:rPr>
        <w:t>且</w:t>
      </w:r>
      <w:r>
        <w:rPr>
          <w:rFonts w:hint="eastAsia" w:ascii="宋体" w:hAnsi="宋体" w:cs="宋体"/>
          <w:color w:val="auto"/>
          <w:kern w:val="1"/>
          <w:szCs w:val="21"/>
          <w:highlight w:val="none"/>
        </w:rPr>
        <w:t>具备实施条件后15个工作日内向供应商支付合同金额30%的预付款。（注：如采购人在签订合同时，成交供应商明确表示无需预付款或者主动要求降低预付款比例的，采购人可不采用预付款制度），供应商完成工作并通过验收后20个工作日内，采购人向供应商支付项目合同总价款70%。</w:t>
      </w:r>
    </w:p>
    <w:p w14:paraId="7C930328">
      <w:pPr>
        <w:spacing w:line="360" w:lineRule="auto"/>
        <w:rPr>
          <w:rFonts w:ascii="黑体" w:hAnsi="黑体" w:eastAsia="黑体" w:cs="Arial"/>
          <w:b/>
          <w:color w:val="auto"/>
          <w:kern w:val="0"/>
          <w:sz w:val="21"/>
          <w:szCs w:val="21"/>
          <w:highlight w:val="none"/>
        </w:rPr>
      </w:pPr>
      <w:r>
        <w:rPr>
          <w:rFonts w:hint="eastAsia" w:ascii="黑体" w:hAnsi="黑体" w:eastAsia="黑体" w:cs="Arial"/>
          <w:b/>
          <w:color w:val="auto"/>
          <w:kern w:val="0"/>
          <w:sz w:val="21"/>
          <w:szCs w:val="21"/>
          <w:highlight w:val="none"/>
        </w:rPr>
        <w:t>四、其他要求</w:t>
      </w:r>
    </w:p>
    <w:p w14:paraId="68EF2069">
      <w:pPr>
        <w:spacing w:line="360" w:lineRule="auto"/>
        <w:ind w:left="-2"/>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应严格遵守</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人关于信息安全方面的规定，自觉保密</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人的相关数据。项目成果以及为方便项目服务所提供给</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的工作流程、管理模式、试验数据、规程、程序等相关资料文档及数据，在收发过程中所产生的资料、文档、数据及相关附属品均属于</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人信息资产，</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应保证这些信息在项目期间及项目完成后规定时间内的安全。</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应建立并实际运行项目进展期间的信息安全管理规范，以确保项目启动、运维的信息数据安全管理。非经</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人书面许可，</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不得以任何形式泄漏项目资料及数据。因</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原因导致项目资料、文档、数据或招标人其他有关秘密泄露的，</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人有权要求</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采取措施消除影响，赔偿</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人损失，并追究其相关法律责任。</w:t>
      </w:r>
    </w:p>
    <w:p w14:paraId="0C2D3485">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
          <w:bCs/>
          <w:color w:val="auto"/>
          <w:szCs w:val="21"/>
          <w:highlight w:val="none"/>
        </w:rPr>
      </w:pPr>
      <w:r>
        <w:rPr>
          <w:rFonts w:hint="eastAsia" w:ascii="宋体" w:hAnsi="宋体" w:cs="宋体"/>
          <w:b/>
          <w:bCs/>
          <w:color w:val="auto"/>
          <w:sz w:val="21"/>
          <w:szCs w:val="21"/>
          <w:highlight w:val="none"/>
          <w:lang w:val="en-US" w:eastAsia="zh-CN"/>
        </w:rPr>
        <w:t>2、</w:t>
      </w:r>
      <w:r>
        <w:rPr>
          <w:rFonts w:hint="eastAsia"/>
          <w:b/>
          <w:bCs/>
          <w:color w:val="auto"/>
          <w:szCs w:val="21"/>
          <w:highlight w:val="none"/>
        </w:rPr>
        <w:t>供应商应按根据项目需求结合自身情况撰写项目方案</w:t>
      </w:r>
      <w:r>
        <w:rPr>
          <w:rFonts w:hint="eastAsia"/>
          <w:b/>
          <w:bCs/>
          <w:color w:val="auto"/>
          <w:szCs w:val="21"/>
          <w:highlight w:val="none"/>
          <w:lang w:eastAsia="zh-CN"/>
        </w:rPr>
        <w:t>，</w:t>
      </w:r>
      <w:r>
        <w:rPr>
          <w:rFonts w:hint="eastAsia"/>
          <w:b/>
          <w:bCs/>
          <w:color w:val="auto"/>
          <w:szCs w:val="21"/>
          <w:highlight w:val="none"/>
        </w:rPr>
        <w:t>内容包含但不限于：实施方案、售后服务方案等。</w:t>
      </w:r>
      <w:r>
        <w:rPr>
          <w:rFonts w:hint="eastAsia" w:ascii="宋体" w:hAnsi="宋体" w:eastAsia="宋体" w:cs="宋体"/>
          <w:b/>
          <w:bCs/>
          <w:color w:val="auto"/>
          <w:szCs w:val="21"/>
          <w:highlight w:val="none"/>
        </w:rPr>
        <w:br w:type="page"/>
      </w:r>
    </w:p>
    <w:p w14:paraId="3D313DA9">
      <w:pPr>
        <w:rPr>
          <w:rFonts w:ascii="Arial" w:hAnsi="Arial" w:eastAsia="Arial" w:cs="Arial"/>
          <w:color w:val="auto"/>
          <w:sz w:val="21"/>
          <w:szCs w:val="21"/>
          <w:highlight w:val="none"/>
        </w:rPr>
        <w:sectPr>
          <w:headerReference r:id="rId12" w:type="default"/>
          <w:footerReference r:id="rId13" w:type="default"/>
          <w:pgSz w:w="11905" w:h="16839"/>
          <w:pgMar w:top="400" w:right="1687" w:bottom="1278" w:left="1161" w:header="850" w:footer="901" w:gutter="0"/>
          <w:pgNumType w:fmt="decimal"/>
          <w:cols w:space="720" w:num="1"/>
        </w:sectPr>
      </w:pPr>
    </w:p>
    <w:p w14:paraId="3DAEBA15">
      <w:pPr>
        <w:spacing w:before="120"/>
        <w:rPr>
          <w:rFonts w:ascii="黑体" w:hAnsi="黑体" w:eastAsia="黑体" w:cs="Arial"/>
          <w:b/>
          <w:color w:val="auto"/>
          <w:kern w:val="0"/>
          <w:sz w:val="28"/>
          <w:szCs w:val="28"/>
          <w:highlight w:val="none"/>
        </w:rPr>
      </w:pPr>
      <w:r>
        <w:rPr>
          <w:rFonts w:hint="eastAsia" w:ascii="宋体" w:hAnsi="宋体" w:eastAsia="宋体" w:cs="宋体"/>
          <w:i w:val="0"/>
          <w:iCs w:val="0"/>
          <w:caps w:val="0"/>
          <w:color w:val="auto"/>
          <w:spacing w:val="0"/>
          <w:sz w:val="28"/>
          <w:szCs w:val="28"/>
          <w:highlight w:val="none"/>
          <w:shd w:val="clear" w:fill="F7F7F7"/>
        </w:rPr>
        <w:t>标项</w:t>
      </w:r>
      <w:r>
        <w:rPr>
          <w:rFonts w:hint="eastAsia" w:ascii="宋体" w:hAnsi="宋体" w:cs="宋体"/>
          <w:i w:val="0"/>
          <w:iCs w:val="0"/>
          <w:caps w:val="0"/>
          <w:color w:val="auto"/>
          <w:spacing w:val="0"/>
          <w:sz w:val="28"/>
          <w:szCs w:val="28"/>
          <w:highlight w:val="none"/>
          <w:shd w:val="clear" w:fill="F7F7F7"/>
          <w:lang w:eastAsia="zh-CN"/>
        </w:rPr>
        <w:t>二</w:t>
      </w:r>
      <w:r>
        <w:rPr>
          <w:rFonts w:hint="eastAsia" w:ascii="宋体" w:hAnsi="宋体" w:eastAsia="宋体" w:cs="宋体"/>
          <w:i w:val="0"/>
          <w:iCs w:val="0"/>
          <w:caps w:val="0"/>
          <w:color w:val="auto"/>
          <w:spacing w:val="0"/>
          <w:sz w:val="28"/>
          <w:szCs w:val="28"/>
          <w:highlight w:val="none"/>
          <w:shd w:val="clear" w:fill="F7F7F7"/>
        </w:rPr>
        <w:t>:阅卷系统采购</w:t>
      </w:r>
    </w:p>
    <w:p w14:paraId="61594634">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21E957F9">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190AC188">
      <w:pPr>
        <w:spacing w:line="360" w:lineRule="auto"/>
        <w:rPr>
          <w:color w:val="auto"/>
          <w:szCs w:val="21"/>
          <w:highlight w:val="none"/>
        </w:rPr>
      </w:pPr>
      <w:r>
        <w:rPr>
          <w:rFonts w:hint="eastAsia"/>
          <w:color w:val="auto"/>
          <w:szCs w:val="21"/>
          <w:highlight w:val="none"/>
        </w:rPr>
        <w:t>详见采购文件“评审方法及标准</w:t>
      </w:r>
      <w:r>
        <w:rPr>
          <w:color w:val="auto"/>
          <w:szCs w:val="21"/>
          <w:highlight w:val="none"/>
        </w:rPr>
        <w:t>/政府采购政策应用说明”。</w:t>
      </w:r>
    </w:p>
    <w:p w14:paraId="38396E6D">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14:paraId="379C6F3C">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标注“▲”的条款或要求系指实质性条款或实质性要求，必须满足，如存在负偏离将导致响应被否决。</w:t>
      </w:r>
    </w:p>
    <w:p w14:paraId="04E17B16">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3D03A7EF">
      <w:pPr>
        <w:spacing w:line="360" w:lineRule="auto"/>
        <w:rPr>
          <w:color w:val="auto"/>
          <w:szCs w:val="21"/>
          <w:highlight w:val="none"/>
        </w:rPr>
      </w:pPr>
      <w:r>
        <w:rPr>
          <w:rFonts w:hint="eastAsia"/>
          <w:color w:val="auto"/>
          <w:szCs w:val="21"/>
          <w:highlight w:val="none"/>
        </w:rPr>
        <w:t>1.需实现的功能、目标及应用场景</w:t>
      </w:r>
    </w:p>
    <w:p w14:paraId="107DC815">
      <w:pPr>
        <w:spacing w:line="360" w:lineRule="auto"/>
        <w:rPr>
          <w:color w:val="auto"/>
          <w:szCs w:val="21"/>
          <w:highlight w:val="none"/>
        </w:rPr>
      </w:pPr>
      <w:r>
        <w:rPr>
          <w:rFonts w:hint="eastAsia"/>
          <w:color w:val="auto"/>
          <w:szCs w:val="21"/>
          <w:highlight w:val="none"/>
        </w:rPr>
        <w:t>满足采购文件要求，验收达到合格标准。</w:t>
      </w:r>
    </w:p>
    <w:p w14:paraId="5FF70841">
      <w:pPr>
        <w:spacing w:line="360" w:lineRule="auto"/>
        <w:rPr>
          <w:color w:val="auto"/>
          <w:szCs w:val="21"/>
          <w:highlight w:val="none"/>
        </w:rPr>
      </w:pPr>
      <w:r>
        <w:rPr>
          <w:color w:val="auto"/>
          <w:szCs w:val="21"/>
          <w:highlight w:val="none"/>
        </w:rPr>
        <w:t>2</w:t>
      </w:r>
      <w:r>
        <w:rPr>
          <w:rFonts w:hint="eastAsia"/>
          <w:color w:val="auto"/>
          <w:szCs w:val="21"/>
          <w:highlight w:val="none"/>
        </w:rPr>
        <w:t>.</w:t>
      </w:r>
      <w:r>
        <w:rPr>
          <w:color w:val="auto"/>
          <w:szCs w:val="21"/>
          <w:highlight w:val="none"/>
        </w:rPr>
        <w:t>需执行的国家相关标准、行业标准、地方标准或者其他标准、规范</w:t>
      </w:r>
    </w:p>
    <w:p w14:paraId="4DFE040B">
      <w:pPr>
        <w:spacing w:line="360" w:lineRule="auto"/>
        <w:rPr>
          <w:i/>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i/>
          <w:color w:val="auto"/>
          <w:szCs w:val="21"/>
          <w:highlight w:val="none"/>
          <w:u w:val="single"/>
        </w:rPr>
        <w:t>详见技术指标要求</w:t>
      </w:r>
    </w:p>
    <w:p w14:paraId="04165EB2">
      <w:pPr>
        <w:spacing w:line="360" w:lineRule="auto"/>
        <w:rPr>
          <w:color w:val="auto"/>
          <w:szCs w:val="21"/>
          <w:highlight w:val="none"/>
        </w:rPr>
      </w:pPr>
      <w:r>
        <w:rPr>
          <w:color w:val="auto"/>
          <w:szCs w:val="21"/>
          <w:highlight w:val="none"/>
        </w:rPr>
        <w:t>3</w:t>
      </w:r>
      <w:r>
        <w:rPr>
          <w:rFonts w:hint="eastAsia"/>
          <w:color w:val="auto"/>
          <w:szCs w:val="21"/>
          <w:highlight w:val="none"/>
        </w:rPr>
        <w:t>.标的所属行业：</w:t>
      </w:r>
    </w:p>
    <w:p w14:paraId="7888B8F6">
      <w:pPr>
        <w:spacing w:line="360" w:lineRule="auto"/>
        <w:rPr>
          <w:rFonts w:hint="eastAsia"/>
          <w:b/>
          <w:bCs/>
          <w:color w:val="auto"/>
          <w:sz w:val="30"/>
          <w:szCs w:val="30"/>
          <w:highlight w:val="none"/>
          <w:lang w:val="en-US" w:eastAsia="zh-CN"/>
        </w:rPr>
      </w:pPr>
      <w:r>
        <w:rPr>
          <w:rFonts w:hint="eastAsia"/>
          <w:b/>
          <w:bCs/>
          <w:color w:val="auto"/>
          <w:sz w:val="30"/>
          <w:szCs w:val="30"/>
          <w:highlight w:val="none"/>
          <w:lang w:val="en-US" w:eastAsia="zh-CN"/>
        </w:rPr>
        <w:t>工业</w:t>
      </w:r>
    </w:p>
    <w:p w14:paraId="4CC56AF0">
      <w:pPr>
        <w:spacing w:line="360" w:lineRule="auto"/>
        <w:rPr>
          <w:color w:val="auto"/>
          <w:szCs w:val="21"/>
          <w:highlight w:val="none"/>
        </w:rPr>
      </w:pPr>
      <w:r>
        <w:rPr>
          <w:color w:val="auto"/>
          <w:szCs w:val="21"/>
          <w:highlight w:val="none"/>
        </w:rPr>
        <w:t>4</w:t>
      </w:r>
      <w:r>
        <w:rPr>
          <w:rFonts w:hint="eastAsia"/>
          <w:color w:val="auto"/>
          <w:szCs w:val="21"/>
          <w:highlight w:val="none"/>
        </w:rPr>
        <w:t>.核心产品</w:t>
      </w:r>
    </w:p>
    <w:p w14:paraId="1BB3A1AE">
      <w:pPr>
        <w:spacing w:line="360" w:lineRule="auto"/>
        <w:rPr>
          <w:color w:val="auto"/>
          <w:szCs w:val="21"/>
          <w:highlight w:val="none"/>
        </w:rPr>
      </w:pPr>
      <w:r>
        <w:rPr>
          <w:rFonts w:hint="eastAsia"/>
          <w:color w:val="auto"/>
          <w:szCs w:val="21"/>
          <w:highlight w:val="none"/>
        </w:rPr>
        <w:t>本项目为服务项目，不适用核心产品规定。</w:t>
      </w:r>
    </w:p>
    <w:p w14:paraId="6750FA81">
      <w:pPr>
        <w:numPr>
          <w:ilvl w:val="0"/>
          <w:numId w:val="1"/>
        </w:numPr>
        <w:spacing w:line="360" w:lineRule="auto"/>
        <w:rPr>
          <w:rFonts w:hint="eastAsia"/>
          <w:color w:val="auto"/>
          <w:szCs w:val="21"/>
          <w:highlight w:val="none"/>
        </w:rPr>
      </w:pPr>
      <w:r>
        <w:rPr>
          <w:rFonts w:hint="eastAsia"/>
          <w:color w:val="auto"/>
          <w:szCs w:val="21"/>
          <w:highlight w:val="none"/>
        </w:rPr>
        <w:t>服务内容和标准</w:t>
      </w:r>
    </w:p>
    <w:p w14:paraId="79A0B555">
      <w:pPr>
        <w:snapToGrid w:val="0"/>
        <w:spacing w:line="360" w:lineRule="auto"/>
        <w:rPr>
          <w:b/>
          <w:bCs/>
          <w:color w:val="auto"/>
          <w:szCs w:val="21"/>
          <w:highlight w:val="none"/>
        </w:rPr>
      </w:pPr>
    </w:p>
    <w:tbl>
      <w:tblPr>
        <w:tblStyle w:val="53"/>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086"/>
        <w:gridCol w:w="750"/>
        <w:gridCol w:w="7336"/>
      </w:tblGrid>
      <w:tr w14:paraId="7888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14:paraId="34DA1DDF">
            <w:pPr>
              <w:tabs>
                <w:tab w:val="left" w:pos="993"/>
                <w:tab w:val="left" w:pos="1134"/>
                <w:tab w:val="left" w:pos="1418"/>
              </w:tabs>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18D36E2D">
            <w:pPr>
              <w:tabs>
                <w:tab w:val="left" w:pos="993"/>
                <w:tab w:val="left" w:pos="1134"/>
                <w:tab w:val="left" w:pos="1418"/>
              </w:tabs>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服务名称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6288C8C">
            <w:pPr>
              <w:tabs>
                <w:tab w:val="left" w:pos="993"/>
                <w:tab w:val="left" w:pos="1134"/>
                <w:tab w:val="left" w:pos="1418"/>
              </w:tabs>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7336" w:type="dxa"/>
            <w:tcBorders>
              <w:top w:val="single" w:color="auto" w:sz="4" w:space="0"/>
              <w:left w:val="single" w:color="auto" w:sz="4" w:space="0"/>
              <w:bottom w:val="single" w:color="auto" w:sz="4" w:space="0"/>
              <w:right w:val="single" w:color="auto" w:sz="4" w:space="0"/>
            </w:tcBorders>
            <w:noWrap w:val="0"/>
            <w:vAlign w:val="center"/>
          </w:tcPr>
          <w:p w14:paraId="6386A1C8">
            <w:pPr>
              <w:tabs>
                <w:tab w:val="left" w:pos="993"/>
                <w:tab w:val="left" w:pos="1134"/>
                <w:tab w:val="left" w:pos="1418"/>
              </w:tabs>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服务内容和</w:t>
            </w:r>
            <w:r>
              <w:rPr>
                <w:rFonts w:hint="eastAsia" w:ascii="宋体" w:hAnsi="宋体" w:eastAsia="宋体" w:cs="宋体"/>
                <w:b/>
                <w:bCs/>
                <w:color w:val="auto"/>
                <w:kern w:val="0"/>
                <w:szCs w:val="21"/>
                <w:highlight w:val="none"/>
                <w:lang w:eastAsia="zh-Hans"/>
              </w:rPr>
              <w:t>标准</w:t>
            </w:r>
          </w:p>
        </w:tc>
      </w:tr>
      <w:tr w14:paraId="4464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3"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14:paraId="085549F4">
            <w:pPr>
              <w:tabs>
                <w:tab w:val="left" w:pos="993"/>
                <w:tab w:val="left" w:pos="1134"/>
                <w:tab w:val="left" w:pos="1418"/>
              </w:tabs>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6C0A45CE">
            <w:pPr>
              <w:tabs>
                <w:tab w:val="left" w:pos="993"/>
                <w:tab w:val="left" w:pos="1134"/>
                <w:tab w:val="left" w:pos="1418"/>
              </w:tabs>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阅卷系统</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E654FB0">
            <w:pPr>
              <w:pStyle w:val="18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1套</w:t>
            </w:r>
          </w:p>
        </w:tc>
        <w:tc>
          <w:tcPr>
            <w:tcW w:w="7336" w:type="dxa"/>
            <w:tcBorders>
              <w:top w:val="single" w:color="auto" w:sz="4" w:space="0"/>
              <w:left w:val="single" w:color="auto" w:sz="4" w:space="0"/>
              <w:bottom w:val="single" w:color="auto" w:sz="4" w:space="0"/>
              <w:right w:val="single" w:color="auto" w:sz="4" w:space="0"/>
            </w:tcBorders>
            <w:noWrap w:val="0"/>
            <w:vAlign w:val="center"/>
          </w:tcPr>
          <w:p w14:paraId="7DD70C6C">
            <w:pPr>
              <w:keepNext w:val="0"/>
              <w:keepLines w:val="0"/>
              <w:pageBreakBefore w:val="0"/>
              <w:widowControl w:val="0"/>
              <w:kinsoku/>
              <w:wordWrap/>
              <w:overflowPunct/>
              <w:topLinePunct w:val="0"/>
              <w:autoSpaceDE/>
              <w:autoSpaceDN/>
              <w:bidi w:val="0"/>
              <w:adjustRightInd/>
              <w:snapToGrid/>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、建设内容</w:t>
            </w:r>
          </w:p>
          <w:p w14:paraId="5D437AC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阅卷平台具备全自动扫描试卷并进行模块分割的功能，经后台处理后可交由指定阅卷人进行统一在线或现场批阅。阅卷完成后，可生成《质量测评报告》，可从多个维度自动生成可视化图表，为学校的教学质量诊断、教师的有效教学、学生的个性化学习和家长的及时跟进督促提供数据支持，为学校智慧化教育教学管理提供有效支撑。平台能记录学生的学习过程和历次考试、练习等数据，能自动分析学生的学习时长、学习知识点、学习习惯和学习风格等。</w:t>
            </w:r>
          </w:p>
          <w:p w14:paraId="70ABB58E">
            <w:pP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二、系统要求</w:t>
            </w:r>
          </w:p>
          <w:tbl>
            <w:tblPr>
              <w:tblStyle w:val="53"/>
              <w:tblW w:w="6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570"/>
              <w:gridCol w:w="2720"/>
              <w:gridCol w:w="530"/>
              <w:gridCol w:w="570"/>
              <w:gridCol w:w="1760"/>
            </w:tblGrid>
            <w:tr w14:paraId="1042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583" w:type="dxa"/>
                  <w:shd w:val="clear" w:color="auto" w:fill="auto"/>
                  <w:vAlign w:val="center"/>
                </w:tcPr>
                <w:p w14:paraId="4762BC31">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70" w:type="dxa"/>
                  <w:shd w:val="clear" w:color="auto" w:fill="auto"/>
                  <w:vAlign w:val="center"/>
                </w:tcPr>
                <w:p w14:paraId="377731EC">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w:t>
                  </w:r>
                </w:p>
              </w:tc>
              <w:tc>
                <w:tcPr>
                  <w:tcW w:w="2720" w:type="dxa"/>
                  <w:shd w:val="clear" w:color="auto" w:fill="auto"/>
                  <w:vAlign w:val="center"/>
                </w:tcPr>
                <w:p w14:paraId="4F59C758">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530" w:type="dxa"/>
                  <w:shd w:val="clear" w:color="auto" w:fill="auto"/>
                  <w:vAlign w:val="center"/>
                </w:tcPr>
                <w:p w14:paraId="5535C3E0">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570" w:type="dxa"/>
                  <w:shd w:val="clear" w:color="auto" w:fill="auto"/>
                  <w:vAlign w:val="center"/>
                </w:tcPr>
                <w:p w14:paraId="2D835743">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760" w:type="dxa"/>
                  <w:shd w:val="clear" w:color="auto" w:fill="auto"/>
                  <w:vAlign w:val="center"/>
                </w:tcPr>
                <w:p w14:paraId="71A372DF">
                  <w:pPr>
                    <w:spacing w:line="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22BA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583" w:type="dxa"/>
                  <w:vMerge w:val="restart"/>
                  <w:vAlign w:val="center"/>
                </w:tcPr>
                <w:p w14:paraId="0460BECE">
                  <w:pPr>
                    <w:spacing w:line="0" w:lineRule="atLeast"/>
                    <w:jc w:val="center"/>
                    <w:rPr>
                      <w:rFonts w:hint="eastAsia" w:ascii="宋体" w:hAnsi="宋体" w:eastAsia="宋体" w:cs="宋体"/>
                      <w:color w:val="auto"/>
                      <w:sz w:val="21"/>
                      <w:szCs w:val="21"/>
                      <w:highlight w:val="none"/>
                    </w:rPr>
                  </w:pPr>
                </w:p>
                <w:p w14:paraId="63E078FD">
                  <w:pPr>
                    <w:spacing w:line="0" w:lineRule="atLeast"/>
                    <w:jc w:val="center"/>
                    <w:rPr>
                      <w:rFonts w:hint="eastAsia" w:ascii="宋体" w:hAnsi="宋体" w:eastAsia="宋体" w:cs="宋体"/>
                      <w:color w:val="auto"/>
                      <w:sz w:val="21"/>
                      <w:szCs w:val="21"/>
                      <w:highlight w:val="none"/>
                    </w:rPr>
                  </w:pPr>
                </w:p>
                <w:p w14:paraId="12E9168B">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70" w:type="dxa"/>
                  <w:vMerge w:val="restart"/>
                  <w:vAlign w:val="center"/>
                </w:tcPr>
                <w:p w14:paraId="20E9D64E">
                  <w:pPr>
                    <w:spacing w:line="0" w:lineRule="atLeast"/>
                    <w:jc w:val="center"/>
                    <w:rPr>
                      <w:rFonts w:hint="eastAsia" w:ascii="宋体" w:hAnsi="宋体" w:eastAsia="宋体" w:cs="宋体"/>
                      <w:color w:val="auto"/>
                      <w:sz w:val="21"/>
                      <w:szCs w:val="21"/>
                      <w:highlight w:val="none"/>
                    </w:rPr>
                  </w:pPr>
                </w:p>
                <w:p w14:paraId="11F094E7">
                  <w:pPr>
                    <w:spacing w:line="0" w:lineRule="atLeast"/>
                    <w:jc w:val="center"/>
                    <w:rPr>
                      <w:rFonts w:hint="eastAsia" w:ascii="宋体" w:hAnsi="宋体" w:eastAsia="宋体" w:cs="宋体"/>
                      <w:color w:val="auto"/>
                      <w:sz w:val="21"/>
                      <w:szCs w:val="21"/>
                      <w:highlight w:val="none"/>
                    </w:rPr>
                  </w:pPr>
                </w:p>
                <w:p w14:paraId="732C4FE9">
                  <w:pPr>
                    <w:spacing w:line="0" w:lineRule="atLeast"/>
                    <w:jc w:val="center"/>
                    <w:rPr>
                      <w:rFonts w:hint="eastAsia" w:ascii="宋体" w:hAnsi="宋体" w:eastAsia="宋体" w:cs="宋体"/>
                      <w:color w:val="auto"/>
                      <w:sz w:val="21"/>
                      <w:szCs w:val="21"/>
                      <w:highlight w:val="none"/>
                    </w:rPr>
                  </w:pPr>
                </w:p>
                <w:p w14:paraId="649CCF46">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阅卷系统</w:t>
                  </w:r>
                </w:p>
              </w:tc>
              <w:tc>
                <w:tcPr>
                  <w:tcW w:w="2720" w:type="dxa"/>
                  <w:vAlign w:val="center"/>
                </w:tcPr>
                <w:p w14:paraId="184E244C">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扫描管理模块</w:t>
                  </w:r>
                </w:p>
              </w:tc>
              <w:tc>
                <w:tcPr>
                  <w:tcW w:w="530" w:type="dxa"/>
                  <w:vMerge w:val="restart"/>
                  <w:vAlign w:val="center"/>
                </w:tcPr>
                <w:p w14:paraId="3B2A3A64">
                  <w:pPr>
                    <w:spacing w:line="0" w:lineRule="atLeast"/>
                    <w:jc w:val="center"/>
                    <w:rPr>
                      <w:rFonts w:hint="eastAsia" w:ascii="宋体" w:hAnsi="宋体" w:eastAsia="宋体" w:cs="宋体"/>
                      <w:color w:val="auto"/>
                      <w:sz w:val="21"/>
                      <w:szCs w:val="21"/>
                      <w:highlight w:val="none"/>
                    </w:rPr>
                  </w:pPr>
                </w:p>
                <w:p w14:paraId="49C07551">
                  <w:pPr>
                    <w:spacing w:line="0" w:lineRule="atLeast"/>
                    <w:jc w:val="center"/>
                    <w:rPr>
                      <w:rFonts w:hint="eastAsia" w:ascii="宋体" w:hAnsi="宋体" w:eastAsia="宋体" w:cs="宋体"/>
                      <w:color w:val="auto"/>
                      <w:sz w:val="21"/>
                      <w:szCs w:val="21"/>
                      <w:highlight w:val="none"/>
                    </w:rPr>
                  </w:pPr>
                </w:p>
                <w:p w14:paraId="7EB5D83A">
                  <w:pPr>
                    <w:spacing w:line="0" w:lineRule="atLeast"/>
                    <w:jc w:val="center"/>
                    <w:rPr>
                      <w:rFonts w:hint="eastAsia" w:ascii="宋体" w:hAnsi="宋体" w:eastAsia="宋体" w:cs="宋体"/>
                      <w:color w:val="auto"/>
                      <w:sz w:val="21"/>
                      <w:szCs w:val="21"/>
                      <w:highlight w:val="none"/>
                    </w:rPr>
                  </w:pPr>
                </w:p>
                <w:p w14:paraId="0EF11A06">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70" w:type="dxa"/>
                  <w:vMerge w:val="restart"/>
                  <w:vAlign w:val="center"/>
                </w:tcPr>
                <w:p w14:paraId="78DE27E9">
                  <w:pPr>
                    <w:spacing w:line="0" w:lineRule="atLeast"/>
                    <w:jc w:val="center"/>
                    <w:rPr>
                      <w:rFonts w:hint="eastAsia" w:ascii="宋体" w:hAnsi="宋体" w:eastAsia="宋体" w:cs="宋体"/>
                      <w:color w:val="auto"/>
                      <w:sz w:val="21"/>
                      <w:szCs w:val="21"/>
                      <w:highlight w:val="none"/>
                    </w:rPr>
                  </w:pPr>
                </w:p>
                <w:p w14:paraId="067A660A">
                  <w:pPr>
                    <w:spacing w:line="0" w:lineRule="atLeast"/>
                    <w:jc w:val="center"/>
                    <w:rPr>
                      <w:rFonts w:hint="eastAsia" w:ascii="宋体" w:hAnsi="宋体" w:eastAsia="宋体" w:cs="宋体"/>
                      <w:color w:val="auto"/>
                      <w:sz w:val="21"/>
                      <w:szCs w:val="21"/>
                      <w:highlight w:val="none"/>
                    </w:rPr>
                  </w:pPr>
                </w:p>
                <w:p w14:paraId="6A9D76E1">
                  <w:pPr>
                    <w:spacing w:line="0" w:lineRule="atLeast"/>
                    <w:jc w:val="center"/>
                    <w:rPr>
                      <w:rFonts w:hint="eastAsia" w:ascii="宋体" w:hAnsi="宋体" w:eastAsia="宋体" w:cs="宋体"/>
                      <w:color w:val="auto"/>
                      <w:sz w:val="21"/>
                      <w:szCs w:val="21"/>
                      <w:highlight w:val="none"/>
                    </w:rPr>
                  </w:pPr>
                </w:p>
                <w:p w14:paraId="6A20B6FA">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60" w:type="dxa"/>
                  <w:vMerge w:val="restart"/>
                  <w:vAlign w:val="center"/>
                </w:tcPr>
                <w:p w14:paraId="27ED4EA4">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速扫描模块包含扫描仪、条码打印机、服务器等，此模块提供试卷、答题卡、答题卡的扫描服务。成绩分析模块提供成绩及个人报告、班级报告、学校报告分析与诊断；大型联考提供所有参与学校的全体分析诊断报告。</w:t>
                  </w:r>
                </w:p>
              </w:tc>
            </w:tr>
            <w:tr w14:paraId="6009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583" w:type="dxa"/>
                  <w:vMerge w:val="continue"/>
                  <w:vAlign w:val="center"/>
                </w:tcPr>
                <w:p w14:paraId="71662CE9">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0C24CE46">
                  <w:pPr>
                    <w:spacing w:line="0" w:lineRule="atLeast"/>
                    <w:jc w:val="center"/>
                    <w:rPr>
                      <w:rFonts w:hint="eastAsia" w:ascii="宋体" w:hAnsi="宋体" w:eastAsia="宋体" w:cs="宋体"/>
                      <w:color w:val="auto"/>
                      <w:sz w:val="21"/>
                      <w:szCs w:val="21"/>
                      <w:highlight w:val="none"/>
                    </w:rPr>
                  </w:pPr>
                </w:p>
              </w:tc>
              <w:tc>
                <w:tcPr>
                  <w:tcW w:w="2720" w:type="dxa"/>
                  <w:vAlign w:val="center"/>
                </w:tcPr>
                <w:p w14:paraId="2BD65B8A">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锚定位灰度图象精确定位识别分析模块</w:t>
                  </w:r>
                </w:p>
              </w:tc>
              <w:tc>
                <w:tcPr>
                  <w:tcW w:w="530" w:type="dxa"/>
                  <w:vMerge w:val="continue"/>
                  <w:vAlign w:val="center"/>
                </w:tcPr>
                <w:p w14:paraId="1A21119B">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29DE913F">
                  <w:pPr>
                    <w:spacing w:line="0" w:lineRule="atLeast"/>
                    <w:jc w:val="center"/>
                    <w:rPr>
                      <w:rFonts w:hint="eastAsia" w:ascii="宋体" w:hAnsi="宋体" w:eastAsia="宋体" w:cs="宋体"/>
                      <w:color w:val="auto"/>
                      <w:sz w:val="21"/>
                      <w:szCs w:val="21"/>
                      <w:highlight w:val="none"/>
                    </w:rPr>
                  </w:pPr>
                </w:p>
              </w:tc>
              <w:tc>
                <w:tcPr>
                  <w:tcW w:w="1760" w:type="dxa"/>
                  <w:vMerge w:val="continue"/>
                  <w:vAlign w:val="center"/>
                </w:tcPr>
                <w:p w14:paraId="1E92B2F7">
                  <w:pPr>
                    <w:spacing w:line="0" w:lineRule="atLeast"/>
                    <w:jc w:val="center"/>
                    <w:rPr>
                      <w:rFonts w:hint="eastAsia" w:ascii="宋体" w:hAnsi="宋体" w:eastAsia="宋体" w:cs="宋体"/>
                      <w:color w:val="auto"/>
                      <w:sz w:val="21"/>
                      <w:szCs w:val="21"/>
                      <w:highlight w:val="none"/>
                    </w:rPr>
                  </w:pPr>
                </w:p>
              </w:tc>
            </w:tr>
            <w:tr w14:paraId="3E53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583" w:type="dxa"/>
                  <w:vMerge w:val="continue"/>
                  <w:vAlign w:val="center"/>
                </w:tcPr>
                <w:p w14:paraId="50CBC4A3">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017D08AF">
                  <w:pPr>
                    <w:spacing w:line="0" w:lineRule="atLeast"/>
                    <w:jc w:val="center"/>
                    <w:rPr>
                      <w:rFonts w:hint="eastAsia" w:ascii="宋体" w:hAnsi="宋体" w:eastAsia="宋体" w:cs="宋体"/>
                      <w:color w:val="auto"/>
                      <w:sz w:val="21"/>
                      <w:szCs w:val="21"/>
                      <w:highlight w:val="none"/>
                    </w:rPr>
                  </w:pPr>
                </w:p>
              </w:tc>
              <w:tc>
                <w:tcPr>
                  <w:tcW w:w="2720" w:type="dxa"/>
                  <w:vAlign w:val="center"/>
                </w:tcPr>
                <w:p w14:paraId="415379A4">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灰度图象精确定位识别分析模块</w:t>
                  </w:r>
                </w:p>
              </w:tc>
              <w:tc>
                <w:tcPr>
                  <w:tcW w:w="530" w:type="dxa"/>
                  <w:vMerge w:val="continue"/>
                  <w:vAlign w:val="center"/>
                </w:tcPr>
                <w:p w14:paraId="2192E965">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65243D4A">
                  <w:pPr>
                    <w:spacing w:line="0" w:lineRule="atLeast"/>
                    <w:jc w:val="center"/>
                    <w:rPr>
                      <w:rFonts w:hint="eastAsia" w:ascii="宋体" w:hAnsi="宋体" w:eastAsia="宋体" w:cs="宋体"/>
                      <w:color w:val="auto"/>
                      <w:sz w:val="21"/>
                      <w:szCs w:val="21"/>
                      <w:highlight w:val="none"/>
                    </w:rPr>
                  </w:pPr>
                </w:p>
              </w:tc>
              <w:tc>
                <w:tcPr>
                  <w:tcW w:w="1760" w:type="dxa"/>
                  <w:vMerge w:val="continue"/>
                  <w:vAlign w:val="center"/>
                </w:tcPr>
                <w:p w14:paraId="71AF6A78">
                  <w:pPr>
                    <w:spacing w:line="0" w:lineRule="atLeast"/>
                    <w:jc w:val="center"/>
                    <w:rPr>
                      <w:rFonts w:hint="eastAsia" w:ascii="宋体" w:hAnsi="宋体" w:eastAsia="宋体" w:cs="宋体"/>
                      <w:color w:val="auto"/>
                      <w:sz w:val="21"/>
                      <w:szCs w:val="21"/>
                      <w:highlight w:val="none"/>
                    </w:rPr>
                  </w:pPr>
                </w:p>
              </w:tc>
            </w:tr>
            <w:tr w14:paraId="2BB6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583" w:type="dxa"/>
                  <w:vMerge w:val="continue"/>
                  <w:vAlign w:val="center"/>
                </w:tcPr>
                <w:p w14:paraId="47236CAD">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59F55C59">
                  <w:pPr>
                    <w:spacing w:line="0" w:lineRule="atLeast"/>
                    <w:jc w:val="center"/>
                    <w:rPr>
                      <w:rFonts w:hint="eastAsia" w:ascii="宋体" w:hAnsi="宋体" w:eastAsia="宋体" w:cs="宋体"/>
                      <w:color w:val="auto"/>
                      <w:sz w:val="21"/>
                      <w:szCs w:val="21"/>
                      <w:highlight w:val="none"/>
                    </w:rPr>
                  </w:pPr>
                </w:p>
              </w:tc>
              <w:tc>
                <w:tcPr>
                  <w:tcW w:w="2720" w:type="dxa"/>
                  <w:vAlign w:val="center"/>
                </w:tcPr>
                <w:p w14:paraId="592F91FA">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灰度图象模式识别分析模块</w:t>
                  </w:r>
                </w:p>
              </w:tc>
              <w:tc>
                <w:tcPr>
                  <w:tcW w:w="530" w:type="dxa"/>
                  <w:vMerge w:val="continue"/>
                  <w:vAlign w:val="center"/>
                </w:tcPr>
                <w:p w14:paraId="563592B7">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4EC2C84D">
                  <w:pPr>
                    <w:spacing w:line="0" w:lineRule="atLeast"/>
                    <w:jc w:val="center"/>
                    <w:rPr>
                      <w:rFonts w:hint="eastAsia" w:ascii="宋体" w:hAnsi="宋体" w:eastAsia="宋体" w:cs="宋体"/>
                      <w:color w:val="auto"/>
                      <w:sz w:val="21"/>
                      <w:szCs w:val="21"/>
                      <w:highlight w:val="none"/>
                    </w:rPr>
                  </w:pPr>
                </w:p>
              </w:tc>
              <w:tc>
                <w:tcPr>
                  <w:tcW w:w="1760" w:type="dxa"/>
                  <w:vMerge w:val="continue"/>
                  <w:vAlign w:val="center"/>
                </w:tcPr>
                <w:p w14:paraId="56B3D1BE">
                  <w:pPr>
                    <w:spacing w:line="0" w:lineRule="atLeast"/>
                    <w:jc w:val="center"/>
                    <w:rPr>
                      <w:rFonts w:hint="eastAsia" w:ascii="宋体" w:hAnsi="宋体" w:eastAsia="宋体" w:cs="宋体"/>
                      <w:color w:val="auto"/>
                      <w:sz w:val="21"/>
                      <w:szCs w:val="21"/>
                      <w:highlight w:val="none"/>
                    </w:rPr>
                  </w:pPr>
                </w:p>
              </w:tc>
            </w:tr>
            <w:tr w14:paraId="0ADC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vMerge w:val="continue"/>
                  <w:vAlign w:val="center"/>
                </w:tcPr>
                <w:p w14:paraId="68D12242">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1C150C0E">
                  <w:pPr>
                    <w:spacing w:line="0" w:lineRule="atLeast"/>
                    <w:jc w:val="center"/>
                    <w:rPr>
                      <w:rFonts w:hint="eastAsia" w:ascii="宋体" w:hAnsi="宋体" w:eastAsia="宋体" w:cs="宋体"/>
                      <w:color w:val="auto"/>
                      <w:sz w:val="21"/>
                      <w:szCs w:val="21"/>
                      <w:highlight w:val="none"/>
                    </w:rPr>
                  </w:pPr>
                </w:p>
              </w:tc>
              <w:tc>
                <w:tcPr>
                  <w:tcW w:w="2720" w:type="dxa"/>
                  <w:vAlign w:val="center"/>
                </w:tcPr>
                <w:p w14:paraId="75E126B6">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自适应智能翻转处理模块</w:t>
                  </w:r>
                </w:p>
              </w:tc>
              <w:tc>
                <w:tcPr>
                  <w:tcW w:w="530" w:type="dxa"/>
                  <w:vMerge w:val="continue"/>
                  <w:vAlign w:val="center"/>
                </w:tcPr>
                <w:p w14:paraId="275AF17C">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12589D0F">
                  <w:pPr>
                    <w:spacing w:line="0" w:lineRule="atLeast"/>
                    <w:jc w:val="center"/>
                    <w:rPr>
                      <w:rFonts w:hint="eastAsia" w:ascii="宋体" w:hAnsi="宋体" w:eastAsia="宋体" w:cs="宋体"/>
                      <w:color w:val="auto"/>
                      <w:sz w:val="21"/>
                      <w:szCs w:val="21"/>
                      <w:highlight w:val="none"/>
                    </w:rPr>
                  </w:pPr>
                </w:p>
              </w:tc>
              <w:tc>
                <w:tcPr>
                  <w:tcW w:w="1760" w:type="dxa"/>
                  <w:vMerge w:val="continue"/>
                  <w:vAlign w:val="center"/>
                </w:tcPr>
                <w:p w14:paraId="5361FF34">
                  <w:pPr>
                    <w:spacing w:line="0" w:lineRule="atLeast"/>
                    <w:jc w:val="center"/>
                    <w:rPr>
                      <w:rFonts w:hint="eastAsia" w:ascii="宋体" w:hAnsi="宋体" w:eastAsia="宋体" w:cs="宋体"/>
                      <w:color w:val="auto"/>
                      <w:sz w:val="21"/>
                      <w:szCs w:val="21"/>
                      <w:highlight w:val="none"/>
                    </w:rPr>
                  </w:pPr>
                </w:p>
              </w:tc>
            </w:tr>
            <w:tr w14:paraId="5C9D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583" w:type="dxa"/>
                  <w:vMerge w:val="continue"/>
                  <w:vAlign w:val="center"/>
                </w:tcPr>
                <w:p w14:paraId="4A4306C1">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7ED1316C">
                  <w:pPr>
                    <w:spacing w:line="0" w:lineRule="atLeast"/>
                    <w:jc w:val="center"/>
                    <w:rPr>
                      <w:rFonts w:hint="eastAsia" w:ascii="宋体" w:hAnsi="宋体" w:eastAsia="宋体" w:cs="宋体"/>
                      <w:color w:val="auto"/>
                      <w:sz w:val="21"/>
                      <w:szCs w:val="21"/>
                      <w:highlight w:val="none"/>
                    </w:rPr>
                  </w:pPr>
                </w:p>
              </w:tc>
              <w:tc>
                <w:tcPr>
                  <w:tcW w:w="2720" w:type="dxa"/>
                  <w:vAlign w:val="center"/>
                </w:tcPr>
                <w:p w14:paraId="32AAB461">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模版编辑器</w:t>
                  </w:r>
                </w:p>
              </w:tc>
              <w:tc>
                <w:tcPr>
                  <w:tcW w:w="530" w:type="dxa"/>
                  <w:vMerge w:val="continue"/>
                  <w:vAlign w:val="center"/>
                </w:tcPr>
                <w:p w14:paraId="39994674">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0E610887">
                  <w:pPr>
                    <w:spacing w:line="0" w:lineRule="atLeast"/>
                    <w:jc w:val="center"/>
                    <w:rPr>
                      <w:rFonts w:hint="eastAsia" w:ascii="宋体" w:hAnsi="宋体" w:eastAsia="宋体" w:cs="宋体"/>
                      <w:color w:val="auto"/>
                      <w:sz w:val="21"/>
                      <w:szCs w:val="21"/>
                      <w:highlight w:val="none"/>
                    </w:rPr>
                  </w:pPr>
                </w:p>
              </w:tc>
              <w:tc>
                <w:tcPr>
                  <w:tcW w:w="1760" w:type="dxa"/>
                  <w:vMerge w:val="continue"/>
                  <w:vAlign w:val="center"/>
                </w:tcPr>
                <w:p w14:paraId="26B36D5E">
                  <w:pPr>
                    <w:spacing w:line="0" w:lineRule="atLeast"/>
                    <w:jc w:val="center"/>
                    <w:rPr>
                      <w:rFonts w:hint="eastAsia" w:ascii="宋体" w:hAnsi="宋体" w:eastAsia="宋体" w:cs="宋体"/>
                      <w:color w:val="auto"/>
                      <w:sz w:val="21"/>
                      <w:szCs w:val="21"/>
                      <w:highlight w:val="none"/>
                    </w:rPr>
                  </w:pPr>
                </w:p>
              </w:tc>
            </w:tr>
            <w:tr w14:paraId="413F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583" w:type="dxa"/>
                  <w:vMerge w:val="continue"/>
                  <w:vAlign w:val="center"/>
                </w:tcPr>
                <w:p w14:paraId="69612841">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729858B7">
                  <w:pPr>
                    <w:spacing w:line="0" w:lineRule="atLeast"/>
                    <w:jc w:val="center"/>
                    <w:rPr>
                      <w:rFonts w:hint="eastAsia" w:ascii="宋体" w:hAnsi="宋体" w:eastAsia="宋体" w:cs="宋体"/>
                      <w:color w:val="auto"/>
                      <w:sz w:val="21"/>
                      <w:szCs w:val="21"/>
                      <w:highlight w:val="none"/>
                    </w:rPr>
                  </w:pPr>
                </w:p>
              </w:tc>
              <w:tc>
                <w:tcPr>
                  <w:tcW w:w="2720" w:type="dxa"/>
                  <w:vAlign w:val="center"/>
                </w:tcPr>
                <w:p w14:paraId="75231F8B">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条形码识别模块</w:t>
                  </w:r>
                </w:p>
              </w:tc>
              <w:tc>
                <w:tcPr>
                  <w:tcW w:w="530" w:type="dxa"/>
                  <w:vMerge w:val="continue"/>
                  <w:vAlign w:val="center"/>
                </w:tcPr>
                <w:p w14:paraId="20D77F34">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2203690C">
                  <w:pPr>
                    <w:spacing w:line="0" w:lineRule="atLeast"/>
                    <w:jc w:val="center"/>
                    <w:rPr>
                      <w:rFonts w:hint="eastAsia" w:ascii="宋体" w:hAnsi="宋体" w:eastAsia="宋体" w:cs="宋体"/>
                      <w:color w:val="auto"/>
                      <w:sz w:val="21"/>
                      <w:szCs w:val="21"/>
                      <w:highlight w:val="none"/>
                    </w:rPr>
                  </w:pPr>
                </w:p>
              </w:tc>
              <w:tc>
                <w:tcPr>
                  <w:tcW w:w="1760" w:type="dxa"/>
                  <w:vMerge w:val="continue"/>
                  <w:vAlign w:val="center"/>
                </w:tcPr>
                <w:p w14:paraId="41711D8D">
                  <w:pPr>
                    <w:spacing w:line="0" w:lineRule="atLeast"/>
                    <w:jc w:val="center"/>
                    <w:rPr>
                      <w:rFonts w:hint="eastAsia" w:ascii="宋体" w:hAnsi="宋体" w:eastAsia="宋体" w:cs="宋体"/>
                      <w:color w:val="auto"/>
                      <w:sz w:val="21"/>
                      <w:szCs w:val="21"/>
                      <w:highlight w:val="none"/>
                    </w:rPr>
                  </w:pPr>
                </w:p>
              </w:tc>
            </w:tr>
            <w:tr w14:paraId="7EE5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583" w:type="dxa"/>
                  <w:vMerge w:val="continue"/>
                  <w:vAlign w:val="center"/>
                </w:tcPr>
                <w:p w14:paraId="65839D17">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0C121117">
                  <w:pPr>
                    <w:spacing w:line="0" w:lineRule="atLeast"/>
                    <w:jc w:val="center"/>
                    <w:rPr>
                      <w:rFonts w:hint="eastAsia" w:ascii="宋体" w:hAnsi="宋体" w:eastAsia="宋体" w:cs="宋体"/>
                      <w:color w:val="auto"/>
                      <w:sz w:val="21"/>
                      <w:szCs w:val="21"/>
                      <w:highlight w:val="none"/>
                    </w:rPr>
                  </w:pPr>
                </w:p>
              </w:tc>
              <w:tc>
                <w:tcPr>
                  <w:tcW w:w="2720" w:type="dxa"/>
                  <w:vAlign w:val="center"/>
                </w:tcPr>
                <w:p w14:paraId="15BD7129">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图形切割模块</w:t>
                  </w:r>
                </w:p>
              </w:tc>
              <w:tc>
                <w:tcPr>
                  <w:tcW w:w="530" w:type="dxa"/>
                  <w:vMerge w:val="continue"/>
                  <w:vAlign w:val="center"/>
                </w:tcPr>
                <w:p w14:paraId="09B516B5">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126FAC3A">
                  <w:pPr>
                    <w:spacing w:line="0" w:lineRule="atLeast"/>
                    <w:jc w:val="center"/>
                    <w:rPr>
                      <w:rFonts w:hint="eastAsia" w:ascii="宋体" w:hAnsi="宋体" w:eastAsia="宋体" w:cs="宋体"/>
                      <w:color w:val="auto"/>
                      <w:sz w:val="21"/>
                      <w:szCs w:val="21"/>
                      <w:highlight w:val="none"/>
                    </w:rPr>
                  </w:pPr>
                </w:p>
              </w:tc>
              <w:tc>
                <w:tcPr>
                  <w:tcW w:w="1760" w:type="dxa"/>
                  <w:vMerge w:val="continue"/>
                  <w:vAlign w:val="center"/>
                </w:tcPr>
                <w:p w14:paraId="5839B852">
                  <w:pPr>
                    <w:spacing w:line="0" w:lineRule="atLeast"/>
                    <w:jc w:val="center"/>
                    <w:rPr>
                      <w:rFonts w:hint="eastAsia" w:ascii="宋体" w:hAnsi="宋体" w:eastAsia="宋体" w:cs="宋体"/>
                      <w:color w:val="auto"/>
                      <w:sz w:val="21"/>
                      <w:szCs w:val="21"/>
                      <w:highlight w:val="none"/>
                    </w:rPr>
                  </w:pPr>
                </w:p>
              </w:tc>
            </w:tr>
            <w:tr w14:paraId="044E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583" w:type="dxa"/>
                  <w:vMerge w:val="continue"/>
                  <w:vAlign w:val="center"/>
                </w:tcPr>
                <w:p w14:paraId="2C9BD24C">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5CAEC081">
                  <w:pPr>
                    <w:spacing w:line="0" w:lineRule="atLeast"/>
                    <w:jc w:val="center"/>
                    <w:rPr>
                      <w:rFonts w:hint="eastAsia" w:ascii="宋体" w:hAnsi="宋体" w:eastAsia="宋体" w:cs="宋体"/>
                      <w:color w:val="auto"/>
                      <w:sz w:val="21"/>
                      <w:szCs w:val="21"/>
                      <w:highlight w:val="none"/>
                    </w:rPr>
                  </w:pPr>
                </w:p>
              </w:tc>
              <w:tc>
                <w:tcPr>
                  <w:tcW w:w="2720" w:type="dxa"/>
                  <w:vAlign w:val="center"/>
                </w:tcPr>
                <w:p w14:paraId="6C3D6AF1">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OCR识别模块</w:t>
                  </w:r>
                </w:p>
              </w:tc>
              <w:tc>
                <w:tcPr>
                  <w:tcW w:w="530" w:type="dxa"/>
                  <w:vMerge w:val="continue"/>
                  <w:vAlign w:val="center"/>
                </w:tcPr>
                <w:p w14:paraId="6F9C466C">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16213E70">
                  <w:pPr>
                    <w:spacing w:line="0" w:lineRule="atLeast"/>
                    <w:jc w:val="center"/>
                    <w:rPr>
                      <w:rFonts w:hint="eastAsia" w:ascii="宋体" w:hAnsi="宋体" w:eastAsia="宋体" w:cs="宋体"/>
                      <w:color w:val="auto"/>
                      <w:sz w:val="21"/>
                      <w:szCs w:val="21"/>
                      <w:highlight w:val="none"/>
                    </w:rPr>
                  </w:pPr>
                </w:p>
              </w:tc>
              <w:tc>
                <w:tcPr>
                  <w:tcW w:w="1760" w:type="dxa"/>
                  <w:vMerge w:val="continue"/>
                  <w:vAlign w:val="center"/>
                </w:tcPr>
                <w:p w14:paraId="0C568579">
                  <w:pPr>
                    <w:spacing w:line="0" w:lineRule="atLeast"/>
                    <w:jc w:val="center"/>
                    <w:rPr>
                      <w:rFonts w:hint="eastAsia" w:ascii="宋体" w:hAnsi="宋体" w:eastAsia="宋体" w:cs="宋体"/>
                      <w:color w:val="auto"/>
                      <w:sz w:val="21"/>
                      <w:szCs w:val="21"/>
                      <w:highlight w:val="none"/>
                    </w:rPr>
                  </w:pPr>
                </w:p>
              </w:tc>
            </w:tr>
            <w:tr w14:paraId="608A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583" w:type="dxa"/>
                  <w:vMerge w:val="continue"/>
                  <w:vAlign w:val="center"/>
                </w:tcPr>
                <w:p w14:paraId="3AAC784F">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5D5FF0A7">
                  <w:pPr>
                    <w:spacing w:line="0" w:lineRule="atLeast"/>
                    <w:jc w:val="center"/>
                    <w:rPr>
                      <w:rFonts w:hint="eastAsia" w:ascii="宋体" w:hAnsi="宋体" w:eastAsia="宋体" w:cs="宋体"/>
                      <w:color w:val="auto"/>
                      <w:sz w:val="21"/>
                      <w:szCs w:val="21"/>
                      <w:highlight w:val="none"/>
                    </w:rPr>
                  </w:pPr>
                </w:p>
              </w:tc>
              <w:tc>
                <w:tcPr>
                  <w:tcW w:w="2720" w:type="dxa"/>
                  <w:vAlign w:val="center"/>
                </w:tcPr>
                <w:p w14:paraId="24C5F22D">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扫描大师</w:t>
                  </w:r>
                </w:p>
              </w:tc>
              <w:tc>
                <w:tcPr>
                  <w:tcW w:w="530" w:type="dxa"/>
                  <w:vMerge w:val="continue"/>
                  <w:vAlign w:val="center"/>
                </w:tcPr>
                <w:p w14:paraId="0FBD8C4C">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19BFD797">
                  <w:pPr>
                    <w:spacing w:line="0" w:lineRule="atLeast"/>
                    <w:jc w:val="center"/>
                    <w:rPr>
                      <w:rFonts w:hint="eastAsia" w:ascii="宋体" w:hAnsi="宋体" w:eastAsia="宋体" w:cs="宋体"/>
                      <w:color w:val="auto"/>
                      <w:sz w:val="21"/>
                      <w:szCs w:val="21"/>
                      <w:highlight w:val="none"/>
                    </w:rPr>
                  </w:pPr>
                </w:p>
              </w:tc>
              <w:tc>
                <w:tcPr>
                  <w:tcW w:w="1760" w:type="dxa"/>
                  <w:vMerge w:val="continue"/>
                  <w:vAlign w:val="center"/>
                </w:tcPr>
                <w:p w14:paraId="5A8DE0AC">
                  <w:pPr>
                    <w:spacing w:line="0" w:lineRule="atLeast"/>
                    <w:jc w:val="center"/>
                    <w:rPr>
                      <w:rFonts w:hint="eastAsia" w:ascii="宋体" w:hAnsi="宋体" w:eastAsia="宋体" w:cs="宋体"/>
                      <w:color w:val="auto"/>
                      <w:sz w:val="21"/>
                      <w:szCs w:val="21"/>
                      <w:highlight w:val="none"/>
                    </w:rPr>
                  </w:pPr>
                </w:p>
              </w:tc>
            </w:tr>
            <w:tr w14:paraId="6A80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583" w:type="dxa"/>
                  <w:vMerge w:val="continue"/>
                  <w:vAlign w:val="center"/>
                </w:tcPr>
                <w:p w14:paraId="30313739">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0D9D4133">
                  <w:pPr>
                    <w:spacing w:line="0" w:lineRule="atLeast"/>
                    <w:jc w:val="center"/>
                    <w:rPr>
                      <w:rFonts w:hint="eastAsia" w:ascii="宋体" w:hAnsi="宋体" w:eastAsia="宋体" w:cs="宋体"/>
                      <w:color w:val="auto"/>
                      <w:sz w:val="21"/>
                      <w:szCs w:val="21"/>
                      <w:highlight w:val="none"/>
                    </w:rPr>
                  </w:pPr>
                </w:p>
              </w:tc>
              <w:tc>
                <w:tcPr>
                  <w:tcW w:w="2720" w:type="dxa"/>
                  <w:vAlign w:val="center"/>
                </w:tcPr>
                <w:p w14:paraId="22C1818C">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试卷扫描折角智能报警纠错模块</w:t>
                  </w:r>
                </w:p>
              </w:tc>
              <w:tc>
                <w:tcPr>
                  <w:tcW w:w="530" w:type="dxa"/>
                  <w:vMerge w:val="continue"/>
                  <w:vAlign w:val="center"/>
                </w:tcPr>
                <w:p w14:paraId="6668A186">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3C3D3FCD">
                  <w:pPr>
                    <w:spacing w:line="0" w:lineRule="atLeast"/>
                    <w:jc w:val="center"/>
                    <w:rPr>
                      <w:rFonts w:hint="eastAsia" w:ascii="宋体" w:hAnsi="宋体" w:eastAsia="宋体" w:cs="宋体"/>
                      <w:color w:val="auto"/>
                      <w:sz w:val="21"/>
                      <w:szCs w:val="21"/>
                      <w:highlight w:val="none"/>
                    </w:rPr>
                  </w:pPr>
                </w:p>
              </w:tc>
              <w:tc>
                <w:tcPr>
                  <w:tcW w:w="1760" w:type="dxa"/>
                  <w:vMerge w:val="continue"/>
                  <w:vAlign w:val="center"/>
                </w:tcPr>
                <w:p w14:paraId="76066CC0">
                  <w:pPr>
                    <w:spacing w:line="0" w:lineRule="atLeast"/>
                    <w:jc w:val="center"/>
                    <w:rPr>
                      <w:rFonts w:hint="eastAsia" w:ascii="宋体" w:hAnsi="宋体" w:eastAsia="宋体" w:cs="宋体"/>
                      <w:color w:val="auto"/>
                      <w:sz w:val="21"/>
                      <w:szCs w:val="21"/>
                      <w:highlight w:val="none"/>
                    </w:rPr>
                  </w:pPr>
                </w:p>
              </w:tc>
            </w:tr>
            <w:tr w14:paraId="5263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583" w:type="dxa"/>
                  <w:vMerge w:val="continue"/>
                  <w:vAlign w:val="center"/>
                </w:tcPr>
                <w:p w14:paraId="6444E8C2">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544A53DD">
                  <w:pPr>
                    <w:spacing w:line="0" w:lineRule="atLeast"/>
                    <w:jc w:val="center"/>
                    <w:rPr>
                      <w:rFonts w:hint="eastAsia" w:ascii="宋体" w:hAnsi="宋体" w:eastAsia="宋体" w:cs="宋体"/>
                      <w:color w:val="auto"/>
                      <w:sz w:val="21"/>
                      <w:szCs w:val="21"/>
                      <w:highlight w:val="none"/>
                    </w:rPr>
                  </w:pPr>
                </w:p>
              </w:tc>
              <w:tc>
                <w:tcPr>
                  <w:tcW w:w="2720" w:type="dxa"/>
                  <w:vAlign w:val="center"/>
                </w:tcPr>
                <w:p w14:paraId="4B12CF50">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网络评卷系统专业版</w:t>
                  </w:r>
                </w:p>
              </w:tc>
              <w:tc>
                <w:tcPr>
                  <w:tcW w:w="530" w:type="dxa"/>
                  <w:vMerge w:val="continue"/>
                  <w:vAlign w:val="center"/>
                </w:tcPr>
                <w:p w14:paraId="00679419">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00CDBDBE">
                  <w:pPr>
                    <w:spacing w:line="0" w:lineRule="atLeast"/>
                    <w:jc w:val="center"/>
                    <w:rPr>
                      <w:rFonts w:hint="eastAsia" w:ascii="宋体" w:hAnsi="宋体" w:eastAsia="宋体" w:cs="宋体"/>
                      <w:color w:val="auto"/>
                      <w:sz w:val="21"/>
                      <w:szCs w:val="21"/>
                      <w:highlight w:val="none"/>
                    </w:rPr>
                  </w:pPr>
                </w:p>
              </w:tc>
              <w:tc>
                <w:tcPr>
                  <w:tcW w:w="1760" w:type="dxa"/>
                  <w:vMerge w:val="continue"/>
                  <w:vAlign w:val="center"/>
                </w:tcPr>
                <w:p w14:paraId="4FBE74C0">
                  <w:pPr>
                    <w:spacing w:line="0" w:lineRule="atLeast"/>
                    <w:jc w:val="center"/>
                    <w:rPr>
                      <w:rFonts w:hint="eastAsia" w:ascii="宋体" w:hAnsi="宋体" w:eastAsia="宋体" w:cs="宋体"/>
                      <w:color w:val="auto"/>
                      <w:sz w:val="21"/>
                      <w:szCs w:val="21"/>
                      <w:highlight w:val="none"/>
                    </w:rPr>
                  </w:pPr>
                </w:p>
              </w:tc>
            </w:tr>
            <w:tr w14:paraId="0095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583" w:type="dxa"/>
                  <w:vMerge w:val="continue"/>
                  <w:vAlign w:val="center"/>
                </w:tcPr>
                <w:p w14:paraId="0210A15A">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7E2489B7">
                  <w:pPr>
                    <w:spacing w:line="0" w:lineRule="atLeast"/>
                    <w:jc w:val="center"/>
                    <w:rPr>
                      <w:rFonts w:hint="eastAsia" w:ascii="宋体" w:hAnsi="宋体" w:eastAsia="宋体" w:cs="宋体"/>
                      <w:color w:val="auto"/>
                      <w:sz w:val="21"/>
                      <w:szCs w:val="21"/>
                      <w:highlight w:val="none"/>
                    </w:rPr>
                  </w:pPr>
                </w:p>
              </w:tc>
              <w:tc>
                <w:tcPr>
                  <w:tcW w:w="2720" w:type="dxa"/>
                  <w:vAlign w:val="center"/>
                </w:tcPr>
                <w:p w14:paraId="5CB568E8">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专用字体</w:t>
                  </w:r>
                </w:p>
              </w:tc>
              <w:tc>
                <w:tcPr>
                  <w:tcW w:w="530" w:type="dxa"/>
                  <w:vMerge w:val="continue"/>
                  <w:vAlign w:val="center"/>
                </w:tcPr>
                <w:p w14:paraId="21419DB8">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65AAE5AC">
                  <w:pPr>
                    <w:spacing w:line="0" w:lineRule="atLeast"/>
                    <w:jc w:val="center"/>
                    <w:rPr>
                      <w:rFonts w:hint="eastAsia" w:ascii="宋体" w:hAnsi="宋体" w:eastAsia="宋体" w:cs="宋体"/>
                      <w:color w:val="auto"/>
                      <w:sz w:val="21"/>
                      <w:szCs w:val="21"/>
                      <w:highlight w:val="none"/>
                    </w:rPr>
                  </w:pPr>
                </w:p>
              </w:tc>
              <w:tc>
                <w:tcPr>
                  <w:tcW w:w="1760" w:type="dxa"/>
                  <w:vMerge w:val="continue"/>
                  <w:vAlign w:val="center"/>
                </w:tcPr>
                <w:p w14:paraId="6DA50D03">
                  <w:pPr>
                    <w:spacing w:line="0" w:lineRule="atLeast"/>
                    <w:jc w:val="center"/>
                    <w:rPr>
                      <w:rFonts w:hint="eastAsia" w:ascii="宋体" w:hAnsi="宋体" w:eastAsia="宋体" w:cs="宋体"/>
                      <w:color w:val="auto"/>
                      <w:sz w:val="21"/>
                      <w:szCs w:val="21"/>
                      <w:highlight w:val="none"/>
                    </w:rPr>
                  </w:pPr>
                </w:p>
              </w:tc>
            </w:tr>
            <w:tr w14:paraId="58DE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83" w:type="dxa"/>
                  <w:vMerge w:val="continue"/>
                  <w:vAlign w:val="center"/>
                </w:tcPr>
                <w:p w14:paraId="41601288">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6D07DC25">
                  <w:pPr>
                    <w:spacing w:line="0" w:lineRule="atLeast"/>
                    <w:jc w:val="center"/>
                    <w:rPr>
                      <w:rFonts w:hint="eastAsia" w:ascii="宋体" w:hAnsi="宋体" w:eastAsia="宋体" w:cs="宋体"/>
                      <w:color w:val="auto"/>
                      <w:sz w:val="21"/>
                      <w:szCs w:val="21"/>
                      <w:highlight w:val="none"/>
                    </w:rPr>
                  </w:pPr>
                </w:p>
              </w:tc>
              <w:tc>
                <w:tcPr>
                  <w:tcW w:w="2720" w:type="dxa"/>
                  <w:vAlign w:val="center"/>
                </w:tcPr>
                <w:p w14:paraId="4B90F481">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答题卡自动生成软件</w:t>
                  </w:r>
                </w:p>
              </w:tc>
              <w:tc>
                <w:tcPr>
                  <w:tcW w:w="530" w:type="dxa"/>
                  <w:vMerge w:val="continue"/>
                  <w:vAlign w:val="center"/>
                </w:tcPr>
                <w:p w14:paraId="3B6B37C9">
                  <w:pPr>
                    <w:spacing w:line="0" w:lineRule="atLeast"/>
                    <w:jc w:val="center"/>
                    <w:rPr>
                      <w:rFonts w:hint="eastAsia" w:ascii="宋体" w:hAnsi="宋体" w:eastAsia="宋体" w:cs="宋体"/>
                      <w:color w:val="auto"/>
                      <w:sz w:val="21"/>
                      <w:szCs w:val="21"/>
                      <w:highlight w:val="none"/>
                    </w:rPr>
                  </w:pPr>
                </w:p>
              </w:tc>
              <w:tc>
                <w:tcPr>
                  <w:tcW w:w="570" w:type="dxa"/>
                  <w:vMerge w:val="continue"/>
                  <w:vAlign w:val="center"/>
                </w:tcPr>
                <w:p w14:paraId="7873D1EF">
                  <w:pPr>
                    <w:spacing w:line="0" w:lineRule="atLeast"/>
                    <w:jc w:val="center"/>
                    <w:rPr>
                      <w:rFonts w:hint="eastAsia" w:ascii="宋体" w:hAnsi="宋体" w:eastAsia="宋体" w:cs="宋体"/>
                      <w:color w:val="auto"/>
                      <w:sz w:val="21"/>
                      <w:szCs w:val="21"/>
                      <w:highlight w:val="none"/>
                    </w:rPr>
                  </w:pPr>
                </w:p>
              </w:tc>
              <w:tc>
                <w:tcPr>
                  <w:tcW w:w="1760" w:type="dxa"/>
                  <w:vMerge w:val="continue"/>
                  <w:vAlign w:val="center"/>
                </w:tcPr>
                <w:p w14:paraId="1CD17E53">
                  <w:pPr>
                    <w:spacing w:line="0" w:lineRule="atLeast"/>
                    <w:jc w:val="center"/>
                    <w:rPr>
                      <w:rFonts w:hint="eastAsia" w:ascii="宋体" w:hAnsi="宋体" w:eastAsia="宋体" w:cs="宋体"/>
                      <w:color w:val="auto"/>
                      <w:sz w:val="21"/>
                      <w:szCs w:val="21"/>
                      <w:highlight w:val="none"/>
                    </w:rPr>
                  </w:pPr>
                </w:p>
              </w:tc>
            </w:tr>
            <w:tr w14:paraId="5C00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83" w:type="dxa"/>
                  <w:vMerge w:val="restart"/>
                  <w:vAlign w:val="center"/>
                </w:tcPr>
                <w:p w14:paraId="3CEB8492">
                  <w:pPr>
                    <w:spacing w:line="0" w:lineRule="atLeast"/>
                    <w:jc w:val="center"/>
                    <w:rPr>
                      <w:rFonts w:hint="eastAsia" w:ascii="宋体" w:hAnsi="宋体" w:eastAsia="宋体" w:cs="宋体"/>
                      <w:color w:val="auto"/>
                      <w:sz w:val="21"/>
                      <w:szCs w:val="21"/>
                      <w:highlight w:val="none"/>
                    </w:rPr>
                  </w:pPr>
                </w:p>
                <w:p w14:paraId="703A739B">
                  <w:pPr>
                    <w:spacing w:line="0" w:lineRule="atLeast"/>
                    <w:jc w:val="center"/>
                    <w:rPr>
                      <w:rFonts w:hint="eastAsia" w:ascii="宋体" w:hAnsi="宋体" w:eastAsia="宋体" w:cs="宋体"/>
                      <w:color w:val="auto"/>
                      <w:sz w:val="21"/>
                      <w:szCs w:val="21"/>
                      <w:highlight w:val="none"/>
                    </w:rPr>
                  </w:pPr>
                </w:p>
                <w:p w14:paraId="3ED07EA8">
                  <w:pPr>
                    <w:spacing w:line="0" w:lineRule="atLeast"/>
                    <w:jc w:val="center"/>
                    <w:rPr>
                      <w:rFonts w:hint="eastAsia" w:ascii="宋体" w:hAnsi="宋体" w:eastAsia="宋体" w:cs="宋体"/>
                      <w:color w:val="auto"/>
                      <w:sz w:val="21"/>
                      <w:szCs w:val="21"/>
                      <w:highlight w:val="none"/>
                    </w:rPr>
                  </w:pPr>
                </w:p>
                <w:p w14:paraId="00E28CF4">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vAlign w:val="center"/>
                </w:tcPr>
                <w:p w14:paraId="5939FC01">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A3扫描仪</w:t>
                  </w:r>
                </w:p>
              </w:tc>
              <w:tc>
                <w:tcPr>
                  <w:tcW w:w="2720" w:type="dxa"/>
                  <w:vAlign w:val="center"/>
                </w:tcPr>
                <w:p w14:paraId="1A64E154">
                  <w:pPr>
                    <w:spacing w:line="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阅卷专用高速扫描仪</w:t>
                  </w:r>
                </w:p>
                <w:p w14:paraId="5926ADE1">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扫描速度：80ppm/160ipm</w:t>
                  </w:r>
                </w:p>
              </w:tc>
              <w:tc>
                <w:tcPr>
                  <w:tcW w:w="530" w:type="dxa"/>
                  <w:vAlign w:val="center"/>
                </w:tcPr>
                <w:p w14:paraId="415C2FE5">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570" w:type="dxa"/>
                  <w:vAlign w:val="center"/>
                </w:tcPr>
                <w:p w14:paraId="052F593A">
                  <w:pPr>
                    <w:spacing w:line="0" w:lineRule="atLeast"/>
                    <w:jc w:val="center"/>
                    <w:rPr>
                      <w:rFonts w:hint="eastAsia" w:ascii="宋体" w:hAnsi="宋体" w:eastAsia="宋体" w:cs="宋体"/>
                      <w:color w:val="auto"/>
                      <w:sz w:val="21"/>
                      <w:szCs w:val="21"/>
                      <w:highlight w:val="none"/>
                    </w:rPr>
                  </w:pPr>
                </w:p>
                <w:p w14:paraId="14943274">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60" w:type="dxa"/>
                  <w:vMerge w:val="continue"/>
                  <w:vAlign w:val="center"/>
                </w:tcPr>
                <w:p w14:paraId="5345235B">
                  <w:pPr>
                    <w:spacing w:line="0" w:lineRule="atLeast"/>
                    <w:jc w:val="center"/>
                    <w:rPr>
                      <w:rFonts w:hint="eastAsia" w:ascii="宋体" w:hAnsi="宋体" w:eastAsia="宋体" w:cs="宋体"/>
                      <w:color w:val="auto"/>
                      <w:sz w:val="21"/>
                      <w:szCs w:val="21"/>
                      <w:highlight w:val="none"/>
                    </w:rPr>
                  </w:pPr>
                </w:p>
              </w:tc>
            </w:tr>
            <w:tr w14:paraId="1E2A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83" w:type="dxa"/>
                  <w:vMerge w:val="continue"/>
                  <w:vAlign w:val="center"/>
                </w:tcPr>
                <w:p w14:paraId="71FD51A0">
                  <w:pPr>
                    <w:spacing w:line="0" w:lineRule="atLeast"/>
                    <w:jc w:val="center"/>
                    <w:rPr>
                      <w:rFonts w:hint="eastAsia" w:ascii="宋体" w:hAnsi="宋体" w:eastAsia="宋体" w:cs="宋体"/>
                      <w:color w:val="auto"/>
                      <w:sz w:val="21"/>
                      <w:szCs w:val="21"/>
                      <w:highlight w:val="none"/>
                    </w:rPr>
                  </w:pPr>
                </w:p>
              </w:tc>
              <w:tc>
                <w:tcPr>
                  <w:tcW w:w="570" w:type="dxa"/>
                  <w:vAlign w:val="center"/>
                </w:tcPr>
                <w:p w14:paraId="4F2A1B8C">
                  <w:pPr>
                    <w:spacing w:line="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服务器</w:t>
                  </w:r>
                </w:p>
              </w:tc>
              <w:tc>
                <w:tcPr>
                  <w:tcW w:w="2720" w:type="dxa"/>
                  <w:vAlign w:val="center"/>
                </w:tcPr>
                <w:p w14:paraId="75EA9D29">
                  <w:pPr>
                    <w:spacing w:line="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扫描阅卷服务器</w:t>
                  </w:r>
                </w:p>
              </w:tc>
              <w:tc>
                <w:tcPr>
                  <w:tcW w:w="530" w:type="dxa"/>
                  <w:vAlign w:val="center"/>
                </w:tcPr>
                <w:p w14:paraId="78289C91">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570" w:type="dxa"/>
                  <w:vAlign w:val="center"/>
                </w:tcPr>
                <w:p w14:paraId="6912CFE4">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60" w:type="dxa"/>
                  <w:vMerge w:val="continue"/>
                  <w:vAlign w:val="center"/>
                </w:tcPr>
                <w:p w14:paraId="12EA7C02">
                  <w:pPr>
                    <w:spacing w:line="0" w:lineRule="atLeast"/>
                    <w:jc w:val="center"/>
                    <w:rPr>
                      <w:rFonts w:hint="eastAsia" w:ascii="宋体" w:hAnsi="宋体" w:eastAsia="宋体" w:cs="宋体"/>
                      <w:color w:val="auto"/>
                      <w:sz w:val="21"/>
                      <w:szCs w:val="21"/>
                      <w:highlight w:val="none"/>
                    </w:rPr>
                  </w:pPr>
                </w:p>
              </w:tc>
            </w:tr>
            <w:tr w14:paraId="5CF8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583" w:type="dxa"/>
                  <w:vMerge w:val="continue"/>
                  <w:vAlign w:val="center"/>
                </w:tcPr>
                <w:p w14:paraId="3F741105">
                  <w:pPr>
                    <w:spacing w:line="0" w:lineRule="atLeast"/>
                    <w:jc w:val="center"/>
                    <w:rPr>
                      <w:rFonts w:hint="eastAsia" w:ascii="宋体" w:hAnsi="宋体" w:eastAsia="宋体" w:cs="宋体"/>
                      <w:color w:val="auto"/>
                      <w:sz w:val="21"/>
                      <w:szCs w:val="21"/>
                      <w:highlight w:val="none"/>
                    </w:rPr>
                  </w:pPr>
                </w:p>
              </w:tc>
              <w:tc>
                <w:tcPr>
                  <w:tcW w:w="570" w:type="dxa"/>
                  <w:vAlign w:val="center"/>
                </w:tcPr>
                <w:p w14:paraId="0AA56720">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条码打印机</w:t>
                  </w:r>
                </w:p>
              </w:tc>
              <w:tc>
                <w:tcPr>
                  <w:tcW w:w="2720" w:type="dxa"/>
                  <w:vAlign w:val="center"/>
                </w:tcPr>
                <w:p w14:paraId="52DF79FF">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打印方式: 热敏和热转印</w:t>
                  </w:r>
                </w:p>
              </w:tc>
              <w:tc>
                <w:tcPr>
                  <w:tcW w:w="530" w:type="dxa"/>
                  <w:vAlign w:val="center"/>
                </w:tcPr>
                <w:p w14:paraId="523E5ED3">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570" w:type="dxa"/>
                  <w:vAlign w:val="center"/>
                </w:tcPr>
                <w:p w14:paraId="2835E330">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60" w:type="dxa"/>
                  <w:vMerge w:val="continue"/>
                  <w:vAlign w:val="center"/>
                </w:tcPr>
                <w:p w14:paraId="26EBF25B">
                  <w:pPr>
                    <w:spacing w:line="0" w:lineRule="atLeast"/>
                    <w:jc w:val="center"/>
                    <w:rPr>
                      <w:rFonts w:hint="eastAsia" w:ascii="宋体" w:hAnsi="宋体" w:eastAsia="宋体" w:cs="宋体"/>
                      <w:color w:val="auto"/>
                      <w:sz w:val="21"/>
                      <w:szCs w:val="21"/>
                      <w:highlight w:val="none"/>
                    </w:rPr>
                  </w:pPr>
                </w:p>
              </w:tc>
            </w:tr>
          </w:tbl>
          <w:p w14:paraId="35D3BFAF">
            <w:pPr>
              <w:keepNext w:val="0"/>
              <w:keepLines w:val="0"/>
              <w:pageBreakBefore w:val="0"/>
              <w:widowControl w:val="0"/>
              <w:kinsoku/>
              <w:wordWrap/>
              <w:overflowPunct/>
              <w:topLinePunct w:val="0"/>
              <w:autoSpaceDE/>
              <w:autoSpaceDN/>
              <w:bidi w:val="0"/>
              <w:adjustRightInd/>
              <w:snapToGrid/>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三、预期效益</w:t>
            </w:r>
          </w:p>
          <w:p w14:paraId="02E4F8E5">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通过建设，不断完善学校信息化应用体系和考试评价体系，推进教学模式、评价模式改革，在教学、科研、评价和管理等层面充分应用信息技术，师生的数字素养得到明显提升，学生升入优质高职院校比例明显增长，学校教育教学和质量管理水平显著提高，达到全省领先水平。</w:t>
            </w:r>
          </w:p>
        </w:tc>
      </w:tr>
    </w:tbl>
    <w:p w14:paraId="56E9E9E7">
      <w:pPr>
        <w:spacing w:line="360" w:lineRule="auto"/>
        <w:rPr>
          <w:rFonts w:hint="eastAsia"/>
          <w:color w:val="auto"/>
          <w:szCs w:val="21"/>
          <w:highlight w:val="none"/>
        </w:rPr>
      </w:pPr>
    </w:p>
    <w:p w14:paraId="7EDEC9F0">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06BBD5C3">
      <w:pPr>
        <w:pStyle w:val="20"/>
        <w:spacing w:before="179" w:line="220" w:lineRule="auto"/>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1.</w:t>
      </w:r>
      <w:r>
        <w:rPr>
          <w:rFonts w:hint="eastAsia" w:ascii="宋体" w:hAnsi="宋体" w:eastAsia="宋体" w:cs="宋体"/>
          <w:b/>
          <w:bCs/>
          <w:color w:val="auto"/>
          <w:spacing w:val="-2"/>
          <w:sz w:val="21"/>
          <w:szCs w:val="21"/>
          <w:highlight w:val="none"/>
          <w:lang w:eastAsia="zh-CN"/>
        </w:rPr>
        <w:t>合同履约期限</w:t>
      </w:r>
      <w:r>
        <w:rPr>
          <w:rFonts w:hint="eastAsia" w:ascii="宋体" w:hAnsi="宋体" w:eastAsia="宋体" w:cs="宋体"/>
          <w:b/>
          <w:bCs/>
          <w:color w:val="auto"/>
          <w:spacing w:val="-2"/>
          <w:sz w:val="21"/>
          <w:szCs w:val="21"/>
          <w:highlight w:val="none"/>
        </w:rPr>
        <w:t>：</w:t>
      </w:r>
      <w:r>
        <w:rPr>
          <w:rFonts w:hint="eastAsia" w:ascii="宋体" w:hAnsi="宋体" w:eastAsia="宋体" w:cs="宋体"/>
          <w:b w:val="0"/>
          <w:bCs w:val="0"/>
          <w:color w:val="auto"/>
          <w:spacing w:val="-2"/>
          <w:sz w:val="21"/>
          <w:szCs w:val="21"/>
          <w:highlight w:val="none"/>
        </w:rPr>
        <w:t>自签订合同之日起60日历日内</w:t>
      </w:r>
      <w:r>
        <w:rPr>
          <w:rFonts w:hint="eastAsia" w:ascii="宋体" w:hAnsi="宋体" w:eastAsia="宋体" w:cs="宋体"/>
          <w:color w:val="auto"/>
          <w:sz w:val="21"/>
          <w:szCs w:val="21"/>
          <w:highlight w:val="none"/>
          <w:lang w:eastAsia="zh-CN"/>
        </w:rPr>
        <w:t>。</w:t>
      </w:r>
    </w:p>
    <w:p w14:paraId="5C30901F">
      <w:pPr>
        <w:pStyle w:val="20"/>
        <w:spacing w:before="183" w:line="289" w:lineRule="auto"/>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2.合同签订日期：</w:t>
      </w:r>
      <w:r>
        <w:rPr>
          <w:rFonts w:hint="eastAsia" w:ascii="宋体" w:hAnsi="宋体" w:eastAsia="宋体" w:cs="宋体"/>
          <w:color w:val="auto"/>
          <w:spacing w:val="-5"/>
          <w:sz w:val="21"/>
          <w:szCs w:val="21"/>
          <w:highlight w:val="none"/>
        </w:rPr>
        <w:t>自成交通知书发出之日起</w:t>
      </w:r>
      <w:r>
        <w:rPr>
          <w:rFonts w:hint="eastAsia" w:ascii="宋体" w:hAnsi="宋体" w:eastAsia="宋体" w:cs="宋体"/>
          <w:color w:val="auto"/>
          <w:spacing w:val="-33"/>
          <w:sz w:val="21"/>
          <w:szCs w:val="21"/>
          <w:highlight w:val="none"/>
        </w:rPr>
        <w:t xml:space="preserve"> </w:t>
      </w:r>
      <w:r>
        <w:rPr>
          <w:rFonts w:hint="eastAsia" w:ascii="宋体" w:hAnsi="宋体" w:cs="宋体"/>
          <w:color w:val="auto"/>
          <w:spacing w:val="-5"/>
          <w:sz w:val="21"/>
          <w:szCs w:val="21"/>
          <w:highlight w:val="none"/>
          <w:lang w:val="en-US" w:eastAsia="zh-CN"/>
        </w:rPr>
        <w:t>25</w:t>
      </w:r>
      <w:r>
        <w:rPr>
          <w:rFonts w:hint="eastAsia" w:ascii="宋体" w:hAnsi="宋体" w:eastAsia="宋体" w:cs="宋体"/>
          <w:color w:val="auto"/>
          <w:spacing w:val="-5"/>
          <w:sz w:val="21"/>
          <w:szCs w:val="21"/>
          <w:highlight w:val="none"/>
        </w:rPr>
        <w:t>日内签订合同。</w:t>
      </w:r>
    </w:p>
    <w:p w14:paraId="1A323B17">
      <w:pPr>
        <w:pStyle w:val="20"/>
        <w:spacing w:before="181" w:line="220" w:lineRule="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3.服务地点：</w:t>
      </w:r>
      <w:r>
        <w:rPr>
          <w:rFonts w:hint="eastAsia" w:ascii="宋体" w:hAnsi="宋体" w:cs="宋体"/>
          <w:color w:val="auto"/>
          <w:spacing w:val="-3"/>
          <w:sz w:val="21"/>
          <w:szCs w:val="21"/>
          <w:highlight w:val="none"/>
          <w:lang w:eastAsia="zh-CN"/>
        </w:rPr>
        <w:t>采购人指定地点</w:t>
      </w:r>
      <w:r>
        <w:rPr>
          <w:rFonts w:hint="eastAsia" w:ascii="宋体" w:hAnsi="宋体" w:eastAsia="宋体" w:cs="宋体"/>
          <w:color w:val="auto"/>
          <w:spacing w:val="-3"/>
          <w:sz w:val="21"/>
          <w:szCs w:val="21"/>
          <w:highlight w:val="none"/>
        </w:rPr>
        <w:t>。</w:t>
      </w:r>
    </w:p>
    <w:p w14:paraId="508920F9">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3"/>
          <w:sz w:val="21"/>
          <w:szCs w:val="21"/>
          <w:highlight w:val="none"/>
        </w:rPr>
      </w:pPr>
      <w:r>
        <w:rPr>
          <w:rFonts w:hint="eastAsia" w:ascii="宋体" w:hAnsi="宋体" w:cs="宋体"/>
          <w:b/>
          <w:bCs/>
          <w:color w:val="auto"/>
          <w:spacing w:val="-3"/>
          <w:sz w:val="21"/>
          <w:szCs w:val="21"/>
          <w:highlight w:val="none"/>
          <w:lang w:val="en-US" w:eastAsia="zh-CN"/>
        </w:rPr>
        <w:t>4.质保期:</w:t>
      </w:r>
      <w:r>
        <w:rPr>
          <w:rFonts w:hint="eastAsia" w:cs="宋体"/>
          <w:color w:val="auto"/>
          <w:sz w:val="21"/>
          <w:szCs w:val="21"/>
          <w:highlight w:val="none"/>
          <w:lang w:val="en-US" w:eastAsia="zh-CN"/>
        </w:rPr>
        <w:t>按国家有关规定或厂家承诺实行“三包”，质保期从验收合格之日起不少于2年,质保期间提供免费软件服务，软件同版本免费升级。</w:t>
      </w:r>
    </w:p>
    <w:p w14:paraId="689FC576">
      <w:pPr>
        <w:pStyle w:val="20"/>
        <w:spacing w:before="182" w:line="22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pacing w:val="-3"/>
          <w:sz w:val="21"/>
          <w:szCs w:val="21"/>
          <w:highlight w:val="none"/>
          <w:lang w:val="en-US" w:eastAsia="zh-CN"/>
        </w:rPr>
        <w:t>6</w:t>
      </w:r>
      <w:r>
        <w:rPr>
          <w:rFonts w:hint="eastAsia" w:ascii="宋体" w:hAnsi="宋体" w:eastAsia="宋体" w:cs="宋体"/>
          <w:b/>
          <w:bCs/>
          <w:color w:val="auto"/>
          <w:spacing w:val="-3"/>
          <w:sz w:val="21"/>
          <w:szCs w:val="21"/>
          <w:highlight w:val="none"/>
        </w:rPr>
        <w:t>.售后服务要求</w:t>
      </w:r>
    </w:p>
    <w:p w14:paraId="5AC7BD96">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1"/>
          <w:szCs w:val="21"/>
          <w:highlight w:val="none"/>
        </w:rPr>
      </w:pPr>
      <w:r>
        <w:rPr>
          <w:rFonts w:hint="eastAsia"/>
          <w:color w:val="auto"/>
          <w:sz w:val="21"/>
          <w:szCs w:val="21"/>
          <w:highlight w:val="none"/>
        </w:rPr>
        <w:t>（1）免费上门安装调试，免费现场培训相关人员至掌握操作及日常维护。</w:t>
      </w:r>
    </w:p>
    <w:p w14:paraId="0193B8AF">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1"/>
          <w:szCs w:val="21"/>
          <w:highlight w:val="none"/>
        </w:rPr>
      </w:pPr>
      <w:r>
        <w:rPr>
          <w:rFonts w:hint="eastAsia"/>
          <w:color w:val="auto"/>
          <w:sz w:val="21"/>
          <w:szCs w:val="21"/>
          <w:highlight w:val="none"/>
        </w:rPr>
        <w:t>（2）培训服务：项目初始实施阶段，</w:t>
      </w:r>
      <w:r>
        <w:rPr>
          <w:rFonts w:hint="eastAsia"/>
          <w:color w:val="auto"/>
          <w:sz w:val="21"/>
          <w:szCs w:val="21"/>
          <w:highlight w:val="none"/>
          <w:lang w:eastAsia="zh-CN"/>
        </w:rPr>
        <w:t>成交</w:t>
      </w:r>
      <w:r>
        <w:rPr>
          <w:rFonts w:hint="eastAsia"/>
          <w:color w:val="auto"/>
          <w:sz w:val="21"/>
          <w:szCs w:val="21"/>
          <w:highlight w:val="none"/>
        </w:rPr>
        <w:t>供货商上门培训不少于7天。免费服务期内，根据</w:t>
      </w:r>
      <w:r>
        <w:rPr>
          <w:rFonts w:hint="eastAsia"/>
          <w:color w:val="auto"/>
          <w:sz w:val="21"/>
          <w:szCs w:val="21"/>
          <w:highlight w:val="none"/>
          <w:lang w:eastAsia="zh-CN"/>
        </w:rPr>
        <w:t>采购人</w:t>
      </w:r>
      <w:r>
        <w:rPr>
          <w:rFonts w:hint="eastAsia"/>
          <w:color w:val="auto"/>
          <w:sz w:val="21"/>
          <w:szCs w:val="21"/>
          <w:highlight w:val="none"/>
        </w:rPr>
        <w:t>提出需求，提供每年一次的集中培训指导。</w:t>
      </w:r>
    </w:p>
    <w:p w14:paraId="7643C3DF">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1"/>
          <w:szCs w:val="21"/>
          <w:highlight w:val="none"/>
        </w:rPr>
      </w:pPr>
      <w:r>
        <w:rPr>
          <w:rFonts w:hint="eastAsia"/>
          <w:color w:val="auto"/>
          <w:sz w:val="21"/>
          <w:szCs w:val="21"/>
          <w:highlight w:val="none"/>
        </w:rPr>
        <w:t>（3）提供现场安装调试、使用指导培训服务；2年以内（含2年）免费软件升级服务、终身技术支持服务。提供售后服务联系电话及联系人。免费质保期内，接到报障电话后2小时内响应，24小时内派工程技术人员到达现场进行检修。</w:t>
      </w:r>
    </w:p>
    <w:p w14:paraId="14DEF413">
      <w:pPr>
        <w:pStyle w:val="20"/>
        <w:spacing w:before="177" w:line="219" w:lineRule="auto"/>
        <w:rPr>
          <w:rFonts w:hint="eastAsia" w:ascii="宋体" w:hAnsi="宋体" w:eastAsia="宋体" w:cs="宋体"/>
          <w:color w:val="auto"/>
          <w:sz w:val="21"/>
          <w:szCs w:val="21"/>
          <w:highlight w:val="none"/>
        </w:rPr>
      </w:pPr>
      <w:r>
        <w:rPr>
          <w:color w:val="auto"/>
          <w:szCs w:val="21"/>
          <w:highlight w:val="none"/>
        </w:rPr>
        <w:t>▲</w:t>
      </w:r>
      <w:r>
        <w:rPr>
          <w:rFonts w:hint="eastAsia" w:ascii="宋体" w:hAnsi="宋体" w:cs="宋体"/>
          <w:b/>
          <w:bCs/>
          <w:color w:val="auto"/>
          <w:spacing w:val="-4"/>
          <w:sz w:val="21"/>
          <w:szCs w:val="21"/>
          <w:highlight w:val="none"/>
          <w:lang w:val="en-US" w:eastAsia="zh-CN"/>
        </w:rPr>
        <w:t>7</w:t>
      </w:r>
      <w:r>
        <w:rPr>
          <w:rFonts w:hint="eastAsia" w:ascii="宋体" w:hAnsi="宋体" w:eastAsia="宋体" w:cs="宋体"/>
          <w:b/>
          <w:bCs/>
          <w:color w:val="auto"/>
          <w:spacing w:val="-4"/>
          <w:sz w:val="21"/>
          <w:szCs w:val="21"/>
          <w:highlight w:val="none"/>
        </w:rPr>
        <w:t>.报价及其他要求</w:t>
      </w:r>
    </w:p>
    <w:p w14:paraId="0EFE85EC">
      <w:pPr>
        <w:spacing w:line="360" w:lineRule="exact"/>
        <w:ind w:firstLine="210" w:firstLineChars="100"/>
        <w:jc w:val="left"/>
        <w:rPr>
          <w:rFonts w:ascii="宋体" w:hAnsi="宋体" w:cs="宋体"/>
          <w:color w:val="auto"/>
          <w:kern w:val="1"/>
          <w:szCs w:val="21"/>
          <w:highlight w:val="none"/>
        </w:rPr>
      </w:pPr>
      <w:r>
        <w:rPr>
          <w:rFonts w:hint="eastAsia" w:ascii="宋体" w:hAnsi="宋体" w:cs="宋体"/>
          <w:color w:val="auto"/>
          <w:kern w:val="1"/>
          <w:szCs w:val="21"/>
          <w:highlight w:val="none"/>
        </w:rPr>
        <w:t>报价为采购人指定地点的现场交货价，包括（但不限于）：</w:t>
      </w:r>
    </w:p>
    <w:p w14:paraId="7D8588AF">
      <w:pPr>
        <w:spacing w:line="360" w:lineRule="exact"/>
        <w:jc w:val="left"/>
        <w:rPr>
          <w:rFonts w:ascii="宋体" w:hAnsi="宋体" w:cs="宋体"/>
          <w:color w:val="auto"/>
          <w:kern w:val="1"/>
          <w:szCs w:val="21"/>
          <w:highlight w:val="none"/>
        </w:rPr>
      </w:pPr>
      <w:r>
        <w:rPr>
          <w:rFonts w:hint="eastAsia" w:ascii="宋体" w:hAnsi="宋体" w:cs="宋体"/>
          <w:color w:val="auto"/>
          <w:kern w:val="1"/>
          <w:szCs w:val="21"/>
          <w:highlight w:val="none"/>
        </w:rPr>
        <w:t>（1）软件的价格：包括软件款、安装调试费、验收费；</w:t>
      </w:r>
    </w:p>
    <w:p w14:paraId="494696CE">
      <w:pPr>
        <w:spacing w:line="360" w:lineRule="exact"/>
        <w:jc w:val="left"/>
        <w:rPr>
          <w:rFonts w:ascii="宋体" w:hAnsi="宋体" w:cs="宋体"/>
          <w:color w:val="auto"/>
          <w:kern w:val="1"/>
          <w:szCs w:val="21"/>
          <w:highlight w:val="none"/>
        </w:rPr>
      </w:pPr>
      <w:r>
        <w:rPr>
          <w:rFonts w:hint="eastAsia" w:ascii="宋体" w:hAnsi="宋体" w:cs="宋体"/>
          <w:color w:val="auto"/>
          <w:kern w:val="1"/>
          <w:szCs w:val="21"/>
          <w:highlight w:val="none"/>
        </w:rPr>
        <w:t>（2）运输、装卸、调试、培训、技术支持、售后服务费。</w:t>
      </w:r>
    </w:p>
    <w:p w14:paraId="46CC072D">
      <w:pPr>
        <w:spacing w:line="360" w:lineRule="exact"/>
        <w:jc w:val="left"/>
        <w:rPr>
          <w:rFonts w:ascii="宋体" w:hAnsi="宋体" w:cs="宋体"/>
          <w:color w:val="auto"/>
          <w:kern w:val="1"/>
          <w:szCs w:val="21"/>
          <w:highlight w:val="none"/>
        </w:rPr>
      </w:pPr>
      <w:r>
        <w:rPr>
          <w:rFonts w:hint="eastAsia" w:ascii="宋体" w:hAnsi="宋体" w:cs="宋体"/>
          <w:color w:val="auto"/>
          <w:kern w:val="1"/>
          <w:szCs w:val="21"/>
          <w:highlight w:val="none"/>
        </w:rPr>
        <w:t>（3）招标代理服务费、保险费和各项税金。</w:t>
      </w:r>
    </w:p>
    <w:p w14:paraId="1E8AA8DA">
      <w:pPr>
        <w:spacing w:line="360" w:lineRule="exact"/>
        <w:jc w:val="left"/>
        <w:rPr>
          <w:rFonts w:ascii="宋体" w:hAnsi="宋体" w:cs="宋体"/>
          <w:color w:val="auto"/>
          <w:kern w:val="1"/>
          <w:szCs w:val="21"/>
          <w:highlight w:val="none"/>
        </w:rPr>
      </w:pPr>
      <w:r>
        <w:rPr>
          <w:rFonts w:hint="eastAsia" w:ascii="宋体" w:hAnsi="宋体" w:cs="宋体"/>
          <w:color w:val="auto"/>
          <w:kern w:val="1"/>
          <w:szCs w:val="21"/>
          <w:highlight w:val="none"/>
        </w:rPr>
        <w:t>注：</w:t>
      </w:r>
      <w:r>
        <w:rPr>
          <w:rFonts w:hint="eastAsia" w:ascii="宋体" w:hAnsi="宋体" w:cs="宋体"/>
          <w:color w:val="auto"/>
          <w:kern w:val="1"/>
          <w:szCs w:val="21"/>
          <w:highlight w:val="none"/>
          <w:lang w:eastAsia="zh-CN"/>
        </w:rPr>
        <w:t>成交</w:t>
      </w:r>
      <w:r>
        <w:rPr>
          <w:rFonts w:hint="eastAsia"/>
          <w:color w:val="auto"/>
          <w:sz w:val="21"/>
          <w:szCs w:val="21"/>
          <w:highlight w:val="none"/>
        </w:rPr>
        <w:t>供货商</w:t>
      </w:r>
      <w:r>
        <w:rPr>
          <w:rFonts w:hint="eastAsia" w:ascii="宋体" w:hAnsi="宋体" w:cs="宋体"/>
          <w:color w:val="auto"/>
          <w:kern w:val="1"/>
          <w:szCs w:val="21"/>
          <w:highlight w:val="none"/>
        </w:rPr>
        <w:t>自行考虑完成项目所需的辅材、教学光盘等数量，报价中应包含全部内容，成交后采购人不再另行支付额外费用。</w:t>
      </w:r>
    </w:p>
    <w:p w14:paraId="6520F294">
      <w:pPr>
        <w:spacing w:line="360" w:lineRule="exact"/>
        <w:jc w:val="left"/>
        <w:rPr>
          <w:rFonts w:ascii="宋体" w:hAnsi="宋体" w:cs="宋体"/>
          <w:b/>
          <w:bCs/>
          <w:color w:val="auto"/>
          <w:kern w:val="1"/>
          <w:szCs w:val="21"/>
          <w:highlight w:val="none"/>
        </w:rPr>
      </w:pPr>
      <w:r>
        <w:rPr>
          <w:rFonts w:hint="eastAsia" w:ascii="宋体" w:hAnsi="宋体" w:cs="宋体"/>
          <w:b/>
          <w:bCs/>
          <w:color w:val="auto"/>
          <w:kern w:val="0"/>
          <w:szCs w:val="21"/>
          <w:highlight w:val="none"/>
          <w:lang w:eastAsia="zh-CN"/>
        </w:rPr>
        <w:t>▲</w:t>
      </w:r>
      <w:r>
        <w:rPr>
          <w:rFonts w:hint="eastAsia" w:ascii="宋体" w:hAnsi="宋体" w:cs="宋体"/>
          <w:b/>
          <w:bCs/>
          <w:color w:val="auto"/>
          <w:kern w:val="1"/>
          <w:szCs w:val="21"/>
          <w:highlight w:val="none"/>
          <w:lang w:val="en-US" w:eastAsia="zh-CN"/>
        </w:rPr>
        <w:t>8.</w:t>
      </w:r>
      <w:r>
        <w:rPr>
          <w:rFonts w:hint="eastAsia" w:ascii="宋体" w:hAnsi="宋体" w:cs="宋体"/>
          <w:b/>
          <w:bCs/>
          <w:color w:val="auto"/>
          <w:kern w:val="1"/>
          <w:szCs w:val="21"/>
          <w:highlight w:val="none"/>
        </w:rPr>
        <w:t>功能扩展承诺</w:t>
      </w:r>
    </w:p>
    <w:p w14:paraId="4031FAE2">
      <w:pPr>
        <w:spacing w:line="360" w:lineRule="exact"/>
        <w:jc w:val="left"/>
        <w:rPr>
          <w:color w:val="auto"/>
          <w:sz w:val="21"/>
          <w:szCs w:val="21"/>
          <w:highlight w:val="none"/>
        </w:rPr>
      </w:pPr>
      <w:r>
        <w:rPr>
          <w:rFonts w:hint="eastAsia" w:ascii="宋体" w:hAnsi="宋体" w:cs="宋体"/>
          <w:color w:val="auto"/>
          <w:kern w:val="1"/>
          <w:szCs w:val="21"/>
          <w:highlight w:val="none"/>
          <w:lang w:eastAsia="zh-CN"/>
        </w:rPr>
        <w:t>成交</w:t>
      </w:r>
      <w:r>
        <w:rPr>
          <w:rFonts w:hint="eastAsia" w:ascii="宋体" w:hAnsi="宋体" w:cs="宋体"/>
          <w:color w:val="auto"/>
          <w:kern w:val="1"/>
          <w:szCs w:val="21"/>
          <w:highlight w:val="none"/>
        </w:rPr>
        <w:t>供货商承诺由原厂商为</w:t>
      </w:r>
      <w:r>
        <w:rPr>
          <w:rFonts w:hint="eastAsia" w:ascii="宋体" w:hAnsi="宋体" w:cs="宋体"/>
          <w:color w:val="auto"/>
          <w:kern w:val="1"/>
          <w:szCs w:val="21"/>
          <w:highlight w:val="none"/>
          <w:lang w:eastAsia="zh-CN"/>
        </w:rPr>
        <w:t>采购人</w:t>
      </w:r>
      <w:r>
        <w:rPr>
          <w:rFonts w:hint="eastAsia" w:ascii="宋体" w:hAnsi="宋体" w:cs="宋体"/>
          <w:color w:val="auto"/>
          <w:kern w:val="1"/>
          <w:szCs w:val="21"/>
          <w:highlight w:val="none"/>
        </w:rPr>
        <w:t>提供完善、即时的售后服务，承诺可针对用户各类业务系统进行嵌入性订制开发服务。同时采购人有权对系统进行综合评定，评定其是否符合贵港市职业教育中心长远发展的业务需求。</w:t>
      </w:r>
    </w:p>
    <w:p w14:paraId="0C780CB1">
      <w:pPr>
        <w:pStyle w:val="20"/>
        <w:spacing w:before="179" w:line="220" w:lineRule="auto"/>
        <w:rPr>
          <w:color w:val="auto"/>
          <w:sz w:val="21"/>
          <w:szCs w:val="21"/>
          <w:highlight w:val="none"/>
        </w:rPr>
      </w:pPr>
      <w:r>
        <w:rPr>
          <w:rFonts w:hint="eastAsia"/>
          <w:b/>
          <w:bCs/>
          <w:color w:val="auto"/>
          <w:spacing w:val="-4"/>
          <w:sz w:val="21"/>
          <w:szCs w:val="21"/>
          <w:highlight w:val="none"/>
          <w:lang w:val="en-US" w:eastAsia="zh-CN"/>
        </w:rPr>
        <w:t>9</w:t>
      </w:r>
      <w:r>
        <w:rPr>
          <w:b/>
          <w:bCs/>
          <w:color w:val="auto"/>
          <w:spacing w:val="-4"/>
          <w:sz w:val="21"/>
          <w:szCs w:val="21"/>
          <w:highlight w:val="none"/>
        </w:rPr>
        <w:t>.付款方式</w:t>
      </w:r>
    </w:p>
    <w:p w14:paraId="2EEA07A8">
      <w:pPr>
        <w:spacing w:line="360" w:lineRule="exact"/>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合同签订</w:t>
      </w:r>
      <w:r>
        <w:rPr>
          <w:rFonts w:hint="eastAsia" w:ascii="宋体" w:hAnsi="宋体" w:cs="宋体"/>
          <w:color w:val="auto"/>
          <w:kern w:val="1"/>
          <w:szCs w:val="21"/>
          <w:highlight w:val="none"/>
          <w:lang w:val="en-US" w:eastAsia="zh-CN"/>
        </w:rPr>
        <w:t>且</w:t>
      </w:r>
      <w:r>
        <w:rPr>
          <w:rFonts w:hint="eastAsia" w:ascii="宋体" w:hAnsi="宋体" w:cs="宋体"/>
          <w:color w:val="auto"/>
          <w:kern w:val="1"/>
          <w:szCs w:val="21"/>
          <w:highlight w:val="none"/>
        </w:rPr>
        <w:t>具备实施条件后15个工作日内向供应商支付合同金额30%的预付款。（注：如采购人在签订合同时，成交供应商明确表示无需预付款或者主动要求降低预付款比例的，采购人可不采用预付款制度），供应商完成工作并通过验收后20个工作日内，采购人向供应商支付项目合同总价款70%。</w:t>
      </w:r>
    </w:p>
    <w:p w14:paraId="7ECFE9EF">
      <w:pPr>
        <w:spacing w:line="360" w:lineRule="auto"/>
        <w:rPr>
          <w:rFonts w:ascii="黑体" w:hAnsi="黑体" w:eastAsia="黑体" w:cs="Arial"/>
          <w:b/>
          <w:color w:val="auto"/>
          <w:kern w:val="0"/>
          <w:sz w:val="21"/>
          <w:szCs w:val="21"/>
          <w:highlight w:val="none"/>
        </w:rPr>
      </w:pPr>
      <w:r>
        <w:rPr>
          <w:rFonts w:hint="eastAsia" w:ascii="黑体" w:hAnsi="黑体" w:eastAsia="黑体" w:cs="Arial"/>
          <w:b/>
          <w:color w:val="auto"/>
          <w:kern w:val="0"/>
          <w:sz w:val="21"/>
          <w:szCs w:val="21"/>
          <w:highlight w:val="none"/>
        </w:rPr>
        <w:t>四、其他要求</w:t>
      </w:r>
    </w:p>
    <w:p w14:paraId="05023A5B">
      <w:pP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应严格遵守</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人关于信息安全方面的规定，自觉保密</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人的相关数据。项目成果以及为方便项目服务所提供给</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的工作流程、管理模式、试验数据、规程、程序等相关资料文档及数据，在收发过程中所产生的资料、文档、数据及相关附属品均属于</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人信息资产，</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应保证这些信息在项目期间及项目完成后规定时间内的安全。</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应建立并实际运行项目进展期间的信息安全管理规范，以确保项目启动、运维的信息数据安全管理。非经</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人书面许可，</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不得以任何形式泄漏项目资料及数据。因</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原因导致项目资料、文档、数据或招标人其他有关秘密泄露的，</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人有权要求</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采取措施消除影响，赔偿</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人损失，并追究其相关法律责任。</w:t>
      </w:r>
    </w:p>
    <w:p w14:paraId="6039ECD0">
      <w:pPr>
        <w:rPr>
          <w:rFonts w:hint="eastAsia"/>
          <w:b/>
          <w:bCs/>
          <w:color w:val="auto"/>
          <w:sz w:val="28"/>
          <w:szCs w:val="28"/>
          <w:highlight w:val="none"/>
        </w:rPr>
      </w:pPr>
      <w:r>
        <w:rPr>
          <w:rFonts w:hint="eastAsia" w:ascii="宋体" w:hAnsi="宋体" w:cs="宋体"/>
          <w:b/>
          <w:bCs/>
          <w:color w:val="auto"/>
          <w:sz w:val="21"/>
          <w:szCs w:val="21"/>
          <w:highlight w:val="none"/>
          <w:lang w:val="en-US" w:eastAsia="zh-CN"/>
        </w:rPr>
        <w:t>2、</w:t>
      </w:r>
      <w:r>
        <w:rPr>
          <w:rFonts w:hint="eastAsia"/>
          <w:b/>
          <w:bCs/>
          <w:color w:val="auto"/>
          <w:szCs w:val="21"/>
          <w:highlight w:val="none"/>
        </w:rPr>
        <w:t>供应商应按根据项目需求结合自身情况撰写项目</w:t>
      </w:r>
      <w:r>
        <w:rPr>
          <w:rFonts w:hint="eastAsia"/>
          <w:b/>
          <w:bCs/>
          <w:color w:val="auto"/>
          <w:szCs w:val="21"/>
          <w:highlight w:val="none"/>
          <w:lang w:val="en-US" w:eastAsia="zh-CN"/>
        </w:rPr>
        <w:t>服务</w:t>
      </w:r>
      <w:r>
        <w:rPr>
          <w:rFonts w:hint="eastAsia"/>
          <w:b/>
          <w:bCs/>
          <w:color w:val="auto"/>
          <w:szCs w:val="21"/>
          <w:highlight w:val="none"/>
        </w:rPr>
        <w:t>方案</w:t>
      </w:r>
      <w:r>
        <w:rPr>
          <w:rFonts w:hint="eastAsia"/>
          <w:b/>
          <w:bCs/>
          <w:color w:val="auto"/>
          <w:szCs w:val="21"/>
          <w:highlight w:val="none"/>
          <w:lang w:eastAsia="zh-CN"/>
        </w:rPr>
        <w:t>，</w:t>
      </w:r>
      <w:r>
        <w:rPr>
          <w:rFonts w:hint="eastAsia"/>
          <w:b/>
          <w:bCs/>
          <w:color w:val="auto"/>
          <w:szCs w:val="21"/>
          <w:highlight w:val="none"/>
        </w:rPr>
        <w:t>内容包含但不限于：</w:t>
      </w:r>
      <w:r>
        <w:rPr>
          <w:rFonts w:hint="eastAsia"/>
          <w:b/>
          <w:bCs/>
          <w:color w:val="auto"/>
          <w:szCs w:val="21"/>
          <w:highlight w:val="none"/>
          <w:lang w:val="en-US" w:eastAsia="zh-CN"/>
        </w:rPr>
        <w:t>项目实施准备、项目实施质量保证、项目供货方案</w:t>
      </w:r>
      <w:r>
        <w:rPr>
          <w:rFonts w:hint="eastAsia"/>
          <w:b/>
          <w:bCs/>
          <w:color w:val="auto"/>
          <w:szCs w:val="21"/>
          <w:highlight w:val="none"/>
        </w:rPr>
        <w:t>等。</w:t>
      </w:r>
    </w:p>
    <w:p w14:paraId="192A8E2D">
      <w:pPr>
        <w:rPr>
          <w:rFonts w:hint="eastAsia" w:ascii="宋体" w:hAnsi="宋体" w:eastAsia="宋体" w:cs="宋体"/>
          <w:i w:val="0"/>
          <w:iCs w:val="0"/>
          <w:caps w:val="0"/>
          <w:color w:val="auto"/>
          <w:spacing w:val="0"/>
          <w:sz w:val="28"/>
          <w:szCs w:val="28"/>
          <w:highlight w:val="none"/>
          <w:shd w:val="clear" w:fill="F7F7F7"/>
        </w:rPr>
      </w:pPr>
      <w:r>
        <w:rPr>
          <w:rFonts w:hint="eastAsia" w:ascii="宋体" w:hAnsi="宋体" w:eastAsia="宋体" w:cs="宋体"/>
          <w:i w:val="0"/>
          <w:iCs w:val="0"/>
          <w:caps w:val="0"/>
          <w:color w:val="auto"/>
          <w:spacing w:val="0"/>
          <w:sz w:val="28"/>
          <w:szCs w:val="28"/>
          <w:highlight w:val="none"/>
          <w:shd w:val="clear" w:fill="F7F7F7"/>
        </w:rPr>
        <w:br w:type="page"/>
      </w:r>
    </w:p>
    <w:p w14:paraId="1F1B90DF">
      <w:pPr>
        <w:spacing w:before="120"/>
        <w:rPr>
          <w:rFonts w:ascii="黑体" w:hAnsi="黑体" w:eastAsia="黑体" w:cs="Arial"/>
          <w:b/>
          <w:color w:val="auto"/>
          <w:kern w:val="0"/>
          <w:sz w:val="28"/>
          <w:szCs w:val="28"/>
          <w:highlight w:val="none"/>
        </w:rPr>
      </w:pPr>
      <w:r>
        <w:rPr>
          <w:rFonts w:hint="eastAsia" w:ascii="宋体" w:hAnsi="宋体" w:eastAsia="宋体" w:cs="宋体"/>
          <w:i w:val="0"/>
          <w:iCs w:val="0"/>
          <w:caps w:val="0"/>
          <w:color w:val="auto"/>
          <w:spacing w:val="0"/>
          <w:sz w:val="28"/>
          <w:szCs w:val="28"/>
          <w:highlight w:val="none"/>
          <w:shd w:val="clear" w:fill="F7F7F7"/>
        </w:rPr>
        <w:t>标项</w:t>
      </w:r>
      <w:r>
        <w:rPr>
          <w:rFonts w:hint="eastAsia" w:ascii="宋体" w:hAnsi="宋体" w:cs="宋体"/>
          <w:i w:val="0"/>
          <w:iCs w:val="0"/>
          <w:caps w:val="0"/>
          <w:color w:val="auto"/>
          <w:spacing w:val="0"/>
          <w:sz w:val="28"/>
          <w:szCs w:val="28"/>
          <w:highlight w:val="none"/>
          <w:shd w:val="clear" w:fill="F7F7F7"/>
          <w:lang w:eastAsia="zh-CN"/>
        </w:rPr>
        <w:t>三</w:t>
      </w:r>
      <w:r>
        <w:rPr>
          <w:rFonts w:hint="eastAsia" w:ascii="宋体" w:hAnsi="宋体" w:eastAsia="宋体" w:cs="宋体"/>
          <w:i w:val="0"/>
          <w:iCs w:val="0"/>
          <w:caps w:val="0"/>
          <w:color w:val="auto"/>
          <w:spacing w:val="0"/>
          <w:sz w:val="28"/>
          <w:szCs w:val="28"/>
          <w:highlight w:val="none"/>
          <w:shd w:val="clear" w:fill="F7F7F7"/>
        </w:rPr>
        <w:t>:师资队伍建设（教师培训）</w:t>
      </w:r>
    </w:p>
    <w:p w14:paraId="47B08739">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24B6FE6E">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3E574970">
      <w:pPr>
        <w:spacing w:line="360" w:lineRule="auto"/>
        <w:rPr>
          <w:color w:val="auto"/>
          <w:szCs w:val="21"/>
          <w:highlight w:val="none"/>
        </w:rPr>
      </w:pPr>
      <w:r>
        <w:rPr>
          <w:rFonts w:hint="eastAsia"/>
          <w:color w:val="auto"/>
          <w:szCs w:val="21"/>
          <w:highlight w:val="none"/>
        </w:rPr>
        <w:t>详见采购文件“评审方法及标准</w:t>
      </w:r>
      <w:r>
        <w:rPr>
          <w:color w:val="auto"/>
          <w:szCs w:val="21"/>
          <w:highlight w:val="none"/>
        </w:rPr>
        <w:t>/政府采购政策应用说明”。</w:t>
      </w:r>
    </w:p>
    <w:p w14:paraId="40F28B79">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14:paraId="138987BA">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标注“▲”的条款或要求系指实质性条款或实质性要求，必须满足，如存在负偏离将导致响应被否决。</w:t>
      </w:r>
    </w:p>
    <w:p w14:paraId="4681E190">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191C60A8">
      <w:pPr>
        <w:spacing w:line="360" w:lineRule="auto"/>
        <w:rPr>
          <w:color w:val="auto"/>
          <w:szCs w:val="21"/>
          <w:highlight w:val="none"/>
        </w:rPr>
      </w:pPr>
      <w:r>
        <w:rPr>
          <w:rFonts w:hint="eastAsia"/>
          <w:color w:val="auto"/>
          <w:szCs w:val="21"/>
          <w:highlight w:val="none"/>
        </w:rPr>
        <w:t>1.需实现的功能、目标及应用场景</w:t>
      </w:r>
    </w:p>
    <w:p w14:paraId="12190698">
      <w:pPr>
        <w:spacing w:line="360" w:lineRule="auto"/>
        <w:rPr>
          <w:color w:val="auto"/>
          <w:szCs w:val="21"/>
          <w:highlight w:val="none"/>
        </w:rPr>
      </w:pPr>
      <w:r>
        <w:rPr>
          <w:rFonts w:hint="eastAsia"/>
          <w:color w:val="auto"/>
          <w:szCs w:val="21"/>
          <w:highlight w:val="none"/>
        </w:rPr>
        <w:t>满足采购文件要求，验收达到合格标准。</w:t>
      </w:r>
    </w:p>
    <w:p w14:paraId="78B4EA15">
      <w:pPr>
        <w:spacing w:line="360" w:lineRule="auto"/>
        <w:rPr>
          <w:color w:val="auto"/>
          <w:szCs w:val="21"/>
          <w:highlight w:val="none"/>
        </w:rPr>
      </w:pPr>
      <w:r>
        <w:rPr>
          <w:color w:val="auto"/>
          <w:szCs w:val="21"/>
          <w:highlight w:val="none"/>
        </w:rPr>
        <w:t>2</w:t>
      </w:r>
      <w:r>
        <w:rPr>
          <w:rFonts w:hint="eastAsia"/>
          <w:color w:val="auto"/>
          <w:szCs w:val="21"/>
          <w:highlight w:val="none"/>
        </w:rPr>
        <w:t>.</w:t>
      </w:r>
      <w:r>
        <w:rPr>
          <w:color w:val="auto"/>
          <w:szCs w:val="21"/>
          <w:highlight w:val="none"/>
        </w:rPr>
        <w:t>需执行的国家相关标准、行业标准、地方标准或者其他标准、规范</w:t>
      </w:r>
    </w:p>
    <w:p w14:paraId="48A03231">
      <w:pPr>
        <w:spacing w:line="360" w:lineRule="auto"/>
        <w:rPr>
          <w:i/>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i/>
          <w:color w:val="auto"/>
          <w:szCs w:val="21"/>
          <w:highlight w:val="none"/>
          <w:u w:val="single"/>
        </w:rPr>
        <w:t>详见技术指标要求</w:t>
      </w:r>
    </w:p>
    <w:p w14:paraId="53CA8BAE">
      <w:pPr>
        <w:spacing w:line="360" w:lineRule="auto"/>
        <w:rPr>
          <w:color w:val="auto"/>
          <w:szCs w:val="21"/>
          <w:highlight w:val="none"/>
        </w:rPr>
      </w:pPr>
      <w:r>
        <w:rPr>
          <w:color w:val="auto"/>
          <w:szCs w:val="21"/>
          <w:highlight w:val="none"/>
        </w:rPr>
        <w:t>3</w:t>
      </w:r>
      <w:r>
        <w:rPr>
          <w:rFonts w:hint="eastAsia"/>
          <w:color w:val="auto"/>
          <w:szCs w:val="21"/>
          <w:highlight w:val="none"/>
        </w:rPr>
        <w:t>.标的所属行业：</w:t>
      </w:r>
    </w:p>
    <w:p w14:paraId="4FE509C1">
      <w:pPr>
        <w:spacing w:line="360" w:lineRule="auto"/>
        <w:rPr>
          <w:rFonts w:hint="eastAsia"/>
          <w:b/>
          <w:bCs/>
          <w:color w:val="auto"/>
          <w:sz w:val="30"/>
          <w:szCs w:val="30"/>
          <w:highlight w:val="none"/>
          <w:lang w:val="en-US" w:eastAsia="zh-CN"/>
        </w:rPr>
      </w:pPr>
      <w:r>
        <w:rPr>
          <w:rFonts w:hint="eastAsia"/>
          <w:b/>
          <w:bCs/>
          <w:color w:val="auto"/>
          <w:sz w:val="30"/>
          <w:szCs w:val="30"/>
          <w:highlight w:val="none"/>
          <w:lang w:val="en-US" w:eastAsia="zh-CN"/>
        </w:rPr>
        <w:t>其他未列明行业</w:t>
      </w:r>
    </w:p>
    <w:p w14:paraId="063F3374">
      <w:pPr>
        <w:spacing w:line="360" w:lineRule="auto"/>
        <w:rPr>
          <w:color w:val="auto"/>
          <w:szCs w:val="21"/>
          <w:highlight w:val="none"/>
        </w:rPr>
      </w:pPr>
      <w:r>
        <w:rPr>
          <w:color w:val="auto"/>
          <w:szCs w:val="21"/>
          <w:highlight w:val="none"/>
        </w:rPr>
        <w:t>4</w:t>
      </w:r>
      <w:r>
        <w:rPr>
          <w:rFonts w:hint="eastAsia"/>
          <w:color w:val="auto"/>
          <w:szCs w:val="21"/>
          <w:highlight w:val="none"/>
        </w:rPr>
        <w:t>.核心产品</w:t>
      </w:r>
    </w:p>
    <w:p w14:paraId="66C9D6FD">
      <w:pPr>
        <w:spacing w:line="360" w:lineRule="auto"/>
        <w:rPr>
          <w:color w:val="auto"/>
          <w:szCs w:val="21"/>
          <w:highlight w:val="none"/>
        </w:rPr>
      </w:pPr>
      <w:r>
        <w:rPr>
          <w:rFonts w:hint="eastAsia"/>
          <w:color w:val="auto"/>
          <w:szCs w:val="21"/>
          <w:highlight w:val="none"/>
        </w:rPr>
        <w:t>本项目为服务项目，不适用核心产品规定。</w:t>
      </w:r>
    </w:p>
    <w:p w14:paraId="45D4A871">
      <w:pPr>
        <w:numPr>
          <w:ilvl w:val="0"/>
          <w:numId w:val="1"/>
        </w:numPr>
        <w:spacing w:line="360" w:lineRule="auto"/>
        <w:rPr>
          <w:b/>
          <w:bCs/>
          <w:color w:val="auto"/>
          <w:szCs w:val="21"/>
          <w:highlight w:val="none"/>
        </w:rPr>
      </w:pPr>
      <w:r>
        <w:rPr>
          <w:rFonts w:hint="eastAsia"/>
          <w:color w:val="auto"/>
          <w:szCs w:val="21"/>
          <w:highlight w:val="none"/>
        </w:rPr>
        <w:t>服务内容和标准</w:t>
      </w:r>
    </w:p>
    <w:tbl>
      <w:tblPr>
        <w:tblStyle w:val="53"/>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086"/>
        <w:gridCol w:w="750"/>
        <w:gridCol w:w="7336"/>
      </w:tblGrid>
      <w:tr w14:paraId="060D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14:paraId="4233E519">
            <w:pPr>
              <w:tabs>
                <w:tab w:val="left" w:pos="993"/>
                <w:tab w:val="left" w:pos="1134"/>
                <w:tab w:val="left" w:pos="1418"/>
              </w:tabs>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4A430924">
            <w:pPr>
              <w:tabs>
                <w:tab w:val="left" w:pos="993"/>
                <w:tab w:val="left" w:pos="1134"/>
                <w:tab w:val="left" w:pos="1418"/>
              </w:tabs>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服务名称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1335C9F">
            <w:pPr>
              <w:tabs>
                <w:tab w:val="left" w:pos="993"/>
                <w:tab w:val="left" w:pos="1134"/>
                <w:tab w:val="left" w:pos="1418"/>
              </w:tabs>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7336" w:type="dxa"/>
            <w:tcBorders>
              <w:top w:val="single" w:color="auto" w:sz="4" w:space="0"/>
              <w:left w:val="single" w:color="auto" w:sz="4" w:space="0"/>
              <w:bottom w:val="single" w:color="auto" w:sz="4" w:space="0"/>
              <w:right w:val="single" w:color="auto" w:sz="4" w:space="0"/>
            </w:tcBorders>
            <w:noWrap w:val="0"/>
            <w:vAlign w:val="center"/>
          </w:tcPr>
          <w:p w14:paraId="03BC579E">
            <w:pPr>
              <w:tabs>
                <w:tab w:val="left" w:pos="993"/>
                <w:tab w:val="left" w:pos="1134"/>
                <w:tab w:val="left" w:pos="1418"/>
              </w:tabs>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服务内容和</w:t>
            </w:r>
            <w:r>
              <w:rPr>
                <w:rFonts w:hint="eastAsia" w:ascii="宋体" w:hAnsi="宋体" w:eastAsia="宋体" w:cs="宋体"/>
                <w:b/>
                <w:bCs/>
                <w:color w:val="auto"/>
                <w:kern w:val="0"/>
                <w:szCs w:val="21"/>
                <w:highlight w:val="none"/>
                <w:lang w:eastAsia="zh-Hans"/>
              </w:rPr>
              <w:t>标准</w:t>
            </w:r>
          </w:p>
        </w:tc>
      </w:tr>
      <w:tr w14:paraId="5E03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8"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14:paraId="15A6723B">
            <w:pPr>
              <w:tabs>
                <w:tab w:val="left" w:pos="993"/>
                <w:tab w:val="left" w:pos="1134"/>
                <w:tab w:val="left" w:pos="1418"/>
              </w:tabs>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CC9603D">
            <w:pPr>
              <w:tabs>
                <w:tab w:val="left" w:pos="993"/>
                <w:tab w:val="left" w:pos="1134"/>
                <w:tab w:val="left" w:pos="1418"/>
              </w:tabs>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师资队伍建设（教师培训）</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E8A05B3">
            <w:pPr>
              <w:pStyle w:val="18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1项</w:t>
            </w:r>
          </w:p>
        </w:tc>
        <w:tc>
          <w:tcPr>
            <w:tcW w:w="7336" w:type="dxa"/>
            <w:tcBorders>
              <w:top w:val="single" w:color="auto" w:sz="4" w:space="0"/>
              <w:left w:val="single" w:color="auto" w:sz="4" w:space="0"/>
              <w:bottom w:val="single" w:color="auto" w:sz="4" w:space="0"/>
              <w:right w:val="single" w:color="auto" w:sz="4" w:space="0"/>
            </w:tcBorders>
            <w:noWrap w:val="0"/>
            <w:vAlign w:val="center"/>
          </w:tcPr>
          <w:p w14:paraId="782BF18F">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一、采购说明</w:t>
            </w:r>
          </w:p>
          <w:p w14:paraId="2827CED6">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是根据《广西壮族自洽区财政厅广西壮族自治区教育厅关于下达2025年中央现代职业教育质量提升计划资金的通知》(桂财教〔2024〕99号)、《贵港市财政局关于下达2025年中央现代职业教育质量提升计划资金的通知》（贵财预〔2025〕2号）文件精神，根据学校办学特色和办学要求，大力提升教师教学能力和学生技能水平，开展世界职业院校技能大赛专项培训和广西职业院校技能大赛培育。</w:t>
            </w:r>
          </w:p>
          <w:p w14:paraId="1B3A4293">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2025年是贯彻党的二十届三中全会精神与《教育强国建设规划纲要（2024-2035）》的关键之年，世界职业院校技能大赛也迎来深化改革的重要阶段。世界职业院校技能大赛的升级，是职业教育改革的重要举措。通过优化赛事体系、创新竞赛模式，不仅为职业院校学生提供了更高水平的竞技平台，也将推动职业教育更好地服务产业发展。世界职业院校技能大赛迎来系统性升级，通过优化赛制、创新赛道设计、引入前沿技术，打造国际化的高水平竞技平台，为培育高素质技术技能人才提供强力支撑，推动职业教育高质量发展。</w:t>
            </w:r>
          </w:p>
          <w:p w14:paraId="4D32C829">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通过本项目的实施，进一步强化师资队伍建设，提升学生技能竞赛水平，达到以赛促教、以赛促学、以赛促改的核心目的。</w:t>
            </w:r>
          </w:p>
          <w:p w14:paraId="6D31627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cs="宋体"/>
                <w:b/>
                <w:bCs/>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二、项目服务内容与技术要求</w:t>
            </w:r>
          </w:p>
          <w:p w14:paraId="6F3074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color w:val="auto"/>
                <w:highlight w:val="none"/>
              </w:rPr>
            </w:pPr>
            <w:r>
              <w:rPr>
                <w:rFonts w:hint="eastAsia"/>
                <w:color w:val="auto"/>
                <w:highlight w:val="none"/>
                <w:lang w:val="en-US" w:eastAsia="zh-CN"/>
              </w:rPr>
              <w:t>1.</w:t>
            </w:r>
            <w:r>
              <w:rPr>
                <w:rFonts w:hint="eastAsia"/>
                <w:color w:val="auto"/>
                <w:highlight w:val="none"/>
                <w:lang w:val="en-US" w:eastAsia="zh-Hans"/>
              </w:rPr>
              <w:t>服务</w:t>
            </w:r>
            <w:r>
              <w:rPr>
                <w:color w:val="auto"/>
                <w:highlight w:val="none"/>
              </w:rPr>
              <w:t>任务一览</w:t>
            </w:r>
            <w:r>
              <w:rPr>
                <w:rFonts w:hint="eastAsia"/>
                <w:color w:val="auto"/>
                <w:highlight w:val="none"/>
              </w:rPr>
              <w:t>表</w:t>
            </w:r>
          </w:p>
          <w:tbl>
            <w:tblPr>
              <w:tblStyle w:val="53"/>
              <w:tblW w:w="7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745"/>
              <w:gridCol w:w="1380"/>
              <w:gridCol w:w="4253"/>
            </w:tblGrid>
            <w:tr w14:paraId="57C1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blHeader/>
                <w:jc w:val="center"/>
              </w:trPr>
              <w:tc>
                <w:tcPr>
                  <w:tcW w:w="660" w:type="dxa"/>
                  <w:shd w:val="clear" w:color="000000" w:fill="E7E6E6"/>
                  <w:noWrap w:val="0"/>
                  <w:vAlign w:val="center"/>
                </w:tcPr>
                <w:p w14:paraId="6CD64E9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45" w:type="dxa"/>
                  <w:shd w:val="clear" w:color="000000" w:fill="E7E6E6"/>
                  <w:noWrap w:val="0"/>
                  <w:vAlign w:val="center"/>
                </w:tcPr>
                <w:p w14:paraId="3B0C870B">
                  <w:pPr>
                    <w:jc w:val="center"/>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项目</w:t>
                  </w:r>
                </w:p>
              </w:tc>
              <w:tc>
                <w:tcPr>
                  <w:tcW w:w="1380" w:type="dxa"/>
                  <w:shd w:val="clear" w:color="000000" w:fill="E7E6E6"/>
                  <w:noWrap w:val="0"/>
                  <w:vAlign w:val="center"/>
                </w:tcPr>
                <w:p w14:paraId="4CB6F16F">
                  <w:pPr>
                    <w:jc w:val="center"/>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内容</w:t>
                  </w:r>
                </w:p>
              </w:tc>
              <w:tc>
                <w:tcPr>
                  <w:tcW w:w="4253" w:type="dxa"/>
                  <w:shd w:val="clear" w:color="000000" w:fill="E7E6E6"/>
                  <w:noWrap w:val="0"/>
                  <w:vAlign w:val="center"/>
                </w:tcPr>
                <w:p w14:paraId="3EA2ADB0">
                  <w:pPr>
                    <w:jc w:val="center"/>
                    <w:rPr>
                      <w:rFonts w:hint="eastAsia" w:ascii="宋体" w:hAnsi="宋体" w:eastAsia="宋体" w:cs="宋体"/>
                      <w:b/>
                      <w:bCs/>
                      <w:color w:val="auto"/>
                      <w:sz w:val="21"/>
                      <w:szCs w:val="21"/>
                      <w:highlight w:val="none"/>
                      <w:lang w:eastAsia="zh-Hans"/>
                    </w:rPr>
                  </w:pPr>
                  <w:r>
                    <w:rPr>
                      <w:rFonts w:hint="eastAsia" w:ascii="宋体" w:hAnsi="宋体" w:eastAsia="宋体" w:cs="宋体"/>
                      <w:b/>
                      <w:bCs/>
                      <w:color w:val="auto"/>
                      <w:sz w:val="21"/>
                      <w:szCs w:val="21"/>
                      <w:highlight w:val="none"/>
                    </w:rPr>
                    <w:t>具体</w:t>
                  </w:r>
                  <w:r>
                    <w:rPr>
                      <w:rFonts w:hint="eastAsia" w:ascii="宋体" w:hAnsi="宋体" w:eastAsia="宋体" w:cs="宋体"/>
                      <w:b/>
                      <w:bCs/>
                      <w:color w:val="auto"/>
                      <w:sz w:val="21"/>
                      <w:szCs w:val="21"/>
                      <w:highlight w:val="none"/>
                      <w:lang w:val="en-US" w:eastAsia="zh-Hans"/>
                    </w:rPr>
                    <w:t>要求</w:t>
                  </w:r>
                </w:p>
              </w:tc>
            </w:tr>
            <w:tr w14:paraId="0D56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60" w:type="dxa"/>
                  <w:noWrap w:val="0"/>
                  <w:vAlign w:val="center"/>
                </w:tcPr>
                <w:p w14:paraId="469F8E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5" w:type="dxa"/>
                  <w:vMerge w:val="restart"/>
                  <w:noWrap w:val="0"/>
                  <w:vAlign w:val="center"/>
                </w:tcPr>
                <w:p w14:paraId="09A6C6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师资队伍建设（教师培训）</w:t>
                  </w:r>
                </w:p>
              </w:tc>
              <w:tc>
                <w:tcPr>
                  <w:tcW w:w="1380" w:type="dxa"/>
                  <w:noWrap w:val="0"/>
                  <w:vAlign w:val="center"/>
                </w:tcPr>
                <w:p w14:paraId="77F06A48">
                  <w:pPr>
                    <w:jc w:val="left"/>
                    <w:rPr>
                      <w:rFonts w:hint="eastAsia"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Hans"/>
                    </w:rPr>
                    <w:t>世界职业院校技能大赛专项培</w:t>
                  </w:r>
                  <w:r>
                    <w:rPr>
                      <w:rFonts w:hint="eastAsia" w:ascii="宋体" w:hAnsi="宋体" w:eastAsia="宋体" w:cs="宋体"/>
                      <w:color w:val="auto"/>
                      <w:sz w:val="21"/>
                      <w:szCs w:val="21"/>
                      <w:highlight w:val="none"/>
                      <w:lang w:val="en-US" w:eastAsia="zh-CN"/>
                    </w:rPr>
                    <w:t>训</w:t>
                  </w:r>
                </w:p>
              </w:tc>
              <w:tc>
                <w:tcPr>
                  <w:tcW w:w="4253" w:type="dxa"/>
                  <w:noWrap w:val="0"/>
                  <w:vAlign w:val="center"/>
                </w:tcPr>
                <w:p w14:paraId="5C3038FE">
                  <w:pPr>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1.指导参加世界职业院校技能大赛1项，包含团队组建、赛项设计、</w:t>
                  </w:r>
                  <w:bookmarkStart w:id="17" w:name="OLE_LINK10"/>
                  <w:bookmarkStart w:id="18" w:name="OLE_LINK9"/>
                  <w:r>
                    <w:rPr>
                      <w:rFonts w:hint="eastAsia" w:ascii="宋体" w:hAnsi="宋体" w:eastAsia="宋体" w:cs="宋体"/>
                      <w:color w:val="auto"/>
                      <w:sz w:val="21"/>
                      <w:szCs w:val="21"/>
                      <w:highlight w:val="none"/>
                      <w:lang w:val="en-US" w:eastAsia="zh-CN"/>
                    </w:rPr>
                    <w:t>比赛及训练的耗材和零配件</w:t>
                  </w:r>
                  <w:bookmarkEnd w:id="17"/>
                  <w:r>
                    <w:rPr>
                      <w:rFonts w:hint="eastAsia" w:ascii="宋体" w:hAnsi="宋体" w:eastAsia="宋体" w:cs="宋体"/>
                      <w:color w:val="auto"/>
                      <w:sz w:val="21"/>
                      <w:szCs w:val="21"/>
                      <w:highlight w:val="none"/>
                      <w:lang w:val="en-US" w:eastAsia="zh-CN"/>
                    </w:rPr>
                    <w:t>、</w:t>
                  </w:r>
                  <w:bookmarkEnd w:id="18"/>
                  <w:r>
                    <w:rPr>
                      <w:rFonts w:hint="eastAsia" w:ascii="宋体" w:hAnsi="宋体" w:eastAsia="宋体" w:cs="宋体"/>
                      <w:color w:val="auto"/>
                      <w:sz w:val="21"/>
                      <w:szCs w:val="21"/>
                      <w:highlight w:val="none"/>
                      <w:lang w:val="en-US" w:eastAsia="zh-CN"/>
                    </w:rPr>
                    <w:t>技能训练、比赛组织安排等</w:t>
                  </w:r>
                  <w:r>
                    <w:rPr>
                      <w:rFonts w:hint="eastAsia" w:ascii="宋体" w:hAnsi="宋体" w:eastAsia="宋体" w:cs="宋体"/>
                      <w:color w:val="auto"/>
                      <w:sz w:val="21"/>
                      <w:szCs w:val="21"/>
                      <w:highlight w:val="none"/>
                    </w:rPr>
                    <w:t>。</w:t>
                  </w:r>
                </w:p>
              </w:tc>
            </w:tr>
            <w:tr w14:paraId="5F3C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60" w:type="dxa"/>
                  <w:noWrap w:val="0"/>
                  <w:vAlign w:val="center"/>
                </w:tcPr>
                <w:p w14:paraId="3A3855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5" w:type="dxa"/>
                  <w:vMerge w:val="continue"/>
                  <w:noWrap w:val="0"/>
                  <w:vAlign w:val="center"/>
                </w:tcPr>
                <w:p w14:paraId="587B3940">
                  <w:pPr>
                    <w:jc w:val="left"/>
                    <w:rPr>
                      <w:rFonts w:hint="eastAsia" w:ascii="宋体" w:hAnsi="宋体" w:eastAsia="宋体" w:cs="宋体"/>
                      <w:color w:val="auto"/>
                      <w:sz w:val="21"/>
                      <w:szCs w:val="21"/>
                      <w:highlight w:val="none"/>
                    </w:rPr>
                  </w:pPr>
                </w:p>
              </w:tc>
              <w:tc>
                <w:tcPr>
                  <w:tcW w:w="1380" w:type="dxa"/>
                  <w:noWrap w:val="0"/>
                  <w:vAlign w:val="center"/>
                </w:tcPr>
                <w:p w14:paraId="0C1F26A4">
                  <w:pPr>
                    <w:jc w:val="left"/>
                    <w:rPr>
                      <w:rFonts w:hint="eastAsia"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CN"/>
                    </w:rPr>
                    <w:t>广西职业院校技能大赛培育</w:t>
                  </w:r>
                </w:p>
              </w:tc>
              <w:tc>
                <w:tcPr>
                  <w:tcW w:w="4253" w:type="dxa"/>
                  <w:noWrap w:val="0"/>
                  <w:vAlign w:val="center"/>
                </w:tcPr>
                <w:p w14:paraId="034BFDE2">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1.职业院校技能大赛校级初赛选拔评审；</w:t>
                  </w:r>
                </w:p>
                <w:p w14:paraId="4A9FFC91">
                  <w:pPr>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2.指导参加广西职业院校技能大赛5项，包含团队组建、赛项设计、比赛及训练用的耗材和零配件、技能训练、比赛组织安排等。</w:t>
                  </w:r>
                </w:p>
              </w:tc>
            </w:tr>
          </w:tbl>
          <w:p w14:paraId="3C7C404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2.</w:t>
            </w:r>
            <w:r>
              <w:rPr>
                <w:rFonts w:hint="eastAsia"/>
                <w:color w:val="auto"/>
                <w:highlight w:val="none"/>
                <w:lang w:val="en-US" w:eastAsia="zh-CN"/>
              </w:rPr>
              <w:t>服务内容及技术要求</w:t>
            </w:r>
          </w:p>
          <w:tbl>
            <w:tblPr>
              <w:tblStyle w:val="53"/>
              <w:tblW w:w="7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68"/>
              <w:gridCol w:w="750"/>
              <w:gridCol w:w="5626"/>
            </w:tblGrid>
            <w:tr w14:paraId="034C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jc w:val="center"/>
              </w:trPr>
              <w:tc>
                <w:tcPr>
                  <w:tcW w:w="668" w:type="dxa"/>
                  <w:noWrap w:val="0"/>
                  <w:vAlign w:val="center"/>
                </w:tcPr>
                <w:p w14:paraId="35EC180B">
                  <w:pPr>
                    <w:pStyle w:val="48"/>
                    <w:spacing w:line="240" w:lineRule="atLeast"/>
                    <w:jc w:val="center"/>
                    <w:rPr>
                      <w:rFonts w:hint="eastAsia" w:ascii="宋体" w:hAnsi="宋体" w:eastAsia="宋体" w:cs="宋体"/>
                      <w:b/>
                      <w:color w:val="auto"/>
                      <w:sz w:val="21"/>
                      <w:szCs w:val="21"/>
                      <w:highlight w:val="none"/>
                    </w:rPr>
                  </w:pPr>
                  <w:bookmarkStart w:id="19" w:name="_Toc418847074"/>
                  <w:r>
                    <w:rPr>
                      <w:rFonts w:hint="eastAsia" w:ascii="宋体" w:hAnsi="宋体" w:eastAsia="宋体" w:cs="宋体"/>
                      <w:b/>
                      <w:color w:val="auto"/>
                      <w:sz w:val="21"/>
                      <w:szCs w:val="21"/>
                      <w:highlight w:val="none"/>
                    </w:rPr>
                    <w:t>序号</w:t>
                  </w:r>
                </w:p>
              </w:tc>
              <w:tc>
                <w:tcPr>
                  <w:tcW w:w="750" w:type="dxa"/>
                  <w:noWrap w:val="0"/>
                  <w:vAlign w:val="center"/>
                </w:tcPr>
                <w:p w14:paraId="5F571B24">
                  <w:pPr>
                    <w:pStyle w:val="48"/>
                    <w:spacing w:line="240" w:lineRule="atLeast"/>
                    <w:jc w:val="center"/>
                    <w:rPr>
                      <w:rFonts w:hint="eastAsia" w:ascii="宋体" w:hAnsi="宋体" w:eastAsia="宋体" w:cs="宋体"/>
                      <w:b/>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服务内容</w:t>
                  </w:r>
                </w:p>
              </w:tc>
              <w:tc>
                <w:tcPr>
                  <w:tcW w:w="5626" w:type="dxa"/>
                  <w:noWrap w:val="0"/>
                  <w:vAlign w:val="center"/>
                </w:tcPr>
                <w:p w14:paraId="58F9C688">
                  <w:pPr>
                    <w:pStyle w:val="48"/>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r>
            <w:tr w14:paraId="158B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668" w:type="dxa"/>
                  <w:noWrap w:val="0"/>
                  <w:vAlign w:val="center"/>
                </w:tcPr>
                <w:p w14:paraId="05F26EDD">
                  <w:pPr>
                    <w:jc w:val="center"/>
                    <w:rPr>
                      <w:rFonts w:hint="eastAsia"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rPr>
                    <w:t>1</w:t>
                  </w:r>
                </w:p>
              </w:tc>
              <w:tc>
                <w:tcPr>
                  <w:tcW w:w="750" w:type="dxa"/>
                  <w:noWrap w:val="0"/>
                  <w:vAlign w:val="center"/>
                </w:tcPr>
                <w:p w14:paraId="5D82F57E">
                  <w:pPr>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世界职业院校技能大赛专项培</w:t>
                  </w:r>
                  <w:r>
                    <w:rPr>
                      <w:rFonts w:hint="eastAsia" w:ascii="宋体" w:hAnsi="宋体" w:eastAsia="宋体" w:cs="宋体"/>
                      <w:color w:val="auto"/>
                      <w:sz w:val="21"/>
                      <w:szCs w:val="21"/>
                      <w:highlight w:val="none"/>
                      <w:lang w:val="en-US" w:eastAsia="zh-CN"/>
                    </w:rPr>
                    <w:t>训</w:t>
                  </w:r>
                </w:p>
              </w:tc>
              <w:tc>
                <w:tcPr>
                  <w:tcW w:w="5626" w:type="dxa"/>
                  <w:noWrap w:val="0"/>
                  <w:vAlign w:val="top"/>
                </w:tcPr>
                <w:p w14:paraId="6D411D94">
                  <w:pPr>
                    <w:jc w:val="left"/>
                    <w:rPr>
                      <w:rFonts w:hint="eastAsia" w:ascii="宋体" w:hAnsi="宋体" w:eastAsia="宋体" w:cs="宋体"/>
                      <w:b/>
                      <w:bCs/>
                      <w:color w:val="auto"/>
                      <w:sz w:val="21"/>
                      <w:szCs w:val="21"/>
                      <w:highlight w:val="none"/>
                      <w:lang w:val="en-US" w:eastAsia="zh-Hans"/>
                    </w:rPr>
                  </w:pPr>
                  <w:bookmarkStart w:id="20" w:name="OLE_LINK5"/>
                  <w:r>
                    <w:rPr>
                      <w:rFonts w:hint="eastAsia" w:ascii="宋体" w:hAnsi="宋体" w:eastAsia="宋体" w:cs="宋体"/>
                      <w:b/>
                      <w:bCs/>
                      <w:color w:val="auto"/>
                      <w:sz w:val="21"/>
                      <w:szCs w:val="21"/>
                      <w:highlight w:val="none"/>
                      <w:lang w:val="en-US" w:eastAsia="zh-Hans"/>
                    </w:rPr>
                    <w:t>一、内容要求</w:t>
                  </w:r>
                </w:p>
                <w:p w14:paraId="2719F49E">
                  <w:pPr>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联合企业及职教专家指导参加世界职业院校技能大赛1项，包含团队组建、</w:t>
                  </w:r>
                  <w:bookmarkStart w:id="21" w:name="OLE_LINK4"/>
                  <w:r>
                    <w:rPr>
                      <w:rFonts w:hint="eastAsia" w:ascii="宋体" w:hAnsi="宋体" w:eastAsia="宋体" w:cs="宋体"/>
                      <w:color w:val="auto"/>
                      <w:sz w:val="21"/>
                      <w:szCs w:val="21"/>
                      <w:highlight w:val="none"/>
                      <w:lang w:val="en-US" w:eastAsia="zh-CN"/>
                    </w:rPr>
                    <w:t>比赛项目设计</w:t>
                  </w:r>
                  <w:bookmarkEnd w:id="21"/>
                  <w:r>
                    <w:rPr>
                      <w:rFonts w:hint="eastAsia" w:ascii="宋体" w:hAnsi="宋体" w:eastAsia="宋体" w:cs="宋体"/>
                      <w:color w:val="auto"/>
                      <w:sz w:val="21"/>
                      <w:szCs w:val="21"/>
                      <w:highlight w:val="none"/>
                      <w:lang w:val="en-US" w:eastAsia="zh-CN"/>
                    </w:rPr>
                    <w:t>、</w:t>
                  </w:r>
                  <w:bookmarkStart w:id="22" w:name="OLE_LINK2"/>
                  <w:r>
                    <w:rPr>
                      <w:rFonts w:hint="eastAsia" w:ascii="宋体" w:hAnsi="宋体" w:eastAsia="宋体" w:cs="宋体"/>
                      <w:color w:val="auto"/>
                      <w:sz w:val="21"/>
                      <w:szCs w:val="21"/>
                      <w:highlight w:val="none"/>
                      <w:lang w:val="en-US" w:eastAsia="zh-CN"/>
                    </w:rPr>
                    <w:t>比赛及训练耗材和零配件、</w:t>
                  </w:r>
                  <w:bookmarkEnd w:id="22"/>
                  <w:r>
                    <w:rPr>
                      <w:rFonts w:hint="eastAsia" w:ascii="宋体" w:hAnsi="宋体" w:eastAsia="宋体" w:cs="宋体"/>
                      <w:color w:val="auto"/>
                      <w:sz w:val="21"/>
                      <w:szCs w:val="21"/>
                      <w:highlight w:val="none"/>
                      <w:lang w:val="en-US" w:eastAsia="zh-CN"/>
                    </w:rPr>
                    <w:t>技能训练、比赛组织安排等</w:t>
                  </w:r>
                  <w:r>
                    <w:rPr>
                      <w:rFonts w:hint="eastAsia" w:ascii="宋体" w:hAnsi="宋体" w:eastAsia="宋体" w:cs="宋体"/>
                      <w:color w:val="auto"/>
                      <w:sz w:val="21"/>
                      <w:szCs w:val="21"/>
                      <w:highlight w:val="none"/>
                    </w:rPr>
                    <w:t>。</w:t>
                  </w:r>
                </w:p>
                <w:p w14:paraId="7574561D">
                  <w:pPr>
                    <w:jc w:val="left"/>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二、技术要求</w:t>
                  </w:r>
                </w:p>
                <w:p w14:paraId="5F696B6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Hans"/>
                    </w:rPr>
                    <w:t>指导团队建设</w:t>
                  </w:r>
                </w:p>
                <w:p w14:paraId="61D670F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组建由校内骨干教师+企业工程师（行业经验≥5年）+专家（曾</w:t>
                  </w:r>
                  <w:r>
                    <w:rPr>
                      <w:rFonts w:hint="eastAsia" w:ascii="宋体" w:hAnsi="宋体" w:eastAsia="宋体" w:cs="宋体"/>
                      <w:color w:val="auto"/>
                      <w:sz w:val="21"/>
                      <w:szCs w:val="21"/>
                      <w:highlight w:val="none"/>
                      <w:lang w:val="en-US" w:eastAsia="zh-CN"/>
                    </w:rPr>
                    <w:t>带队获奖</w:t>
                  </w:r>
                  <w:r>
                    <w:rPr>
                      <w:rFonts w:hint="eastAsia" w:ascii="宋体" w:hAnsi="宋体" w:eastAsia="宋体" w:cs="宋体"/>
                      <w:color w:val="auto"/>
                      <w:sz w:val="21"/>
                      <w:szCs w:val="21"/>
                      <w:highlight w:val="none"/>
                      <w:lang w:val="en-US" w:eastAsia="zh-Hans"/>
                    </w:rPr>
                    <w:t>）的混合团队，定期开展技术研讨</w:t>
                  </w:r>
                  <w:r>
                    <w:rPr>
                      <w:rFonts w:hint="eastAsia" w:ascii="宋体" w:hAnsi="宋体" w:eastAsia="宋体" w:cs="宋体"/>
                      <w:color w:val="auto"/>
                      <w:sz w:val="21"/>
                      <w:szCs w:val="21"/>
                      <w:highlight w:val="none"/>
                      <w:lang w:val="en-US" w:eastAsia="zh-CN"/>
                    </w:rPr>
                    <w:t>，直至完成比赛</w:t>
                  </w:r>
                  <w:r>
                    <w:rPr>
                      <w:rFonts w:hint="eastAsia" w:ascii="宋体" w:hAnsi="宋体" w:eastAsia="宋体" w:cs="宋体"/>
                      <w:color w:val="auto"/>
                      <w:sz w:val="21"/>
                      <w:szCs w:val="21"/>
                      <w:highlight w:val="none"/>
                      <w:lang w:val="en-US" w:eastAsia="zh-Hans"/>
                    </w:rPr>
                    <w:t>。</w:t>
                  </w:r>
                </w:p>
                <w:p w14:paraId="4D2026C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设“技术指导组”（负责技能训练）、“策略分析组”（研究赛事规则与对手特点）、“后勤保障组”（设备维护、耗材供应），确保指导过程系统化。</w:t>
                  </w:r>
                </w:p>
                <w:p w14:paraId="150A07B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明确赛项设置、赛程安排、评分标准及国际规则（如安全规范、环保要求、职业素养考核等）</w:t>
                  </w:r>
                  <w:r>
                    <w:rPr>
                      <w:rFonts w:hint="eastAsia" w:ascii="宋体" w:hAnsi="宋体" w:eastAsia="宋体" w:cs="宋体"/>
                      <w:color w:val="auto"/>
                      <w:sz w:val="21"/>
                      <w:szCs w:val="21"/>
                      <w:highlight w:val="none"/>
                      <w:lang w:val="en-US" w:eastAsia="zh-CN"/>
                    </w:rPr>
                    <w:t>。</w:t>
                  </w:r>
                </w:p>
                <w:p w14:paraId="491D640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Hans"/>
                    </w:rPr>
                    <w:t>对比国内技能竞赛标准，重点分析国际赛事对技术精度、流程规范性、团队协作的差异化要求</w:t>
                  </w:r>
                  <w:r>
                    <w:rPr>
                      <w:rFonts w:hint="eastAsia" w:ascii="宋体" w:hAnsi="宋体" w:eastAsia="宋体" w:cs="宋体"/>
                      <w:color w:val="auto"/>
                      <w:sz w:val="21"/>
                      <w:szCs w:val="21"/>
                      <w:highlight w:val="none"/>
                      <w:lang w:val="en-US" w:eastAsia="zh-CN"/>
                    </w:rPr>
                    <w:t>。</w:t>
                  </w:r>
                </w:p>
                <w:p w14:paraId="78753CD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Hans"/>
                    </w:rPr>
                    <w:t>梳理赛项核心技术参数，匹配学校现有设备性能，制定设备升级或替代方案</w:t>
                  </w:r>
                  <w:r>
                    <w:rPr>
                      <w:rFonts w:hint="eastAsia" w:ascii="宋体" w:hAnsi="宋体" w:eastAsia="宋体" w:cs="宋体"/>
                      <w:color w:val="auto"/>
                      <w:sz w:val="21"/>
                      <w:szCs w:val="21"/>
                      <w:highlight w:val="none"/>
                      <w:lang w:val="en-US" w:eastAsia="zh-CN"/>
                    </w:rPr>
                    <w:t>。</w:t>
                  </w:r>
                </w:p>
                <w:p w14:paraId="39AFC2A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5.针对国际主流设备开展专项培训，确保学生适应比赛设备操作逻辑。</w:t>
                  </w:r>
                </w:p>
                <w:p w14:paraId="1BCF536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bookmarkStart w:id="23" w:name="OLE_LINK6"/>
                  <w:r>
                    <w:rPr>
                      <w:rFonts w:hint="eastAsia" w:ascii="宋体" w:hAnsi="宋体" w:eastAsia="宋体" w:cs="宋体"/>
                      <w:color w:val="auto"/>
                      <w:sz w:val="21"/>
                      <w:szCs w:val="21"/>
                      <w:highlight w:val="none"/>
                      <w:lang w:val="en-US" w:eastAsia="zh-CN"/>
                    </w:rPr>
                    <w:t>比赛项目设计</w:t>
                  </w:r>
                  <w:bookmarkEnd w:id="23"/>
                </w:p>
                <w:bookmarkEnd w:id="20"/>
                <w:p w14:paraId="2E8DDFD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1.根据智能装备应用赛道对接行业所面向主要岗位群——智能化与自动化生产线类，以产业需求为牵引，</w:t>
                  </w:r>
                  <w:r>
                    <w:rPr>
                      <w:rFonts w:hint="eastAsia" w:ascii="宋体" w:hAnsi="宋体" w:eastAsia="宋体" w:cs="宋体"/>
                      <w:color w:val="auto"/>
                      <w:sz w:val="21"/>
                      <w:szCs w:val="21"/>
                      <w:highlight w:val="none"/>
                      <w:lang w:val="en-US" w:eastAsia="zh-Hans"/>
                    </w:rPr>
                    <w:t>围绕智能装备领域的真实生产问题，</w:t>
                  </w:r>
                  <w:r>
                    <w:rPr>
                      <w:rFonts w:hint="eastAsia" w:ascii="宋体" w:hAnsi="宋体" w:eastAsia="宋体" w:cs="宋体"/>
                      <w:color w:val="auto"/>
                      <w:sz w:val="21"/>
                      <w:szCs w:val="21"/>
                      <w:highlight w:val="none"/>
                      <w:lang w:val="en-US" w:eastAsia="zh-CN"/>
                    </w:rPr>
                    <w:t>如智能化生产线安装与调试、智能化生产线运维与应用等，能够体</w:t>
                  </w:r>
                  <w:r>
                    <w:rPr>
                      <w:rFonts w:hint="eastAsia" w:ascii="宋体" w:hAnsi="宋体" w:eastAsia="宋体" w:cs="宋体"/>
                      <w:color w:val="auto"/>
                      <w:sz w:val="21"/>
                      <w:szCs w:val="21"/>
                      <w:highlight w:val="none"/>
                      <w:lang w:val="en-US" w:eastAsia="zh-Hans"/>
                    </w:rPr>
                    <w:t>“真问题、真场景、真技能”</w:t>
                  </w:r>
                  <w:r>
                    <w:rPr>
                      <w:rFonts w:hint="eastAsia" w:ascii="宋体" w:hAnsi="宋体" w:eastAsia="宋体" w:cs="宋体"/>
                      <w:color w:val="auto"/>
                      <w:sz w:val="21"/>
                      <w:szCs w:val="21"/>
                      <w:highlight w:val="none"/>
                      <w:lang w:val="en-US" w:eastAsia="zh-CN"/>
                    </w:rPr>
                    <w:t>。</w:t>
                  </w:r>
                </w:p>
                <w:p w14:paraId="06EDDD7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比赛项目融合智能装备技术、单片机、工业大数据等，同时设计多角色协作任务，项目在实施过程中需及时与采购人进行沟通、协调（进行实时修改），最终作品呈现需由采购方认可确定后方可定稿，以保障服务内容达到参赛标准。</w:t>
                  </w:r>
                </w:p>
                <w:p w14:paraId="3338AEA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bookmarkStart w:id="24" w:name="OLE_LINK1"/>
                  <w:r>
                    <w:rPr>
                      <w:rFonts w:hint="eastAsia" w:ascii="宋体" w:hAnsi="宋体" w:eastAsia="宋体" w:cs="宋体"/>
                      <w:color w:val="auto"/>
                      <w:sz w:val="21"/>
                      <w:szCs w:val="21"/>
                      <w:highlight w:val="none"/>
                      <w:lang w:val="en-US" w:eastAsia="zh-CN"/>
                    </w:rPr>
                    <w:t>3.项目定稿后需完成整体PPT制作及美化和各岗位演讲稿设计。</w:t>
                  </w:r>
                </w:p>
                <w:bookmarkEnd w:id="24"/>
                <w:p w14:paraId="500B3D2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（三）比赛耗材及零配件</w:t>
                  </w:r>
                </w:p>
                <w:p w14:paraId="0DBDE65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1.根据设计完成的比赛项目，负责提供比赛项目实际需要的耗材及零配件采购，以满足赛前项目训练及比赛现场需要，</w:t>
                  </w:r>
                  <w:r>
                    <w:rPr>
                      <w:rFonts w:hint="eastAsia" w:ascii="宋体" w:hAnsi="宋体" w:eastAsia="宋体" w:cs="宋体"/>
                      <w:color w:val="auto"/>
                      <w:sz w:val="21"/>
                      <w:szCs w:val="21"/>
                      <w:highlight w:val="none"/>
                      <w:lang w:val="en-US" w:eastAsia="zh-Hans"/>
                    </w:rPr>
                    <w:t>完成大赛现场的技术支持与赛项相关支持。</w:t>
                  </w:r>
                </w:p>
                <w:p w14:paraId="2A55CB9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（四）技能训练</w:t>
                  </w:r>
                </w:p>
                <w:p w14:paraId="770C3F1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单项技能模块化训练：拆解赛项核心任务，分阶段突破薄弱环节。</w:t>
                  </w:r>
                </w:p>
                <w:p w14:paraId="425190B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标准化操作规范：强化职业素养细节，如工具摆放合规性、安全防护装备使用、工单填写完整性等国际通用职业规范。</w:t>
                  </w:r>
                </w:p>
                <w:p w14:paraId="4BA8FA0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设计贴近国际赛题的跨学科综合任务，模拟真实竞赛场景。</w:t>
                  </w:r>
                </w:p>
                <w:p w14:paraId="7CD67BD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Hans"/>
                    </w:rPr>
                    <w:t>引入工业级案例（如模拟企业生产线优化项目），培养学生在复杂工况下的问题解决能力。</w:t>
                  </w:r>
                </w:p>
                <w:p w14:paraId="335673D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bookmarkStart w:id="25" w:name="OLE_LINK3"/>
                  <w:r>
                    <w:rPr>
                      <w:rFonts w:hint="eastAsia" w:ascii="宋体" w:hAnsi="宋体" w:eastAsia="宋体" w:cs="宋体"/>
                      <w:color w:val="auto"/>
                      <w:sz w:val="21"/>
                      <w:szCs w:val="21"/>
                      <w:highlight w:val="none"/>
                      <w:lang w:val="en-US" w:eastAsia="zh-Hans"/>
                    </w:rPr>
                    <w:t>提供从备赛到完赛全方位全流程跟踪指导服务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专业技能培训可采用线上结合线下培训的方式，但线下培训时长不少于4次现场指导（</w:t>
                  </w:r>
                  <w:r>
                    <w:rPr>
                      <w:rFonts w:hint="eastAsia" w:ascii="宋体" w:hAnsi="宋体" w:eastAsia="宋体" w:cs="宋体"/>
                      <w:color w:val="auto"/>
                      <w:sz w:val="21"/>
                      <w:szCs w:val="21"/>
                      <w:highlight w:val="none"/>
                      <w:lang w:val="en-US" w:eastAsia="zh-CN"/>
                    </w:rPr>
                    <w:t>4次现场培训总课时不少于</w:t>
                  </w:r>
                  <w:r>
                    <w:rPr>
                      <w:rFonts w:hint="eastAsia" w:ascii="宋体" w:hAnsi="宋体" w:eastAsia="宋体" w:cs="宋体"/>
                      <w:color w:val="auto"/>
                      <w:sz w:val="21"/>
                      <w:szCs w:val="21"/>
                      <w:highlight w:val="none"/>
                      <w:lang w:val="en-US" w:eastAsia="zh-Hans"/>
                    </w:rPr>
                    <w:t>36课时）,1课时为60分钟；线上培训辅导持续到世赛争夺赛结束当日。</w:t>
                  </w:r>
                  <w:bookmarkEnd w:id="25"/>
                </w:p>
                <w:p w14:paraId="0484EA8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Hans"/>
                    </w:rPr>
                    <w:t>职业素养能力培养</w:t>
                  </w:r>
                </w:p>
                <w:p w14:paraId="6C5C61F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通过小组分工（如“方案设计-实操执行-数据记录”角色）模拟</w:t>
                  </w:r>
                  <w:r>
                    <w:rPr>
                      <w:rFonts w:hint="eastAsia" w:ascii="宋体" w:hAnsi="宋体" w:eastAsia="宋体" w:cs="宋体"/>
                      <w:color w:val="auto"/>
                      <w:sz w:val="21"/>
                      <w:szCs w:val="21"/>
                      <w:highlight w:val="none"/>
                      <w:lang w:val="en-US" w:eastAsia="zh-CN"/>
                    </w:rPr>
                    <w:t>世赛</w:t>
                  </w:r>
                  <w:r>
                    <w:rPr>
                      <w:rFonts w:hint="eastAsia" w:ascii="宋体" w:hAnsi="宋体" w:eastAsia="宋体" w:cs="宋体"/>
                      <w:color w:val="auto"/>
                      <w:sz w:val="21"/>
                      <w:szCs w:val="21"/>
                      <w:highlight w:val="none"/>
                      <w:lang w:val="en-US" w:eastAsia="zh-Hans"/>
                    </w:rPr>
                    <w:t>赛事团队协作模式</w:t>
                  </w:r>
                  <w:r>
                    <w:rPr>
                      <w:rFonts w:hint="eastAsia" w:ascii="宋体" w:hAnsi="宋体" w:eastAsia="宋体" w:cs="宋体"/>
                      <w:color w:val="auto"/>
                      <w:sz w:val="21"/>
                      <w:szCs w:val="21"/>
                      <w:highlight w:val="none"/>
                      <w:lang w:val="en-US" w:eastAsia="zh-CN"/>
                    </w:rPr>
                    <w:t>。</w:t>
                  </w:r>
                </w:p>
                <w:p w14:paraId="2740D7F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设置突发故障场景（如设备异常、参数变更），训练学生快速排查问题、调整方案的能力，减少因紧张导致的操作失误。</w:t>
                  </w:r>
                </w:p>
                <w:p w14:paraId="0E6F794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融入绿色制造理念，如数控加工中的切削液回收、电子废弃物分类处理等，符合国际赛事对环保责任的考核要求。</w:t>
                  </w:r>
                </w:p>
                <w:p w14:paraId="3AA2C42B">
                  <w:pPr>
                    <w:pStyle w:val="5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Hans" w:bidi="ar-SA"/>
                    </w:rPr>
                    <w:t>对学生结合项目的技能与素养展现能力进行专业性形象指导,完成从服装选择、进场设计、项目背景介绍、项目思路汇报、技能展示环节、应用价值展现、团队合作、创新创意等多个环节的细化培训。</w:t>
                  </w:r>
                </w:p>
                <w:p w14:paraId="28877E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Hans"/>
                    </w:rPr>
                    <w:t>个性化指导与评估</w:t>
                  </w:r>
                </w:p>
                <w:p w14:paraId="048C033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通过预测试（如限时实操考核、理论答辩）评估学生水平，针对 “技术型”“创新型”“稳健型” 等不同特质制定个性化训练方案。</w:t>
                  </w:r>
                </w:p>
                <w:p w14:paraId="380D7F7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建立技能档案，记录学生在精度控制、时间效率、团队贡献值等维度的表现数据，定期复盘薄弱点</w:t>
                  </w:r>
                  <w:r>
                    <w:rPr>
                      <w:rFonts w:hint="eastAsia" w:ascii="宋体" w:hAnsi="宋体" w:eastAsia="宋体" w:cs="宋体"/>
                      <w:color w:val="auto"/>
                      <w:sz w:val="21"/>
                      <w:szCs w:val="21"/>
                      <w:highlight w:val="none"/>
                      <w:lang w:val="en-US" w:eastAsia="zh-CN"/>
                    </w:rPr>
                    <w:t>。</w:t>
                  </w:r>
                </w:p>
                <w:p w14:paraId="25D2215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引入企业技术专家参与考核与模拟竞赛评分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参照国际职业能力认证标准给出改进建议。</w:t>
                  </w:r>
                </w:p>
                <w:p w14:paraId="2F5FD83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（六）投标人负责培训指导过程中的企业专家和职教专家的交通费、</w:t>
                  </w:r>
                  <w:r>
                    <w:rPr>
                      <w:rFonts w:hint="eastAsia" w:ascii="宋体" w:hAnsi="宋体" w:eastAsia="宋体" w:cs="宋体"/>
                      <w:color w:val="auto"/>
                      <w:sz w:val="21"/>
                      <w:szCs w:val="21"/>
                      <w:highlight w:val="none"/>
                      <w:lang w:val="en-US" w:eastAsia="zh-Hans"/>
                    </w:rPr>
                    <w:t>住宿费、餐饮费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授课费</w:t>
                  </w:r>
                  <w:r>
                    <w:rPr>
                      <w:rFonts w:hint="eastAsia" w:ascii="宋体" w:hAnsi="宋体" w:eastAsia="宋体" w:cs="宋体"/>
                      <w:color w:val="auto"/>
                      <w:sz w:val="21"/>
                      <w:szCs w:val="21"/>
                      <w:highlight w:val="none"/>
                      <w:lang w:val="en-US" w:eastAsia="zh-CN"/>
                    </w:rPr>
                    <w:t>，项目设计费用以及比赛项目所需耗材及零配件等相关费用</w:t>
                  </w:r>
                  <w:r>
                    <w:rPr>
                      <w:rFonts w:hint="eastAsia" w:ascii="宋体" w:hAnsi="宋体" w:eastAsia="宋体" w:cs="宋体"/>
                      <w:color w:val="auto"/>
                      <w:sz w:val="21"/>
                      <w:szCs w:val="21"/>
                      <w:highlight w:val="none"/>
                      <w:lang w:val="en-US" w:eastAsia="zh-Hans"/>
                    </w:rPr>
                    <w:t>。</w:t>
                  </w:r>
                </w:p>
              </w:tc>
            </w:tr>
            <w:tr w14:paraId="5931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16" w:hRule="atLeast"/>
                <w:jc w:val="center"/>
              </w:trPr>
              <w:tc>
                <w:tcPr>
                  <w:tcW w:w="668" w:type="dxa"/>
                  <w:noWrap w:val="0"/>
                  <w:vAlign w:val="center"/>
                </w:tcPr>
                <w:p w14:paraId="36CF7436">
                  <w:pPr>
                    <w:jc w:val="center"/>
                    <w:rPr>
                      <w:rFonts w:hint="eastAsia"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rPr>
                    <w:t>2</w:t>
                  </w:r>
                </w:p>
              </w:tc>
              <w:tc>
                <w:tcPr>
                  <w:tcW w:w="750" w:type="dxa"/>
                  <w:noWrap w:val="0"/>
                  <w:vAlign w:val="center"/>
                </w:tcPr>
                <w:p w14:paraId="3A5938F2">
                  <w:pPr>
                    <w:jc w:val="left"/>
                    <w:rPr>
                      <w:rFonts w:hint="eastAsia"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CN"/>
                    </w:rPr>
                    <w:t>广西职业院校技能大赛培育</w:t>
                  </w:r>
                </w:p>
              </w:tc>
              <w:tc>
                <w:tcPr>
                  <w:tcW w:w="5626" w:type="dxa"/>
                  <w:noWrap w:val="0"/>
                  <w:vAlign w:val="center"/>
                </w:tcPr>
                <w:p w14:paraId="7EED6232">
                  <w:pPr>
                    <w:jc w:val="left"/>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一、内容要求</w:t>
                  </w:r>
                </w:p>
                <w:p w14:paraId="3EC65DB0">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1.职业院校技能大赛校级初赛选拔评审；</w:t>
                  </w:r>
                </w:p>
                <w:p w14:paraId="2978E162">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邀请具有带赛经验的专家指导学校</w:t>
                  </w:r>
                  <w:r>
                    <w:rPr>
                      <w:rFonts w:hint="eastAsia" w:ascii="宋体" w:hAnsi="宋体" w:eastAsia="宋体" w:cs="宋体"/>
                      <w:color w:val="auto"/>
                      <w:sz w:val="21"/>
                      <w:szCs w:val="21"/>
                      <w:highlight w:val="none"/>
                      <w:lang w:val="en-US" w:eastAsia="zh-CN"/>
                    </w:rPr>
                    <w:t>开展职业院校技能大赛专项</w:t>
                  </w:r>
                  <w:r>
                    <w:rPr>
                      <w:rFonts w:hint="eastAsia" w:ascii="宋体" w:hAnsi="宋体" w:eastAsia="宋体" w:cs="宋体"/>
                      <w:color w:val="auto"/>
                      <w:sz w:val="21"/>
                      <w:szCs w:val="21"/>
                      <w:highlight w:val="none"/>
                      <w:lang w:val="en-US" w:eastAsia="zh-Hans"/>
                    </w:rPr>
                    <w:t>训练</w:t>
                  </w:r>
                  <w:r>
                    <w:rPr>
                      <w:rFonts w:hint="eastAsia" w:ascii="宋体" w:hAnsi="宋体" w:eastAsia="宋体" w:cs="宋体"/>
                      <w:color w:val="auto"/>
                      <w:sz w:val="21"/>
                      <w:szCs w:val="21"/>
                      <w:highlight w:val="none"/>
                      <w:lang w:val="en-US" w:eastAsia="zh-CN"/>
                    </w:rPr>
                    <w:t>，指导参加广西职业院校技能大赛5项，包含团队组建、赛项设计、比赛及训练耗材及零配件、技能训练、比赛组织安排等。</w:t>
                  </w:r>
                </w:p>
                <w:p w14:paraId="6C05397F">
                  <w:pPr>
                    <w:jc w:val="left"/>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二、技术要求</w:t>
                  </w:r>
                </w:p>
                <w:p w14:paraId="3F5A8254">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1.参加学校职业院校技能大赛校级初赛选拔评审，协助学校完成5组参赛队伍的遴选；</w:t>
                  </w:r>
                </w:p>
                <w:p w14:paraId="21D1AE2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2.完成5组参赛队伍参赛项目的赛项设计、技能训练、比赛组织安排等内容；项目定稿后需完成整体PPT制作及美化；负责5个项目所需要的比赛耗材及零配件；</w:t>
                  </w:r>
                </w:p>
                <w:p w14:paraId="649B1CC8">
                  <w:pPr>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带赛专家需以</w:t>
                  </w:r>
                  <w:r>
                    <w:rPr>
                      <w:rFonts w:hint="eastAsia" w:ascii="宋体" w:hAnsi="宋体" w:eastAsia="宋体" w:cs="宋体"/>
                      <w:color w:val="auto"/>
                      <w:sz w:val="21"/>
                      <w:szCs w:val="21"/>
                      <w:highlight w:val="none"/>
                      <w:lang w:val="en-US" w:eastAsia="zh-CN"/>
                    </w:rPr>
                    <w:t>扎实的专业知识是指导选手的依托，</w:t>
                  </w:r>
                  <w:r>
                    <w:rPr>
                      <w:rFonts w:hint="eastAsia" w:ascii="宋体" w:hAnsi="宋体" w:eastAsia="宋体" w:cs="宋体"/>
                      <w:color w:val="auto"/>
                      <w:sz w:val="21"/>
                      <w:szCs w:val="21"/>
                      <w:highlight w:val="none"/>
                      <w:lang w:val="en-US" w:eastAsia="zh-Hans"/>
                    </w:rPr>
                    <w:t>具有指导学生获得过世界职业院校技能大赛获奖经历，培训前提供专家简历和获奖证书；</w:t>
                  </w:r>
                </w:p>
                <w:p w14:paraId="6FBC966E">
                  <w:pPr>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Hans"/>
                    </w:rPr>
                    <w:t>带赛专家需</w:t>
                  </w:r>
                  <w:r>
                    <w:rPr>
                      <w:rFonts w:hint="eastAsia" w:ascii="宋体" w:hAnsi="宋体" w:eastAsia="宋体" w:cs="宋体"/>
                      <w:color w:val="auto"/>
                      <w:sz w:val="21"/>
                      <w:szCs w:val="21"/>
                      <w:highlight w:val="none"/>
                      <w:lang w:eastAsia="zh-CN"/>
                    </w:rPr>
                    <w:t>对比赛方案的</w:t>
                  </w:r>
                  <w:r>
                    <w:rPr>
                      <w:rFonts w:hint="eastAsia" w:ascii="宋体" w:hAnsi="宋体" w:eastAsia="宋体" w:cs="宋体"/>
                      <w:color w:val="auto"/>
                      <w:sz w:val="21"/>
                      <w:szCs w:val="21"/>
                      <w:highlight w:val="none"/>
                      <w:lang w:val="en-US" w:eastAsia="zh-Hans"/>
                    </w:rPr>
                    <w:t>进行</w:t>
                  </w:r>
                  <w:r>
                    <w:rPr>
                      <w:rFonts w:hint="eastAsia" w:ascii="宋体" w:hAnsi="宋体" w:eastAsia="宋体" w:cs="宋体"/>
                      <w:color w:val="auto"/>
                      <w:sz w:val="21"/>
                      <w:szCs w:val="21"/>
                      <w:highlight w:val="none"/>
                      <w:lang w:eastAsia="zh-CN"/>
                    </w:rPr>
                    <w:t>研究，熟悉比赛方案里的各项规定可在指导过程中做出精准评判</w:t>
                  </w:r>
                  <w:r>
                    <w:rPr>
                      <w:rFonts w:hint="eastAsia" w:ascii="宋体" w:hAnsi="宋体" w:eastAsia="宋体" w:cs="宋体"/>
                      <w:color w:val="auto"/>
                      <w:sz w:val="21"/>
                      <w:szCs w:val="21"/>
                      <w:highlight w:val="none"/>
                      <w:lang w:eastAsia="zh-Hans"/>
                    </w:rPr>
                    <w:t>；</w:t>
                  </w:r>
                </w:p>
                <w:p w14:paraId="6D79DCBE">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带赛专家能根据</w:t>
                  </w:r>
                  <w:r>
                    <w:rPr>
                      <w:rFonts w:hint="eastAsia" w:ascii="宋体" w:hAnsi="宋体" w:eastAsia="宋体" w:cs="宋体"/>
                      <w:color w:val="auto"/>
                      <w:sz w:val="21"/>
                      <w:szCs w:val="21"/>
                      <w:highlight w:val="none"/>
                      <w:lang w:val="en-US" w:eastAsia="zh-CN"/>
                    </w:rPr>
                    <w:t>选手的特点，包括专业知识掌握及心理特点，制订个性化的培训计划。除了为选手提供专业知识培训外，还应训练选手的心理素质，培训时增加难度，在平时训练中不断让选手模拟比赛场景，以良好的心态应对</w:t>
                  </w:r>
                  <w:r>
                    <w:rPr>
                      <w:rFonts w:hint="eastAsia" w:ascii="宋体" w:hAnsi="宋体" w:eastAsia="宋体" w:cs="宋体"/>
                      <w:color w:val="auto"/>
                      <w:sz w:val="21"/>
                      <w:szCs w:val="21"/>
                      <w:highlight w:val="none"/>
                      <w:lang w:val="en-US" w:eastAsia="zh-Hans"/>
                    </w:rPr>
                    <w:t>比赛；</w:t>
                  </w:r>
                </w:p>
                <w:p w14:paraId="4B476D1F">
                  <w:pPr>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带赛专家</w:t>
                  </w:r>
                  <w:r>
                    <w:rPr>
                      <w:rFonts w:hint="eastAsia" w:ascii="宋体" w:hAnsi="宋体" w:eastAsia="宋体" w:cs="宋体"/>
                      <w:color w:val="auto"/>
                      <w:sz w:val="21"/>
                      <w:szCs w:val="21"/>
                      <w:highlight w:val="none"/>
                      <w:lang w:val="en-US" w:eastAsia="zh-CN"/>
                    </w:rPr>
                    <w:t>根据大赛要求培训学生</w:t>
                  </w:r>
                  <w:r>
                    <w:rPr>
                      <w:rFonts w:hint="eastAsia"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lang w:val="en-US" w:eastAsia="zh-CN"/>
                    </w:rPr>
                    <w:t>有针对性的展开理论和实践的教学</w:t>
                  </w:r>
                  <w:r>
                    <w:rPr>
                      <w:rFonts w:hint="eastAsia" w:ascii="宋体" w:hAnsi="宋体" w:eastAsia="宋体" w:cs="宋体"/>
                      <w:color w:val="auto"/>
                      <w:sz w:val="21"/>
                      <w:szCs w:val="21"/>
                      <w:highlight w:val="none"/>
                      <w:lang w:val="en-US" w:eastAsia="zh-Hans"/>
                    </w:rPr>
                    <w:t>；专业技能培训可采用线上结合线下培训的方式，但线下培训时长不少于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次现场指导（</w:t>
                  </w:r>
                  <w:r>
                    <w:rPr>
                      <w:rFonts w:hint="eastAsia" w:ascii="宋体" w:hAnsi="宋体" w:eastAsia="宋体" w:cs="宋体"/>
                      <w:color w:val="auto"/>
                      <w:sz w:val="21"/>
                      <w:szCs w:val="21"/>
                      <w:highlight w:val="none"/>
                      <w:lang w:val="en-US" w:eastAsia="zh-CN"/>
                    </w:rPr>
                    <w:t>3次现场培训总课时不少于24</w:t>
                  </w:r>
                  <w:r>
                    <w:rPr>
                      <w:rFonts w:hint="eastAsia" w:ascii="宋体" w:hAnsi="宋体" w:eastAsia="宋体" w:cs="宋体"/>
                      <w:color w:val="auto"/>
                      <w:sz w:val="21"/>
                      <w:szCs w:val="21"/>
                      <w:highlight w:val="none"/>
                      <w:lang w:val="en-US" w:eastAsia="zh-Hans"/>
                    </w:rPr>
                    <w:t>课时）,1课时为60分钟。</w:t>
                  </w:r>
                </w:p>
                <w:p w14:paraId="1D6C8120">
                  <w:pPr>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lang w:val="en-US" w:eastAsia="zh-Hans"/>
                    </w:rPr>
                    <w:t>世界职业院校技能大赛</w:t>
                  </w:r>
                  <w:r>
                    <w:rPr>
                      <w:rFonts w:hint="eastAsia" w:ascii="宋体" w:hAnsi="宋体" w:eastAsia="宋体" w:cs="宋体"/>
                      <w:color w:val="auto"/>
                      <w:sz w:val="21"/>
                      <w:szCs w:val="21"/>
                      <w:highlight w:val="none"/>
                      <w:lang w:val="en-US" w:eastAsia="zh-CN"/>
                    </w:rPr>
                    <w:t>的标准进行集训和考核</w:t>
                  </w:r>
                  <w:r>
                    <w:rPr>
                      <w:rFonts w:hint="eastAsia" w:ascii="宋体" w:hAnsi="宋体" w:eastAsia="宋体" w:cs="宋体"/>
                      <w:color w:val="auto"/>
                      <w:sz w:val="21"/>
                      <w:szCs w:val="21"/>
                      <w:highlight w:val="none"/>
                      <w:lang w:val="en-US" w:eastAsia="zh-Hans"/>
                    </w:rPr>
                    <w:t>；带赛专家</w:t>
                  </w:r>
                  <w:r>
                    <w:rPr>
                      <w:rFonts w:hint="eastAsia" w:ascii="宋体" w:hAnsi="宋体" w:eastAsia="宋体" w:cs="宋体"/>
                      <w:color w:val="auto"/>
                      <w:sz w:val="21"/>
                      <w:szCs w:val="21"/>
                      <w:highlight w:val="none"/>
                      <w:lang w:val="en-US" w:eastAsia="zh-CN"/>
                    </w:rPr>
                    <w:t>要总结归纳，认真地对选手进行培训</w:t>
                  </w:r>
                  <w:r>
                    <w:rPr>
                      <w:rFonts w:hint="eastAsia" w:ascii="宋体" w:hAnsi="宋体" w:eastAsia="宋体" w:cs="宋体"/>
                      <w:color w:val="auto"/>
                      <w:sz w:val="21"/>
                      <w:szCs w:val="21"/>
                      <w:highlight w:val="none"/>
                      <w:lang w:val="en-US" w:eastAsia="zh-Hans"/>
                    </w:rPr>
                    <w:t>；</w:t>
                  </w:r>
                </w:p>
                <w:p w14:paraId="7EF1EBFF">
                  <w:pPr>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Hans"/>
                    </w:rPr>
                    <w:t>在选手参加自治区比赛时进行临场指导；</w:t>
                  </w:r>
                </w:p>
                <w:p w14:paraId="44987F18">
                  <w:pPr>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Hans"/>
                    </w:rPr>
                    <w:t>需负责带赛专家指导培训期间的交通费、住宿费、餐饮费及授课费。</w:t>
                  </w:r>
                </w:p>
              </w:tc>
            </w:tr>
            <w:bookmarkEnd w:id="19"/>
          </w:tbl>
          <w:p w14:paraId="594B3F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default"/>
                <w:color w:val="auto"/>
                <w:highlight w:val="none"/>
                <w:lang w:val="en-US" w:eastAsia="zh-CN"/>
              </w:rPr>
            </w:pPr>
          </w:p>
        </w:tc>
      </w:tr>
    </w:tbl>
    <w:p w14:paraId="7A4ADC73">
      <w:pPr>
        <w:spacing w:line="360" w:lineRule="auto"/>
        <w:rPr>
          <w:rFonts w:hint="eastAsia"/>
          <w:color w:val="auto"/>
          <w:szCs w:val="21"/>
          <w:highlight w:val="none"/>
        </w:rPr>
      </w:pPr>
    </w:p>
    <w:p w14:paraId="477C9FF3">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1EA76B51">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5"/>
          <w:sz w:val="21"/>
          <w:szCs w:val="21"/>
          <w:highlight w:val="none"/>
        </w:rPr>
      </w:pPr>
      <w:r>
        <w:rPr>
          <w:rFonts w:hint="eastAsia" w:ascii="宋体" w:hAnsi="宋体" w:eastAsia="宋体" w:cs="宋体"/>
          <w:b/>
          <w:bCs/>
          <w:color w:val="auto"/>
          <w:spacing w:val="-2"/>
          <w:sz w:val="21"/>
          <w:szCs w:val="21"/>
          <w:highlight w:val="none"/>
        </w:rPr>
        <w:t>1.</w:t>
      </w:r>
      <w:r>
        <w:rPr>
          <w:rFonts w:hint="eastAsia" w:ascii="宋体" w:hAnsi="宋体" w:eastAsia="宋体" w:cs="宋体"/>
          <w:b/>
          <w:bCs/>
          <w:color w:val="auto"/>
          <w:spacing w:val="-2"/>
          <w:sz w:val="21"/>
          <w:szCs w:val="21"/>
          <w:highlight w:val="none"/>
          <w:lang w:eastAsia="zh-CN"/>
        </w:rPr>
        <w:t>合同履约期限</w:t>
      </w:r>
      <w:r>
        <w:rPr>
          <w:rFonts w:hint="eastAsia" w:ascii="宋体" w:hAnsi="宋体" w:eastAsia="宋体" w:cs="宋体"/>
          <w:b/>
          <w:bCs/>
          <w:color w:val="auto"/>
          <w:spacing w:val="-2"/>
          <w:sz w:val="21"/>
          <w:szCs w:val="21"/>
          <w:highlight w:val="none"/>
        </w:rPr>
        <w:t>：</w:t>
      </w:r>
      <w:r>
        <w:rPr>
          <w:rFonts w:hint="eastAsia" w:ascii="宋体" w:hAnsi="宋体" w:eastAsia="宋体" w:cs="宋体"/>
          <w:color w:val="auto"/>
          <w:kern w:val="1"/>
          <w:sz w:val="21"/>
          <w:szCs w:val="21"/>
          <w:highlight w:val="none"/>
          <w:lang w:val="en-US" w:eastAsia="zh-Hans" w:bidi="ar-SA"/>
        </w:rPr>
        <w:t>签订合同后，采购人根据实际情况制定具体培训开始的时间及培训期限，</w:t>
      </w:r>
      <w:r>
        <w:rPr>
          <w:rFonts w:hint="eastAsia" w:ascii="宋体" w:hAnsi="宋体" w:eastAsia="宋体" w:cs="宋体"/>
          <w:color w:val="auto"/>
          <w:kern w:val="1"/>
          <w:sz w:val="21"/>
          <w:szCs w:val="21"/>
          <w:highlight w:val="none"/>
          <w:lang w:val="en-US" w:eastAsia="zh-CN" w:bidi="ar-SA"/>
        </w:rPr>
        <w:t>成交</w:t>
      </w:r>
      <w:r>
        <w:rPr>
          <w:rFonts w:hint="eastAsia" w:ascii="宋体" w:hAnsi="宋体" w:eastAsia="宋体" w:cs="宋体"/>
          <w:color w:val="auto"/>
          <w:kern w:val="1"/>
          <w:sz w:val="21"/>
          <w:szCs w:val="21"/>
          <w:highlight w:val="none"/>
          <w:lang w:val="en-US" w:eastAsia="zh-Hans" w:bidi="ar-SA"/>
        </w:rPr>
        <w:t>人接到采购人通知后按</w:t>
      </w:r>
      <w:r>
        <w:rPr>
          <w:rFonts w:hint="eastAsia" w:ascii="宋体" w:hAnsi="宋体" w:eastAsia="宋体" w:cs="宋体"/>
          <w:color w:val="auto"/>
          <w:kern w:val="1"/>
          <w:sz w:val="21"/>
          <w:szCs w:val="21"/>
          <w:highlight w:val="none"/>
          <w:lang w:val="en-US" w:eastAsia="zh-CN" w:bidi="ar-SA"/>
        </w:rPr>
        <w:t>采购</w:t>
      </w:r>
      <w:r>
        <w:rPr>
          <w:rFonts w:hint="eastAsia" w:ascii="宋体" w:hAnsi="宋体" w:eastAsia="宋体" w:cs="宋体"/>
          <w:color w:val="auto"/>
          <w:kern w:val="1"/>
          <w:sz w:val="21"/>
          <w:szCs w:val="21"/>
          <w:highlight w:val="none"/>
          <w:lang w:val="en-US" w:eastAsia="zh-Hans" w:bidi="ar-SA"/>
        </w:rPr>
        <w:t>文件和采购人要求以及</w:t>
      </w:r>
      <w:r>
        <w:rPr>
          <w:rFonts w:hint="eastAsia" w:ascii="宋体" w:hAnsi="宋体" w:eastAsia="宋体" w:cs="宋体"/>
          <w:color w:val="auto"/>
          <w:kern w:val="1"/>
          <w:sz w:val="21"/>
          <w:szCs w:val="21"/>
          <w:highlight w:val="none"/>
          <w:lang w:val="en-US" w:eastAsia="zh-CN" w:bidi="ar-SA"/>
        </w:rPr>
        <w:t>响应</w:t>
      </w:r>
      <w:r>
        <w:rPr>
          <w:rFonts w:hint="eastAsia" w:ascii="宋体" w:hAnsi="宋体" w:eastAsia="宋体" w:cs="宋体"/>
          <w:color w:val="auto"/>
          <w:kern w:val="1"/>
          <w:sz w:val="21"/>
          <w:szCs w:val="21"/>
          <w:highlight w:val="none"/>
          <w:lang w:val="en-US" w:eastAsia="zh-Hans" w:bidi="ar-SA"/>
        </w:rPr>
        <w:t>文件承诺提供培训服务。</w:t>
      </w:r>
    </w:p>
    <w:p w14:paraId="27FE380B">
      <w:pPr>
        <w:pStyle w:val="20"/>
        <w:spacing w:before="183" w:line="289" w:lineRule="auto"/>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2.合同签订日期：</w:t>
      </w:r>
      <w:r>
        <w:rPr>
          <w:rFonts w:hint="eastAsia" w:ascii="宋体" w:hAnsi="宋体" w:eastAsia="宋体" w:cs="宋体"/>
          <w:color w:val="auto"/>
          <w:spacing w:val="-5"/>
          <w:sz w:val="21"/>
          <w:szCs w:val="21"/>
          <w:highlight w:val="none"/>
        </w:rPr>
        <w:t>自成交通知书发出之日起</w:t>
      </w:r>
      <w:r>
        <w:rPr>
          <w:rFonts w:hint="eastAsia" w:ascii="宋体" w:hAnsi="宋体" w:eastAsia="宋体" w:cs="宋体"/>
          <w:color w:val="auto"/>
          <w:spacing w:val="-33"/>
          <w:sz w:val="21"/>
          <w:szCs w:val="21"/>
          <w:highlight w:val="none"/>
        </w:rPr>
        <w:t xml:space="preserve"> </w:t>
      </w:r>
      <w:r>
        <w:rPr>
          <w:rFonts w:hint="eastAsia" w:ascii="宋体" w:hAnsi="宋体" w:cs="宋体"/>
          <w:color w:val="auto"/>
          <w:spacing w:val="-5"/>
          <w:sz w:val="21"/>
          <w:szCs w:val="21"/>
          <w:highlight w:val="none"/>
          <w:lang w:val="en-US" w:eastAsia="zh-CN"/>
        </w:rPr>
        <w:t>25</w:t>
      </w:r>
      <w:r>
        <w:rPr>
          <w:rFonts w:hint="eastAsia" w:ascii="宋体" w:hAnsi="宋体" w:eastAsia="宋体" w:cs="宋体"/>
          <w:color w:val="auto"/>
          <w:spacing w:val="-5"/>
          <w:sz w:val="21"/>
          <w:szCs w:val="21"/>
          <w:highlight w:val="none"/>
        </w:rPr>
        <w:t>日内签订合同。</w:t>
      </w:r>
    </w:p>
    <w:p w14:paraId="53B37386">
      <w:pPr>
        <w:pStyle w:val="20"/>
        <w:spacing w:before="181" w:line="220" w:lineRule="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3.服务地点：</w:t>
      </w:r>
      <w:r>
        <w:rPr>
          <w:rFonts w:hint="eastAsia" w:ascii="宋体" w:hAnsi="宋体" w:cs="宋体"/>
          <w:color w:val="auto"/>
          <w:spacing w:val="-3"/>
          <w:sz w:val="21"/>
          <w:szCs w:val="21"/>
          <w:highlight w:val="none"/>
          <w:lang w:eastAsia="zh-CN"/>
        </w:rPr>
        <w:t>采购人指定地点</w:t>
      </w:r>
      <w:r>
        <w:rPr>
          <w:rFonts w:hint="eastAsia" w:ascii="宋体" w:hAnsi="宋体" w:eastAsia="宋体" w:cs="宋体"/>
          <w:color w:val="auto"/>
          <w:spacing w:val="-3"/>
          <w:sz w:val="21"/>
          <w:szCs w:val="21"/>
          <w:highlight w:val="none"/>
        </w:rPr>
        <w:t>。</w:t>
      </w:r>
    </w:p>
    <w:p w14:paraId="5E4D8E35">
      <w:pPr>
        <w:pStyle w:val="20"/>
        <w:spacing w:before="177" w:line="219" w:lineRule="auto"/>
        <w:rPr>
          <w:rFonts w:hint="eastAsia" w:ascii="宋体" w:hAnsi="宋体" w:eastAsia="宋体" w:cs="宋体"/>
          <w:color w:val="auto"/>
          <w:sz w:val="21"/>
          <w:szCs w:val="21"/>
          <w:highlight w:val="none"/>
        </w:rPr>
      </w:pPr>
      <w:r>
        <w:rPr>
          <w:color w:val="auto"/>
          <w:szCs w:val="21"/>
          <w:highlight w:val="none"/>
        </w:rPr>
        <w:t>▲</w:t>
      </w:r>
      <w:r>
        <w:rPr>
          <w:rFonts w:hint="eastAsia" w:ascii="宋体" w:hAnsi="宋体" w:cs="宋体"/>
          <w:b/>
          <w:bCs/>
          <w:color w:val="auto"/>
          <w:spacing w:val="-4"/>
          <w:sz w:val="21"/>
          <w:szCs w:val="21"/>
          <w:highlight w:val="none"/>
          <w:lang w:val="en-US" w:eastAsia="zh-CN"/>
        </w:rPr>
        <w:t>4</w:t>
      </w:r>
      <w:r>
        <w:rPr>
          <w:rFonts w:hint="eastAsia" w:ascii="宋体" w:hAnsi="宋体" w:eastAsia="宋体" w:cs="宋体"/>
          <w:b/>
          <w:bCs/>
          <w:color w:val="auto"/>
          <w:spacing w:val="-4"/>
          <w:sz w:val="21"/>
          <w:szCs w:val="21"/>
          <w:highlight w:val="none"/>
        </w:rPr>
        <w:t>.报价及其他要求</w:t>
      </w:r>
    </w:p>
    <w:p w14:paraId="0B42EDA8">
      <w:pPr>
        <w:spacing w:line="360" w:lineRule="exact"/>
        <w:ind w:firstLine="210" w:firstLineChars="100"/>
        <w:jc w:val="left"/>
        <w:rPr>
          <w:rFonts w:ascii="宋体" w:hAnsi="宋体" w:cs="宋体"/>
          <w:color w:val="auto"/>
          <w:kern w:val="1"/>
          <w:szCs w:val="21"/>
          <w:highlight w:val="none"/>
        </w:rPr>
      </w:pPr>
      <w:r>
        <w:rPr>
          <w:rFonts w:hint="eastAsia" w:ascii="宋体" w:hAnsi="宋体" w:cs="宋体"/>
          <w:color w:val="auto"/>
          <w:kern w:val="1"/>
          <w:szCs w:val="21"/>
          <w:highlight w:val="none"/>
        </w:rPr>
        <w:t>报价为采购人指定地点的现场交货价，包括（但不限于）：</w:t>
      </w:r>
    </w:p>
    <w:p w14:paraId="39078A15">
      <w:pPr>
        <w:spacing w:line="360" w:lineRule="exact"/>
        <w:jc w:val="left"/>
        <w:rPr>
          <w:rFonts w:ascii="宋体" w:hAnsi="宋体" w:cs="宋体"/>
          <w:color w:val="auto"/>
          <w:kern w:val="1"/>
          <w:szCs w:val="21"/>
          <w:highlight w:val="none"/>
        </w:rPr>
      </w:pPr>
      <w:r>
        <w:rPr>
          <w:rFonts w:hint="eastAsia" w:ascii="宋体" w:hAnsi="宋体" w:cs="宋体"/>
          <w:color w:val="auto"/>
          <w:kern w:val="1"/>
          <w:szCs w:val="21"/>
          <w:highlight w:val="none"/>
        </w:rPr>
        <w:t>（</w:t>
      </w:r>
      <w:r>
        <w:rPr>
          <w:rFonts w:hint="eastAsia" w:ascii="宋体" w:hAnsi="宋体" w:cs="宋体"/>
          <w:color w:val="auto"/>
          <w:kern w:val="1"/>
          <w:szCs w:val="21"/>
          <w:highlight w:val="none"/>
          <w:lang w:val="en-US" w:eastAsia="zh-CN"/>
        </w:rPr>
        <w:t>1</w:t>
      </w:r>
      <w:r>
        <w:rPr>
          <w:rFonts w:hint="eastAsia" w:ascii="宋体" w:hAnsi="宋体" w:cs="宋体"/>
          <w:color w:val="auto"/>
          <w:kern w:val="1"/>
          <w:szCs w:val="21"/>
          <w:highlight w:val="none"/>
        </w:rPr>
        <w:t>）</w:t>
      </w:r>
      <w:r>
        <w:rPr>
          <w:rFonts w:hint="eastAsia" w:ascii="宋体" w:hAnsi="宋体" w:eastAsia="宋体" w:cs="宋体"/>
          <w:color w:val="auto"/>
          <w:sz w:val="21"/>
          <w:szCs w:val="21"/>
          <w:highlight w:val="none"/>
          <w:lang w:val="en-US" w:eastAsia="zh-Hans"/>
        </w:rPr>
        <w:t>交通费、住宿费、餐饮费及授课费</w:t>
      </w:r>
      <w:r>
        <w:rPr>
          <w:rFonts w:hint="eastAsia" w:ascii="宋体" w:hAnsi="宋体" w:cs="宋体"/>
          <w:color w:val="auto"/>
          <w:sz w:val="21"/>
          <w:szCs w:val="21"/>
          <w:highlight w:val="none"/>
          <w:lang w:val="en-US" w:eastAsia="zh-CN"/>
        </w:rPr>
        <w:t>、</w:t>
      </w:r>
      <w:r>
        <w:rPr>
          <w:rFonts w:hint="eastAsia" w:ascii="宋体" w:hAnsi="宋体" w:cs="宋体"/>
          <w:color w:val="auto"/>
          <w:kern w:val="1"/>
          <w:szCs w:val="21"/>
          <w:highlight w:val="none"/>
        </w:rPr>
        <w:t>培训、技术支持、售后服务费。</w:t>
      </w:r>
    </w:p>
    <w:p w14:paraId="2E80C555">
      <w:pPr>
        <w:spacing w:line="360" w:lineRule="exact"/>
        <w:jc w:val="left"/>
        <w:rPr>
          <w:rFonts w:ascii="宋体" w:hAnsi="宋体" w:cs="宋体"/>
          <w:color w:val="auto"/>
          <w:kern w:val="1"/>
          <w:szCs w:val="21"/>
          <w:highlight w:val="none"/>
        </w:rPr>
      </w:pPr>
      <w:r>
        <w:rPr>
          <w:rFonts w:hint="eastAsia" w:ascii="宋体" w:hAnsi="宋体" w:cs="宋体"/>
          <w:color w:val="auto"/>
          <w:kern w:val="1"/>
          <w:szCs w:val="21"/>
          <w:highlight w:val="none"/>
        </w:rPr>
        <w:t>（</w:t>
      </w:r>
      <w:r>
        <w:rPr>
          <w:rFonts w:hint="eastAsia" w:ascii="宋体" w:hAnsi="宋体" w:cs="宋体"/>
          <w:color w:val="auto"/>
          <w:kern w:val="1"/>
          <w:szCs w:val="21"/>
          <w:highlight w:val="none"/>
          <w:lang w:val="en-US" w:eastAsia="zh-CN"/>
        </w:rPr>
        <w:t>2</w:t>
      </w:r>
      <w:r>
        <w:rPr>
          <w:rFonts w:hint="eastAsia" w:ascii="宋体" w:hAnsi="宋体" w:cs="宋体"/>
          <w:color w:val="auto"/>
          <w:kern w:val="1"/>
          <w:szCs w:val="21"/>
          <w:highlight w:val="none"/>
        </w:rPr>
        <w:t>）招标代理服务费、保险费和各项税金。</w:t>
      </w:r>
    </w:p>
    <w:p w14:paraId="6AFBE2DD">
      <w:pPr>
        <w:spacing w:line="360" w:lineRule="exact"/>
        <w:jc w:val="left"/>
        <w:rPr>
          <w:color w:val="auto"/>
          <w:sz w:val="21"/>
          <w:szCs w:val="21"/>
          <w:highlight w:val="none"/>
        </w:rPr>
      </w:pPr>
      <w:r>
        <w:rPr>
          <w:rFonts w:hint="eastAsia" w:ascii="宋体" w:hAnsi="宋体" w:cs="宋体"/>
          <w:color w:val="auto"/>
          <w:kern w:val="1"/>
          <w:szCs w:val="21"/>
          <w:highlight w:val="none"/>
        </w:rPr>
        <w:t>注：</w:t>
      </w:r>
      <w:r>
        <w:rPr>
          <w:rFonts w:hint="eastAsia" w:ascii="宋体" w:hAnsi="宋体" w:cs="宋体"/>
          <w:color w:val="auto"/>
          <w:kern w:val="1"/>
          <w:szCs w:val="21"/>
          <w:highlight w:val="none"/>
          <w:lang w:eastAsia="zh-CN"/>
        </w:rPr>
        <w:t>成交</w:t>
      </w:r>
      <w:r>
        <w:rPr>
          <w:rFonts w:hint="eastAsia"/>
          <w:color w:val="auto"/>
          <w:sz w:val="21"/>
          <w:szCs w:val="21"/>
          <w:highlight w:val="none"/>
        </w:rPr>
        <w:t>供货商</w:t>
      </w:r>
      <w:r>
        <w:rPr>
          <w:rFonts w:hint="eastAsia" w:ascii="宋体" w:hAnsi="宋体" w:cs="宋体"/>
          <w:color w:val="auto"/>
          <w:kern w:val="1"/>
          <w:szCs w:val="21"/>
          <w:highlight w:val="none"/>
        </w:rPr>
        <w:t>自行考虑完成项目所需的辅材、教学</w:t>
      </w:r>
      <w:r>
        <w:rPr>
          <w:rFonts w:hint="eastAsia" w:ascii="宋体" w:hAnsi="宋体" w:cs="宋体"/>
          <w:color w:val="auto"/>
          <w:kern w:val="1"/>
          <w:szCs w:val="21"/>
          <w:highlight w:val="none"/>
          <w:lang w:eastAsia="zh-CN"/>
        </w:rPr>
        <w:t>用具</w:t>
      </w:r>
      <w:r>
        <w:rPr>
          <w:rFonts w:hint="eastAsia" w:ascii="宋体" w:hAnsi="宋体" w:cs="宋体"/>
          <w:color w:val="auto"/>
          <w:kern w:val="1"/>
          <w:szCs w:val="21"/>
          <w:highlight w:val="none"/>
        </w:rPr>
        <w:t>等数量，报价中应包含全部内容，成交后采购人不再另行支付额外费用。</w:t>
      </w:r>
    </w:p>
    <w:p w14:paraId="1BB8E34C">
      <w:pPr>
        <w:pStyle w:val="20"/>
        <w:spacing w:before="179" w:line="220" w:lineRule="auto"/>
        <w:rPr>
          <w:color w:val="auto"/>
          <w:sz w:val="21"/>
          <w:szCs w:val="21"/>
          <w:highlight w:val="none"/>
        </w:rPr>
      </w:pPr>
      <w:r>
        <w:rPr>
          <w:rFonts w:hint="eastAsia"/>
          <w:b/>
          <w:bCs/>
          <w:color w:val="auto"/>
          <w:spacing w:val="-4"/>
          <w:sz w:val="21"/>
          <w:szCs w:val="21"/>
          <w:highlight w:val="none"/>
          <w:lang w:val="en-US" w:eastAsia="zh-CN"/>
        </w:rPr>
        <w:t>5</w:t>
      </w:r>
      <w:r>
        <w:rPr>
          <w:b/>
          <w:bCs/>
          <w:color w:val="auto"/>
          <w:spacing w:val="-4"/>
          <w:sz w:val="21"/>
          <w:szCs w:val="21"/>
          <w:highlight w:val="none"/>
        </w:rPr>
        <w:t>.付款方式</w:t>
      </w:r>
    </w:p>
    <w:p w14:paraId="5FD8CD03">
      <w:pPr>
        <w:spacing w:line="360" w:lineRule="auto"/>
        <w:ind w:firstLine="420" w:firstLineChars="200"/>
        <w:rPr>
          <w:rFonts w:hint="eastAsia" w:ascii="宋体" w:hAnsi="宋体" w:cs="宋体"/>
          <w:color w:val="auto"/>
          <w:kern w:val="1"/>
          <w:szCs w:val="21"/>
          <w:highlight w:val="none"/>
        </w:rPr>
      </w:pPr>
      <w:r>
        <w:rPr>
          <w:rFonts w:hint="eastAsia" w:ascii="宋体" w:hAnsi="宋体" w:cs="宋体"/>
          <w:color w:val="auto"/>
          <w:kern w:val="1"/>
          <w:szCs w:val="21"/>
          <w:highlight w:val="none"/>
        </w:rPr>
        <w:t>合同签订之日起10个工作日内支付预付款30%；根据实际完成内容设定进度款，整体验收合格交货后10个工作日内，按合同要求转帐支付至100%。(注：如采购人在签订合同时，成交人明确表示无需预付款或者主动要求降低预付款比例的，采购人可不采用预付款制度。</w:t>
      </w:r>
    </w:p>
    <w:p w14:paraId="6D079139">
      <w:pPr>
        <w:spacing w:line="360" w:lineRule="auto"/>
        <w:rPr>
          <w:rFonts w:ascii="黑体" w:hAnsi="黑体" w:eastAsia="黑体" w:cs="Arial"/>
          <w:b/>
          <w:color w:val="auto"/>
          <w:kern w:val="0"/>
          <w:sz w:val="21"/>
          <w:szCs w:val="21"/>
          <w:highlight w:val="none"/>
        </w:rPr>
      </w:pPr>
      <w:r>
        <w:rPr>
          <w:rFonts w:hint="eastAsia" w:ascii="黑体" w:hAnsi="黑体" w:eastAsia="黑体" w:cs="Arial"/>
          <w:b/>
          <w:color w:val="auto"/>
          <w:kern w:val="0"/>
          <w:sz w:val="21"/>
          <w:szCs w:val="21"/>
          <w:highlight w:val="none"/>
        </w:rPr>
        <w:t>四、其他要求</w:t>
      </w:r>
    </w:p>
    <w:p w14:paraId="3AC2C9D6">
      <w:pP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应严格遵守</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人关于信息安全方面的规定，自觉保密</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人的相关数据。项目成果以及为方便项目服务所提供给</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的工作流程、管理模式、试验数据、规程、程序等相关资料文档及数据，在收发过程中所产生的资料、文档、数据及相关附属品均属于</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人信息资产，</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应保证这些信息在项目期间及项目完成后规定时间内的安全。</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应建立并实际运行项目进展期间的信息安全管理规范，以确保项目启动、运维的信息数据安全管理。非经</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人书面许可，</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不得以任何形式泄漏项目资料及数据。因</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原因导致项目资料、文档、数据或招标人其他有关秘密泄露的，</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人有权要求</w:t>
      </w:r>
      <w:r>
        <w:rPr>
          <w:rFonts w:hint="eastAsia"/>
          <w:b/>
          <w:bCs/>
          <w:color w:val="auto"/>
          <w:sz w:val="21"/>
          <w:szCs w:val="21"/>
          <w:highlight w:val="none"/>
          <w:lang w:eastAsia="zh-CN"/>
        </w:rPr>
        <w:t>成交</w:t>
      </w:r>
      <w:r>
        <w:rPr>
          <w:rFonts w:hint="eastAsia"/>
          <w:b/>
          <w:bCs/>
          <w:color w:val="auto"/>
          <w:sz w:val="21"/>
          <w:szCs w:val="21"/>
          <w:highlight w:val="none"/>
        </w:rPr>
        <w:t>供货商</w:t>
      </w:r>
      <w:r>
        <w:rPr>
          <w:rFonts w:hint="eastAsia" w:ascii="宋体" w:hAnsi="宋体" w:eastAsia="宋体" w:cs="宋体"/>
          <w:b/>
          <w:bCs/>
          <w:color w:val="auto"/>
          <w:sz w:val="21"/>
          <w:szCs w:val="21"/>
          <w:highlight w:val="none"/>
        </w:rPr>
        <w:t>采取措施消除影响，赔偿</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人损失，并追究其相关法律责任。</w:t>
      </w:r>
    </w:p>
    <w:p w14:paraId="409D8CE6">
      <w:pPr>
        <w:rPr>
          <w:rFonts w:hint="eastAsia"/>
          <w:color w:val="auto"/>
          <w:sz w:val="28"/>
          <w:szCs w:val="28"/>
          <w:highlight w:val="none"/>
        </w:rPr>
      </w:pPr>
      <w:r>
        <w:rPr>
          <w:rFonts w:hint="eastAsia" w:ascii="宋体" w:hAnsi="宋体" w:cs="宋体"/>
          <w:b/>
          <w:bCs/>
          <w:color w:val="auto"/>
          <w:sz w:val="21"/>
          <w:szCs w:val="21"/>
          <w:highlight w:val="none"/>
          <w:lang w:val="en-US" w:eastAsia="zh-CN"/>
        </w:rPr>
        <w:t>2、</w:t>
      </w:r>
      <w:r>
        <w:rPr>
          <w:rFonts w:hint="eastAsia"/>
          <w:b/>
          <w:bCs/>
          <w:color w:val="auto"/>
          <w:szCs w:val="21"/>
          <w:highlight w:val="none"/>
        </w:rPr>
        <w:t>供应商应按根据项目需求结合</w:t>
      </w:r>
      <w:r>
        <w:rPr>
          <w:rFonts w:hint="eastAsia" w:ascii="Times New Roman" w:hAnsi="Times New Roman" w:eastAsia="宋体" w:cs="Times New Roman"/>
          <w:b/>
          <w:bCs/>
          <w:color w:val="auto"/>
          <w:szCs w:val="21"/>
          <w:highlight w:val="none"/>
        </w:rPr>
        <w:t>自身情况撰写项目</w:t>
      </w:r>
      <w:r>
        <w:rPr>
          <w:rFonts w:hint="eastAsia" w:ascii="Times New Roman" w:hAnsi="Times New Roman" w:eastAsia="宋体" w:cs="Times New Roman"/>
          <w:b/>
          <w:bCs/>
          <w:color w:val="auto"/>
          <w:szCs w:val="21"/>
          <w:highlight w:val="none"/>
          <w:lang w:val="en-US" w:eastAsia="zh-CN"/>
        </w:rPr>
        <w:t>服务</w:t>
      </w:r>
      <w:r>
        <w:rPr>
          <w:rFonts w:hint="eastAsia" w:ascii="Times New Roman" w:hAnsi="Times New Roman" w:eastAsia="宋体" w:cs="Times New Roman"/>
          <w:b/>
          <w:bCs/>
          <w:color w:val="auto"/>
          <w:szCs w:val="21"/>
          <w:highlight w:val="none"/>
        </w:rPr>
        <w:t>方案</w:t>
      </w:r>
      <w:r>
        <w:rPr>
          <w:rFonts w:hint="eastAsia" w:ascii="Times New Roman" w:hAnsi="Times New Roman" w:eastAsia="宋体" w:cs="Times New Roman"/>
          <w:b/>
          <w:bCs/>
          <w:color w:val="auto"/>
          <w:szCs w:val="21"/>
          <w:highlight w:val="none"/>
          <w:lang w:eastAsia="zh-CN"/>
        </w:rPr>
        <w:t>，</w:t>
      </w:r>
      <w:r>
        <w:rPr>
          <w:rFonts w:hint="eastAsia" w:ascii="Times New Roman" w:hAnsi="Times New Roman" w:eastAsia="宋体" w:cs="Times New Roman"/>
          <w:b/>
          <w:bCs/>
          <w:color w:val="auto"/>
          <w:szCs w:val="21"/>
          <w:highlight w:val="none"/>
        </w:rPr>
        <w:t>内容包含但不限于：项目建设总体方案</w:t>
      </w:r>
      <w:r>
        <w:rPr>
          <w:rFonts w:hint="eastAsia" w:ascii="Times New Roman" w:hAnsi="Times New Roman" w:eastAsia="宋体" w:cs="Times New Roman"/>
          <w:b/>
          <w:bCs/>
          <w:color w:val="auto"/>
          <w:szCs w:val="21"/>
          <w:highlight w:val="none"/>
          <w:lang w:eastAsia="zh-CN"/>
        </w:rPr>
        <w:t>、职业院校技能大赛学生比赛指导方案、</w:t>
      </w:r>
      <w:r>
        <w:rPr>
          <w:rFonts w:hint="eastAsia" w:ascii="Times New Roman" w:hAnsi="Times New Roman" w:eastAsia="宋体" w:cs="Times New Roman"/>
          <w:b/>
          <w:bCs/>
          <w:color w:val="auto"/>
          <w:szCs w:val="21"/>
          <w:highlight w:val="none"/>
          <w:lang w:val="en-US" w:eastAsia="zh-CN"/>
        </w:rPr>
        <w:t>师资培训方案、售后服务方案</w:t>
      </w:r>
      <w:r>
        <w:rPr>
          <w:rFonts w:hint="eastAsia" w:ascii="Times New Roman" w:hAnsi="Times New Roman" w:eastAsia="宋体" w:cs="Times New Roman"/>
          <w:b/>
          <w:bCs/>
          <w:color w:val="auto"/>
          <w:szCs w:val="21"/>
          <w:highlight w:val="none"/>
        </w:rPr>
        <w:t>等。</w:t>
      </w:r>
      <w:r>
        <w:rPr>
          <w:rFonts w:hint="eastAsia"/>
          <w:color w:val="auto"/>
          <w:sz w:val="28"/>
          <w:szCs w:val="28"/>
          <w:highlight w:val="none"/>
        </w:rPr>
        <w:br w:type="page"/>
      </w:r>
    </w:p>
    <w:p w14:paraId="1D81A9BD">
      <w:pPr>
        <w:spacing w:line="360" w:lineRule="auto"/>
        <w:ind w:left="-2"/>
        <w:rPr>
          <w:color w:val="auto"/>
          <w:sz w:val="28"/>
          <w:szCs w:val="28"/>
          <w:highlight w:val="none"/>
        </w:rPr>
      </w:pPr>
      <w:r>
        <w:rPr>
          <w:rFonts w:hint="eastAsia"/>
          <w:color w:val="auto"/>
          <w:sz w:val="28"/>
          <w:szCs w:val="28"/>
          <w:highlight w:val="none"/>
        </w:rPr>
        <w:t xml:space="preserve">附件1： </w:t>
      </w:r>
      <w:r>
        <w:rPr>
          <w:color w:val="auto"/>
          <w:sz w:val="28"/>
          <w:szCs w:val="28"/>
          <w:highlight w:val="none"/>
        </w:rPr>
        <w:t xml:space="preserve">               </w:t>
      </w:r>
    </w:p>
    <w:p w14:paraId="026DCAFA">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53"/>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35E0A09D">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2B241B13">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noWrap w:val="0"/>
            <w:vAlign w:val="center"/>
          </w:tcPr>
          <w:p w14:paraId="59F91968">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noWrap w:val="0"/>
            <w:vAlign w:val="center"/>
          </w:tcPr>
          <w:p w14:paraId="5363BA8B">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noWrap w:val="0"/>
            <w:vAlign w:val="center"/>
          </w:tcPr>
          <w:p w14:paraId="57B4F03E">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noWrap w:val="0"/>
            <w:vAlign w:val="center"/>
          </w:tcPr>
          <w:p w14:paraId="1C8CCDA8">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noWrap w:val="0"/>
            <w:vAlign w:val="center"/>
          </w:tcPr>
          <w:p w14:paraId="483CFD8E">
            <w:pPr>
              <w:widowControl/>
              <w:jc w:val="left"/>
              <w:rPr>
                <w:color w:val="auto"/>
                <w:szCs w:val="21"/>
                <w:highlight w:val="none"/>
              </w:rPr>
            </w:pPr>
            <w:r>
              <w:rPr>
                <w:rFonts w:hint="eastAsia"/>
                <w:color w:val="auto"/>
                <w:szCs w:val="21"/>
                <w:highlight w:val="none"/>
              </w:rPr>
              <w:t>微型</w:t>
            </w:r>
          </w:p>
        </w:tc>
      </w:tr>
      <w:tr w14:paraId="28A336DD">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448FA47A">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noWrap w:val="0"/>
            <w:vAlign w:val="center"/>
          </w:tcPr>
          <w:p w14:paraId="3A3647D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EFAB8E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F9F7342">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6B093210">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noWrap w:val="0"/>
            <w:vAlign w:val="center"/>
          </w:tcPr>
          <w:p w14:paraId="6352007A">
            <w:pPr>
              <w:widowControl/>
              <w:jc w:val="left"/>
              <w:rPr>
                <w:color w:val="auto"/>
                <w:szCs w:val="21"/>
                <w:highlight w:val="none"/>
              </w:rPr>
            </w:pPr>
            <w:r>
              <w:rPr>
                <w:rFonts w:hint="eastAsia"/>
                <w:color w:val="auto"/>
                <w:szCs w:val="21"/>
                <w:highlight w:val="none"/>
              </w:rPr>
              <w:t>Y＜50</w:t>
            </w:r>
          </w:p>
        </w:tc>
      </w:tr>
      <w:tr w14:paraId="5690BA9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1605A500">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noWrap w:val="0"/>
            <w:vAlign w:val="center"/>
          </w:tcPr>
          <w:p w14:paraId="79E91884">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3B4F56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5459BF1">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285A19E0">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669AED57">
            <w:pPr>
              <w:widowControl/>
              <w:jc w:val="left"/>
              <w:rPr>
                <w:color w:val="auto"/>
                <w:szCs w:val="21"/>
                <w:highlight w:val="none"/>
              </w:rPr>
            </w:pPr>
            <w:r>
              <w:rPr>
                <w:rFonts w:hint="eastAsia"/>
                <w:color w:val="auto"/>
                <w:szCs w:val="21"/>
                <w:highlight w:val="none"/>
              </w:rPr>
              <w:t>X＜20</w:t>
            </w:r>
          </w:p>
        </w:tc>
      </w:tr>
      <w:tr w14:paraId="28B695A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82C2B52">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9188398">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ED9D99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7ED812B">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noWrap w:val="0"/>
            <w:vAlign w:val="center"/>
          </w:tcPr>
          <w:p w14:paraId="206F3F92">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noWrap w:val="0"/>
            <w:vAlign w:val="center"/>
          </w:tcPr>
          <w:p w14:paraId="198CB5DC">
            <w:pPr>
              <w:widowControl/>
              <w:jc w:val="left"/>
              <w:rPr>
                <w:color w:val="auto"/>
                <w:szCs w:val="21"/>
                <w:highlight w:val="none"/>
              </w:rPr>
            </w:pPr>
            <w:r>
              <w:rPr>
                <w:rFonts w:hint="eastAsia"/>
                <w:color w:val="auto"/>
                <w:szCs w:val="21"/>
                <w:highlight w:val="none"/>
              </w:rPr>
              <w:t>Y＜300</w:t>
            </w:r>
          </w:p>
        </w:tc>
      </w:tr>
      <w:tr w14:paraId="3AA062C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ADACBCC">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noWrap w:val="0"/>
            <w:vAlign w:val="center"/>
          </w:tcPr>
          <w:p w14:paraId="19990E1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67A727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C2CDE42">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noWrap w:val="0"/>
            <w:vAlign w:val="center"/>
          </w:tcPr>
          <w:p w14:paraId="340C693C">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noWrap w:val="0"/>
            <w:vAlign w:val="center"/>
          </w:tcPr>
          <w:p w14:paraId="4408A3E0">
            <w:pPr>
              <w:widowControl/>
              <w:jc w:val="left"/>
              <w:rPr>
                <w:color w:val="auto"/>
                <w:szCs w:val="21"/>
                <w:highlight w:val="none"/>
              </w:rPr>
            </w:pPr>
            <w:r>
              <w:rPr>
                <w:rFonts w:hint="eastAsia"/>
                <w:color w:val="auto"/>
                <w:szCs w:val="21"/>
                <w:highlight w:val="none"/>
              </w:rPr>
              <w:t>Y＜300</w:t>
            </w:r>
          </w:p>
        </w:tc>
      </w:tr>
      <w:tr w14:paraId="3DDB542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D4EB277">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EA23E33">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54D6306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2517EF9">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noWrap w:val="0"/>
            <w:vAlign w:val="center"/>
          </w:tcPr>
          <w:p w14:paraId="63CE8617">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noWrap w:val="0"/>
            <w:vAlign w:val="center"/>
          </w:tcPr>
          <w:p w14:paraId="5508A4D8">
            <w:pPr>
              <w:widowControl/>
              <w:jc w:val="left"/>
              <w:rPr>
                <w:color w:val="auto"/>
                <w:szCs w:val="21"/>
                <w:highlight w:val="none"/>
              </w:rPr>
            </w:pPr>
            <w:r>
              <w:rPr>
                <w:rFonts w:hint="eastAsia"/>
                <w:color w:val="auto"/>
                <w:szCs w:val="21"/>
                <w:highlight w:val="none"/>
              </w:rPr>
              <w:t>Z＜300</w:t>
            </w:r>
          </w:p>
        </w:tc>
      </w:tr>
      <w:tr w14:paraId="5D45957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F7A698A">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noWrap w:val="0"/>
            <w:vAlign w:val="center"/>
          </w:tcPr>
          <w:p w14:paraId="5E9B7A41">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260896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11776CD">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noWrap w:val="0"/>
            <w:vAlign w:val="center"/>
          </w:tcPr>
          <w:p w14:paraId="5C9704F9">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noWrap w:val="0"/>
            <w:vAlign w:val="center"/>
          </w:tcPr>
          <w:p w14:paraId="29E3EF3E">
            <w:pPr>
              <w:widowControl/>
              <w:jc w:val="left"/>
              <w:rPr>
                <w:color w:val="auto"/>
                <w:szCs w:val="21"/>
                <w:highlight w:val="none"/>
              </w:rPr>
            </w:pPr>
            <w:r>
              <w:rPr>
                <w:rFonts w:hint="eastAsia"/>
                <w:color w:val="auto"/>
                <w:szCs w:val="21"/>
                <w:highlight w:val="none"/>
              </w:rPr>
              <w:t>X＜5</w:t>
            </w:r>
          </w:p>
        </w:tc>
      </w:tr>
      <w:tr w14:paraId="2E28D5E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2A04FBB">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B6C92A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AE5F09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5B58E9F">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noWrap w:val="0"/>
            <w:vAlign w:val="center"/>
          </w:tcPr>
          <w:p w14:paraId="27F3FD73">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noWrap w:val="0"/>
            <w:vAlign w:val="center"/>
          </w:tcPr>
          <w:p w14:paraId="02E87EDF">
            <w:pPr>
              <w:widowControl/>
              <w:jc w:val="left"/>
              <w:rPr>
                <w:color w:val="auto"/>
                <w:szCs w:val="21"/>
                <w:highlight w:val="none"/>
              </w:rPr>
            </w:pPr>
            <w:r>
              <w:rPr>
                <w:rFonts w:hint="eastAsia"/>
                <w:color w:val="auto"/>
                <w:szCs w:val="21"/>
                <w:highlight w:val="none"/>
              </w:rPr>
              <w:t>Y＜1000</w:t>
            </w:r>
          </w:p>
        </w:tc>
      </w:tr>
      <w:tr w14:paraId="2D44801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C7F0AB5">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noWrap w:val="0"/>
            <w:vAlign w:val="center"/>
          </w:tcPr>
          <w:p w14:paraId="5AC13174">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78B558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1930F06">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noWrap w:val="0"/>
            <w:vAlign w:val="center"/>
          </w:tcPr>
          <w:p w14:paraId="0A14A0A8">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noWrap w:val="0"/>
            <w:vAlign w:val="center"/>
          </w:tcPr>
          <w:p w14:paraId="553E2DB6">
            <w:pPr>
              <w:widowControl/>
              <w:jc w:val="left"/>
              <w:rPr>
                <w:color w:val="auto"/>
                <w:szCs w:val="21"/>
                <w:highlight w:val="none"/>
              </w:rPr>
            </w:pPr>
            <w:r>
              <w:rPr>
                <w:rFonts w:hint="eastAsia"/>
                <w:color w:val="auto"/>
                <w:szCs w:val="21"/>
                <w:highlight w:val="none"/>
              </w:rPr>
              <w:t>X＜10</w:t>
            </w:r>
          </w:p>
        </w:tc>
      </w:tr>
      <w:tr w14:paraId="77C25FA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27F4CC7">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FFE013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E5CCB1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A412845">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1C0AB311">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noWrap w:val="0"/>
            <w:vAlign w:val="center"/>
          </w:tcPr>
          <w:p w14:paraId="61026C4F">
            <w:pPr>
              <w:widowControl/>
              <w:jc w:val="left"/>
              <w:rPr>
                <w:color w:val="auto"/>
                <w:szCs w:val="21"/>
                <w:highlight w:val="none"/>
              </w:rPr>
            </w:pPr>
            <w:r>
              <w:rPr>
                <w:rFonts w:hint="eastAsia"/>
                <w:color w:val="auto"/>
                <w:szCs w:val="21"/>
                <w:highlight w:val="none"/>
              </w:rPr>
              <w:t>Y＜100</w:t>
            </w:r>
          </w:p>
        </w:tc>
      </w:tr>
      <w:tr w14:paraId="25BB574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7B63107">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noWrap w:val="0"/>
            <w:vAlign w:val="center"/>
          </w:tcPr>
          <w:p w14:paraId="5248566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C2F4B8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ED297D9">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5DD12ACC">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70D0D3CA">
            <w:pPr>
              <w:widowControl/>
              <w:jc w:val="left"/>
              <w:rPr>
                <w:color w:val="auto"/>
                <w:szCs w:val="21"/>
                <w:highlight w:val="none"/>
              </w:rPr>
            </w:pPr>
            <w:r>
              <w:rPr>
                <w:rFonts w:hint="eastAsia"/>
                <w:color w:val="auto"/>
                <w:szCs w:val="21"/>
                <w:highlight w:val="none"/>
              </w:rPr>
              <w:t>X＜20</w:t>
            </w:r>
          </w:p>
        </w:tc>
      </w:tr>
      <w:tr w14:paraId="550DDED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75A6F8D">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A0F552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895770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3DEB87D">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noWrap w:val="0"/>
            <w:vAlign w:val="center"/>
          </w:tcPr>
          <w:p w14:paraId="7BA8A2ED">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noWrap w:val="0"/>
            <w:vAlign w:val="center"/>
          </w:tcPr>
          <w:p w14:paraId="65A7425F">
            <w:pPr>
              <w:widowControl/>
              <w:jc w:val="left"/>
              <w:rPr>
                <w:color w:val="auto"/>
                <w:szCs w:val="21"/>
                <w:highlight w:val="none"/>
              </w:rPr>
            </w:pPr>
            <w:r>
              <w:rPr>
                <w:rFonts w:hint="eastAsia"/>
                <w:color w:val="auto"/>
                <w:szCs w:val="21"/>
                <w:highlight w:val="none"/>
              </w:rPr>
              <w:t>Y＜200</w:t>
            </w:r>
          </w:p>
        </w:tc>
      </w:tr>
      <w:tr w14:paraId="1B9DA07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03DF131">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noWrap w:val="0"/>
            <w:vAlign w:val="center"/>
          </w:tcPr>
          <w:p w14:paraId="572110E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1923302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836E79F">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noWrap w:val="0"/>
            <w:vAlign w:val="center"/>
          </w:tcPr>
          <w:p w14:paraId="6AC87004">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noWrap w:val="0"/>
            <w:vAlign w:val="center"/>
          </w:tcPr>
          <w:p w14:paraId="7C32CD36">
            <w:pPr>
              <w:widowControl/>
              <w:jc w:val="left"/>
              <w:rPr>
                <w:color w:val="auto"/>
                <w:szCs w:val="21"/>
                <w:highlight w:val="none"/>
              </w:rPr>
            </w:pPr>
            <w:r>
              <w:rPr>
                <w:rFonts w:hint="eastAsia"/>
                <w:color w:val="auto"/>
                <w:szCs w:val="21"/>
                <w:highlight w:val="none"/>
              </w:rPr>
              <w:t>X＜20</w:t>
            </w:r>
          </w:p>
        </w:tc>
      </w:tr>
      <w:tr w14:paraId="5C20ABC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F24FF63">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BE669B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F55A0E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B4F6681">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noWrap w:val="0"/>
            <w:vAlign w:val="center"/>
          </w:tcPr>
          <w:p w14:paraId="460E3E5C">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69AC3D40">
            <w:pPr>
              <w:widowControl/>
              <w:jc w:val="left"/>
              <w:rPr>
                <w:color w:val="auto"/>
                <w:szCs w:val="21"/>
                <w:highlight w:val="none"/>
              </w:rPr>
            </w:pPr>
            <w:r>
              <w:rPr>
                <w:rFonts w:hint="eastAsia"/>
                <w:color w:val="auto"/>
                <w:szCs w:val="21"/>
                <w:highlight w:val="none"/>
              </w:rPr>
              <w:t>Y＜100</w:t>
            </w:r>
          </w:p>
        </w:tc>
      </w:tr>
      <w:tr w14:paraId="25C6AFC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AE125F6">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noWrap w:val="0"/>
            <w:vAlign w:val="center"/>
          </w:tcPr>
          <w:p w14:paraId="446B642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396644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E2842E1">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0D03314B">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4E18E032">
            <w:pPr>
              <w:widowControl/>
              <w:jc w:val="left"/>
              <w:rPr>
                <w:color w:val="auto"/>
                <w:szCs w:val="21"/>
                <w:highlight w:val="none"/>
              </w:rPr>
            </w:pPr>
            <w:r>
              <w:rPr>
                <w:rFonts w:hint="eastAsia"/>
                <w:color w:val="auto"/>
                <w:szCs w:val="21"/>
                <w:highlight w:val="none"/>
              </w:rPr>
              <w:t>X＜20</w:t>
            </w:r>
          </w:p>
        </w:tc>
      </w:tr>
      <w:tr w14:paraId="7BB8559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587C7A8">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DCEBB33">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62685C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E8DAD1E">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noWrap w:val="0"/>
            <w:vAlign w:val="center"/>
          </w:tcPr>
          <w:p w14:paraId="0908F265">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546FE4A4">
            <w:pPr>
              <w:widowControl/>
              <w:jc w:val="left"/>
              <w:rPr>
                <w:color w:val="auto"/>
                <w:szCs w:val="21"/>
                <w:highlight w:val="none"/>
              </w:rPr>
            </w:pPr>
            <w:r>
              <w:rPr>
                <w:rFonts w:hint="eastAsia"/>
                <w:color w:val="auto"/>
                <w:szCs w:val="21"/>
                <w:highlight w:val="none"/>
              </w:rPr>
              <w:t>Y＜100</w:t>
            </w:r>
          </w:p>
        </w:tc>
      </w:tr>
      <w:tr w14:paraId="06E27AD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F0A7AB8">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noWrap w:val="0"/>
            <w:vAlign w:val="center"/>
          </w:tcPr>
          <w:p w14:paraId="3E6E394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F62401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BCD763F">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C0A187C">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2F50FB6C">
            <w:pPr>
              <w:widowControl/>
              <w:jc w:val="left"/>
              <w:rPr>
                <w:color w:val="auto"/>
                <w:szCs w:val="21"/>
                <w:highlight w:val="none"/>
              </w:rPr>
            </w:pPr>
            <w:r>
              <w:rPr>
                <w:rFonts w:hint="eastAsia"/>
                <w:color w:val="auto"/>
                <w:szCs w:val="21"/>
                <w:highlight w:val="none"/>
              </w:rPr>
              <w:t>X＜10</w:t>
            </w:r>
          </w:p>
        </w:tc>
      </w:tr>
      <w:tr w14:paraId="6DBAAD0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A18CFBB">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878A9F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A14AD0F">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EED92B6">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1969A5EB">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2DDE7DBE">
            <w:pPr>
              <w:widowControl/>
              <w:jc w:val="left"/>
              <w:rPr>
                <w:color w:val="auto"/>
                <w:szCs w:val="21"/>
                <w:highlight w:val="none"/>
              </w:rPr>
            </w:pPr>
            <w:r>
              <w:rPr>
                <w:rFonts w:hint="eastAsia"/>
                <w:color w:val="auto"/>
                <w:szCs w:val="21"/>
                <w:highlight w:val="none"/>
              </w:rPr>
              <w:t>Y＜100</w:t>
            </w:r>
          </w:p>
        </w:tc>
      </w:tr>
      <w:tr w14:paraId="5E7C70E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90F93A3">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noWrap w:val="0"/>
            <w:vAlign w:val="center"/>
          </w:tcPr>
          <w:p w14:paraId="6D3F97B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5F8814A">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4852859">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0B2A1D6B">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29B2179D">
            <w:pPr>
              <w:widowControl/>
              <w:jc w:val="left"/>
              <w:rPr>
                <w:color w:val="auto"/>
                <w:szCs w:val="21"/>
                <w:highlight w:val="none"/>
              </w:rPr>
            </w:pPr>
            <w:r>
              <w:rPr>
                <w:rFonts w:hint="eastAsia"/>
                <w:color w:val="auto"/>
                <w:szCs w:val="21"/>
                <w:highlight w:val="none"/>
              </w:rPr>
              <w:t>X＜10</w:t>
            </w:r>
          </w:p>
        </w:tc>
      </w:tr>
      <w:tr w14:paraId="3BEFFEA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8967AD8">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3038F8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45BD58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08822F0">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253ACA9C">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08B0803F">
            <w:pPr>
              <w:widowControl/>
              <w:jc w:val="left"/>
              <w:rPr>
                <w:color w:val="auto"/>
                <w:szCs w:val="21"/>
                <w:highlight w:val="none"/>
              </w:rPr>
            </w:pPr>
            <w:r>
              <w:rPr>
                <w:rFonts w:hint="eastAsia"/>
                <w:color w:val="auto"/>
                <w:szCs w:val="21"/>
                <w:highlight w:val="none"/>
              </w:rPr>
              <w:t>Y＜100</w:t>
            </w:r>
          </w:p>
        </w:tc>
      </w:tr>
      <w:tr w14:paraId="7910633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5E4E4E9">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noWrap w:val="0"/>
            <w:vAlign w:val="center"/>
          </w:tcPr>
          <w:p w14:paraId="475EC24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1DAEB4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3B3797A">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noWrap w:val="0"/>
            <w:vAlign w:val="center"/>
          </w:tcPr>
          <w:p w14:paraId="47EAED48">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7A56955B">
            <w:pPr>
              <w:widowControl/>
              <w:jc w:val="left"/>
              <w:rPr>
                <w:color w:val="auto"/>
                <w:szCs w:val="21"/>
                <w:highlight w:val="none"/>
              </w:rPr>
            </w:pPr>
            <w:r>
              <w:rPr>
                <w:rFonts w:hint="eastAsia"/>
                <w:color w:val="auto"/>
                <w:szCs w:val="21"/>
                <w:highlight w:val="none"/>
              </w:rPr>
              <w:t>X＜10</w:t>
            </w:r>
          </w:p>
        </w:tc>
      </w:tr>
      <w:tr w14:paraId="5D528CE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D87AEC9">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B8A51E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FDFD1C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FD57BA3">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noWrap w:val="0"/>
            <w:vAlign w:val="center"/>
          </w:tcPr>
          <w:p w14:paraId="34FBEB0A">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2E153A04">
            <w:pPr>
              <w:widowControl/>
              <w:jc w:val="left"/>
              <w:rPr>
                <w:color w:val="auto"/>
                <w:szCs w:val="21"/>
                <w:highlight w:val="none"/>
              </w:rPr>
            </w:pPr>
            <w:r>
              <w:rPr>
                <w:rFonts w:hint="eastAsia"/>
                <w:color w:val="auto"/>
                <w:szCs w:val="21"/>
                <w:highlight w:val="none"/>
              </w:rPr>
              <w:t>Y＜100</w:t>
            </w:r>
          </w:p>
        </w:tc>
      </w:tr>
      <w:tr w14:paraId="5975CE4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36849B1">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noWrap w:val="0"/>
            <w:vAlign w:val="center"/>
          </w:tcPr>
          <w:p w14:paraId="2EE26B9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8731785">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7CA94C6">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B7544A8">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3EF6FB5B">
            <w:pPr>
              <w:widowControl/>
              <w:jc w:val="left"/>
              <w:rPr>
                <w:color w:val="auto"/>
                <w:szCs w:val="21"/>
                <w:highlight w:val="none"/>
              </w:rPr>
            </w:pPr>
            <w:r>
              <w:rPr>
                <w:rFonts w:hint="eastAsia"/>
                <w:color w:val="auto"/>
                <w:szCs w:val="21"/>
                <w:highlight w:val="none"/>
              </w:rPr>
              <w:t>X＜10</w:t>
            </w:r>
          </w:p>
        </w:tc>
      </w:tr>
      <w:tr w14:paraId="24B91D8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7425B39">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E8EFEA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F30AE5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E0C3D58">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noWrap w:val="0"/>
            <w:vAlign w:val="center"/>
          </w:tcPr>
          <w:p w14:paraId="4CCF7757">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noWrap w:val="0"/>
            <w:vAlign w:val="center"/>
          </w:tcPr>
          <w:p w14:paraId="693F08B9">
            <w:pPr>
              <w:widowControl/>
              <w:jc w:val="left"/>
              <w:rPr>
                <w:color w:val="auto"/>
                <w:szCs w:val="21"/>
                <w:highlight w:val="none"/>
              </w:rPr>
            </w:pPr>
            <w:r>
              <w:rPr>
                <w:rFonts w:hint="eastAsia"/>
                <w:color w:val="auto"/>
                <w:szCs w:val="21"/>
                <w:highlight w:val="none"/>
              </w:rPr>
              <w:t>Y＜50</w:t>
            </w:r>
          </w:p>
        </w:tc>
      </w:tr>
      <w:tr w14:paraId="11C6BA4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6761522">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noWrap w:val="0"/>
            <w:vAlign w:val="center"/>
          </w:tcPr>
          <w:p w14:paraId="5965BB9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C5F357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AA44D30">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noWrap w:val="0"/>
            <w:vAlign w:val="center"/>
          </w:tcPr>
          <w:p w14:paraId="3B2BBAF6">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noWrap w:val="0"/>
            <w:vAlign w:val="center"/>
          </w:tcPr>
          <w:p w14:paraId="769D8BFF">
            <w:pPr>
              <w:widowControl/>
              <w:jc w:val="left"/>
              <w:rPr>
                <w:color w:val="auto"/>
                <w:szCs w:val="21"/>
                <w:highlight w:val="none"/>
              </w:rPr>
            </w:pPr>
            <w:r>
              <w:rPr>
                <w:rFonts w:hint="eastAsia"/>
                <w:color w:val="auto"/>
                <w:szCs w:val="21"/>
                <w:highlight w:val="none"/>
              </w:rPr>
              <w:t>X＜100</w:t>
            </w:r>
          </w:p>
        </w:tc>
      </w:tr>
      <w:tr w14:paraId="35100EB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E063930">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7EA1020">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53E23C8F">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82FC8C5">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noWrap w:val="0"/>
            <w:vAlign w:val="center"/>
          </w:tcPr>
          <w:p w14:paraId="3303699A">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noWrap w:val="0"/>
            <w:vAlign w:val="center"/>
          </w:tcPr>
          <w:p w14:paraId="30641DC6">
            <w:pPr>
              <w:widowControl/>
              <w:jc w:val="left"/>
              <w:rPr>
                <w:color w:val="auto"/>
                <w:szCs w:val="21"/>
                <w:highlight w:val="none"/>
              </w:rPr>
            </w:pPr>
            <w:r>
              <w:rPr>
                <w:rFonts w:hint="eastAsia"/>
                <w:color w:val="auto"/>
                <w:szCs w:val="21"/>
                <w:highlight w:val="none"/>
              </w:rPr>
              <w:t>Y＜2000</w:t>
            </w:r>
          </w:p>
        </w:tc>
      </w:tr>
      <w:tr w14:paraId="6D7C4C2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C49CE4A">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noWrap w:val="0"/>
            <w:vAlign w:val="center"/>
          </w:tcPr>
          <w:p w14:paraId="2F2F391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35042E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3DD5FAA2">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20CF5567">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noWrap w:val="0"/>
            <w:vAlign w:val="center"/>
          </w:tcPr>
          <w:p w14:paraId="13BDA207">
            <w:pPr>
              <w:widowControl/>
              <w:jc w:val="left"/>
              <w:rPr>
                <w:color w:val="auto"/>
                <w:szCs w:val="21"/>
                <w:highlight w:val="none"/>
              </w:rPr>
            </w:pPr>
            <w:r>
              <w:rPr>
                <w:rFonts w:hint="eastAsia"/>
                <w:color w:val="auto"/>
                <w:szCs w:val="21"/>
                <w:highlight w:val="none"/>
              </w:rPr>
              <w:t>X＜100</w:t>
            </w:r>
          </w:p>
        </w:tc>
      </w:tr>
      <w:tr w14:paraId="557EB07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64063E0">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38403E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5C8F24F">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910F95E">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noWrap w:val="0"/>
            <w:vAlign w:val="center"/>
          </w:tcPr>
          <w:p w14:paraId="7E6A6B1F">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noWrap w:val="0"/>
            <w:vAlign w:val="center"/>
          </w:tcPr>
          <w:p w14:paraId="5D415564">
            <w:pPr>
              <w:widowControl/>
              <w:jc w:val="left"/>
              <w:rPr>
                <w:color w:val="auto"/>
                <w:szCs w:val="21"/>
                <w:highlight w:val="none"/>
              </w:rPr>
            </w:pPr>
            <w:r>
              <w:rPr>
                <w:rFonts w:hint="eastAsia"/>
                <w:color w:val="auto"/>
                <w:szCs w:val="21"/>
                <w:highlight w:val="none"/>
              </w:rPr>
              <w:t>Y＜500</w:t>
            </w:r>
          </w:p>
        </w:tc>
      </w:tr>
      <w:tr w14:paraId="3054E8D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C14EE63">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noWrap w:val="0"/>
            <w:vAlign w:val="center"/>
          </w:tcPr>
          <w:p w14:paraId="4ED85CA0">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7A6A6C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3E1218D">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05F5E55">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7588F440">
            <w:pPr>
              <w:widowControl/>
              <w:jc w:val="left"/>
              <w:rPr>
                <w:color w:val="auto"/>
                <w:szCs w:val="21"/>
                <w:highlight w:val="none"/>
              </w:rPr>
            </w:pPr>
            <w:r>
              <w:rPr>
                <w:rFonts w:hint="eastAsia"/>
                <w:color w:val="auto"/>
                <w:szCs w:val="21"/>
                <w:highlight w:val="none"/>
              </w:rPr>
              <w:t>X＜10</w:t>
            </w:r>
          </w:p>
        </w:tc>
      </w:tr>
      <w:tr w14:paraId="12A936F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4760692">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8766182">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66BFE6E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9B13C25">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noWrap w:val="0"/>
            <w:vAlign w:val="center"/>
          </w:tcPr>
          <w:p w14:paraId="4F14EFAF">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noWrap w:val="0"/>
            <w:vAlign w:val="center"/>
          </w:tcPr>
          <w:p w14:paraId="06119ACB">
            <w:pPr>
              <w:widowControl/>
              <w:jc w:val="left"/>
              <w:rPr>
                <w:color w:val="auto"/>
                <w:szCs w:val="21"/>
                <w:highlight w:val="none"/>
              </w:rPr>
            </w:pPr>
            <w:r>
              <w:rPr>
                <w:rFonts w:hint="eastAsia"/>
                <w:color w:val="auto"/>
                <w:szCs w:val="21"/>
                <w:highlight w:val="none"/>
              </w:rPr>
              <w:t>Y＜100</w:t>
            </w:r>
          </w:p>
        </w:tc>
      </w:tr>
      <w:tr w14:paraId="6A46E7C8">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4A0CF6B6">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noWrap w:val="0"/>
            <w:vAlign w:val="center"/>
          </w:tcPr>
          <w:p w14:paraId="75D71C34">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C9B5935">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8AEE572">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84E1A98">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39CFB2BC">
            <w:pPr>
              <w:widowControl/>
              <w:jc w:val="left"/>
              <w:rPr>
                <w:color w:val="auto"/>
                <w:szCs w:val="21"/>
                <w:highlight w:val="none"/>
              </w:rPr>
            </w:pPr>
            <w:r>
              <w:rPr>
                <w:rFonts w:hint="eastAsia"/>
                <w:color w:val="auto"/>
                <w:szCs w:val="21"/>
                <w:highlight w:val="none"/>
              </w:rPr>
              <w:t>X＜10</w:t>
            </w:r>
          </w:p>
        </w:tc>
      </w:tr>
    </w:tbl>
    <w:p w14:paraId="3C0158BD">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0DC7ADB">
      <w:pPr>
        <w:spacing w:line="360" w:lineRule="auto"/>
        <w:rPr>
          <w:color w:val="auto"/>
          <w:sz w:val="28"/>
          <w:szCs w:val="28"/>
          <w:highlight w:val="none"/>
        </w:rPr>
      </w:pPr>
      <w:r>
        <w:rPr>
          <w:color w:val="auto"/>
          <w:szCs w:val="21"/>
          <w:highlight w:val="none"/>
        </w:rPr>
        <w:br w:type="page"/>
      </w:r>
      <w:r>
        <w:rPr>
          <w:rFonts w:ascii="宋体" w:hAnsi="宋体" w:cs="宋体"/>
          <w:color w:val="auto"/>
          <w:position w:val="-335"/>
          <w:sz w:val="20"/>
          <w:szCs w:val="20"/>
          <w:highlight w:val="none"/>
        </w:rPr>
        <w:drawing>
          <wp:anchor distT="0" distB="0" distL="114300" distR="114300" simplePos="0" relativeHeight="251660288" behindDoc="0" locked="0" layoutInCell="1" allowOverlap="1">
            <wp:simplePos x="0" y="0"/>
            <wp:positionH relativeFrom="column">
              <wp:posOffset>-17145</wp:posOffset>
            </wp:positionH>
            <wp:positionV relativeFrom="paragraph">
              <wp:posOffset>528320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9"/>
                    <a:stretch>
                      <a:fillRect/>
                    </a:stretch>
                  </pic:blipFill>
                  <pic:spPr>
                    <a:xfrm>
                      <a:off x="0" y="0"/>
                      <a:ext cx="5573395" cy="8125460"/>
                    </a:xfrm>
                    <a:prstGeom prst="rect">
                      <a:avLst/>
                    </a:prstGeom>
                    <a:noFill/>
                    <a:ln>
                      <a:noFill/>
                    </a:ln>
                  </pic:spPr>
                </pic:pic>
              </a:graphicData>
            </a:graphic>
          </wp:anchor>
        </w:drawing>
      </w:r>
      <w:r>
        <w:rPr>
          <w:rFonts w:hint="eastAsia"/>
          <w:color w:val="auto"/>
          <w:sz w:val="28"/>
          <w:szCs w:val="28"/>
          <w:highlight w:val="none"/>
        </w:rPr>
        <w:t>附件2：</w:t>
      </w:r>
    </w:p>
    <w:p w14:paraId="112CAE02">
      <w:pPr>
        <w:spacing w:line="360" w:lineRule="auto"/>
        <w:rPr>
          <w:rFonts w:hint="eastAsia"/>
          <w:color w:val="auto"/>
          <w:szCs w:val="21"/>
          <w:highlight w:val="none"/>
        </w:rPr>
        <w:sectPr>
          <w:footerReference r:id="rId15" w:type="first"/>
          <w:headerReference r:id="rId14" w:type="default"/>
          <w:pgSz w:w="11906" w:h="16838"/>
          <w:pgMar w:top="851" w:right="1133" w:bottom="1246" w:left="1418" w:header="851" w:footer="901" w:gutter="0"/>
          <w:pgNumType w:fmt="decimal"/>
          <w:cols w:space="720" w:num="1"/>
          <w:docGrid w:linePitch="312" w:charSpace="0"/>
        </w:sectPr>
      </w:pPr>
    </w:p>
    <w:p w14:paraId="0C5D3D17">
      <w:pPr>
        <w:spacing w:line="360" w:lineRule="auto"/>
        <w:rPr>
          <w:color w:val="auto"/>
          <w:sz w:val="28"/>
          <w:szCs w:val="28"/>
          <w:highlight w:val="none"/>
        </w:rPr>
      </w:pPr>
      <w:r>
        <w:rPr>
          <w:rFonts w:hint="eastAsia"/>
          <w:color w:val="auto"/>
          <w:sz w:val="28"/>
          <w:szCs w:val="28"/>
          <w:highlight w:val="none"/>
        </w:rPr>
        <w:t>附件3：</w:t>
      </w:r>
    </w:p>
    <w:p w14:paraId="5A5C556F">
      <w:pPr>
        <w:spacing w:line="528" w:lineRule="exact"/>
        <w:ind w:firstLine="280" w:firstLineChars="100"/>
        <w:jc w:val="center"/>
        <w:rPr>
          <w:rFonts w:hint="eastAsia" w:ascii="Arial Unicode MS" w:hAnsi="Arial Unicode MS" w:eastAsia="Arial Unicode MS" w:cs="Arial Unicode MS"/>
          <w:color w:val="auto"/>
          <w:sz w:val="40"/>
          <w:szCs w:val="40"/>
          <w:highlight w:val="none"/>
        </w:rPr>
      </w:pPr>
      <w:r>
        <w:rPr>
          <w:rFonts w:hint="eastAsia"/>
          <w:color w:val="auto"/>
          <w:sz w:val="28"/>
          <w:szCs w:val="28"/>
          <w:highlight w:val="none"/>
        </w:rPr>
        <w:t>节能产品政府采购品目清单</w:t>
      </w:r>
    </w:p>
    <w:tbl>
      <w:tblPr>
        <w:tblStyle w:val="53"/>
        <w:tblW w:w="0" w:type="auto"/>
        <w:tblInd w:w="-5" w:type="dxa"/>
        <w:tblLayout w:type="fixed"/>
        <w:tblCellMar>
          <w:top w:w="0" w:type="dxa"/>
          <w:left w:w="0" w:type="dxa"/>
          <w:bottom w:w="0" w:type="dxa"/>
          <w:right w:w="0" w:type="dxa"/>
        </w:tblCellMar>
      </w:tblPr>
      <w:tblGrid>
        <w:gridCol w:w="646"/>
        <w:gridCol w:w="1094"/>
        <w:gridCol w:w="1800"/>
        <w:gridCol w:w="1916"/>
        <w:gridCol w:w="2966"/>
      </w:tblGrid>
      <w:tr w14:paraId="68B0AE31">
        <w:tblPrEx>
          <w:tblCellMar>
            <w:top w:w="0" w:type="dxa"/>
            <w:left w:w="0" w:type="dxa"/>
            <w:bottom w:w="0" w:type="dxa"/>
            <w:right w:w="0" w:type="dxa"/>
          </w:tblCellMar>
        </w:tblPrEx>
        <w:trPr>
          <w:trHeight w:val="782" w:hRule="exact"/>
        </w:trPr>
        <w:tc>
          <w:tcPr>
            <w:tcW w:w="646" w:type="dxa"/>
            <w:tcBorders>
              <w:top w:val="single" w:color="000000" w:sz="4" w:space="0"/>
              <w:left w:val="single" w:color="000000" w:sz="4" w:space="0"/>
              <w:bottom w:val="single" w:color="000000" w:sz="4" w:space="0"/>
              <w:right w:val="single" w:color="000000" w:sz="4" w:space="0"/>
            </w:tcBorders>
            <w:noWrap w:val="0"/>
            <w:vAlign w:val="top"/>
          </w:tcPr>
          <w:p w14:paraId="3D89B30D">
            <w:pPr>
              <w:pStyle w:val="170"/>
              <w:spacing w:before="57" w:line="256" w:lineRule="auto"/>
              <w:ind w:left="59" w:right="60"/>
              <w:rPr>
                <w:rFonts w:ascii="宋体" w:hAnsi="宋体" w:cs="宋体"/>
                <w:color w:val="auto"/>
                <w:highlight w:val="none"/>
              </w:rPr>
            </w:pPr>
            <w:r>
              <w:rPr>
                <w:rFonts w:hint="eastAsia" w:ascii="宋体" w:hAnsi="宋体" w:cs="宋体"/>
                <w:b/>
                <w:bCs/>
                <w:color w:val="auto"/>
                <w:w w:val="99"/>
                <w:highlight w:val="none"/>
              </w:rPr>
              <w:t>品目序号</w:t>
            </w:r>
          </w:p>
        </w:tc>
        <w:tc>
          <w:tcPr>
            <w:tcW w:w="4810" w:type="dxa"/>
            <w:gridSpan w:val="3"/>
            <w:tcBorders>
              <w:top w:val="single" w:color="000000" w:sz="4" w:space="0"/>
              <w:left w:val="single" w:color="000000" w:sz="4" w:space="0"/>
              <w:bottom w:val="single" w:color="000000" w:sz="4" w:space="0"/>
              <w:right w:val="single" w:color="000000" w:sz="4" w:space="0"/>
            </w:tcBorders>
            <w:noWrap w:val="0"/>
            <w:vAlign w:val="top"/>
          </w:tcPr>
          <w:p w14:paraId="48141D1C">
            <w:pPr>
              <w:pStyle w:val="170"/>
              <w:spacing w:before="4"/>
              <w:rPr>
                <w:rFonts w:ascii="宋体" w:hAnsi="宋体" w:cs="宋体"/>
                <w:color w:val="auto"/>
                <w:sz w:val="16"/>
                <w:szCs w:val="16"/>
                <w:highlight w:val="none"/>
              </w:rPr>
            </w:pPr>
          </w:p>
          <w:p w14:paraId="247E865D">
            <w:pPr>
              <w:pStyle w:val="170"/>
              <w:jc w:val="center"/>
              <w:rPr>
                <w:rFonts w:ascii="宋体" w:hAnsi="宋体" w:cs="宋体"/>
                <w:color w:val="auto"/>
                <w:highlight w:val="none"/>
              </w:rPr>
            </w:pPr>
            <w:r>
              <w:rPr>
                <w:rFonts w:hint="eastAsia" w:ascii="宋体" w:hAnsi="宋体" w:cs="宋体"/>
                <w:b/>
                <w:bCs/>
                <w:color w:val="auto"/>
                <w:w w:val="99"/>
                <w:highlight w:val="none"/>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D0AD5EE">
            <w:pPr>
              <w:pStyle w:val="170"/>
              <w:spacing w:before="4"/>
              <w:rPr>
                <w:rFonts w:ascii="宋体" w:hAnsi="宋体" w:cs="宋体"/>
                <w:color w:val="auto"/>
                <w:sz w:val="16"/>
                <w:szCs w:val="16"/>
                <w:highlight w:val="none"/>
              </w:rPr>
            </w:pPr>
          </w:p>
          <w:p w14:paraId="185D5F07">
            <w:pPr>
              <w:pStyle w:val="170"/>
              <w:ind w:left="926"/>
              <w:rPr>
                <w:rFonts w:ascii="宋体" w:hAnsi="宋体" w:cs="宋体"/>
                <w:color w:val="auto"/>
                <w:highlight w:val="none"/>
              </w:rPr>
            </w:pPr>
            <w:r>
              <w:rPr>
                <w:rFonts w:hint="eastAsia" w:ascii="宋体" w:hAnsi="宋体" w:cs="宋体"/>
                <w:b/>
                <w:bCs/>
                <w:color w:val="auto"/>
                <w:w w:val="99"/>
                <w:highlight w:val="none"/>
              </w:rPr>
              <w:t>依据的标准</w:t>
            </w:r>
          </w:p>
        </w:tc>
      </w:tr>
      <w:tr w14:paraId="7693F939">
        <w:tblPrEx>
          <w:tblCellMar>
            <w:top w:w="0" w:type="dxa"/>
            <w:left w:w="0" w:type="dxa"/>
            <w:bottom w:w="0" w:type="dxa"/>
            <w:right w:w="0" w:type="dxa"/>
          </w:tblCellMar>
        </w:tblPrEx>
        <w:trPr>
          <w:trHeight w:val="821" w:hRule="exac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top"/>
          </w:tcPr>
          <w:p w14:paraId="72C9B1C3">
            <w:pPr>
              <w:pStyle w:val="170"/>
              <w:rPr>
                <w:rFonts w:ascii="宋体" w:hAnsi="宋体" w:cs="宋体"/>
                <w:color w:val="auto"/>
                <w:sz w:val="20"/>
                <w:szCs w:val="20"/>
                <w:highlight w:val="none"/>
              </w:rPr>
            </w:pPr>
          </w:p>
          <w:p w14:paraId="75026F30">
            <w:pPr>
              <w:pStyle w:val="170"/>
              <w:rPr>
                <w:rFonts w:ascii="宋体" w:hAnsi="宋体" w:cs="宋体"/>
                <w:color w:val="auto"/>
                <w:sz w:val="20"/>
                <w:szCs w:val="20"/>
                <w:highlight w:val="none"/>
              </w:rPr>
            </w:pPr>
          </w:p>
          <w:p w14:paraId="405AC78B">
            <w:pPr>
              <w:pStyle w:val="170"/>
              <w:rPr>
                <w:rFonts w:ascii="宋体" w:hAnsi="宋体" w:cs="宋体"/>
                <w:color w:val="auto"/>
                <w:sz w:val="20"/>
                <w:szCs w:val="20"/>
                <w:highlight w:val="none"/>
              </w:rPr>
            </w:pPr>
          </w:p>
          <w:p w14:paraId="40062677">
            <w:pPr>
              <w:pStyle w:val="170"/>
              <w:spacing w:before="11"/>
              <w:rPr>
                <w:rFonts w:ascii="宋体" w:hAnsi="宋体" w:cs="宋体"/>
                <w:color w:val="auto"/>
                <w:sz w:val="15"/>
                <w:szCs w:val="15"/>
                <w:highlight w:val="none"/>
              </w:rPr>
            </w:pPr>
          </w:p>
          <w:p w14:paraId="7A3C6205">
            <w:pPr>
              <w:pStyle w:val="170"/>
              <w:ind w:right="1"/>
              <w:jc w:val="center"/>
              <w:rPr>
                <w:rFonts w:ascii="宋体" w:hAnsi="宋体" w:cs="宋体"/>
                <w:color w:val="auto"/>
                <w:sz w:val="20"/>
                <w:szCs w:val="20"/>
                <w:highlight w:val="none"/>
              </w:rPr>
            </w:pPr>
            <w:r>
              <w:rPr>
                <w:rFonts w:hint="eastAsia" w:ascii="宋体"/>
                <w:color w:val="auto"/>
                <w:w w:val="99"/>
                <w:sz w:val="20"/>
                <w:highlight w:val="none"/>
              </w:rPr>
              <w:t>1</w:t>
            </w:r>
          </w:p>
        </w:tc>
        <w:tc>
          <w:tcPr>
            <w:tcW w:w="1094" w:type="dxa"/>
            <w:vMerge w:val="restart"/>
            <w:tcBorders>
              <w:top w:val="single" w:color="000000" w:sz="4" w:space="0"/>
              <w:left w:val="single" w:color="000000" w:sz="4" w:space="0"/>
              <w:bottom w:val="single" w:color="000000" w:sz="4" w:space="0"/>
              <w:right w:val="single" w:color="000000" w:sz="4" w:space="0"/>
            </w:tcBorders>
            <w:noWrap w:val="0"/>
            <w:vAlign w:val="top"/>
          </w:tcPr>
          <w:p w14:paraId="1FA4C630">
            <w:pPr>
              <w:pStyle w:val="170"/>
              <w:rPr>
                <w:rFonts w:ascii="宋体" w:hAnsi="宋体" w:cs="宋体"/>
                <w:color w:val="auto"/>
                <w:sz w:val="20"/>
                <w:szCs w:val="20"/>
                <w:highlight w:val="none"/>
              </w:rPr>
            </w:pPr>
          </w:p>
          <w:p w14:paraId="634D491E">
            <w:pPr>
              <w:pStyle w:val="170"/>
              <w:rPr>
                <w:rFonts w:ascii="宋体" w:hAnsi="宋体" w:cs="宋体"/>
                <w:color w:val="auto"/>
                <w:sz w:val="20"/>
                <w:szCs w:val="20"/>
                <w:highlight w:val="none"/>
              </w:rPr>
            </w:pPr>
          </w:p>
          <w:p w14:paraId="75B4E4F2">
            <w:pPr>
              <w:pStyle w:val="170"/>
              <w:spacing w:before="12"/>
              <w:rPr>
                <w:rFonts w:ascii="宋体" w:hAnsi="宋体" w:cs="宋体"/>
                <w:color w:val="auto"/>
                <w:sz w:val="23"/>
                <w:szCs w:val="23"/>
                <w:highlight w:val="none"/>
              </w:rPr>
            </w:pPr>
          </w:p>
          <w:p w14:paraId="1D3708DC">
            <w:pPr>
              <w:pStyle w:val="17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1计算机设备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F79D403">
            <w:pPr>
              <w:pStyle w:val="170"/>
              <w:spacing w:before="93" w:line="283" w:lineRule="auto"/>
              <w:ind w:left="7" w:right="5"/>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10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753C13E">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EB8F93A">
            <w:pPr>
              <w:pStyle w:val="170"/>
              <w:spacing w:before="93"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14:paraId="02ED7F83">
        <w:tblPrEx>
          <w:tblCellMar>
            <w:top w:w="0" w:type="dxa"/>
            <w:left w:w="0" w:type="dxa"/>
            <w:bottom w:w="0" w:type="dxa"/>
            <w:right w:w="0" w:type="dxa"/>
          </w:tblCellMar>
        </w:tblPrEx>
        <w:trPr>
          <w:trHeight w:val="727"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3AE710">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A2E05">
            <w:pPr>
              <w:widowControl/>
              <w:rPr>
                <w:rFonts w:ascii="宋体" w:hAnsi="宋体" w:cs="宋体"/>
                <w:color w:val="auto"/>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96DCB90">
            <w:pPr>
              <w:pStyle w:val="170"/>
              <w:spacing w:before="44" w:line="283" w:lineRule="auto"/>
              <w:ind w:left="7" w:right="5"/>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10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A3D3C21">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E4D2B60">
            <w:pPr>
              <w:pStyle w:val="170"/>
              <w:spacing w:before="4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14:paraId="4F243F2B">
        <w:tblPrEx>
          <w:tblCellMar>
            <w:top w:w="0" w:type="dxa"/>
            <w:left w:w="0" w:type="dxa"/>
            <w:bottom w:w="0" w:type="dxa"/>
            <w:right w:w="0" w:type="dxa"/>
          </w:tblCellMar>
        </w:tblPrEx>
        <w:trPr>
          <w:trHeight w:val="763"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7F393">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281F6">
            <w:pPr>
              <w:widowControl/>
              <w:rPr>
                <w:rFonts w:ascii="宋体" w:hAnsi="宋体" w:cs="宋体"/>
                <w:color w:val="auto"/>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938C36B">
            <w:pPr>
              <w:pStyle w:val="170"/>
              <w:spacing w:before="64" w:line="283" w:lineRule="auto"/>
              <w:ind w:left="7" w:right="5"/>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A020</w:t>
            </w:r>
            <w:r>
              <w:rPr>
                <w:rFonts w:hint="eastAsia" w:ascii="宋体" w:hAnsi="宋体" w:cs="宋体"/>
                <w:color w:val="auto"/>
                <w:w w:val="99"/>
                <w:sz w:val="20"/>
                <w:szCs w:val="20"/>
                <w:highlight w:val="none"/>
                <w:lang w:eastAsia="zh-CN"/>
              </w:rPr>
              <w:t>10</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07平板式微型计</w:t>
            </w:r>
            <w:r>
              <w:rPr>
                <w:rFonts w:hint="eastAsia" w:ascii="宋体" w:hAnsi="宋体" w:cs="宋体"/>
                <w:color w:val="auto"/>
                <w:spacing w:val="2"/>
                <w:w w:val="99"/>
                <w:sz w:val="20"/>
                <w:szCs w:val="20"/>
                <w:highlight w:val="none"/>
                <w:lang w:eastAsia="zh-CN"/>
              </w:rPr>
              <w:t>算</w:t>
            </w:r>
            <w:r>
              <w:rPr>
                <w:rFonts w:hint="eastAsia" w:ascii="宋体" w:hAnsi="宋体" w:cs="宋体"/>
                <w:color w:val="auto"/>
                <w:w w:val="99"/>
                <w:sz w:val="20"/>
                <w:szCs w:val="20"/>
                <w:highlight w:val="none"/>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69494F8">
            <w:pPr>
              <w:rPr>
                <w:rFonts w:ascii="Calibri" w:hAnsi="Calibri"/>
                <w:color w:val="auto"/>
                <w:sz w:val="22"/>
                <w:szCs w:val="22"/>
                <w:highlight w:val="none"/>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0E7FC34">
            <w:pPr>
              <w:pStyle w:val="170"/>
              <w:spacing w:before="6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14:paraId="0FB5748D">
        <w:tblPrEx>
          <w:tblCellMar>
            <w:top w:w="0" w:type="dxa"/>
            <w:left w:w="0" w:type="dxa"/>
            <w:bottom w:w="0" w:type="dxa"/>
            <w:right w:w="0" w:type="dxa"/>
          </w:tblCellMar>
        </w:tblPrEx>
        <w:trPr>
          <w:trHeight w:val="742" w:hRule="exac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top"/>
          </w:tcPr>
          <w:p w14:paraId="62540D4D">
            <w:pPr>
              <w:pStyle w:val="170"/>
              <w:rPr>
                <w:rFonts w:ascii="宋体" w:hAnsi="宋体" w:cs="宋体"/>
                <w:color w:val="auto"/>
                <w:sz w:val="20"/>
                <w:szCs w:val="20"/>
                <w:highlight w:val="none"/>
                <w:lang w:eastAsia="zh-CN"/>
              </w:rPr>
            </w:pPr>
          </w:p>
          <w:p w14:paraId="4C9630B2">
            <w:pPr>
              <w:pStyle w:val="170"/>
              <w:rPr>
                <w:rFonts w:ascii="宋体" w:hAnsi="宋体" w:cs="宋体"/>
                <w:color w:val="auto"/>
                <w:sz w:val="20"/>
                <w:szCs w:val="20"/>
                <w:highlight w:val="none"/>
                <w:lang w:eastAsia="zh-CN"/>
              </w:rPr>
            </w:pPr>
          </w:p>
          <w:p w14:paraId="7B4389CF">
            <w:pPr>
              <w:pStyle w:val="170"/>
              <w:rPr>
                <w:rFonts w:ascii="宋体" w:hAnsi="宋体" w:cs="宋体"/>
                <w:color w:val="auto"/>
                <w:sz w:val="20"/>
                <w:szCs w:val="20"/>
                <w:highlight w:val="none"/>
                <w:lang w:eastAsia="zh-CN"/>
              </w:rPr>
            </w:pPr>
          </w:p>
          <w:p w14:paraId="188007E3">
            <w:pPr>
              <w:pStyle w:val="170"/>
              <w:rPr>
                <w:rFonts w:ascii="宋体" w:hAnsi="宋体" w:cs="宋体"/>
                <w:color w:val="auto"/>
                <w:sz w:val="20"/>
                <w:szCs w:val="20"/>
                <w:highlight w:val="none"/>
                <w:lang w:eastAsia="zh-CN"/>
              </w:rPr>
            </w:pPr>
          </w:p>
          <w:p w14:paraId="574EAE8A">
            <w:pPr>
              <w:pStyle w:val="170"/>
              <w:rPr>
                <w:rFonts w:ascii="宋体" w:hAnsi="宋体" w:cs="宋体"/>
                <w:color w:val="auto"/>
                <w:sz w:val="20"/>
                <w:szCs w:val="20"/>
                <w:highlight w:val="none"/>
                <w:lang w:eastAsia="zh-CN"/>
              </w:rPr>
            </w:pPr>
          </w:p>
          <w:p w14:paraId="1743F0F3">
            <w:pPr>
              <w:pStyle w:val="170"/>
              <w:rPr>
                <w:rFonts w:ascii="宋体" w:hAnsi="宋体" w:cs="宋体"/>
                <w:color w:val="auto"/>
                <w:sz w:val="20"/>
                <w:szCs w:val="20"/>
                <w:highlight w:val="none"/>
                <w:lang w:eastAsia="zh-CN"/>
              </w:rPr>
            </w:pPr>
          </w:p>
          <w:p w14:paraId="6312AB75">
            <w:pPr>
              <w:pStyle w:val="170"/>
              <w:rPr>
                <w:rFonts w:ascii="宋体" w:hAnsi="宋体" w:cs="宋体"/>
                <w:color w:val="auto"/>
                <w:sz w:val="20"/>
                <w:szCs w:val="20"/>
                <w:highlight w:val="none"/>
                <w:lang w:eastAsia="zh-CN"/>
              </w:rPr>
            </w:pPr>
          </w:p>
          <w:p w14:paraId="225F3C16">
            <w:pPr>
              <w:pStyle w:val="170"/>
              <w:spacing w:before="2"/>
              <w:rPr>
                <w:rFonts w:ascii="宋体" w:hAnsi="宋体" w:cs="宋体"/>
                <w:color w:val="auto"/>
                <w:sz w:val="14"/>
                <w:szCs w:val="14"/>
                <w:highlight w:val="none"/>
                <w:lang w:eastAsia="zh-CN"/>
              </w:rPr>
            </w:pPr>
          </w:p>
          <w:p w14:paraId="7FF0ECF6">
            <w:pPr>
              <w:pStyle w:val="170"/>
              <w:ind w:right="1"/>
              <w:jc w:val="center"/>
              <w:rPr>
                <w:rFonts w:ascii="宋体" w:hAnsi="宋体" w:cs="宋体"/>
                <w:color w:val="auto"/>
                <w:sz w:val="20"/>
                <w:szCs w:val="20"/>
                <w:highlight w:val="none"/>
              </w:rPr>
            </w:pPr>
            <w:r>
              <w:rPr>
                <w:rFonts w:hint="eastAsia" w:ascii="宋体"/>
                <w:color w:val="auto"/>
                <w:w w:val="99"/>
                <w:sz w:val="20"/>
                <w:highlight w:val="none"/>
              </w:rPr>
              <w:t>2</w:t>
            </w:r>
          </w:p>
        </w:tc>
        <w:tc>
          <w:tcPr>
            <w:tcW w:w="1094" w:type="dxa"/>
            <w:vMerge w:val="restart"/>
            <w:tcBorders>
              <w:top w:val="single" w:color="000000" w:sz="4" w:space="0"/>
              <w:left w:val="single" w:color="000000" w:sz="4" w:space="0"/>
              <w:bottom w:val="single" w:color="000000" w:sz="4" w:space="0"/>
              <w:right w:val="single" w:color="000000" w:sz="4" w:space="0"/>
            </w:tcBorders>
            <w:noWrap w:val="0"/>
            <w:vAlign w:val="top"/>
          </w:tcPr>
          <w:p w14:paraId="465430A2">
            <w:pPr>
              <w:pStyle w:val="170"/>
              <w:rPr>
                <w:rFonts w:ascii="宋体" w:hAnsi="宋体" w:cs="宋体"/>
                <w:color w:val="auto"/>
                <w:sz w:val="20"/>
                <w:szCs w:val="20"/>
                <w:highlight w:val="none"/>
              </w:rPr>
            </w:pPr>
          </w:p>
          <w:p w14:paraId="116075C1">
            <w:pPr>
              <w:pStyle w:val="170"/>
              <w:rPr>
                <w:rFonts w:ascii="宋体" w:hAnsi="宋体" w:cs="宋体"/>
                <w:color w:val="auto"/>
                <w:sz w:val="20"/>
                <w:szCs w:val="20"/>
                <w:highlight w:val="none"/>
              </w:rPr>
            </w:pPr>
          </w:p>
          <w:p w14:paraId="4C896657">
            <w:pPr>
              <w:pStyle w:val="170"/>
              <w:rPr>
                <w:rFonts w:ascii="宋体" w:hAnsi="宋体" w:cs="宋体"/>
                <w:color w:val="auto"/>
                <w:sz w:val="20"/>
                <w:szCs w:val="20"/>
                <w:highlight w:val="none"/>
              </w:rPr>
            </w:pPr>
          </w:p>
          <w:p w14:paraId="681D91A4">
            <w:pPr>
              <w:pStyle w:val="170"/>
              <w:rPr>
                <w:rFonts w:ascii="宋体" w:hAnsi="宋体" w:cs="宋体"/>
                <w:color w:val="auto"/>
                <w:sz w:val="20"/>
                <w:szCs w:val="20"/>
                <w:highlight w:val="none"/>
              </w:rPr>
            </w:pPr>
          </w:p>
          <w:p w14:paraId="05BCD14C">
            <w:pPr>
              <w:pStyle w:val="170"/>
              <w:rPr>
                <w:rFonts w:ascii="宋体" w:hAnsi="宋体" w:cs="宋体"/>
                <w:color w:val="auto"/>
                <w:sz w:val="20"/>
                <w:szCs w:val="20"/>
                <w:highlight w:val="none"/>
              </w:rPr>
            </w:pPr>
          </w:p>
          <w:p w14:paraId="5F3BD8DD">
            <w:pPr>
              <w:pStyle w:val="170"/>
              <w:rPr>
                <w:rFonts w:ascii="宋体" w:hAnsi="宋体" w:cs="宋体"/>
                <w:color w:val="auto"/>
                <w:sz w:val="20"/>
                <w:szCs w:val="20"/>
                <w:highlight w:val="none"/>
              </w:rPr>
            </w:pPr>
          </w:p>
          <w:p w14:paraId="3D1321D8">
            <w:pPr>
              <w:pStyle w:val="170"/>
              <w:spacing w:before="3"/>
              <w:rPr>
                <w:rFonts w:ascii="宋体" w:hAnsi="宋体" w:cs="宋体"/>
                <w:color w:val="auto"/>
                <w:highlight w:val="none"/>
              </w:rPr>
            </w:pPr>
          </w:p>
          <w:p w14:paraId="6752D845">
            <w:pPr>
              <w:pStyle w:val="17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6输入输出设备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42DE743">
            <w:pPr>
              <w:pStyle w:val="170"/>
              <w:rPr>
                <w:rFonts w:ascii="宋体" w:hAnsi="宋体" w:cs="宋体"/>
                <w:color w:val="auto"/>
                <w:sz w:val="20"/>
                <w:szCs w:val="20"/>
                <w:highlight w:val="none"/>
              </w:rPr>
            </w:pPr>
          </w:p>
          <w:p w14:paraId="48C381F0">
            <w:pPr>
              <w:pStyle w:val="170"/>
              <w:rPr>
                <w:rFonts w:ascii="宋体" w:hAnsi="宋体" w:cs="宋体"/>
                <w:color w:val="auto"/>
                <w:sz w:val="20"/>
                <w:szCs w:val="20"/>
                <w:highlight w:val="none"/>
              </w:rPr>
            </w:pPr>
          </w:p>
          <w:p w14:paraId="2AC28D5B">
            <w:pPr>
              <w:pStyle w:val="170"/>
              <w:rPr>
                <w:rFonts w:ascii="宋体" w:hAnsi="宋体" w:cs="宋体"/>
                <w:color w:val="auto"/>
                <w:sz w:val="20"/>
                <w:szCs w:val="20"/>
                <w:highlight w:val="none"/>
              </w:rPr>
            </w:pPr>
          </w:p>
          <w:p w14:paraId="025C79E2">
            <w:pPr>
              <w:pStyle w:val="170"/>
              <w:spacing w:before="164"/>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469AA08">
            <w:pPr>
              <w:pStyle w:val="170"/>
              <w:spacing w:before="52"/>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10</w:t>
            </w:r>
            <w:r>
              <w:rPr>
                <w:rFonts w:hint="eastAsia" w:ascii="宋体" w:hAnsi="宋体" w:cs="宋体"/>
                <w:color w:val="auto"/>
                <w:w w:val="99"/>
                <w:sz w:val="20"/>
                <w:szCs w:val="20"/>
                <w:highlight w:val="none"/>
              </w:rPr>
              <w:t>1喷墨打</w:t>
            </w:r>
          </w:p>
          <w:p w14:paraId="12C28088">
            <w:pPr>
              <w:pStyle w:val="17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E283B1E">
            <w:pPr>
              <w:pStyle w:val="170"/>
              <w:spacing w:before="52"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3CDFB5CE">
        <w:tblPrEx>
          <w:tblCellMar>
            <w:top w:w="0" w:type="dxa"/>
            <w:left w:w="0" w:type="dxa"/>
            <w:bottom w:w="0" w:type="dxa"/>
            <w:right w:w="0" w:type="dxa"/>
          </w:tblCellMar>
        </w:tblPrEx>
        <w:trPr>
          <w:trHeight w:val="742"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AEEFA">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6E1F6">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49B78">
            <w:pPr>
              <w:widowControl/>
              <w:rPr>
                <w:rFonts w:ascii="宋体" w:hAnsi="宋体" w:cs="宋体"/>
                <w:color w:val="auto"/>
                <w:sz w:val="20"/>
                <w:szCs w:val="20"/>
                <w:highlight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121311C">
            <w:pPr>
              <w:pStyle w:val="170"/>
              <w:spacing w:before="5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02激光</w:t>
            </w:r>
          </w:p>
          <w:p w14:paraId="4327181E">
            <w:pPr>
              <w:pStyle w:val="17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9256899">
            <w:pPr>
              <w:pStyle w:val="170"/>
              <w:spacing w:before="52"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24A58A2B">
        <w:tblPrEx>
          <w:tblCellMar>
            <w:top w:w="0" w:type="dxa"/>
            <w:left w:w="0" w:type="dxa"/>
            <w:bottom w:w="0" w:type="dxa"/>
            <w:right w:w="0" w:type="dxa"/>
          </w:tblCellMar>
        </w:tblPrEx>
        <w:trPr>
          <w:trHeight w:val="742"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03B370">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D7FC0">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C675C">
            <w:pPr>
              <w:widowControl/>
              <w:rPr>
                <w:rFonts w:ascii="宋体" w:hAnsi="宋体" w:cs="宋体"/>
                <w:color w:val="auto"/>
                <w:sz w:val="20"/>
                <w:szCs w:val="20"/>
                <w:highlight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6D6F670">
            <w:pPr>
              <w:pStyle w:val="170"/>
              <w:spacing w:before="5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04针式</w:t>
            </w:r>
          </w:p>
          <w:p w14:paraId="140C89B5">
            <w:pPr>
              <w:pStyle w:val="17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E860D26">
            <w:pPr>
              <w:pStyle w:val="170"/>
              <w:spacing w:before="52"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4A88825A">
        <w:tblPrEx>
          <w:tblCellMar>
            <w:top w:w="0" w:type="dxa"/>
            <w:left w:w="0" w:type="dxa"/>
            <w:bottom w:w="0" w:type="dxa"/>
            <w:right w:w="0" w:type="dxa"/>
          </w:tblCellMar>
        </w:tblPrEx>
        <w:trPr>
          <w:trHeight w:val="773"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6522C5">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0BD50">
            <w:pPr>
              <w:widowControl/>
              <w:rPr>
                <w:rFonts w:ascii="宋体" w:hAnsi="宋体" w:cs="宋体"/>
                <w:color w:val="auto"/>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3DFC7FE">
            <w:pPr>
              <w:pStyle w:val="170"/>
              <w:spacing w:before="2"/>
              <w:rPr>
                <w:rFonts w:ascii="宋体" w:hAnsi="宋体" w:cs="宋体"/>
                <w:color w:val="auto"/>
                <w:sz w:val="17"/>
                <w:szCs w:val="17"/>
                <w:highlight w:val="none"/>
                <w:lang w:eastAsia="zh-CN"/>
              </w:rPr>
            </w:pPr>
          </w:p>
          <w:p w14:paraId="02DC154F">
            <w:pPr>
              <w:pStyle w:val="17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19B5730">
            <w:pPr>
              <w:pStyle w:val="170"/>
              <w:spacing w:before="68"/>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4</w:t>
            </w:r>
            <w:r>
              <w:rPr>
                <w:rFonts w:hint="eastAsia" w:ascii="宋体" w:hAnsi="宋体" w:cs="宋体"/>
                <w:color w:val="auto"/>
                <w:w w:val="99"/>
                <w:sz w:val="20"/>
                <w:szCs w:val="20"/>
                <w:highlight w:val="none"/>
              </w:rPr>
              <w:t>01液晶</w:t>
            </w:r>
          </w:p>
          <w:p w14:paraId="1498C484">
            <w:pPr>
              <w:pStyle w:val="17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04EB587">
            <w:pPr>
              <w:pStyle w:val="170"/>
              <w:spacing w:before="68"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《计算机显示器能效限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7817E896">
        <w:tblPrEx>
          <w:tblCellMar>
            <w:top w:w="0" w:type="dxa"/>
            <w:left w:w="0" w:type="dxa"/>
            <w:bottom w:w="0" w:type="dxa"/>
            <w:right w:w="0" w:type="dxa"/>
          </w:tblCellMar>
        </w:tblPrEx>
        <w:trPr>
          <w:trHeight w:val="1361"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97458F">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3D76B6">
            <w:pPr>
              <w:widowControl/>
              <w:rPr>
                <w:rFonts w:ascii="宋体" w:hAnsi="宋体" w:cs="宋体"/>
                <w:color w:val="auto"/>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3BC99C1">
            <w:pPr>
              <w:pStyle w:val="170"/>
              <w:spacing w:before="8"/>
              <w:rPr>
                <w:rFonts w:ascii="宋体" w:hAnsi="宋体" w:cs="宋体"/>
                <w:color w:val="auto"/>
                <w:sz w:val="27"/>
                <w:szCs w:val="27"/>
                <w:highlight w:val="none"/>
                <w:lang w:eastAsia="zh-CN"/>
              </w:rPr>
            </w:pPr>
          </w:p>
          <w:p w14:paraId="613F683F">
            <w:pPr>
              <w:pStyle w:val="170"/>
              <w:spacing w:line="283" w:lineRule="auto"/>
              <w:ind w:left="7" w:right="5"/>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8C2855C">
            <w:pPr>
              <w:pStyle w:val="170"/>
              <w:rPr>
                <w:rFonts w:ascii="宋体" w:hAnsi="宋体" w:cs="宋体"/>
                <w:color w:val="auto"/>
                <w:sz w:val="20"/>
                <w:szCs w:val="20"/>
                <w:highlight w:val="none"/>
              </w:rPr>
            </w:pPr>
          </w:p>
          <w:p w14:paraId="013164C1">
            <w:pPr>
              <w:pStyle w:val="170"/>
              <w:spacing w:before="7"/>
              <w:rPr>
                <w:rFonts w:ascii="宋体" w:hAnsi="宋体" w:cs="宋体"/>
                <w:color w:val="auto"/>
                <w:sz w:val="19"/>
                <w:szCs w:val="19"/>
                <w:highlight w:val="none"/>
              </w:rPr>
            </w:pPr>
          </w:p>
          <w:p w14:paraId="46169C14">
            <w:pPr>
              <w:pStyle w:val="17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A8F23ED">
            <w:pPr>
              <w:pStyle w:val="170"/>
              <w:spacing w:before="49"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参</w:t>
            </w:r>
            <w:r>
              <w:rPr>
                <w:rFonts w:hint="eastAsia" w:ascii="宋体" w:hAnsi="宋体" w:cs="宋体"/>
                <w:color w:val="auto"/>
                <w:spacing w:val="-29"/>
                <w:w w:val="99"/>
                <w:sz w:val="20"/>
                <w:szCs w:val="20"/>
                <w:highlight w:val="none"/>
                <w:lang w:eastAsia="zh-CN"/>
              </w:rPr>
              <w:t>照</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复</w:t>
            </w:r>
            <w:r>
              <w:rPr>
                <w:rFonts w:hint="eastAsia" w:ascii="宋体" w:hAnsi="宋体" w:cs="宋体"/>
                <w:color w:val="auto"/>
                <w:w w:val="99"/>
                <w:sz w:val="20"/>
                <w:szCs w:val="20"/>
                <w:highlight w:val="none"/>
                <w:lang w:eastAsia="zh-CN"/>
              </w:rPr>
              <w:t>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打</w:t>
            </w:r>
            <w:r>
              <w:rPr>
                <w:rFonts w:hint="eastAsia" w:ascii="宋体" w:hAnsi="宋体" w:cs="宋体"/>
                <w:color w:val="auto"/>
                <w:spacing w:val="2"/>
                <w:w w:val="99"/>
                <w:sz w:val="20"/>
                <w:szCs w:val="20"/>
                <w:highlight w:val="none"/>
                <w:lang w:eastAsia="zh-CN"/>
              </w:rPr>
              <w:t>印</w:t>
            </w:r>
            <w:r>
              <w:rPr>
                <w:rFonts w:hint="eastAsia" w:ascii="宋体" w:hAnsi="宋体" w:cs="宋体"/>
                <w:color w:val="auto"/>
                <w:w w:val="99"/>
                <w:sz w:val="20"/>
                <w:szCs w:val="20"/>
                <w:highlight w:val="none"/>
                <w:lang w:eastAsia="zh-CN"/>
              </w:rPr>
              <w:t>机和</w:t>
            </w:r>
            <w:r>
              <w:rPr>
                <w:rFonts w:hint="eastAsia" w:ascii="宋体" w:hAnsi="宋体" w:cs="宋体"/>
                <w:color w:val="auto"/>
                <w:spacing w:val="2"/>
                <w:w w:val="99"/>
                <w:sz w:val="20"/>
                <w:szCs w:val="20"/>
                <w:highlight w:val="none"/>
                <w:lang w:eastAsia="zh-CN"/>
              </w:rPr>
              <w:t>传</w:t>
            </w:r>
            <w:r>
              <w:rPr>
                <w:rFonts w:hint="eastAsia" w:ascii="宋体" w:hAnsi="宋体" w:cs="宋体"/>
                <w:color w:val="auto"/>
                <w:w w:val="99"/>
                <w:sz w:val="20"/>
                <w:szCs w:val="20"/>
                <w:highlight w:val="none"/>
                <w:lang w:eastAsia="zh-CN"/>
              </w:rPr>
              <w:t>真机能效限定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2152</w:t>
            </w:r>
            <w:r>
              <w:rPr>
                <w:rFonts w:hint="eastAsia" w:ascii="宋体" w:hAnsi="宋体" w:cs="宋体"/>
                <w:color w:val="auto"/>
                <w:w w:val="99"/>
                <w:sz w:val="20"/>
                <w:szCs w:val="20"/>
                <w:highlight w:val="none"/>
                <w:lang w:eastAsia="zh-CN"/>
              </w:rPr>
              <w:t>1</w:t>
            </w:r>
          </w:p>
          <w:p w14:paraId="55F787F6">
            <w:pPr>
              <w:pStyle w:val="170"/>
              <w:spacing w:before="12" w:line="283" w:lineRule="auto"/>
              <w:ind w:left="7" w:right="5"/>
              <w:rPr>
                <w:rFonts w:ascii="宋体" w:hAnsi="宋体" w:cs="宋体"/>
                <w:color w:val="auto"/>
                <w:sz w:val="20"/>
                <w:szCs w:val="20"/>
                <w:highlight w:val="none"/>
                <w:lang w:eastAsia="zh-CN"/>
              </w:rPr>
            </w:pPr>
            <w:r>
              <w:rPr>
                <w:rFonts w:hint="eastAsia" w:ascii="宋体" w:hAnsi="宋体" w:cs="宋体"/>
                <w:color w:val="auto"/>
                <w:spacing w:val="2"/>
                <w:w w:val="99"/>
                <w:sz w:val="20"/>
                <w:szCs w:val="20"/>
                <w:highlight w:val="none"/>
                <w:lang w:eastAsia="zh-CN"/>
              </w:rPr>
              <w:t>中</w:t>
            </w:r>
            <w:r>
              <w:rPr>
                <w:rFonts w:hint="eastAsia" w:ascii="宋体" w:hAnsi="宋体" w:cs="宋体"/>
                <w:color w:val="auto"/>
                <w:spacing w:val="4"/>
                <w:w w:val="99"/>
                <w:sz w:val="20"/>
                <w:szCs w:val="20"/>
                <w:highlight w:val="none"/>
                <w:lang w:eastAsia="zh-CN"/>
              </w:rPr>
              <w:t>打印速</w:t>
            </w:r>
            <w:r>
              <w:rPr>
                <w:rFonts w:hint="eastAsia" w:ascii="宋体" w:hAnsi="宋体" w:cs="宋体"/>
                <w:color w:val="auto"/>
                <w:spacing w:val="2"/>
                <w:w w:val="99"/>
                <w:sz w:val="20"/>
                <w:szCs w:val="20"/>
                <w:highlight w:val="none"/>
                <w:lang w:eastAsia="zh-CN"/>
              </w:rPr>
              <w:t>度</w:t>
            </w:r>
            <w:r>
              <w:rPr>
                <w:rFonts w:hint="eastAsia" w:ascii="宋体" w:hAnsi="宋体" w:cs="宋体"/>
                <w:color w:val="auto"/>
                <w:w w:val="99"/>
                <w:sz w:val="20"/>
                <w:szCs w:val="20"/>
                <w:highlight w:val="none"/>
                <w:lang w:eastAsia="zh-CN"/>
              </w:rPr>
              <w:t>为</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5</w:t>
            </w:r>
            <w:r>
              <w:rPr>
                <w:rFonts w:hint="eastAsia" w:ascii="宋体" w:hAnsi="宋体" w:cs="宋体"/>
                <w:color w:val="auto"/>
                <w:spacing w:val="2"/>
                <w:w w:val="99"/>
                <w:sz w:val="20"/>
                <w:szCs w:val="20"/>
                <w:highlight w:val="none"/>
                <w:lang w:eastAsia="zh-CN"/>
              </w:rPr>
              <w:t>页</w:t>
            </w:r>
            <w:r>
              <w:rPr>
                <w:rFonts w:hint="eastAsia" w:ascii="宋体" w:hAnsi="宋体" w:cs="宋体"/>
                <w:color w:val="auto"/>
                <w:spacing w:val="5"/>
                <w:w w:val="99"/>
                <w:sz w:val="20"/>
                <w:szCs w:val="20"/>
                <w:highlight w:val="none"/>
                <w:lang w:eastAsia="zh-CN"/>
              </w:rPr>
              <w:t>/</w:t>
            </w:r>
            <w:r>
              <w:rPr>
                <w:rFonts w:hint="eastAsia" w:ascii="宋体" w:hAnsi="宋体" w:cs="宋体"/>
                <w:color w:val="auto"/>
                <w:spacing w:val="4"/>
                <w:w w:val="99"/>
                <w:sz w:val="20"/>
                <w:szCs w:val="20"/>
                <w:highlight w:val="none"/>
                <w:lang w:eastAsia="zh-CN"/>
              </w:rPr>
              <w:t>分的</w:t>
            </w:r>
            <w:r>
              <w:rPr>
                <w:rFonts w:hint="eastAsia" w:ascii="宋体" w:hAnsi="宋体" w:cs="宋体"/>
                <w:color w:val="auto"/>
                <w:spacing w:val="2"/>
                <w:w w:val="99"/>
                <w:sz w:val="20"/>
                <w:szCs w:val="20"/>
                <w:highlight w:val="none"/>
                <w:lang w:eastAsia="zh-CN"/>
              </w:rPr>
              <w:t>针</w:t>
            </w:r>
            <w:r>
              <w:rPr>
                <w:rFonts w:hint="eastAsia" w:ascii="宋体" w:hAnsi="宋体" w:cs="宋体"/>
                <w:color w:val="auto"/>
                <w:spacing w:val="4"/>
                <w:w w:val="99"/>
                <w:sz w:val="20"/>
                <w:szCs w:val="20"/>
                <w:highlight w:val="none"/>
                <w:lang w:eastAsia="zh-CN"/>
              </w:rPr>
              <w:t>式</w:t>
            </w:r>
            <w:r>
              <w:rPr>
                <w:rFonts w:hint="eastAsia" w:ascii="宋体" w:hAnsi="宋体" w:cs="宋体"/>
                <w:color w:val="auto"/>
                <w:w w:val="99"/>
                <w:sz w:val="20"/>
                <w:szCs w:val="20"/>
                <w:highlight w:val="none"/>
                <w:lang w:eastAsia="zh-CN"/>
              </w:rPr>
              <w:t>打印机相</w:t>
            </w:r>
            <w:r>
              <w:rPr>
                <w:rFonts w:hint="eastAsia" w:ascii="宋体" w:hAnsi="宋体" w:cs="宋体"/>
                <w:color w:val="auto"/>
                <w:spacing w:val="2"/>
                <w:w w:val="99"/>
                <w:sz w:val="20"/>
                <w:szCs w:val="20"/>
                <w:highlight w:val="none"/>
                <w:lang w:eastAsia="zh-CN"/>
              </w:rPr>
              <w:t>关</w:t>
            </w:r>
            <w:r>
              <w:rPr>
                <w:rFonts w:hint="eastAsia" w:ascii="宋体" w:hAnsi="宋体" w:cs="宋体"/>
                <w:color w:val="auto"/>
                <w:w w:val="99"/>
                <w:sz w:val="20"/>
                <w:szCs w:val="20"/>
                <w:highlight w:val="none"/>
                <w:lang w:eastAsia="zh-CN"/>
              </w:rPr>
              <w:t>要求</w:t>
            </w:r>
          </w:p>
        </w:tc>
      </w:tr>
      <w:tr w14:paraId="4A2904D9">
        <w:tblPrEx>
          <w:tblCellMar>
            <w:top w:w="0" w:type="dxa"/>
            <w:left w:w="0" w:type="dxa"/>
            <w:bottom w:w="0" w:type="dxa"/>
            <w:right w:w="0" w:type="dxa"/>
          </w:tblCellMar>
        </w:tblPrEx>
        <w:trPr>
          <w:trHeight w:val="684" w:hRule="exact"/>
        </w:trPr>
        <w:tc>
          <w:tcPr>
            <w:tcW w:w="646" w:type="dxa"/>
            <w:tcBorders>
              <w:top w:val="single" w:color="000000" w:sz="4" w:space="0"/>
              <w:left w:val="single" w:color="000000" w:sz="4" w:space="0"/>
              <w:bottom w:val="single" w:color="000000" w:sz="4" w:space="0"/>
              <w:right w:val="single" w:color="000000" w:sz="4" w:space="0"/>
            </w:tcBorders>
            <w:noWrap w:val="0"/>
            <w:vAlign w:val="top"/>
          </w:tcPr>
          <w:p w14:paraId="4EF3E900">
            <w:pPr>
              <w:pStyle w:val="170"/>
              <w:spacing w:before="179"/>
              <w:ind w:right="1"/>
              <w:jc w:val="center"/>
              <w:rPr>
                <w:rFonts w:ascii="宋体" w:hAnsi="宋体" w:cs="宋体"/>
                <w:color w:val="auto"/>
                <w:sz w:val="20"/>
                <w:szCs w:val="20"/>
                <w:highlight w:val="none"/>
              </w:rPr>
            </w:pPr>
            <w:r>
              <w:rPr>
                <w:rFonts w:hint="eastAsia" w:ascii="宋体"/>
                <w:color w:val="auto"/>
                <w:w w:val="99"/>
                <w:sz w:val="20"/>
                <w:highlight w:val="none"/>
              </w:rPr>
              <w:t>3</w:t>
            </w:r>
          </w:p>
        </w:tc>
        <w:tc>
          <w:tcPr>
            <w:tcW w:w="1094" w:type="dxa"/>
            <w:tcBorders>
              <w:top w:val="single" w:color="000000" w:sz="4" w:space="0"/>
              <w:left w:val="single" w:color="000000" w:sz="4" w:space="0"/>
              <w:bottom w:val="single" w:color="000000" w:sz="4" w:space="0"/>
              <w:right w:val="single" w:color="000000" w:sz="4" w:space="0"/>
            </w:tcBorders>
            <w:noWrap w:val="0"/>
            <w:vAlign w:val="top"/>
          </w:tcPr>
          <w:p w14:paraId="7AA1267E">
            <w:pPr>
              <w:pStyle w:val="170"/>
              <w:spacing w:before="23"/>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02</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2投影仪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C67590B">
            <w:pPr>
              <w:rPr>
                <w:rFonts w:ascii="Calibri" w:hAnsi="Calibri"/>
                <w:color w:val="auto"/>
                <w:sz w:val="22"/>
                <w:szCs w:val="22"/>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673FB64">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DD513B5">
            <w:pPr>
              <w:pStyle w:val="170"/>
              <w:spacing w:before="23"/>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《投影</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35783F8F">
            <w:pPr>
              <w:pStyle w:val="17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20</w:t>
            </w:r>
            <w:r>
              <w:rPr>
                <w:rFonts w:hint="eastAsia" w:ascii="宋体" w:hAnsi="宋体" w:cs="宋体"/>
                <w:color w:val="auto"/>
                <w:spacing w:val="1"/>
                <w:w w:val="99"/>
                <w:sz w:val="20"/>
                <w:szCs w:val="20"/>
                <w:highlight w:val="none"/>
              </w:rPr>
              <w:t>28</w:t>
            </w:r>
            <w:r>
              <w:rPr>
                <w:rFonts w:hint="eastAsia" w:ascii="宋体" w:hAnsi="宋体" w:cs="宋体"/>
                <w:color w:val="auto"/>
                <w:w w:val="99"/>
                <w:sz w:val="20"/>
                <w:szCs w:val="20"/>
                <w:highlight w:val="none"/>
              </w:rPr>
              <w:t>）</w:t>
            </w:r>
          </w:p>
        </w:tc>
      </w:tr>
      <w:tr w14:paraId="2120C8B0">
        <w:tblPrEx>
          <w:tblCellMar>
            <w:top w:w="0" w:type="dxa"/>
            <w:left w:w="0" w:type="dxa"/>
            <w:bottom w:w="0" w:type="dxa"/>
            <w:right w:w="0" w:type="dxa"/>
          </w:tblCellMar>
        </w:tblPrEx>
        <w:trPr>
          <w:trHeight w:val="770" w:hRule="exact"/>
        </w:trPr>
        <w:tc>
          <w:tcPr>
            <w:tcW w:w="646" w:type="dxa"/>
            <w:tcBorders>
              <w:top w:val="single" w:color="000000" w:sz="4" w:space="0"/>
              <w:left w:val="single" w:color="000000" w:sz="4" w:space="0"/>
              <w:bottom w:val="single" w:color="000000" w:sz="4" w:space="0"/>
              <w:right w:val="single" w:color="000000" w:sz="4" w:space="0"/>
            </w:tcBorders>
            <w:noWrap w:val="0"/>
            <w:vAlign w:val="top"/>
          </w:tcPr>
          <w:p w14:paraId="1115A8E6">
            <w:pPr>
              <w:pStyle w:val="170"/>
              <w:spacing w:before="13"/>
              <w:rPr>
                <w:rFonts w:ascii="宋体" w:hAnsi="宋体" w:cs="宋体"/>
                <w:color w:val="auto"/>
                <w:sz w:val="16"/>
                <w:szCs w:val="16"/>
                <w:highlight w:val="none"/>
              </w:rPr>
            </w:pPr>
          </w:p>
          <w:p w14:paraId="723218CD">
            <w:pPr>
              <w:pStyle w:val="170"/>
              <w:ind w:right="1"/>
              <w:jc w:val="center"/>
              <w:rPr>
                <w:rFonts w:ascii="宋体" w:hAnsi="宋体" w:cs="宋体"/>
                <w:color w:val="auto"/>
                <w:sz w:val="20"/>
                <w:szCs w:val="20"/>
                <w:highlight w:val="none"/>
              </w:rPr>
            </w:pPr>
            <w:r>
              <w:rPr>
                <w:rFonts w:hint="eastAsia" w:ascii="宋体"/>
                <w:color w:val="auto"/>
                <w:w w:val="99"/>
                <w:sz w:val="20"/>
                <w:highlight w:val="none"/>
              </w:rPr>
              <w:t>4</w:t>
            </w:r>
          </w:p>
        </w:tc>
        <w:tc>
          <w:tcPr>
            <w:tcW w:w="1094" w:type="dxa"/>
            <w:tcBorders>
              <w:top w:val="single" w:color="000000" w:sz="4" w:space="0"/>
              <w:left w:val="single" w:color="000000" w:sz="4" w:space="0"/>
              <w:bottom w:val="single" w:color="000000" w:sz="4" w:space="0"/>
              <w:right w:val="single" w:color="000000" w:sz="4" w:space="0"/>
            </w:tcBorders>
            <w:noWrap w:val="0"/>
            <w:vAlign w:val="top"/>
          </w:tcPr>
          <w:p w14:paraId="24D57275">
            <w:pPr>
              <w:pStyle w:val="170"/>
              <w:spacing w:before="66"/>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02</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4多功能一体机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9A0C54B">
            <w:pPr>
              <w:rPr>
                <w:rFonts w:ascii="Calibri" w:hAnsi="Calibri"/>
                <w:color w:val="auto"/>
                <w:sz w:val="22"/>
                <w:szCs w:val="22"/>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83008DE">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8DCC829">
            <w:pPr>
              <w:pStyle w:val="170"/>
              <w:spacing w:before="66"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5085D355">
        <w:tblPrEx>
          <w:tblCellMar>
            <w:top w:w="0" w:type="dxa"/>
            <w:left w:w="0" w:type="dxa"/>
            <w:bottom w:w="0" w:type="dxa"/>
            <w:right w:w="0" w:type="dxa"/>
          </w:tblCellMar>
        </w:tblPrEx>
        <w:trPr>
          <w:trHeight w:val="646" w:hRule="exact"/>
        </w:trPr>
        <w:tc>
          <w:tcPr>
            <w:tcW w:w="646" w:type="dxa"/>
            <w:tcBorders>
              <w:top w:val="single" w:color="000000" w:sz="4" w:space="0"/>
              <w:left w:val="single" w:color="000000" w:sz="4" w:space="0"/>
              <w:bottom w:val="single" w:color="000000" w:sz="4" w:space="0"/>
              <w:right w:val="single" w:color="000000" w:sz="4" w:space="0"/>
            </w:tcBorders>
            <w:noWrap w:val="0"/>
            <w:vAlign w:val="top"/>
          </w:tcPr>
          <w:p w14:paraId="7D340B70">
            <w:pPr>
              <w:pStyle w:val="170"/>
              <w:spacing w:before="160"/>
              <w:ind w:right="1"/>
              <w:jc w:val="center"/>
              <w:rPr>
                <w:rFonts w:ascii="宋体" w:hAnsi="宋体" w:cs="宋体"/>
                <w:color w:val="auto"/>
                <w:sz w:val="20"/>
                <w:szCs w:val="20"/>
                <w:highlight w:val="none"/>
              </w:rPr>
            </w:pPr>
            <w:r>
              <w:rPr>
                <w:rFonts w:hint="eastAsia" w:ascii="宋体"/>
                <w:color w:val="auto"/>
                <w:w w:val="99"/>
                <w:sz w:val="20"/>
                <w:highlight w:val="none"/>
              </w:rPr>
              <w:t>5</w:t>
            </w:r>
          </w:p>
        </w:tc>
        <w:tc>
          <w:tcPr>
            <w:tcW w:w="1094" w:type="dxa"/>
            <w:tcBorders>
              <w:top w:val="single" w:color="000000" w:sz="4" w:space="0"/>
              <w:left w:val="single" w:color="000000" w:sz="4" w:space="0"/>
              <w:bottom w:val="single" w:color="000000" w:sz="4" w:space="0"/>
              <w:right w:val="single" w:color="000000" w:sz="4" w:space="0"/>
            </w:tcBorders>
            <w:noWrap w:val="0"/>
            <w:vAlign w:val="top"/>
          </w:tcPr>
          <w:p w14:paraId="5212874B">
            <w:pPr>
              <w:pStyle w:val="170"/>
              <w:spacing w:before="16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3152F8">
            <w:pPr>
              <w:pStyle w:val="170"/>
              <w:spacing w:before="16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5471235">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62DB331">
            <w:pPr>
              <w:pStyle w:val="170"/>
              <w:spacing w:before="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《清水离心泵能效限定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及节</w:t>
            </w:r>
            <w:r>
              <w:rPr>
                <w:rFonts w:hint="eastAsia" w:ascii="宋体" w:hAnsi="宋体" w:cs="宋体"/>
                <w:color w:val="auto"/>
                <w:w w:val="99"/>
                <w:sz w:val="20"/>
                <w:szCs w:val="20"/>
                <w:highlight w:val="none"/>
                <w:lang w:eastAsia="zh-CN"/>
              </w:rPr>
              <w:t>能评价值</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76</w:t>
            </w:r>
            <w:r>
              <w:rPr>
                <w:rFonts w:hint="eastAsia" w:ascii="宋体" w:hAnsi="宋体" w:cs="宋体"/>
                <w:color w:val="auto"/>
                <w:spacing w:val="1"/>
                <w:w w:val="99"/>
                <w:sz w:val="20"/>
                <w:szCs w:val="20"/>
                <w:highlight w:val="none"/>
                <w:lang w:eastAsia="zh-CN"/>
              </w:rPr>
              <w:t>2</w:t>
            </w:r>
            <w:r>
              <w:rPr>
                <w:rFonts w:hint="eastAsia" w:ascii="宋体" w:hAnsi="宋体" w:cs="宋体"/>
                <w:color w:val="auto"/>
                <w:w w:val="99"/>
                <w:sz w:val="20"/>
                <w:szCs w:val="20"/>
                <w:highlight w:val="none"/>
                <w:lang w:eastAsia="zh-CN"/>
              </w:rPr>
              <w:t>）</w:t>
            </w:r>
          </w:p>
        </w:tc>
      </w:tr>
      <w:tr w14:paraId="34B38B6D">
        <w:tblPrEx>
          <w:tblCellMar>
            <w:top w:w="0" w:type="dxa"/>
            <w:left w:w="0" w:type="dxa"/>
            <w:bottom w:w="0" w:type="dxa"/>
            <w:right w:w="0" w:type="dxa"/>
          </w:tblCellMar>
        </w:tblPrEx>
        <w:trPr>
          <w:trHeight w:val="1322" w:hRule="exac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top"/>
          </w:tcPr>
          <w:p w14:paraId="260C9345">
            <w:pPr>
              <w:pStyle w:val="170"/>
              <w:rPr>
                <w:rFonts w:ascii="宋体" w:hAnsi="宋体" w:cs="宋体"/>
                <w:color w:val="auto"/>
                <w:sz w:val="20"/>
                <w:szCs w:val="20"/>
                <w:highlight w:val="none"/>
                <w:lang w:eastAsia="zh-CN"/>
              </w:rPr>
            </w:pPr>
          </w:p>
          <w:p w14:paraId="0619D76F">
            <w:pPr>
              <w:pStyle w:val="170"/>
              <w:rPr>
                <w:rFonts w:ascii="宋体" w:hAnsi="宋体" w:cs="宋体"/>
                <w:color w:val="auto"/>
                <w:sz w:val="20"/>
                <w:szCs w:val="20"/>
                <w:highlight w:val="none"/>
                <w:lang w:eastAsia="zh-CN"/>
              </w:rPr>
            </w:pPr>
          </w:p>
          <w:p w14:paraId="1F3415B8">
            <w:pPr>
              <w:pStyle w:val="170"/>
              <w:spacing w:before="7"/>
              <w:rPr>
                <w:rFonts w:ascii="宋体" w:hAnsi="宋体" w:cs="宋体"/>
                <w:color w:val="auto"/>
                <w:sz w:val="26"/>
                <w:szCs w:val="26"/>
                <w:highlight w:val="none"/>
                <w:lang w:eastAsia="zh-CN"/>
              </w:rPr>
            </w:pPr>
          </w:p>
          <w:p w14:paraId="3C2A3110">
            <w:pPr>
              <w:pStyle w:val="170"/>
              <w:ind w:right="1"/>
              <w:jc w:val="center"/>
              <w:rPr>
                <w:rFonts w:ascii="宋体" w:hAnsi="宋体" w:cs="宋体"/>
                <w:color w:val="auto"/>
                <w:sz w:val="20"/>
                <w:szCs w:val="20"/>
                <w:highlight w:val="none"/>
              </w:rPr>
            </w:pPr>
            <w:r>
              <w:rPr>
                <w:rFonts w:hint="eastAsia" w:ascii="宋体"/>
                <w:color w:val="auto"/>
                <w:w w:val="99"/>
                <w:sz w:val="20"/>
                <w:highlight w:val="none"/>
              </w:rPr>
              <w:t>6</w:t>
            </w:r>
          </w:p>
        </w:tc>
        <w:tc>
          <w:tcPr>
            <w:tcW w:w="1094" w:type="dxa"/>
            <w:vMerge w:val="restart"/>
            <w:tcBorders>
              <w:top w:val="single" w:color="000000" w:sz="4" w:space="0"/>
              <w:left w:val="single" w:color="000000" w:sz="4" w:space="0"/>
              <w:bottom w:val="single" w:color="000000" w:sz="4" w:space="0"/>
              <w:right w:val="single" w:color="000000" w:sz="4" w:space="0"/>
            </w:tcBorders>
            <w:noWrap w:val="0"/>
            <w:vAlign w:val="top"/>
          </w:tcPr>
          <w:p w14:paraId="6F9B6893">
            <w:pPr>
              <w:pStyle w:val="170"/>
              <w:rPr>
                <w:rFonts w:ascii="宋体" w:hAnsi="宋体" w:cs="宋体"/>
                <w:color w:val="auto"/>
                <w:sz w:val="20"/>
                <w:szCs w:val="20"/>
                <w:highlight w:val="none"/>
              </w:rPr>
            </w:pPr>
          </w:p>
          <w:p w14:paraId="3D49C08E">
            <w:pPr>
              <w:pStyle w:val="170"/>
              <w:rPr>
                <w:rFonts w:ascii="宋体" w:hAnsi="宋体" w:cs="宋体"/>
                <w:color w:val="auto"/>
                <w:sz w:val="20"/>
                <w:szCs w:val="20"/>
                <w:highlight w:val="none"/>
              </w:rPr>
            </w:pPr>
          </w:p>
          <w:p w14:paraId="4D3BB888">
            <w:pPr>
              <w:pStyle w:val="170"/>
              <w:spacing w:before="8"/>
              <w:rPr>
                <w:rFonts w:ascii="宋体" w:hAnsi="宋体" w:cs="宋体"/>
                <w:color w:val="auto"/>
                <w:sz w:val="14"/>
                <w:szCs w:val="14"/>
                <w:highlight w:val="none"/>
              </w:rPr>
            </w:pPr>
          </w:p>
          <w:p w14:paraId="612D048E">
            <w:pPr>
              <w:pStyle w:val="17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3制冷空调设备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CDC0FDB">
            <w:pPr>
              <w:pStyle w:val="170"/>
              <w:rPr>
                <w:rFonts w:ascii="宋体" w:hAnsi="宋体" w:cs="宋体"/>
                <w:color w:val="auto"/>
                <w:sz w:val="20"/>
                <w:szCs w:val="20"/>
                <w:highlight w:val="none"/>
              </w:rPr>
            </w:pPr>
          </w:p>
          <w:p w14:paraId="14CF3EDB">
            <w:pPr>
              <w:pStyle w:val="170"/>
              <w:rPr>
                <w:rFonts w:ascii="宋体" w:hAnsi="宋体" w:cs="宋体"/>
                <w:color w:val="auto"/>
                <w:sz w:val="20"/>
                <w:szCs w:val="20"/>
                <w:highlight w:val="none"/>
              </w:rPr>
            </w:pPr>
          </w:p>
          <w:p w14:paraId="4BA700DF">
            <w:pPr>
              <w:pStyle w:val="170"/>
              <w:spacing w:before="8"/>
              <w:rPr>
                <w:rFonts w:ascii="宋体" w:hAnsi="宋体" w:cs="宋体"/>
                <w:color w:val="auto"/>
                <w:sz w:val="14"/>
                <w:szCs w:val="14"/>
                <w:highlight w:val="none"/>
              </w:rPr>
            </w:pPr>
          </w:p>
          <w:p w14:paraId="678C15DE">
            <w:pPr>
              <w:pStyle w:val="170"/>
              <w:spacing w:line="283" w:lineRule="auto"/>
              <w:ind w:left="7" w:right="5"/>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5EF32BC">
            <w:pPr>
              <w:pStyle w:val="170"/>
              <w:rPr>
                <w:rFonts w:ascii="宋体" w:hAnsi="宋体" w:cs="宋体"/>
                <w:color w:val="auto"/>
                <w:sz w:val="20"/>
                <w:szCs w:val="20"/>
                <w:highlight w:val="none"/>
              </w:rPr>
            </w:pPr>
          </w:p>
          <w:p w14:paraId="4B40D0FE">
            <w:pPr>
              <w:pStyle w:val="170"/>
              <w:spacing w:before="1"/>
              <w:rPr>
                <w:rFonts w:ascii="宋体" w:hAnsi="宋体" w:cs="宋体"/>
                <w:color w:val="auto"/>
                <w:sz w:val="18"/>
                <w:szCs w:val="18"/>
                <w:highlight w:val="none"/>
              </w:rPr>
            </w:pPr>
          </w:p>
          <w:p w14:paraId="4D0F5F1C">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F6B9D83">
            <w:pPr>
              <w:pStyle w:val="170"/>
              <w:spacing w:before="30" w:line="283" w:lineRule="auto"/>
              <w:ind w:left="7" w:right="4"/>
              <w:jc w:val="both"/>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《冷水机组能效限定值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77</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《低</w:t>
            </w:r>
            <w:r>
              <w:rPr>
                <w:rFonts w:hint="eastAsia" w:ascii="宋体" w:hAnsi="宋体" w:cs="宋体"/>
                <w:color w:val="auto"/>
                <w:spacing w:val="2"/>
                <w:w w:val="99"/>
                <w:sz w:val="20"/>
                <w:szCs w:val="20"/>
                <w:highlight w:val="none"/>
                <w:lang w:eastAsia="zh-CN"/>
              </w:rPr>
              <w:t>环</w:t>
            </w:r>
            <w:r>
              <w:rPr>
                <w:rFonts w:hint="eastAsia" w:ascii="宋体" w:hAnsi="宋体" w:cs="宋体"/>
                <w:color w:val="auto"/>
                <w:w w:val="99"/>
                <w:sz w:val="20"/>
                <w:szCs w:val="20"/>
                <w:highlight w:val="none"/>
                <w:lang w:eastAsia="zh-CN"/>
              </w:rPr>
              <w:t>境温度空气源</w:t>
            </w:r>
            <w:r>
              <w:rPr>
                <w:rFonts w:hint="eastAsia" w:ascii="宋体" w:hAnsi="宋体" w:cs="宋体"/>
                <w:color w:val="auto"/>
                <w:spacing w:val="2"/>
                <w:w w:val="99"/>
                <w:sz w:val="20"/>
                <w:szCs w:val="20"/>
                <w:highlight w:val="none"/>
                <w:lang w:eastAsia="zh-CN"/>
              </w:rPr>
              <w:t>热</w:t>
            </w:r>
            <w:r>
              <w:rPr>
                <w:rFonts w:hint="eastAsia" w:ascii="宋体" w:hAnsi="宋体" w:cs="宋体"/>
                <w:color w:val="auto"/>
                <w:spacing w:val="-29"/>
                <w:w w:val="99"/>
                <w:sz w:val="20"/>
                <w:szCs w:val="20"/>
                <w:highlight w:val="none"/>
                <w:lang w:eastAsia="zh-CN"/>
              </w:rPr>
              <w:t>泵</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冷水</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机组</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效限定值及能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w:t>
            </w:r>
            <w:r>
              <w:rPr>
                <w:rFonts w:hint="eastAsia" w:ascii="宋体" w:hAnsi="宋体" w:cs="宋体"/>
                <w:color w:val="auto"/>
                <w:w w:val="99"/>
                <w:sz w:val="20"/>
                <w:szCs w:val="20"/>
                <w:highlight w:val="none"/>
                <w:lang w:eastAsia="zh-CN"/>
              </w:rPr>
              <w:t>48</w:t>
            </w:r>
            <w:r>
              <w:rPr>
                <w:rFonts w:hint="eastAsia" w:ascii="宋体" w:hAnsi="宋体" w:cs="宋体"/>
                <w:color w:val="auto"/>
                <w:spacing w:val="-2"/>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780E13C5">
        <w:tblPrEx>
          <w:tblCellMar>
            <w:top w:w="0" w:type="dxa"/>
            <w:left w:w="0" w:type="dxa"/>
            <w:bottom w:w="0" w:type="dxa"/>
            <w:right w:w="0" w:type="dxa"/>
          </w:tblCellMar>
        </w:tblPrEx>
        <w:trPr>
          <w:trHeight w:val="744"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1FC2A">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404939">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A5DD3">
            <w:pPr>
              <w:widowControl/>
              <w:rPr>
                <w:rFonts w:ascii="宋体" w:hAnsi="宋体" w:cs="宋体"/>
                <w:color w:val="auto"/>
                <w:sz w:val="20"/>
                <w:szCs w:val="20"/>
                <w:highlight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7430842">
            <w:pPr>
              <w:pStyle w:val="170"/>
              <w:spacing w:before="12"/>
              <w:rPr>
                <w:rFonts w:ascii="宋体" w:hAnsi="宋体" w:cs="宋体"/>
                <w:color w:val="auto"/>
                <w:sz w:val="15"/>
                <w:szCs w:val="15"/>
                <w:highlight w:val="none"/>
                <w:lang w:eastAsia="zh-CN"/>
              </w:rPr>
            </w:pPr>
          </w:p>
          <w:p w14:paraId="241FBA0D">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水源热</w:t>
            </w:r>
            <w:r>
              <w:rPr>
                <w:rFonts w:hint="eastAsia" w:ascii="宋体" w:hAnsi="宋体" w:cs="宋体"/>
                <w:color w:val="auto"/>
                <w:spacing w:val="2"/>
                <w:w w:val="99"/>
                <w:sz w:val="20"/>
                <w:szCs w:val="20"/>
                <w:highlight w:val="none"/>
              </w:rPr>
              <w:t>泵</w:t>
            </w:r>
            <w:r>
              <w:rPr>
                <w:rFonts w:hint="eastAsia" w:ascii="宋体" w:hAnsi="宋体" w:cs="宋体"/>
                <w:color w:val="auto"/>
                <w:w w:val="99"/>
                <w:sz w:val="20"/>
                <w:szCs w:val="20"/>
                <w:highlight w:val="none"/>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C118AC4">
            <w:pPr>
              <w:pStyle w:val="170"/>
              <w:spacing w:before="52"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9"/>
                <w:w w:val="99"/>
                <w:sz w:val="20"/>
                <w:szCs w:val="20"/>
                <w:highlight w:val="none"/>
                <w:lang w:eastAsia="zh-CN"/>
              </w:rPr>
              <w:t>水</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地</w:t>
            </w:r>
            <w:r>
              <w:rPr>
                <w:rFonts w:hint="eastAsia" w:ascii="宋体" w:hAnsi="宋体" w:cs="宋体"/>
                <w:color w:val="auto"/>
                <w:spacing w:val="-29"/>
                <w:w w:val="99"/>
                <w:sz w:val="20"/>
                <w:szCs w:val="20"/>
                <w:highlight w:val="none"/>
                <w:lang w:eastAsia="zh-CN"/>
              </w:rPr>
              <w:t>）</w:t>
            </w:r>
            <w:r>
              <w:rPr>
                <w:rFonts w:hint="eastAsia" w:ascii="宋体" w:hAnsi="宋体" w:cs="宋体"/>
                <w:color w:val="auto"/>
                <w:spacing w:val="2"/>
                <w:w w:val="99"/>
                <w:sz w:val="20"/>
                <w:szCs w:val="20"/>
                <w:highlight w:val="none"/>
                <w:lang w:eastAsia="zh-CN"/>
              </w:rPr>
              <w:t>源</w:t>
            </w: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组能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30721</w:t>
            </w:r>
            <w:r>
              <w:rPr>
                <w:rFonts w:hint="eastAsia" w:ascii="宋体" w:hAnsi="宋体" w:cs="宋体"/>
                <w:color w:val="auto"/>
                <w:w w:val="99"/>
                <w:sz w:val="20"/>
                <w:szCs w:val="20"/>
                <w:highlight w:val="none"/>
                <w:lang w:eastAsia="zh-CN"/>
              </w:rPr>
              <w:t>）</w:t>
            </w:r>
          </w:p>
        </w:tc>
      </w:tr>
      <w:tr w14:paraId="3FD39C6F">
        <w:tblPrEx>
          <w:tblCellMar>
            <w:top w:w="0" w:type="dxa"/>
            <w:left w:w="0" w:type="dxa"/>
            <w:bottom w:w="0" w:type="dxa"/>
            <w:right w:w="0" w:type="dxa"/>
          </w:tblCellMar>
        </w:tblPrEx>
        <w:trPr>
          <w:trHeight w:val="416" w:hRule="exac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top"/>
          </w:tcPr>
          <w:p w14:paraId="3A1E5059">
            <w:pPr>
              <w:rPr>
                <w:rFonts w:ascii="Calibri" w:hAnsi="Calibri"/>
                <w:color w:val="auto"/>
                <w:sz w:val="22"/>
                <w:szCs w:val="22"/>
                <w:highlight w:val="none"/>
                <w:lang w:eastAsia="en-US"/>
              </w:rPr>
            </w:pPr>
          </w:p>
        </w:tc>
        <w:tc>
          <w:tcPr>
            <w:tcW w:w="1094" w:type="dxa"/>
            <w:vMerge w:val="restart"/>
            <w:tcBorders>
              <w:top w:val="single" w:color="000000" w:sz="4" w:space="0"/>
              <w:left w:val="single" w:color="000000" w:sz="4" w:space="0"/>
              <w:bottom w:val="single" w:color="000000" w:sz="4" w:space="0"/>
              <w:right w:val="single" w:color="000000" w:sz="4" w:space="0"/>
            </w:tcBorders>
            <w:noWrap w:val="0"/>
            <w:vAlign w:val="top"/>
          </w:tcPr>
          <w:p w14:paraId="744C81D3">
            <w:pPr>
              <w:rPr>
                <w:rFonts w:ascii="Calibri" w:hAnsi="Calibri"/>
                <w:color w:val="auto"/>
                <w:sz w:val="22"/>
                <w:szCs w:val="22"/>
                <w:highlight w:val="none"/>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F291AFC">
            <w:pPr>
              <w:rPr>
                <w:rFonts w:ascii="Calibri" w:hAnsi="Calibri"/>
                <w:color w:val="auto"/>
                <w:sz w:val="22"/>
                <w:szCs w:val="22"/>
                <w:highlight w:val="none"/>
                <w:lang w:eastAsia="en-US"/>
              </w:rPr>
            </w:pPr>
          </w:p>
        </w:tc>
        <w:tc>
          <w:tcPr>
            <w:tcW w:w="1916" w:type="dxa"/>
            <w:tcBorders>
              <w:top w:val="single" w:color="000000" w:sz="4" w:space="0"/>
              <w:left w:val="single" w:color="000000" w:sz="4" w:space="0"/>
              <w:bottom w:val="nil"/>
              <w:right w:val="single" w:color="000000" w:sz="4" w:space="0"/>
            </w:tcBorders>
            <w:noWrap w:val="0"/>
            <w:vAlign w:val="top"/>
          </w:tcPr>
          <w:p w14:paraId="15D89455">
            <w:pPr>
              <w:pStyle w:val="170"/>
              <w:spacing w:before="93"/>
              <w:ind w:left="7"/>
              <w:rPr>
                <w:rFonts w:ascii="宋体" w:hAnsi="宋体" w:cs="宋体"/>
                <w:color w:val="auto"/>
                <w:sz w:val="20"/>
                <w:szCs w:val="20"/>
                <w:highlight w:val="none"/>
              </w:rPr>
            </w:pPr>
            <w:r>
              <w:rPr>
                <w:rFonts w:hint="eastAsia" w:ascii="宋体" w:hAnsi="宋体" w:cs="宋体"/>
                <w:color w:val="auto"/>
                <w:spacing w:val="12"/>
                <w:w w:val="99"/>
                <w:sz w:val="20"/>
                <w:szCs w:val="20"/>
                <w:highlight w:val="none"/>
              </w:rPr>
              <w:t>溴化锂吸收式冷水</w:t>
            </w:r>
            <w:r>
              <w:rPr>
                <w:rFonts w:hint="eastAsia" w:ascii="宋体" w:hAnsi="宋体" w:cs="宋体"/>
                <w:color w:val="auto"/>
                <w:w w:val="99"/>
                <w:sz w:val="20"/>
                <w:szCs w:val="20"/>
                <w:highlight w:val="none"/>
              </w:rPr>
              <w:t>机</w:t>
            </w:r>
          </w:p>
        </w:tc>
        <w:tc>
          <w:tcPr>
            <w:tcW w:w="2966" w:type="dxa"/>
            <w:tcBorders>
              <w:top w:val="single" w:color="000000" w:sz="4" w:space="0"/>
              <w:left w:val="single" w:color="000000" w:sz="4" w:space="0"/>
              <w:bottom w:val="nil"/>
              <w:right w:val="single" w:color="000000" w:sz="4" w:space="0"/>
            </w:tcBorders>
            <w:noWrap w:val="0"/>
            <w:vAlign w:val="top"/>
          </w:tcPr>
          <w:p w14:paraId="0961EF32">
            <w:pPr>
              <w:pStyle w:val="170"/>
              <w:spacing w:before="93"/>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《溴化锂吸收式冷水机</w:t>
            </w:r>
            <w:r>
              <w:rPr>
                <w:rFonts w:hint="eastAsia" w:ascii="宋体" w:hAnsi="宋体" w:cs="宋体"/>
                <w:color w:val="auto"/>
                <w:spacing w:val="9"/>
                <w:w w:val="99"/>
                <w:sz w:val="20"/>
                <w:szCs w:val="20"/>
                <w:highlight w:val="none"/>
                <w:lang w:eastAsia="zh-CN"/>
              </w:rPr>
              <w:t>组</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w:t>
            </w:r>
          </w:p>
        </w:tc>
      </w:tr>
      <w:tr w14:paraId="72014004">
        <w:tblPrEx>
          <w:tblCellMar>
            <w:top w:w="0" w:type="dxa"/>
            <w:left w:w="0" w:type="dxa"/>
            <w:bottom w:w="0" w:type="dxa"/>
            <w:right w:w="0" w:type="dxa"/>
          </w:tblCellMar>
        </w:tblPrEx>
        <w:trPr>
          <w:trHeight w:val="408"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28731">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46646">
            <w:pPr>
              <w:widowControl/>
              <w:rPr>
                <w:rFonts w:ascii="Calibri" w:hAnsi="Calibri"/>
                <w:color w:val="auto"/>
                <w:sz w:val="22"/>
                <w:szCs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2798A">
            <w:pPr>
              <w:widowControl/>
              <w:rPr>
                <w:rFonts w:ascii="Calibri" w:hAnsi="Calibri"/>
                <w:color w:val="auto"/>
                <w:sz w:val="22"/>
                <w:szCs w:val="22"/>
                <w:highlight w:val="none"/>
              </w:rPr>
            </w:pPr>
          </w:p>
        </w:tc>
        <w:tc>
          <w:tcPr>
            <w:tcW w:w="1916" w:type="dxa"/>
            <w:tcBorders>
              <w:top w:val="nil"/>
              <w:left w:val="single" w:color="000000" w:sz="4" w:space="0"/>
              <w:bottom w:val="single" w:color="000000" w:sz="4" w:space="0"/>
              <w:right w:val="single" w:color="000000" w:sz="4" w:space="0"/>
            </w:tcBorders>
            <w:noWrap w:val="0"/>
            <w:vAlign w:val="top"/>
          </w:tcPr>
          <w:p w14:paraId="55A76267">
            <w:pPr>
              <w:pStyle w:val="170"/>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组</w:t>
            </w:r>
          </w:p>
        </w:tc>
        <w:tc>
          <w:tcPr>
            <w:tcW w:w="2966" w:type="dxa"/>
            <w:tcBorders>
              <w:top w:val="nil"/>
              <w:left w:val="single" w:color="000000" w:sz="4" w:space="0"/>
              <w:bottom w:val="single" w:color="000000" w:sz="4" w:space="0"/>
              <w:right w:val="single" w:color="000000" w:sz="4" w:space="0"/>
            </w:tcBorders>
            <w:noWrap w:val="0"/>
            <w:vAlign w:val="top"/>
          </w:tcPr>
          <w:p w14:paraId="0576DFEB">
            <w:pPr>
              <w:pStyle w:val="170"/>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w:t>
            </w:r>
            <w:r>
              <w:rPr>
                <w:rFonts w:hint="eastAsia" w:ascii="宋体" w:hAnsi="宋体" w:cs="宋体"/>
                <w:color w:val="auto"/>
                <w:w w:val="99"/>
                <w:sz w:val="20"/>
                <w:szCs w:val="20"/>
                <w:highlight w:val="none"/>
                <w:lang w:eastAsia="zh-CN"/>
              </w:rPr>
              <w:t>54</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6E702F02">
        <w:tblPrEx>
          <w:tblCellMar>
            <w:top w:w="0" w:type="dxa"/>
            <w:left w:w="0" w:type="dxa"/>
            <w:bottom w:w="0" w:type="dxa"/>
            <w:right w:w="0" w:type="dxa"/>
          </w:tblCellMar>
        </w:tblPrEx>
        <w:trPr>
          <w:trHeight w:val="958"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9B3C49">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26D4B">
            <w:pPr>
              <w:widowControl/>
              <w:rPr>
                <w:rFonts w:ascii="Calibri" w:hAnsi="Calibri"/>
                <w:color w:val="auto"/>
                <w:sz w:val="22"/>
                <w:szCs w:val="22"/>
                <w:highlight w:val="none"/>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2891435C">
            <w:pPr>
              <w:pStyle w:val="170"/>
              <w:rPr>
                <w:rFonts w:ascii="宋体" w:hAnsi="宋体" w:cs="宋体"/>
                <w:color w:val="auto"/>
                <w:sz w:val="20"/>
                <w:szCs w:val="20"/>
                <w:highlight w:val="none"/>
                <w:lang w:eastAsia="zh-CN"/>
              </w:rPr>
            </w:pPr>
          </w:p>
          <w:p w14:paraId="2004089A">
            <w:pPr>
              <w:pStyle w:val="170"/>
              <w:rPr>
                <w:rFonts w:ascii="宋体" w:hAnsi="宋体" w:cs="宋体"/>
                <w:color w:val="auto"/>
                <w:sz w:val="20"/>
                <w:szCs w:val="20"/>
                <w:highlight w:val="none"/>
                <w:lang w:eastAsia="zh-CN"/>
              </w:rPr>
            </w:pPr>
          </w:p>
          <w:p w14:paraId="4124E6FA">
            <w:pPr>
              <w:pStyle w:val="170"/>
              <w:spacing w:before="3"/>
              <w:rPr>
                <w:rFonts w:ascii="宋体" w:hAnsi="宋体" w:cs="宋体"/>
                <w:color w:val="auto"/>
                <w:sz w:val="21"/>
                <w:szCs w:val="21"/>
                <w:highlight w:val="none"/>
                <w:lang w:eastAsia="zh-CN"/>
              </w:rPr>
            </w:pPr>
          </w:p>
          <w:p w14:paraId="05AED535">
            <w:pPr>
              <w:pStyle w:val="170"/>
              <w:spacing w:line="283" w:lineRule="auto"/>
              <w:ind w:left="7" w:right="5"/>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05空调机组</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82351A3">
            <w:pPr>
              <w:pStyle w:val="170"/>
              <w:spacing w:before="4" w:line="283" w:lineRule="auto"/>
              <w:ind w:left="7" w:right="7"/>
              <w:jc w:val="both"/>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多联式空</w:t>
            </w:r>
            <w:r>
              <w:rPr>
                <w:rFonts w:hint="eastAsia" w:ascii="宋体" w:hAnsi="宋体" w:cs="宋体"/>
                <w:color w:val="auto"/>
                <w:spacing w:val="11"/>
                <w:w w:val="99"/>
                <w:sz w:val="20"/>
                <w:szCs w:val="20"/>
                <w:highlight w:val="none"/>
                <w:lang w:eastAsia="zh-CN"/>
              </w:rPr>
              <w:t>调（</w:t>
            </w:r>
            <w:r>
              <w:rPr>
                <w:rFonts w:hint="eastAsia" w:ascii="宋体" w:hAnsi="宋体" w:cs="宋体"/>
                <w:color w:val="auto"/>
                <w:spacing w:val="12"/>
                <w:w w:val="99"/>
                <w:sz w:val="20"/>
                <w:szCs w:val="20"/>
                <w:highlight w:val="none"/>
                <w:lang w:eastAsia="zh-CN"/>
              </w:rPr>
              <w:t>热泵</w:t>
            </w:r>
            <w:r>
              <w:rPr>
                <w:rFonts w:hint="eastAsia" w:ascii="宋体" w:hAnsi="宋体" w:cs="宋体"/>
                <w:color w:val="auto"/>
                <w:w w:val="99"/>
                <w:sz w:val="20"/>
                <w:szCs w:val="20"/>
                <w:highlight w:val="none"/>
                <w:lang w:eastAsia="zh-CN"/>
              </w:rPr>
              <w:t>）机组(制冷量</w:t>
            </w:r>
            <w:r>
              <w:rPr>
                <w:rFonts w:hint="eastAsia" w:ascii="宋体" w:hAnsi="宋体" w:cs="宋体"/>
                <w:color w:val="auto"/>
                <w:spacing w:val="1"/>
                <w:w w:val="99"/>
                <w:sz w:val="20"/>
                <w:szCs w:val="20"/>
                <w:highlight w:val="none"/>
                <w:lang w:eastAsia="zh-CN"/>
              </w:rPr>
              <w:t>&gt;140</w:t>
            </w:r>
            <w:r>
              <w:rPr>
                <w:rFonts w:hint="eastAsia" w:ascii="宋体" w:hAnsi="宋体" w:cs="宋体"/>
                <w:color w:val="auto"/>
                <w:w w:val="99"/>
                <w:sz w:val="20"/>
                <w:szCs w:val="20"/>
                <w:highlight w:val="none"/>
                <w:lang w:eastAsia="zh-CN"/>
              </w:rPr>
              <w:t>00</w:t>
            </w:r>
            <w:r>
              <w:rPr>
                <w:rFonts w:hint="eastAsia" w:ascii="宋体" w:hAnsi="宋体" w:cs="宋体"/>
                <w:color w:val="auto"/>
                <w:spacing w:val="1"/>
                <w:w w:val="99"/>
                <w:sz w:val="20"/>
                <w:szCs w:val="20"/>
                <w:highlight w:val="none"/>
                <w:lang w:eastAsia="zh-CN"/>
              </w:rPr>
              <w:t>W</w:t>
            </w:r>
            <w:r>
              <w:rPr>
                <w:rFonts w:hint="eastAsia" w:ascii="宋体" w:hAnsi="宋体" w:cs="宋体"/>
                <w:color w:val="auto"/>
                <w:w w:val="99"/>
                <w:sz w:val="20"/>
                <w:szCs w:val="20"/>
                <w:highlight w:val="none"/>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FC8D051">
            <w:pPr>
              <w:pStyle w:val="170"/>
              <w:spacing w:before="160"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《多联</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空</w:t>
            </w:r>
            <w:r>
              <w:rPr>
                <w:rFonts w:hint="eastAsia" w:ascii="宋体" w:hAnsi="宋体" w:cs="宋体"/>
                <w:color w:val="auto"/>
                <w:spacing w:val="-27"/>
                <w:w w:val="99"/>
                <w:sz w:val="20"/>
                <w:szCs w:val="20"/>
                <w:highlight w:val="none"/>
                <w:lang w:eastAsia="zh-CN"/>
              </w:rPr>
              <w:t>调</w:t>
            </w:r>
            <w:r>
              <w:rPr>
                <w:rFonts w:hint="eastAsia" w:ascii="宋体" w:hAnsi="宋体" w:cs="宋体"/>
                <w:color w:val="auto"/>
                <w:w w:val="99"/>
                <w:sz w:val="20"/>
                <w:szCs w:val="20"/>
                <w:highlight w:val="none"/>
                <w:lang w:eastAsia="zh-CN"/>
              </w:rPr>
              <w:t>（热</w:t>
            </w:r>
            <w:r>
              <w:rPr>
                <w:rFonts w:hint="eastAsia" w:ascii="宋体" w:hAnsi="宋体" w:cs="宋体"/>
                <w:color w:val="auto"/>
                <w:spacing w:val="2"/>
                <w:w w:val="99"/>
                <w:sz w:val="20"/>
                <w:szCs w:val="20"/>
                <w:highlight w:val="none"/>
                <w:lang w:eastAsia="zh-CN"/>
              </w:rPr>
              <w:t>泵</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机</w:t>
            </w:r>
            <w:r>
              <w:rPr>
                <w:rFonts w:hint="eastAsia" w:ascii="宋体" w:hAnsi="宋体" w:cs="宋体"/>
                <w:color w:val="auto"/>
                <w:spacing w:val="2"/>
                <w:w w:val="99"/>
                <w:sz w:val="20"/>
                <w:szCs w:val="20"/>
                <w:highlight w:val="none"/>
                <w:lang w:eastAsia="zh-CN"/>
              </w:rPr>
              <w:t>组</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源效</w:t>
            </w:r>
            <w:r>
              <w:rPr>
                <w:rFonts w:hint="eastAsia" w:ascii="宋体" w:hAnsi="宋体" w:cs="宋体"/>
                <w:color w:val="auto"/>
                <w:spacing w:val="2"/>
                <w:w w:val="99"/>
                <w:sz w:val="20"/>
                <w:szCs w:val="20"/>
                <w:highlight w:val="none"/>
                <w:lang w:eastAsia="zh-CN"/>
              </w:rPr>
              <w:t>率</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2145</w:t>
            </w:r>
            <w:r>
              <w:rPr>
                <w:rFonts w:hint="eastAsia" w:ascii="宋体" w:hAnsi="宋体" w:cs="宋体"/>
                <w:color w:val="auto"/>
                <w:w w:val="99"/>
                <w:sz w:val="20"/>
                <w:szCs w:val="20"/>
                <w:highlight w:val="none"/>
                <w:lang w:eastAsia="zh-CN"/>
              </w:rPr>
              <w:t>4</w:t>
            </w:r>
          </w:p>
        </w:tc>
      </w:tr>
      <w:tr w14:paraId="1DD7CCC7">
        <w:tblPrEx>
          <w:tblCellMar>
            <w:top w:w="0" w:type="dxa"/>
            <w:left w:w="0" w:type="dxa"/>
            <w:bottom w:w="0" w:type="dxa"/>
            <w:right w:w="0" w:type="dxa"/>
          </w:tblCellMar>
        </w:tblPrEx>
        <w:trPr>
          <w:trHeight w:val="644"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C3F3F">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FF8CF7">
            <w:pPr>
              <w:widowControl/>
              <w:rPr>
                <w:rFonts w:ascii="Calibri" w:hAnsi="Calibri"/>
                <w:color w:val="auto"/>
                <w:sz w:val="22"/>
                <w:szCs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82DAB">
            <w:pPr>
              <w:widowControl/>
              <w:rPr>
                <w:rFonts w:ascii="宋体" w:hAnsi="宋体" w:cs="宋体"/>
                <w:color w:val="auto"/>
                <w:sz w:val="20"/>
                <w:szCs w:val="20"/>
                <w:highlight w:val="none"/>
              </w:rPr>
            </w:pPr>
          </w:p>
        </w:tc>
        <w:tc>
          <w:tcPr>
            <w:tcW w:w="1916" w:type="dxa"/>
            <w:tcBorders>
              <w:top w:val="single" w:color="000000" w:sz="4" w:space="0"/>
              <w:left w:val="single" w:color="000000" w:sz="4" w:space="0"/>
              <w:bottom w:val="nil"/>
              <w:right w:val="single" w:color="000000" w:sz="4" w:space="0"/>
            </w:tcBorders>
            <w:noWrap w:val="0"/>
            <w:vAlign w:val="top"/>
          </w:tcPr>
          <w:p w14:paraId="79C5D228">
            <w:pPr>
              <w:pStyle w:val="170"/>
              <w:spacing w:before="7"/>
              <w:rPr>
                <w:rFonts w:ascii="宋体" w:hAnsi="宋体" w:cs="宋体"/>
                <w:color w:val="auto"/>
                <w:sz w:val="24"/>
                <w:szCs w:val="24"/>
                <w:highlight w:val="none"/>
                <w:lang w:eastAsia="zh-CN"/>
              </w:rPr>
            </w:pPr>
          </w:p>
          <w:p w14:paraId="5D895DC7">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4BD2B690">
            <w:pPr>
              <w:pStyle w:val="170"/>
              <w:spacing w:before="9"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6</w:t>
            </w:r>
            <w:r>
              <w:rPr>
                <w:rFonts w:hint="eastAsia" w:ascii="宋体" w:hAnsi="宋体" w:cs="宋体"/>
                <w:color w:val="auto"/>
                <w:spacing w:val="-5"/>
                <w:w w:val="99"/>
                <w:sz w:val="20"/>
                <w:szCs w:val="20"/>
                <w:highlight w:val="none"/>
                <w:lang w:eastAsia="zh-CN"/>
              </w:rPr>
              <w:t>）</w:t>
            </w:r>
            <w:r>
              <w:rPr>
                <w:rFonts w:hint="eastAsia" w:ascii="宋体" w:hAnsi="宋体" w:cs="宋体"/>
                <w:color w:val="auto"/>
                <w:w w:val="99"/>
                <w:sz w:val="20"/>
                <w:szCs w:val="20"/>
                <w:highlight w:val="none"/>
                <w:lang w:eastAsia="zh-CN"/>
              </w:rPr>
              <w:t>《风管</w:t>
            </w:r>
          </w:p>
        </w:tc>
      </w:tr>
      <w:tr w14:paraId="1C1EEAC0">
        <w:tblPrEx>
          <w:tblCellMar>
            <w:top w:w="0" w:type="dxa"/>
            <w:left w:w="0" w:type="dxa"/>
            <w:bottom w:w="0" w:type="dxa"/>
            <w:right w:w="0" w:type="dxa"/>
          </w:tblCellMar>
        </w:tblPrEx>
        <w:trPr>
          <w:trHeight w:val="312"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88934B">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0F7C0">
            <w:pPr>
              <w:widowControl/>
              <w:rPr>
                <w:rFonts w:ascii="Calibri" w:hAnsi="Calibri"/>
                <w:color w:val="auto"/>
                <w:sz w:val="22"/>
                <w:szCs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19D675">
            <w:pPr>
              <w:widowControl/>
              <w:rPr>
                <w:rFonts w:ascii="宋体" w:hAnsi="宋体" w:cs="宋体"/>
                <w:color w:val="auto"/>
                <w:sz w:val="20"/>
                <w:szCs w:val="20"/>
                <w:highlight w:val="none"/>
              </w:rPr>
            </w:pPr>
          </w:p>
        </w:tc>
        <w:tc>
          <w:tcPr>
            <w:tcW w:w="1916" w:type="dxa"/>
            <w:vMerge w:val="restart"/>
            <w:tcBorders>
              <w:top w:val="nil"/>
              <w:left w:val="single" w:color="000000" w:sz="4" w:space="0"/>
              <w:bottom w:val="single" w:color="000000" w:sz="4" w:space="0"/>
              <w:right w:val="single" w:color="000000" w:sz="4" w:space="0"/>
            </w:tcBorders>
            <w:noWrap w:val="0"/>
            <w:vAlign w:val="top"/>
          </w:tcPr>
          <w:p w14:paraId="34CC0DB9">
            <w:pPr>
              <w:pStyle w:val="170"/>
              <w:spacing w:line="256" w:lineRule="exact"/>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w:t>
            </w:r>
            <w:r>
              <w:rPr>
                <w:rFonts w:hint="eastAsia" w:ascii="宋体" w:hAnsi="宋体" w:cs="宋体"/>
                <w:color w:val="auto"/>
                <w:w w:val="99"/>
                <w:sz w:val="20"/>
                <w:szCs w:val="20"/>
                <w:highlight w:val="none"/>
              </w:rPr>
              <w:t>制冷量</w:t>
            </w:r>
            <w:r>
              <w:rPr>
                <w:rFonts w:hint="eastAsia" w:ascii="宋体" w:hAnsi="宋体" w:cs="宋体"/>
                <w:color w:val="auto"/>
                <w:spacing w:val="1"/>
                <w:w w:val="99"/>
                <w:sz w:val="20"/>
                <w:szCs w:val="20"/>
                <w:highlight w:val="none"/>
              </w:rPr>
              <w:t>&gt;1400</w:t>
            </w:r>
            <w:r>
              <w:rPr>
                <w:rFonts w:hint="eastAsia" w:ascii="宋体" w:hAnsi="宋体" w:cs="宋体"/>
                <w:color w:val="auto"/>
                <w:w w:val="99"/>
                <w:sz w:val="20"/>
                <w:szCs w:val="20"/>
                <w:highlight w:val="none"/>
              </w:rPr>
              <w:t>0W)</w:t>
            </w:r>
          </w:p>
        </w:tc>
        <w:tc>
          <w:tcPr>
            <w:tcW w:w="2966" w:type="dxa"/>
            <w:tcBorders>
              <w:top w:val="nil"/>
              <w:left w:val="single" w:color="000000" w:sz="4" w:space="0"/>
              <w:bottom w:val="nil"/>
              <w:right w:val="single" w:color="000000" w:sz="4" w:space="0"/>
            </w:tcBorders>
            <w:noWrap w:val="0"/>
            <w:vAlign w:val="top"/>
          </w:tcPr>
          <w:p w14:paraId="7E9134B8">
            <w:pPr>
              <w:pStyle w:val="170"/>
              <w:spacing w:line="256" w:lineRule="exact"/>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送风式空调机组能效限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w:t>
            </w:r>
          </w:p>
        </w:tc>
      </w:tr>
      <w:tr w14:paraId="60A749CD">
        <w:tblPrEx>
          <w:tblCellMar>
            <w:top w:w="0" w:type="dxa"/>
            <w:left w:w="0" w:type="dxa"/>
            <w:bottom w:w="0" w:type="dxa"/>
            <w:right w:w="0" w:type="dxa"/>
          </w:tblCellMar>
        </w:tblPrEx>
        <w:trPr>
          <w:trHeight w:val="326"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82A6B6">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C1612A">
            <w:pPr>
              <w:widowControl/>
              <w:rPr>
                <w:rFonts w:ascii="Calibri" w:hAnsi="Calibri"/>
                <w:color w:val="auto"/>
                <w:sz w:val="22"/>
                <w:szCs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BABEF">
            <w:pPr>
              <w:widowControl/>
              <w:rPr>
                <w:rFonts w:ascii="宋体" w:hAnsi="宋体" w:cs="宋体"/>
                <w:color w:val="auto"/>
                <w:sz w:val="20"/>
                <w:szCs w:val="20"/>
                <w:highlight w:val="none"/>
              </w:rPr>
            </w:pPr>
          </w:p>
        </w:tc>
        <w:tc>
          <w:tcPr>
            <w:tcW w:w="1916" w:type="dxa"/>
            <w:vMerge w:val="continue"/>
            <w:tcBorders>
              <w:top w:val="nil"/>
              <w:left w:val="single" w:color="000000" w:sz="4" w:space="0"/>
              <w:bottom w:val="single" w:color="000000" w:sz="4" w:space="0"/>
              <w:right w:val="single" w:color="000000" w:sz="4" w:space="0"/>
            </w:tcBorders>
            <w:noWrap w:val="0"/>
            <w:vAlign w:val="center"/>
          </w:tcPr>
          <w:p w14:paraId="5CA35346">
            <w:pPr>
              <w:widowControl/>
              <w:rPr>
                <w:rFonts w:ascii="宋体" w:hAnsi="宋体" w:cs="宋体"/>
                <w:color w:val="auto"/>
                <w:sz w:val="20"/>
                <w:szCs w:val="20"/>
                <w:highlight w:val="none"/>
              </w:rPr>
            </w:pPr>
          </w:p>
        </w:tc>
        <w:tc>
          <w:tcPr>
            <w:tcW w:w="2966" w:type="dxa"/>
            <w:tcBorders>
              <w:top w:val="nil"/>
              <w:left w:val="single" w:color="000000" w:sz="4" w:space="0"/>
              <w:bottom w:val="single" w:color="000000" w:sz="4" w:space="0"/>
              <w:right w:val="single" w:color="000000" w:sz="4" w:space="0"/>
            </w:tcBorders>
            <w:noWrap w:val="0"/>
            <w:vAlign w:val="top"/>
          </w:tcPr>
          <w:p w14:paraId="2F258127">
            <w:pPr>
              <w:pStyle w:val="170"/>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效等级</w:t>
            </w:r>
            <w:r>
              <w:rPr>
                <w:rFonts w:hint="eastAsia" w:ascii="宋体" w:hAnsi="宋体" w:cs="宋体"/>
                <w:color w:val="auto"/>
                <w:spacing w:val="2"/>
                <w:w w:val="99"/>
                <w:sz w:val="20"/>
                <w:szCs w:val="20"/>
                <w:highlight w:val="none"/>
              </w:rPr>
              <w:t>》</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37</w:t>
            </w:r>
            <w:r>
              <w:rPr>
                <w:rFonts w:hint="eastAsia" w:ascii="宋体" w:hAnsi="宋体" w:cs="宋体"/>
                <w:color w:val="auto"/>
                <w:w w:val="99"/>
                <w:sz w:val="20"/>
                <w:szCs w:val="20"/>
                <w:highlight w:val="none"/>
              </w:rPr>
              <w:t>47</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w:t>
            </w:r>
          </w:p>
        </w:tc>
      </w:tr>
      <w:tr w14:paraId="49C3F8A9">
        <w:tblPrEx>
          <w:tblCellMar>
            <w:top w:w="0" w:type="dxa"/>
            <w:left w:w="0" w:type="dxa"/>
            <w:bottom w:w="0" w:type="dxa"/>
            <w:right w:w="0" w:type="dxa"/>
          </w:tblCellMar>
        </w:tblPrEx>
        <w:trPr>
          <w:trHeight w:val="405"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7C4E45">
            <w:pPr>
              <w:widowControl/>
              <w:rPr>
                <w:rFonts w:ascii="Calibri" w:hAnsi="Calibri"/>
                <w:color w:val="auto"/>
                <w:sz w:val="22"/>
                <w:szCs w:val="22"/>
                <w:highlight w:val="none"/>
                <w:lang w:eastAsia="en-US"/>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22D72">
            <w:pPr>
              <w:widowControl/>
              <w:rPr>
                <w:rFonts w:ascii="Calibri" w:hAnsi="Calibri"/>
                <w:color w:val="auto"/>
                <w:sz w:val="22"/>
                <w:szCs w:val="22"/>
                <w:highlight w:val="none"/>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5AF77005">
            <w:pPr>
              <w:pStyle w:val="170"/>
              <w:spacing w:before="83"/>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09专用制</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top"/>
          </w:tcPr>
          <w:p w14:paraId="35DB04AE">
            <w:pPr>
              <w:pStyle w:val="170"/>
              <w:spacing w:before="1"/>
              <w:rPr>
                <w:rFonts w:ascii="宋体" w:hAnsi="宋体" w:cs="宋体"/>
                <w:color w:val="auto"/>
                <w:sz w:val="18"/>
                <w:szCs w:val="18"/>
                <w:highlight w:val="none"/>
              </w:rPr>
            </w:pPr>
          </w:p>
          <w:p w14:paraId="06C519D2">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机房空调</w:t>
            </w:r>
          </w:p>
        </w:tc>
        <w:tc>
          <w:tcPr>
            <w:tcW w:w="2966" w:type="dxa"/>
            <w:tcBorders>
              <w:top w:val="single" w:color="000000" w:sz="4" w:space="0"/>
              <w:left w:val="single" w:color="000000" w:sz="4" w:space="0"/>
              <w:bottom w:val="nil"/>
              <w:right w:val="single" w:color="000000" w:sz="4" w:space="0"/>
            </w:tcBorders>
            <w:noWrap w:val="0"/>
            <w:vAlign w:val="top"/>
          </w:tcPr>
          <w:p w14:paraId="03E7CEAE">
            <w:pPr>
              <w:pStyle w:val="170"/>
              <w:spacing w:before="83"/>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w:t>
            </w:r>
          </w:p>
        </w:tc>
      </w:tr>
      <w:tr w14:paraId="35F64A12">
        <w:tblPrEx>
          <w:tblCellMar>
            <w:top w:w="0" w:type="dxa"/>
            <w:left w:w="0" w:type="dxa"/>
            <w:bottom w:w="0" w:type="dxa"/>
            <w:right w:w="0" w:type="dxa"/>
          </w:tblCellMar>
        </w:tblPrEx>
        <w:trPr>
          <w:trHeight w:val="397"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BE534">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D388C">
            <w:pPr>
              <w:widowControl/>
              <w:rPr>
                <w:rFonts w:ascii="Calibri" w:hAnsi="Calibri"/>
                <w:color w:val="auto"/>
                <w:sz w:val="22"/>
                <w:szCs w:val="22"/>
                <w:highlight w:val="none"/>
              </w:rPr>
            </w:pPr>
          </w:p>
        </w:tc>
        <w:tc>
          <w:tcPr>
            <w:tcW w:w="1800" w:type="dxa"/>
            <w:tcBorders>
              <w:top w:val="nil"/>
              <w:left w:val="single" w:color="000000" w:sz="4" w:space="0"/>
              <w:bottom w:val="single" w:color="000000" w:sz="4" w:space="0"/>
              <w:right w:val="single" w:color="000000" w:sz="4" w:space="0"/>
            </w:tcBorders>
            <w:noWrap w:val="0"/>
            <w:vAlign w:val="top"/>
          </w:tcPr>
          <w:p w14:paraId="4516F271">
            <w:pPr>
              <w:pStyle w:val="170"/>
              <w:spacing w:line="254"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冷、空</w:t>
            </w:r>
            <w:r>
              <w:rPr>
                <w:rFonts w:hint="eastAsia" w:ascii="宋体" w:hAnsi="宋体" w:cs="宋体"/>
                <w:color w:val="auto"/>
                <w:spacing w:val="2"/>
                <w:w w:val="99"/>
                <w:sz w:val="20"/>
                <w:szCs w:val="20"/>
                <w:highlight w:val="none"/>
              </w:rPr>
              <w:t>调</w:t>
            </w:r>
            <w:r>
              <w:rPr>
                <w:rFonts w:hint="eastAsia" w:ascii="宋体" w:hAnsi="宋体" w:cs="宋体"/>
                <w:color w:val="auto"/>
                <w:w w:val="99"/>
                <w:sz w:val="20"/>
                <w:szCs w:val="20"/>
                <w:highlight w:val="none"/>
              </w:rPr>
              <w:t>设备</w:t>
            </w: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3ED5C">
            <w:pPr>
              <w:widowControl/>
              <w:rPr>
                <w:rFonts w:ascii="宋体" w:hAnsi="宋体" w:cs="宋体"/>
                <w:color w:val="auto"/>
                <w:sz w:val="20"/>
                <w:szCs w:val="20"/>
                <w:highlight w:val="none"/>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69228E1D">
            <w:pPr>
              <w:pStyle w:val="170"/>
              <w:spacing w:line="254"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19576</w:t>
            </w:r>
            <w:r>
              <w:rPr>
                <w:rFonts w:hint="eastAsia" w:ascii="宋体" w:hAnsi="宋体" w:cs="宋体"/>
                <w:color w:val="auto"/>
                <w:w w:val="99"/>
                <w:sz w:val="20"/>
                <w:szCs w:val="20"/>
                <w:highlight w:val="none"/>
                <w:lang w:eastAsia="zh-CN"/>
              </w:rPr>
              <w:t>）</w:t>
            </w:r>
          </w:p>
        </w:tc>
      </w:tr>
      <w:tr w14:paraId="0E894394">
        <w:tblPrEx>
          <w:tblCellMar>
            <w:top w:w="0" w:type="dxa"/>
            <w:left w:w="0" w:type="dxa"/>
            <w:bottom w:w="0" w:type="dxa"/>
            <w:right w:w="0" w:type="dxa"/>
          </w:tblCellMar>
        </w:tblPrEx>
        <w:trPr>
          <w:trHeight w:val="543"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2C9B4">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BAFF0">
            <w:pPr>
              <w:widowControl/>
              <w:rPr>
                <w:rFonts w:ascii="Calibri" w:hAnsi="Calibri"/>
                <w:color w:val="auto"/>
                <w:sz w:val="22"/>
                <w:szCs w:val="22"/>
                <w:highlight w:val="none"/>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6A48981E">
            <w:pPr>
              <w:pStyle w:val="170"/>
              <w:rPr>
                <w:rFonts w:ascii="宋体" w:hAnsi="宋体" w:cs="宋体"/>
                <w:color w:val="auto"/>
                <w:sz w:val="20"/>
                <w:szCs w:val="20"/>
                <w:highlight w:val="none"/>
                <w:lang w:eastAsia="zh-CN"/>
              </w:rPr>
            </w:pPr>
          </w:p>
          <w:p w14:paraId="094B2395">
            <w:pPr>
              <w:pStyle w:val="170"/>
              <w:spacing w:before="9"/>
              <w:rPr>
                <w:rFonts w:ascii="宋体" w:hAnsi="宋体" w:cs="宋体"/>
                <w:color w:val="auto"/>
                <w:sz w:val="20"/>
                <w:szCs w:val="20"/>
                <w:highlight w:val="none"/>
                <w:lang w:eastAsia="zh-CN"/>
              </w:rPr>
            </w:pPr>
          </w:p>
          <w:p w14:paraId="2AE7BD9B">
            <w:pPr>
              <w:pStyle w:val="17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399其他制冷</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top"/>
          </w:tcPr>
          <w:p w14:paraId="22066D29">
            <w:pPr>
              <w:pStyle w:val="170"/>
              <w:rPr>
                <w:rFonts w:ascii="宋体" w:hAnsi="宋体" w:cs="宋体"/>
                <w:color w:val="auto"/>
                <w:sz w:val="20"/>
                <w:szCs w:val="20"/>
                <w:highlight w:val="none"/>
              </w:rPr>
            </w:pPr>
          </w:p>
          <w:p w14:paraId="2B239683">
            <w:pPr>
              <w:pStyle w:val="170"/>
              <w:rPr>
                <w:rFonts w:ascii="宋体" w:hAnsi="宋体" w:cs="宋体"/>
                <w:color w:val="auto"/>
                <w:sz w:val="20"/>
                <w:szCs w:val="20"/>
                <w:highlight w:val="none"/>
              </w:rPr>
            </w:pPr>
          </w:p>
          <w:p w14:paraId="6DB635E2">
            <w:pPr>
              <w:pStyle w:val="170"/>
              <w:spacing w:before="164"/>
              <w:ind w:left="7"/>
              <w:rPr>
                <w:rFonts w:ascii="宋体" w:hAnsi="宋体" w:cs="宋体"/>
                <w:color w:val="auto"/>
                <w:sz w:val="20"/>
                <w:szCs w:val="20"/>
                <w:highlight w:val="none"/>
              </w:rPr>
            </w:pPr>
            <w:r>
              <w:rPr>
                <w:rFonts w:hint="eastAsia" w:ascii="宋体" w:hAnsi="宋体" w:cs="宋体"/>
                <w:color w:val="auto"/>
                <w:w w:val="99"/>
                <w:sz w:val="20"/>
                <w:szCs w:val="20"/>
                <w:highlight w:val="none"/>
              </w:rPr>
              <w:t>冷却塔</w:t>
            </w:r>
          </w:p>
        </w:tc>
        <w:tc>
          <w:tcPr>
            <w:tcW w:w="2966" w:type="dxa"/>
            <w:tcBorders>
              <w:top w:val="single" w:color="000000" w:sz="4" w:space="0"/>
              <w:left w:val="single" w:color="000000" w:sz="4" w:space="0"/>
              <w:bottom w:val="nil"/>
              <w:right w:val="single" w:color="000000" w:sz="4" w:space="0"/>
            </w:tcBorders>
            <w:noWrap w:val="0"/>
            <w:vAlign w:val="top"/>
          </w:tcPr>
          <w:p w14:paraId="0224E26E">
            <w:pPr>
              <w:pStyle w:val="170"/>
              <w:spacing w:before="11"/>
              <w:rPr>
                <w:rFonts w:ascii="宋体" w:hAnsi="宋体" w:cs="宋体"/>
                <w:color w:val="auto"/>
                <w:sz w:val="16"/>
                <w:szCs w:val="16"/>
                <w:highlight w:val="none"/>
                <w:lang w:eastAsia="zh-CN"/>
              </w:rPr>
            </w:pPr>
          </w:p>
          <w:p w14:paraId="6CA70C5B">
            <w:pPr>
              <w:pStyle w:val="170"/>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《机械</w:t>
            </w:r>
            <w:r>
              <w:rPr>
                <w:rFonts w:hint="eastAsia" w:ascii="宋体" w:hAnsi="宋体" w:cs="宋体"/>
                <w:color w:val="auto"/>
                <w:spacing w:val="2"/>
                <w:w w:val="99"/>
                <w:sz w:val="20"/>
                <w:szCs w:val="20"/>
                <w:highlight w:val="none"/>
                <w:lang w:eastAsia="zh-CN"/>
              </w:rPr>
              <w:t>通</w:t>
            </w:r>
            <w:r>
              <w:rPr>
                <w:rFonts w:hint="eastAsia" w:ascii="宋体" w:hAnsi="宋体" w:cs="宋体"/>
                <w:color w:val="auto"/>
                <w:w w:val="99"/>
                <w:sz w:val="20"/>
                <w:szCs w:val="20"/>
                <w:highlight w:val="none"/>
                <w:lang w:eastAsia="zh-CN"/>
              </w:rPr>
              <w:t>风冷</w:t>
            </w:r>
            <w:r>
              <w:rPr>
                <w:rFonts w:hint="eastAsia" w:ascii="宋体" w:hAnsi="宋体" w:cs="宋体"/>
                <w:color w:val="auto"/>
                <w:spacing w:val="2"/>
                <w:w w:val="99"/>
                <w:sz w:val="20"/>
                <w:szCs w:val="20"/>
                <w:highlight w:val="none"/>
                <w:lang w:eastAsia="zh-CN"/>
              </w:rPr>
              <w:t>却</w:t>
            </w:r>
            <w:r>
              <w:rPr>
                <w:rFonts w:hint="eastAsia" w:ascii="宋体" w:hAnsi="宋体" w:cs="宋体"/>
                <w:color w:val="auto"/>
                <w:w w:val="99"/>
                <w:sz w:val="20"/>
                <w:szCs w:val="20"/>
                <w:highlight w:val="none"/>
                <w:lang w:eastAsia="zh-CN"/>
              </w:rPr>
              <w:t>塔第1部分：中</w:t>
            </w:r>
          </w:p>
        </w:tc>
      </w:tr>
      <w:tr w14:paraId="02123C34">
        <w:tblPrEx>
          <w:tblCellMar>
            <w:top w:w="0" w:type="dxa"/>
            <w:left w:w="0" w:type="dxa"/>
            <w:bottom w:w="0" w:type="dxa"/>
            <w:right w:w="0" w:type="dxa"/>
          </w:tblCellMar>
        </w:tblPrEx>
        <w:trPr>
          <w:trHeight w:val="312"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F03FD">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1C3D0">
            <w:pPr>
              <w:widowControl/>
              <w:rPr>
                <w:rFonts w:ascii="Calibri" w:hAnsi="Calibri"/>
                <w:color w:val="auto"/>
                <w:sz w:val="22"/>
                <w:szCs w:val="22"/>
                <w:highlight w:val="none"/>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363A3EBC">
            <w:pPr>
              <w:widowControl/>
              <w:rPr>
                <w:rFonts w:ascii="宋体" w:hAnsi="宋体" w:cs="宋体"/>
                <w:color w:val="auto"/>
                <w:sz w:val="20"/>
                <w:szCs w:val="20"/>
                <w:highlight w:val="none"/>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E9BFF">
            <w:pPr>
              <w:widowControl/>
              <w:rPr>
                <w:rFonts w:ascii="宋体" w:hAnsi="宋体" w:cs="宋体"/>
                <w:color w:val="auto"/>
                <w:sz w:val="20"/>
                <w:szCs w:val="20"/>
                <w:highlight w:val="none"/>
              </w:rPr>
            </w:pPr>
          </w:p>
        </w:tc>
        <w:tc>
          <w:tcPr>
            <w:tcW w:w="2966" w:type="dxa"/>
            <w:tcBorders>
              <w:top w:val="nil"/>
              <w:left w:val="single" w:color="000000" w:sz="4" w:space="0"/>
              <w:bottom w:val="nil"/>
              <w:right w:val="single" w:color="000000" w:sz="4" w:space="0"/>
            </w:tcBorders>
            <w:noWrap w:val="0"/>
            <w:vAlign w:val="top"/>
          </w:tcPr>
          <w:p w14:paraId="333C1E92">
            <w:pPr>
              <w:pStyle w:val="170"/>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小型开</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冷却</w:t>
            </w:r>
            <w:r>
              <w:rPr>
                <w:rFonts w:hint="eastAsia" w:ascii="宋体" w:hAnsi="宋体" w:cs="宋体"/>
                <w:color w:val="auto"/>
                <w:spacing w:val="2"/>
                <w:w w:val="99"/>
                <w:sz w:val="20"/>
                <w:szCs w:val="20"/>
                <w:highlight w:val="none"/>
                <w:lang w:eastAsia="zh-CN"/>
              </w:rPr>
              <w:t>塔</w:t>
            </w:r>
            <w:r>
              <w:rPr>
                <w:rFonts w:hint="eastAsia" w:ascii="宋体" w:hAnsi="宋体" w:cs="宋体"/>
                <w:color w:val="auto"/>
                <w:spacing w:val="-171"/>
                <w:w w:val="99"/>
                <w:sz w:val="20"/>
                <w:szCs w:val="20"/>
                <w:highlight w:val="none"/>
                <w:lang w:eastAsia="zh-CN"/>
              </w:rPr>
              <w:t>》</w:t>
            </w:r>
            <w:r>
              <w:rPr>
                <w:rFonts w:hint="eastAsia" w:ascii="宋体" w:hAnsi="宋体" w:cs="宋体"/>
                <w:color w:val="auto"/>
                <w:spacing w:val="-1"/>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w:t>
            </w:r>
            <w:r>
              <w:rPr>
                <w:rFonts w:hint="eastAsia" w:ascii="宋体" w:hAnsi="宋体" w:cs="宋体"/>
                <w:color w:val="auto"/>
                <w:w w:val="99"/>
                <w:sz w:val="20"/>
                <w:szCs w:val="20"/>
                <w:highlight w:val="none"/>
                <w:lang w:eastAsia="zh-CN"/>
              </w:rPr>
              <w:t>T7190</w:t>
            </w:r>
            <w:r>
              <w:rPr>
                <w:rFonts w:hint="eastAsia" w:ascii="宋体" w:hAnsi="宋体" w:cs="宋体"/>
                <w:color w:val="auto"/>
                <w:spacing w:val="1"/>
                <w:w w:val="99"/>
                <w:sz w:val="20"/>
                <w:szCs w:val="20"/>
                <w:highlight w:val="none"/>
                <w:lang w:eastAsia="zh-CN"/>
              </w:rPr>
              <w:t>.1</w:t>
            </w:r>
            <w:r>
              <w:rPr>
                <w:rFonts w:hint="eastAsia" w:ascii="宋体" w:hAnsi="宋体" w:cs="宋体"/>
                <w:color w:val="auto"/>
                <w:spacing w:val="-87"/>
                <w:w w:val="99"/>
                <w:sz w:val="20"/>
                <w:szCs w:val="20"/>
                <w:highlight w:val="none"/>
                <w:lang w:eastAsia="zh-CN"/>
              </w:rPr>
              <w:t>）</w:t>
            </w:r>
          </w:p>
        </w:tc>
      </w:tr>
      <w:tr w14:paraId="61B84613">
        <w:tblPrEx>
          <w:tblCellMar>
            <w:top w:w="0" w:type="dxa"/>
            <w:left w:w="0" w:type="dxa"/>
            <w:bottom w:w="0" w:type="dxa"/>
            <w:right w:w="0" w:type="dxa"/>
          </w:tblCellMar>
        </w:tblPrEx>
        <w:trPr>
          <w:trHeight w:val="312"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1BE361">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B3181">
            <w:pPr>
              <w:widowControl/>
              <w:rPr>
                <w:rFonts w:ascii="Calibri" w:hAnsi="Calibri"/>
                <w:color w:val="auto"/>
                <w:sz w:val="22"/>
                <w:szCs w:val="22"/>
                <w:highlight w:val="none"/>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4AE067C3">
            <w:pPr>
              <w:pStyle w:val="170"/>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空调设备</w:t>
            </w: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D5F00">
            <w:pPr>
              <w:widowControl/>
              <w:rPr>
                <w:rFonts w:ascii="宋体" w:hAnsi="宋体" w:cs="宋体"/>
                <w:color w:val="auto"/>
                <w:sz w:val="20"/>
                <w:szCs w:val="20"/>
                <w:highlight w:val="none"/>
                <w:lang w:eastAsia="en-US"/>
              </w:rPr>
            </w:pPr>
          </w:p>
        </w:tc>
        <w:tc>
          <w:tcPr>
            <w:tcW w:w="2966" w:type="dxa"/>
            <w:tcBorders>
              <w:top w:val="nil"/>
              <w:left w:val="single" w:color="000000" w:sz="4" w:space="0"/>
              <w:bottom w:val="nil"/>
              <w:right w:val="single" w:color="000000" w:sz="4" w:space="0"/>
            </w:tcBorders>
            <w:noWrap w:val="0"/>
            <w:vAlign w:val="top"/>
          </w:tcPr>
          <w:p w14:paraId="2ED728D7">
            <w:pPr>
              <w:pStyle w:val="170"/>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《机械</w:t>
            </w:r>
            <w:r>
              <w:rPr>
                <w:rFonts w:hint="eastAsia" w:ascii="宋体" w:hAnsi="宋体" w:cs="宋体"/>
                <w:color w:val="auto"/>
                <w:spacing w:val="2"/>
                <w:w w:val="99"/>
                <w:sz w:val="20"/>
                <w:szCs w:val="20"/>
                <w:highlight w:val="none"/>
                <w:lang w:eastAsia="zh-CN"/>
              </w:rPr>
              <w:t>通</w:t>
            </w:r>
            <w:r>
              <w:rPr>
                <w:rFonts w:hint="eastAsia" w:ascii="宋体" w:hAnsi="宋体" w:cs="宋体"/>
                <w:color w:val="auto"/>
                <w:w w:val="99"/>
                <w:sz w:val="20"/>
                <w:szCs w:val="20"/>
                <w:highlight w:val="none"/>
                <w:lang w:eastAsia="zh-CN"/>
              </w:rPr>
              <w:t>风冷</w:t>
            </w:r>
            <w:r>
              <w:rPr>
                <w:rFonts w:hint="eastAsia" w:ascii="宋体" w:hAnsi="宋体" w:cs="宋体"/>
                <w:color w:val="auto"/>
                <w:spacing w:val="2"/>
                <w:w w:val="99"/>
                <w:sz w:val="20"/>
                <w:szCs w:val="20"/>
                <w:highlight w:val="none"/>
                <w:lang w:eastAsia="zh-CN"/>
              </w:rPr>
              <w:t>却</w:t>
            </w:r>
            <w:r>
              <w:rPr>
                <w:rFonts w:hint="eastAsia" w:ascii="宋体" w:hAnsi="宋体" w:cs="宋体"/>
                <w:color w:val="auto"/>
                <w:w w:val="99"/>
                <w:sz w:val="20"/>
                <w:szCs w:val="20"/>
                <w:highlight w:val="none"/>
                <w:lang w:eastAsia="zh-CN"/>
              </w:rPr>
              <w:t>塔第2部分：大</w:t>
            </w:r>
          </w:p>
        </w:tc>
      </w:tr>
      <w:tr w14:paraId="05555B5E">
        <w:tblPrEx>
          <w:tblCellMar>
            <w:top w:w="0" w:type="dxa"/>
            <w:left w:w="0" w:type="dxa"/>
            <w:bottom w:w="0" w:type="dxa"/>
            <w:right w:w="0" w:type="dxa"/>
          </w:tblCellMar>
        </w:tblPrEx>
        <w:trPr>
          <w:trHeight w:val="535"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FF087B">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C13B0">
            <w:pPr>
              <w:widowControl/>
              <w:rPr>
                <w:rFonts w:ascii="Calibri" w:hAnsi="Calibri"/>
                <w:color w:val="auto"/>
                <w:sz w:val="22"/>
                <w:szCs w:val="22"/>
                <w:highlight w:val="none"/>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496E01CA">
            <w:pPr>
              <w:widowControl/>
              <w:rPr>
                <w:rFonts w:ascii="宋体" w:hAnsi="宋体" w:cs="宋体"/>
                <w:color w:val="auto"/>
                <w:sz w:val="20"/>
                <w:szCs w:val="20"/>
                <w:highlight w:val="none"/>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80D16">
            <w:pPr>
              <w:widowControl/>
              <w:rPr>
                <w:rFonts w:ascii="宋体" w:hAnsi="宋体" w:cs="宋体"/>
                <w:color w:val="auto"/>
                <w:sz w:val="20"/>
                <w:szCs w:val="20"/>
                <w:highlight w:val="none"/>
              </w:rPr>
            </w:pPr>
          </w:p>
        </w:tc>
        <w:tc>
          <w:tcPr>
            <w:tcW w:w="2966" w:type="dxa"/>
            <w:tcBorders>
              <w:top w:val="nil"/>
              <w:left w:val="single" w:color="000000" w:sz="4" w:space="0"/>
              <w:bottom w:val="single" w:color="000000" w:sz="4" w:space="0"/>
              <w:right w:val="single" w:color="000000" w:sz="4" w:space="0"/>
            </w:tcBorders>
            <w:noWrap w:val="0"/>
            <w:vAlign w:val="top"/>
          </w:tcPr>
          <w:p w14:paraId="08217F25">
            <w:pPr>
              <w:pStyle w:val="170"/>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型开式</w:t>
            </w:r>
            <w:r>
              <w:rPr>
                <w:rFonts w:hint="eastAsia" w:ascii="宋体" w:hAnsi="宋体" w:cs="宋体"/>
                <w:color w:val="auto"/>
                <w:spacing w:val="2"/>
                <w:w w:val="99"/>
                <w:sz w:val="20"/>
                <w:szCs w:val="20"/>
                <w:highlight w:val="none"/>
                <w:lang w:eastAsia="zh-CN"/>
              </w:rPr>
              <w:t>冷</w:t>
            </w:r>
            <w:r>
              <w:rPr>
                <w:rFonts w:hint="eastAsia" w:ascii="宋体" w:hAnsi="宋体" w:cs="宋体"/>
                <w:color w:val="auto"/>
                <w:w w:val="99"/>
                <w:sz w:val="20"/>
                <w:szCs w:val="20"/>
                <w:highlight w:val="none"/>
                <w:lang w:eastAsia="zh-CN"/>
              </w:rPr>
              <w:t>却塔</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w:t>
            </w:r>
            <w:r>
              <w:rPr>
                <w:rFonts w:hint="eastAsia" w:ascii="宋体" w:hAnsi="宋体" w:cs="宋体"/>
                <w:color w:val="auto"/>
                <w:w w:val="99"/>
                <w:sz w:val="20"/>
                <w:szCs w:val="20"/>
                <w:highlight w:val="none"/>
                <w:lang w:eastAsia="zh-CN"/>
              </w:rPr>
              <w:t>T719</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2</w:t>
            </w:r>
          </w:p>
        </w:tc>
      </w:tr>
      <w:tr w14:paraId="1AB29A8F">
        <w:tblPrEx>
          <w:tblCellMar>
            <w:top w:w="0" w:type="dxa"/>
            <w:left w:w="0" w:type="dxa"/>
            <w:bottom w:w="0" w:type="dxa"/>
            <w:right w:w="0" w:type="dxa"/>
          </w:tblCellMar>
        </w:tblPrEx>
        <w:trPr>
          <w:trHeight w:val="742" w:hRule="exact"/>
        </w:trPr>
        <w:tc>
          <w:tcPr>
            <w:tcW w:w="646" w:type="dxa"/>
            <w:tcBorders>
              <w:top w:val="single" w:color="000000" w:sz="4" w:space="0"/>
              <w:left w:val="single" w:color="000000" w:sz="4" w:space="0"/>
              <w:bottom w:val="single" w:color="000000" w:sz="4" w:space="0"/>
              <w:right w:val="single" w:color="000000" w:sz="4" w:space="0"/>
            </w:tcBorders>
            <w:noWrap w:val="0"/>
            <w:vAlign w:val="top"/>
          </w:tcPr>
          <w:p w14:paraId="245A993D">
            <w:pPr>
              <w:pStyle w:val="170"/>
              <w:spacing w:before="12"/>
              <w:rPr>
                <w:rFonts w:ascii="宋体" w:hAnsi="宋体" w:cs="宋体"/>
                <w:color w:val="auto"/>
                <w:sz w:val="15"/>
                <w:szCs w:val="15"/>
                <w:highlight w:val="none"/>
                <w:lang w:eastAsia="zh-CN"/>
              </w:rPr>
            </w:pPr>
          </w:p>
          <w:p w14:paraId="44BA4E2F">
            <w:pPr>
              <w:pStyle w:val="170"/>
              <w:ind w:right="1"/>
              <w:jc w:val="center"/>
              <w:rPr>
                <w:rFonts w:ascii="宋体" w:hAnsi="宋体" w:cs="宋体"/>
                <w:color w:val="auto"/>
                <w:sz w:val="20"/>
                <w:szCs w:val="20"/>
                <w:highlight w:val="none"/>
              </w:rPr>
            </w:pPr>
            <w:r>
              <w:rPr>
                <w:rFonts w:hint="eastAsia" w:ascii="宋体"/>
                <w:color w:val="auto"/>
                <w:w w:val="99"/>
                <w:sz w:val="20"/>
                <w:highlight w:val="none"/>
              </w:rPr>
              <w:t>7</w:t>
            </w:r>
          </w:p>
        </w:tc>
        <w:tc>
          <w:tcPr>
            <w:tcW w:w="1094" w:type="dxa"/>
            <w:tcBorders>
              <w:top w:val="single" w:color="000000" w:sz="4" w:space="0"/>
              <w:left w:val="single" w:color="000000" w:sz="4" w:space="0"/>
              <w:bottom w:val="single" w:color="000000" w:sz="4" w:space="0"/>
              <w:right w:val="single" w:color="000000" w:sz="4" w:space="0"/>
            </w:tcBorders>
            <w:noWrap w:val="0"/>
            <w:vAlign w:val="top"/>
          </w:tcPr>
          <w:p w14:paraId="423B6FBB">
            <w:pPr>
              <w:pStyle w:val="170"/>
              <w:spacing w:before="12"/>
              <w:rPr>
                <w:rFonts w:ascii="宋体" w:hAnsi="宋体" w:cs="宋体"/>
                <w:color w:val="auto"/>
                <w:sz w:val="15"/>
                <w:szCs w:val="15"/>
                <w:highlight w:val="none"/>
              </w:rPr>
            </w:pPr>
          </w:p>
          <w:p w14:paraId="0A5DE5B8">
            <w:pPr>
              <w:pStyle w:val="17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CAA642B">
            <w:pPr>
              <w:rPr>
                <w:rFonts w:ascii="Calibri" w:hAnsi="Calibri"/>
                <w:color w:val="auto"/>
                <w:sz w:val="22"/>
                <w:szCs w:val="22"/>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C24F072">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1018F9F">
            <w:pPr>
              <w:pStyle w:val="170"/>
              <w:spacing w:before="5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《中小型三相异步电动</w:t>
            </w:r>
            <w:r>
              <w:rPr>
                <w:rFonts w:hint="eastAsia" w:ascii="宋体" w:hAnsi="宋体" w:cs="宋体"/>
                <w:color w:val="auto"/>
                <w:spacing w:val="9"/>
                <w:w w:val="99"/>
                <w:sz w:val="20"/>
                <w:szCs w:val="20"/>
                <w:highlight w:val="none"/>
                <w:lang w:eastAsia="zh-CN"/>
              </w:rPr>
              <w:t>机</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18</w:t>
            </w:r>
            <w:r>
              <w:rPr>
                <w:rFonts w:hint="eastAsia" w:ascii="宋体" w:hAnsi="宋体" w:cs="宋体"/>
                <w:color w:val="auto"/>
                <w:w w:val="99"/>
                <w:sz w:val="20"/>
                <w:szCs w:val="20"/>
                <w:highlight w:val="none"/>
                <w:lang w:eastAsia="zh-CN"/>
              </w:rPr>
              <w:t>61</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14:paraId="22398566">
        <w:tblPrEx>
          <w:tblCellMar>
            <w:top w:w="0" w:type="dxa"/>
            <w:left w:w="0" w:type="dxa"/>
            <w:bottom w:w="0" w:type="dxa"/>
            <w:right w:w="0" w:type="dxa"/>
          </w:tblCellMar>
        </w:tblPrEx>
        <w:trPr>
          <w:trHeight w:val="562" w:hRule="exac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top"/>
          </w:tcPr>
          <w:p w14:paraId="17AA64E2">
            <w:pPr>
              <w:pStyle w:val="170"/>
              <w:spacing w:before="3"/>
              <w:rPr>
                <w:rFonts w:ascii="宋体" w:hAnsi="宋体" w:cs="宋体"/>
                <w:color w:val="auto"/>
                <w:sz w:val="14"/>
                <w:szCs w:val="14"/>
                <w:highlight w:val="none"/>
                <w:lang w:eastAsia="zh-CN"/>
              </w:rPr>
            </w:pPr>
          </w:p>
          <w:p w14:paraId="6CDC1DED">
            <w:pPr>
              <w:pStyle w:val="170"/>
              <w:ind w:right="1"/>
              <w:jc w:val="center"/>
              <w:rPr>
                <w:rFonts w:ascii="宋体" w:hAnsi="宋体" w:cs="宋体"/>
                <w:color w:val="auto"/>
                <w:sz w:val="20"/>
                <w:szCs w:val="20"/>
                <w:highlight w:val="none"/>
              </w:rPr>
            </w:pPr>
            <w:r>
              <w:rPr>
                <w:rFonts w:hint="eastAsia" w:ascii="宋体"/>
                <w:color w:val="auto"/>
                <w:w w:val="99"/>
                <w:sz w:val="20"/>
                <w:highlight w:val="none"/>
              </w:rPr>
              <w:t>8</w:t>
            </w:r>
          </w:p>
        </w:tc>
        <w:tc>
          <w:tcPr>
            <w:tcW w:w="1094" w:type="dxa"/>
            <w:tcBorders>
              <w:top w:val="single" w:color="000000" w:sz="4" w:space="0"/>
              <w:left w:val="single" w:color="000000" w:sz="4" w:space="0"/>
              <w:bottom w:val="nil"/>
              <w:right w:val="single" w:color="000000" w:sz="4" w:space="0"/>
            </w:tcBorders>
            <w:noWrap w:val="0"/>
            <w:vAlign w:val="top"/>
          </w:tcPr>
          <w:p w14:paraId="4A71A67A">
            <w:pPr>
              <w:pStyle w:val="170"/>
              <w:spacing w:before="3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BA572B0">
            <w:pPr>
              <w:pStyle w:val="170"/>
              <w:spacing w:before="3"/>
              <w:rPr>
                <w:rFonts w:ascii="宋体" w:hAnsi="宋体" w:cs="宋体"/>
                <w:color w:val="auto"/>
                <w:sz w:val="14"/>
                <w:szCs w:val="14"/>
                <w:highlight w:val="none"/>
              </w:rPr>
            </w:pPr>
          </w:p>
          <w:p w14:paraId="641AEAE9">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配电变</w:t>
            </w:r>
            <w:r>
              <w:rPr>
                <w:rFonts w:hint="eastAsia" w:ascii="宋体" w:hAnsi="宋体" w:cs="宋体"/>
                <w:color w:val="auto"/>
                <w:spacing w:val="2"/>
                <w:w w:val="99"/>
                <w:sz w:val="20"/>
                <w:szCs w:val="20"/>
                <w:highlight w:val="none"/>
              </w:rPr>
              <w:t>压</w:t>
            </w:r>
            <w:r>
              <w:rPr>
                <w:rFonts w:hint="eastAsia" w:ascii="宋体" w:hAnsi="宋体" w:cs="宋体"/>
                <w:color w:val="auto"/>
                <w:w w:val="99"/>
                <w:sz w:val="20"/>
                <w:szCs w:val="20"/>
                <w:highlight w:val="none"/>
              </w:rPr>
              <w:t>器</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top"/>
          </w:tcPr>
          <w:p w14:paraId="24932447">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nil"/>
              <w:right w:val="single" w:color="000000" w:sz="4" w:space="0"/>
            </w:tcBorders>
            <w:noWrap w:val="0"/>
            <w:vAlign w:val="top"/>
          </w:tcPr>
          <w:p w14:paraId="54D0D32D">
            <w:pPr>
              <w:pStyle w:val="170"/>
              <w:spacing w:before="30"/>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《三相配电变压器能效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w:t>
            </w:r>
          </w:p>
        </w:tc>
      </w:tr>
      <w:tr w14:paraId="1E80FB3D">
        <w:tblPrEx>
          <w:tblCellMar>
            <w:top w:w="0" w:type="dxa"/>
            <w:left w:w="0" w:type="dxa"/>
            <w:bottom w:w="0" w:type="dxa"/>
            <w:right w:w="0" w:type="dxa"/>
          </w:tblCellMar>
        </w:tblPrEx>
        <w:trPr>
          <w:trHeight w:val="345"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B49FD">
            <w:pPr>
              <w:widowControl/>
              <w:rPr>
                <w:rFonts w:ascii="宋体" w:hAnsi="宋体" w:cs="宋体"/>
                <w:color w:val="auto"/>
                <w:sz w:val="20"/>
                <w:szCs w:val="20"/>
                <w:highlight w:val="none"/>
              </w:rPr>
            </w:pPr>
          </w:p>
        </w:tc>
        <w:tc>
          <w:tcPr>
            <w:tcW w:w="1094" w:type="dxa"/>
            <w:tcBorders>
              <w:top w:val="nil"/>
              <w:left w:val="single" w:color="000000" w:sz="4" w:space="0"/>
              <w:bottom w:val="single" w:color="000000" w:sz="4" w:space="0"/>
              <w:right w:val="single" w:color="000000" w:sz="4" w:space="0"/>
            </w:tcBorders>
            <w:noWrap w:val="0"/>
            <w:vAlign w:val="top"/>
          </w:tcPr>
          <w:p w14:paraId="406CA227">
            <w:pPr>
              <w:pStyle w:val="170"/>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D5389">
            <w:pPr>
              <w:widowControl/>
              <w:rPr>
                <w:rFonts w:ascii="宋体" w:hAnsi="宋体" w:cs="宋体"/>
                <w:color w:val="auto"/>
                <w:sz w:val="20"/>
                <w:szCs w:val="20"/>
                <w:highlight w:val="none"/>
                <w:lang w:eastAsia="en-US"/>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A9D49">
            <w:pPr>
              <w:widowControl/>
              <w:rPr>
                <w:rFonts w:ascii="Calibri" w:hAnsi="Calibri"/>
                <w:color w:val="auto"/>
                <w:sz w:val="22"/>
                <w:szCs w:val="22"/>
                <w:highlight w:val="none"/>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72851343">
            <w:pPr>
              <w:pStyle w:val="170"/>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能效等</w:t>
            </w:r>
            <w:r>
              <w:rPr>
                <w:rFonts w:hint="eastAsia" w:ascii="宋体" w:hAnsi="宋体" w:cs="宋体"/>
                <w:color w:val="auto"/>
                <w:spacing w:val="2"/>
                <w:w w:val="99"/>
                <w:sz w:val="20"/>
                <w:szCs w:val="20"/>
                <w:highlight w:val="none"/>
              </w:rPr>
              <w:t>级</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200</w:t>
            </w:r>
            <w:r>
              <w:rPr>
                <w:rFonts w:hint="eastAsia" w:ascii="宋体" w:hAnsi="宋体" w:cs="宋体"/>
                <w:color w:val="auto"/>
                <w:w w:val="99"/>
                <w:sz w:val="20"/>
                <w:szCs w:val="20"/>
                <w:highlight w:val="none"/>
              </w:rPr>
              <w:t>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w:t>
            </w:r>
          </w:p>
        </w:tc>
      </w:tr>
      <w:tr w14:paraId="2293760A">
        <w:tblPrEx>
          <w:tblCellMar>
            <w:top w:w="0" w:type="dxa"/>
            <w:left w:w="0" w:type="dxa"/>
            <w:bottom w:w="0" w:type="dxa"/>
            <w:right w:w="0" w:type="dxa"/>
          </w:tblCellMar>
        </w:tblPrEx>
        <w:trPr>
          <w:trHeight w:val="635" w:hRule="exac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top"/>
          </w:tcPr>
          <w:p w14:paraId="612DAB01">
            <w:pPr>
              <w:pStyle w:val="170"/>
              <w:spacing w:before="8"/>
              <w:rPr>
                <w:rFonts w:ascii="宋体" w:hAnsi="宋体" w:cs="宋体"/>
                <w:color w:val="auto"/>
                <w:sz w:val="21"/>
                <w:szCs w:val="21"/>
                <w:highlight w:val="none"/>
              </w:rPr>
            </w:pPr>
          </w:p>
          <w:p w14:paraId="50C3798D">
            <w:pPr>
              <w:pStyle w:val="170"/>
              <w:ind w:right="1"/>
              <w:jc w:val="center"/>
              <w:rPr>
                <w:rFonts w:ascii="宋体" w:hAnsi="宋体" w:cs="宋体"/>
                <w:color w:val="auto"/>
                <w:sz w:val="20"/>
                <w:szCs w:val="20"/>
                <w:highlight w:val="none"/>
              </w:rPr>
            </w:pPr>
            <w:r>
              <w:rPr>
                <w:rFonts w:hint="eastAsia" w:ascii="宋体"/>
                <w:color w:val="auto"/>
                <w:w w:val="99"/>
                <w:sz w:val="20"/>
                <w:highlight w:val="none"/>
              </w:rPr>
              <w:t>9</w:t>
            </w:r>
          </w:p>
        </w:tc>
        <w:tc>
          <w:tcPr>
            <w:tcW w:w="1094" w:type="dxa"/>
            <w:tcBorders>
              <w:top w:val="single" w:color="000000" w:sz="4" w:space="0"/>
              <w:left w:val="single" w:color="000000" w:sz="4" w:space="0"/>
              <w:bottom w:val="nil"/>
              <w:right w:val="single" w:color="000000" w:sz="4" w:space="0"/>
            </w:tcBorders>
            <w:noWrap w:val="0"/>
            <w:vAlign w:val="top"/>
          </w:tcPr>
          <w:p w14:paraId="5AA5F7CB">
            <w:pPr>
              <w:pStyle w:val="170"/>
              <w:spacing w:before="126"/>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FC5B88C">
            <w:pPr>
              <w:pStyle w:val="170"/>
              <w:spacing w:before="8"/>
              <w:rPr>
                <w:rFonts w:ascii="宋体" w:hAnsi="宋体" w:cs="宋体"/>
                <w:color w:val="auto"/>
                <w:sz w:val="21"/>
                <w:szCs w:val="21"/>
                <w:highlight w:val="none"/>
              </w:rPr>
            </w:pPr>
          </w:p>
          <w:p w14:paraId="4055F1A8">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管型荧</w:t>
            </w:r>
            <w:r>
              <w:rPr>
                <w:rFonts w:hint="eastAsia" w:ascii="宋体" w:hAnsi="宋体" w:cs="宋体"/>
                <w:color w:val="auto"/>
                <w:spacing w:val="2"/>
                <w:w w:val="99"/>
                <w:sz w:val="20"/>
                <w:szCs w:val="20"/>
                <w:highlight w:val="none"/>
              </w:rPr>
              <w:t>光</w:t>
            </w:r>
            <w:r>
              <w:rPr>
                <w:rFonts w:hint="eastAsia" w:ascii="宋体" w:hAnsi="宋体" w:cs="宋体"/>
                <w:color w:val="auto"/>
                <w:w w:val="99"/>
                <w:sz w:val="20"/>
                <w:szCs w:val="20"/>
                <w:highlight w:val="none"/>
              </w:rPr>
              <w:t>灯镇</w:t>
            </w:r>
            <w:r>
              <w:rPr>
                <w:rFonts w:hint="eastAsia" w:ascii="宋体" w:hAnsi="宋体" w:cs="宋体"/>
                <w:color w:val="auto"/>
                <w:spacing w:val="2"/>
                <w:w w:val="99"/>
                <w:sz w:val="20"/>
                <w:szCs w:val="20"/>
                <w:highlight w:val="none"/>
              </w:rPr>
              <w:t>流</w:t>
            </w:r>
            <w:r>
              <w:rPr>
                <w:rFonts w:hint="eastAsia" w:ascii="宋体" w:hAnsi="宋体" w:cs="宋体"/>
                <w:color w:val="auto"/>
                <w:w w:val="99"/>
                <w:sz w:val="20"/>
                <w:szCs w:val="20"/>
                <w:highlight w:val="none"/>
              </w:rPr>
              <w:t>器</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top"/>
          </w:tcPr>
          <w:p w14:paraId="4C19FA1F">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nil"/>
              <w:right w:val="single" w:color="000000" w:sz="4" w:space="0"/>
            </w:tcBorders>
            <w:noWrap w:val="0"/>
            <w:vAlign w:val="top"/>
          </w:tcPr>
          <w:p w14:paraId="060338CF">
            <w:pPr>
              <w:pStyle w:val="170"/>
              <w:spacing w:before="126"/>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《管形荧光灯镇流器能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w:t>
            </w:r>
          </w:p>
        </w:tc>
      </w:tr>
      <w:tr w14:paraId="370C7BFD">
        <w:tblPrEx>
          <w:tblCellMar>
            <w:top w:w="0" w:type="dxa"/>
            <w:left w:w="0" w:type="dxa"/>
            <w:bottom w:w="0" w:type="dxa"/>
            <w:right w:w="0" w:type="dxa"/>
          </w:tblCellMar>
        </w:tblPrEx>
        <w:trPr>
          <w:trHeight w:val="441"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BB578">
            <w:pPr>
              <w:widowControl/>
              <w:rPr>
                <w:rFonts w:ascii="宋体" w:hAnsi="宋体" w:cs="宋体"/>
                <w:color w:val="auto"/>
                <w:sz w:val="20"/>
                <w:szCs w:val="20"/>
                <w:highlight w:val="none"/>
              </w:rPr>
            </w:pPr>
          </w:p>
        </w:tc>
        <w:tc>
          <w:tcPr>
            <w:tcW w:w="1094" w:type="dxa"/>
            <w:tcBorders>
              <w:top w:val="nil"/>
              <w:left w:val="single" w:color="000000" w:sz="4" w:space="0"/>
              <w:bottom w:val="single" w:color="000000" w:sz="4" w:space="0"/>
              <w:right w:val="single" w:color="000000" w:sz="4" w:space="0"/>
            </w:tcBorders>
            <w:noWrap w:val="0"/>
            <w:vAlign w:val="top"/>
          </w:tcPr>
          <w:p w14:paraId="5471C17B">
            <w:pPr>
              <w:pStyle w:val="170"/>
              <w:spacing w:line="256" w:lineRule="exact"/>
              <w:rPr>
                <w:rFonts w:ascii="宋体" w:hAnsi="宋体" w:cs="宋体"/>
                <w:color w:val="auto"/>
                <w:sz w:val="20"/>
                <w:szCs w:val="20"/>
                <w:highlight w:val="none"/>
              </w:rPr>
            </w:pPr>
            <w:r>
              <w:rPr>
                <w:rFonts w:hint="eastAsia" w:ascii="宋体" w:hAnsi="宋体" w:cs="宋体"/>
                <w:color w:val="auto"/>
                <w:w w:val="99"/>
                <w:sz w:val="20"/>
                <w:szCs w:val="20"/>
                <w:highlight w:val="none"/>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CDC59">
            <w:pPr>
              <w:widowControl/>
              <w:rPr>
                <w:rFonts w:ascii="宋体" w:hAnsi="宋体" w:cs="宋体"/>
                <w:color w:val="auto"/>
                <w:sz w:val="20"/>
                <w:szCs w:val="20"/>
                <w:highlight w:val="none"/>
                <w:lang w:eastAsia="en-US"/>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1D700">
            <w:pPr>
              <w:widowControl/>
              <w:rPr>
                <w:rFonts w:ascii="Calibri" w:hAnsi="Calibri"/>
                <w:color w:val="auto"/>
                <w:sz w:val="22"/>
                <w:szCs w:val="22"/>
                <w:highlight w:val="none"/>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129C06DC">
            <w:pPr>
              <w:pStyle w:val="170"/>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17896</w:t>
            </w:r>
            <w:r>
              <w:rPr>
                <w:rFonts w:hint="eastAsia" w:ascii="宋体" w:hAnsi="宋体" w:cs="宋体"/>
                <w:color w:val="auto"/>
                <w:w w:val="99"/>
                <w:sz w:val="20"/>
                <w:szCs w:val="20"/>
                <w:highlight w:val="none"/>
                <w:lang w:eastAsia="zh-CN"/>
              </w:rPr>
              <w:t>）</w:t>
            </w:r>
          </w:p>
        </w:tc>
      </w:tr>
      <w:tr w14:paraId="29D169F8">
        <w:tblPrEx>
          <w:tblCellMar>
            <w:top w:w="0" w:type="dxa"/>
            <w:left w:w="0" w:type="dxa"/>
            <w:bottom w:w="0" w:type="dxa"/>
            <w:right w:w="0" w:type="dxa"/>
          </w:tblCellMar>
        </w:tblPrEx>
        <w:trPr>
          <w:trHeight w:val="377" w:hRule="exac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top"/>
          </w:tcPr>
          <w:p w14:paraId="55CAE3D4">
            <w:pPr>
              <w:pStyle w:val="170"/>
              <w:rPr>
                <w:rFonts w:ascii="宋体" w:hAnsi="宋体" w:cs="宋体"/>
                <w:color w:val="auto"/>
                <w:sz w:val="20"/>
                <w:szCs w:val="20"/>
                <w:highlight w:val="none"/>
                <w:lang w:eastAsia="zh-CN"/>
              </w:rPr>
            </w:pPr>
          </w:p>
          <w:p w14:paraId="016E7646">
            <w:pPr>
              <w:pStyle w:val="170"/>
              <w:rPr>
                <w:rFonts w:ascii="宋体" w:hAnsi="宋体" w:cs="宋体"/>
                <w:color w:val="auto"/>
                <w:sz w:val="20"/>
                <w:szCs w:val="20"/>
                <w:highlight w:val="none"/>
                <w:lang w:eastAsia="zh-CN"/>
              </w:rPr>
            </w:pPr>
          </w:p>
          <w:p w14:paraId="12C09935">
            <w:pPr>
              <w:pStyle w:val="170"/>
              <w:rPr>
                <w:rFonts w:ascii="宋体" w:hAnsi="宋体" w:cs="宋体"/>
                <w:color w:val="auto"/>
                <w:sz w:val="20"/>
                <w:szCs w:val="20"/>
                <w:highlight w:val="none"/>
                <w:lang w:eastAsia="zh-CN"/>
              </w:rPr>
            </w:pPr>
          </w:p>
          <w:p w14:paraId="6ADC1E8B">
            <w:pPr>
              <w:pStyle w:val="170"/>
              <w:rPr>
                <w:rFonts w:ascii="宋体" w:hAnsi="宋体" w:cs="宋体"/>
                <w:color w:val="auto"/>
                <w:sz w:val="20"/>
                <w:szCs w:val="20"/>
                <w:highlight w:val="none"/>
                <w:lang w:eastAsia="zh-CN"/>
              </w:rPr>
            </w:pPr>
          </w:p>
          <w:p w14:paraId="3E0F9D3B">
            <w:pPr>
              <w:pStyle w:val="170"/>
              <w:rPr>
                <w:rFonts w:ascii="宋体" w:hAnsi="宋体" w:cs="宋体"/>
                <w:color w:val="auto"/>
                <w:sz w:val="20"/>
                <w:szCs w:val="20"/>
                <w:highlight w:val="none"/>
                <w:lang w:eastAsia="zh-CN"/>
              </w:rPr>
            </w:pPr>
          </w:p>
          <w:p w14:paraId="3CE711D8">
            <w:pPr>
              <w:pStyle w:val="170"/>
              <w:rPr>
                <w:rFonts w:ascii="宋体" w:hAnsi="宋体" w:cs="宋体"/>
                <w:color w:val="auto"/>
                <w:sz w:val="20"/>
                <w:szCs w:val="20"/>
                <w:highlight w:val="none"/>
                <w:lang w:eastAsia="zh-CN"/>
              </w:rPr>
            </w:pPr>
          </w:p>
          <w:p w14:paraId="789571B2">
            <w:pPr>
              <w:pStyle w:val="170"/>
              <w:rPr>
                <w:rFonts w:ascii="宋体" w:hAnsi="宋体" w:cs="宋体"/>
                <w:color w:val="auto"/>
                <w:sz w:val="20"/>
                <w:szCs w:val="20"/>
                <w:highlight w:val="none"/>
                <w:lang w:eastAsia="zh-CN"/>
              </w:rPr>
            </w:pPr>
          </w:p>
          <w:p w14:paraId="2A3F7AEE">
            <w:pPr>
              <w:pStyle w:val="170"/>
              <w:rPr>
                <w:rFonts w:ascii="宋体" w:hAnsi="宋体" w:cs="宋体"/>
                <w:color w:val="auto"/>
                <w:sz w:val="20"/>
                <w:szCs w:val="20"/>
                <w:highlight w:val="none"/>
                <w:lang w:eastAsia="zh-CN"/>
              </w:rPr>
            </w:pPr>
          </w:p>
          <w:p w14:paraId="038ADF5F">
            <w:pPr>
              <w:pStyle w:val="170"/>
              <w:rPr>
                <w:rFonts w:ascii="宋体" w:hAnsi="宋体" w:cs="宋体"/>
                <w:color w:val="auto"/>
                <w:sz w:val="20"/>
                <w:szCs w:val="20"/>
                <w:highlight w:val="none"/>
                <w:lang w:eastAsia="zh-CN"/>
              </w:rPr>
            </w:pPr>
          </w:p>
          <w:p w14:paraId="4AF96B83">
            <w:pPr>
              <w:pStyle w:val="170"/>
              <w:spacing w:before="5"/>
              <w:rPr>
                <w:rFonts w:ascii="宋体" w:hAnsi="宋体" w:cs="宋体"/>
                <w:color w:val="auto"/>
                <w:sz w:val="18"/>
                <w:szCs w:val="18"/>
                <w:highlight w:val="none"/>
                <w:lang w:eastAsia="zh-CN"/>
              </w:rPr>
            </w:pPr>
          </w:p>
          <w:p w14:paraId="259160FA">
            <w:pPr>
              <w:pStyle w:val="17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0</w:t>
            </w:r>
          </w:p>
        </w:tc>
        <w:tc>
          <w:tcPr>
            <w:tcW w:w="1094" w:type="dxa"/>
            <w:vMerge w:val="restart"/>
            <w:tcBorders>
              <w:top w:val="single" w:color="000000" w:sz="4" w:space="0"/>
              <w:left w:val="single" w:color="000000" w:sz="4" w:space="0"/>
              <w:bottom w:val="single" w:color="000000" w:sz="4" w:space="0"/>
              <w:right w:val="single" w:color="000000" w:sz="4" w:space="0"/>
            </w:tcBorders>
            <w:noWrap w:val="0"/>
            <w:vAlign w:val="top"/>
          </w:tcPr>
          <w:p w14:paraId="59730DB0">
            <w:pPr>
              <w:pStyle w:val="170"/>
              <w:rPr>
                <w:rFonts w:ascii="宋体" w:hAnsi="宋体" w:cs="宋体"/>
                <w:color w:val="auto"/>
                <w:sz w:val="20"/>
                <w:szCs w:val="20"/>
                <w:highlight w:val="none"/>
              </w:rPr>
            </w:pPr>
          </w:p>
          <w:p w14:paraId="01334418">
            <w:pPr>
              <w:pStyle w:val="170"/>
              <w:rPr>
                <w:rFonts w:ascii="宋体" w:hAnsi="宋体" w:cs="宋体"/>
                <w:color w:val="auto"/>
                <w:sz w:val="20"/>
                <w:szCs w:val="20"/>
                <w:highlight w:val="none"/>
              </w:rPr>
            </w:pPr>
          </w:p>
          <w:p w14:paraId="5FA36682">
            <w:pPr>
              <w:pStyle w:val="170"/>
              <w:rPr>
                <w:rFonts w:ascii="宋体" w:hAnsi="宋体" w:cs="宋体"/>
                <w:color w:val="auto"/>
                <w:sz w:val="20"/>
                <w:szCs w:val="20"/>
                <w:highlight w:val="none"/>
              </w:rPr>
            </w:pPr>
          </w:p>
          <w:p w14:paraId="048D6247">
            <w:pPr>
              <w:pStyle w:val="170"/>
              <w:rPr>
                <w:rFonts w:ascii="宋体" w:hAnsi="宋体" w:cs="宋体"/>
                <w:color w:val="auto"/>
                <w:sz w:val="20"/>
                <w:szCs w:val="20"/>
                <w:highlight w:val="none"/>
              </w:rPr>
            </w:pPr>
          </w:p>
          <w:p w14:paraId="7FC8901D">
            <w:pPr>
              <w:pStyle w:val="170"/>
              <w:rPr>
                <w:rFonts w:ascii="宋体" w:hAnsi="宋体" w:cs="宋体"/>
                <w:color w:val="auto"/>
                <w:sz w:val="20"/>
                <w:szCs w:val="20"/>
                <w:highlight w:val="none"/>
              </w:rPr>
            </w:pPr>
          </w:p>
          <w:p w14:paraId="228531C5">
            <w:pPr>
              <w:pStyle w:val="170"/>
              <w:rPr>
                <w:rFonts w:ascii="宋体" w:hAnsi="宋体" w:cs="宋体"/>
                <w:color w:val="auto"/>
                <w:sz w:val="20"/>
                <w:szCs w:val="20"/>
                <w:highlight w:val="none"/>
              </w:rPr>
            </w:pPr>
          </w:p>
          <w:p w14:paraId="053C1808">
            <w:pPr>
              <w:pStyle w:val="170"/>
              <w:rPr>
                <w:rFonts w:ascii="宋体" w:hAnsi="宋体" w:cs="宋体"/>
                <w:color w:val="auto"/>
                <w:sz w:val="20"/>
                <w:szCs w:val="20"/>
                <w:highlight w:val="none"/>
              </w:rPr>
            </w:pPr>
          </w:p>
          <w:p w14:paraId="41138651">
            <w:pPr>
              <w:pStyle w:val="170"/>
              <w:rPr>
                <w:rFonts w:ascii="宋体" w:hAnsi="宋体" w:cs="宋体"/>
                <w:color w:val="auto"/>
                <w:sz w:val="20"/>
                <w:szCs w:val="20"/>
                <w:highlight w:val="none"/>
              </w:rPr>
            </w:pPr>
          </w:p>
          <w:p w14:paraId="3DB50754">
            <w:pPr>
              <w:pStyle w:val="170"/>
              <w:spacing w:before="6"/>
              <w:rPr>
                <w:rFonts w:ascii="宋体" w:hAnsi="宋体" w:cs="宋体"/>
                <w:color w:val="auto"/>
                <w:sz w:val="26"/>
                <w:szCs w:val="26"/>
                <w:highlight w:val="none"/>
              </w:rPr>
            </w:pPr>
          </w:p>
          <w:p w14:paraId="42382045">
            <w:pPr>
              <w:pStyle w:val="17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8生活用电器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E802FBD">
            <w:pPr>
              <w:pStyle w:val="170"/>
              <w:spacing w:before="1"/>
              <w:rPr>
                <w:rFonts w:ascii="宋体" w:hAnsi="宋体" w:cs="宋体"/>
                <w:color w:val="auto"/>
                <w:sz w:val="16"/>
                <w:szCs w:val="16"/>
                <w:highlight w:val="none"/>
              </w:rPr>
            </w:pPr>
          </w:p>
          <w:p w14:paraId="58825510">
            <w:pPr>
              <w:pStyle w:val="17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01电冰箱</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top"/>
          </w:tcPr>
          <w:p w14:paraId="7422DAA4">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nil"/>
              <w:right w:val="single" w:color="000000" w:sz="4" w:space="0"/>
            </w:tcBorders>
            <w:noWrap w:val="0"/>
            <w:vAlign w:val="top"/>
          </w:tcPr>
          <w:p w14:paraId="0821ECB8">
            <w:pPr>
              <w:pStyle w:val="170"/>
              <w:spacing w:before="54"/>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《家用电冰箱耗电量限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w:t>
            </w:r>
          </w:p>
        </w:tc>
      </w:tr>
      <w:tr w14:paraId="5A2349F6">
        <w:tblPrEx>
          <w:tblCellMar>
            <w:top w:w="0" w:type="dxa"/>
            <w:left w:w="0" w:type="dxa"/>
            <w:bottom w:w="0" w:type="dxa"/>
            <w:right w:w="0" w:type="dxa"/>
          </w:tblCellMar>
        </w:tblPrEx>
        <w:trPr>
          <w:trHeight w:val="367"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32F6D">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1E8F38">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8A918">
            <w:pPr>
              <w:widowControl/>
              <w:rPr>
                <w:rFonts w:ascii="宋体" w:hAnsi="宋体" w:cs="宋体"/>
                <w:color w:val="auto"/>
                <w:sz w:val="20"/>
                <w:szCs w:val="20"/>
                <w:highlight w:val="none"/>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9B7B0">
            <w:pPr>
              <w:widowControl/>
              <w:rPr>
                <w:rFonts w:ascii="Calibri" w:hAnsi="Calibri"/>
                <w:color w:val="auto"/>
                <w:sz w:val="22"/>
                <w:szCs w:val="22"/>
                <w:highlight w:val="none"/>
              </w:rPr>
            </w:pPr>
          </w:p>
        </w:tc>
        <w:tc>
          <w:tcPr>
            <w:tcW w:w="2966" w:type="dxa"/>
            <w:tcBorders>
              <w:top w:val="nil"/>
              <w:left w:val="single" w:color="000000" w:sz="4" w:space="0"/>
              <w:bottom w:val="single" w:color="000000" w:sz="4" w:space="0"/>
              <w:right w:val="single" w:color="000000" w:sz="4" w:space="0"/>
            </w:tcBorders>
            <w:noWrap w:val="0"/>
            <w:vAlign w:val="top"/>
          </w:tcPr>
          <w:p w14:paraId="124455F6">
            <w:pPr>
              <w:pStyle w:val="170"/>
              <w:tabs>
                <w:tab w:val="left" w:pos="1408"/>
              </w:tabs>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效等级</w:t>
            </w:r>
            <w:r>
              <w:rPr>
                <w:rFonts w:hint="eastAsia" w:ascii="宋体" w:hAnsi="宋体" w:cs="宋体"/>
                <w:color w:val="auto"/>
                <w:spacing w:val="2"/>
                <w:w w:val="99"/>
                <w:sz w:val="20"/>
                <w:szCs w:val="20"/>
                <w:highlight w:val="none"/>
              </w:rPr>
              <w:t>》</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z w:val="20"/>
                <w:szCs w:val="20"/>
                <w:highlight w:val="none"/>
              </w:rPr>
              <w:tab/>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20</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1.</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w:t>
            </w:r>
          </w:p>
        </w:tc>
      </w:tr>
      <w:tr w14:paraId="73415663">
        <w:tblPrEx>
          <w:tblCellMar>
            <w:top w:w="0" w:type="dxa"/>
            <w:left w:w="0" w:type="dxa"/>
            <w:bottom w:w="0" w:type="dxa"/>
            <w:right w:w="0" w:type="dxa"/>
          </w:tblCellMar>
        </w:tblPrEx>
        <w:trPr>
          <w:trHeight w:val="327"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B74C0">
            <w:pPr>
              <w:widowControl/>
              <w:rPr>
                <w:rFonts w:ascii="宋体" w:hAnsi="宋体" w:cs="宋体"/>
                <w:color w:val="auto"/>
                <w:sz w:val="20"/>
                <w:szCs w:val="20"/>
                <w:highlight w:val="none"/>
                <w:lang w:eastAsia="en-US"/>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D43F0">
            <w:pPr>
              <w:widowControl/>
              <w:rPr>
                <w:rFonts w:ascii="宋体" w:hAnsi="宋体" w:cs="宋体"/>
                <w:color w:val="auto"/>
                <w:sz w:val="20"/>
                <w:szCs w:val="20"/>
                <w:highlight w:val="none"/>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E1B020D">
            <w:pPr>
              <w:pStyle w:val="170"/>
              <w:rPr>
                <w:rFonts w:ascii="宋体" w:hAnsi="宋体" w:cs="宋体"/>
                <w:color w:val="auto"/>
                <w:sz w:val="20"/>
                <w:szCs w:val="20"/>
                <w:highlight w:val="none"/>
              </w:rPr>
            </w:pPr>
          </w:p>
          <w:p w14:paraId="53B1D1F7">
            <w:pPr>
              <w:pStyle w:val="170"/>
              <w:rPr>
                <w:rFonts w:ascii="宋体" w:hAnsi="宋体" w:cs="宋体"/>
                <w:color w:val="auto"/>
                <w:sz w:val="20"/>
                <w:szCs w:val="20"/>
                <w:highlight w:val="none"/>
              </w:rPr>
            </w:pPr>
          </w:p>
          <w:p w14:paraId="0F908C5B">
            <w:pPr>
              <w:pStyle w:val="170"/>
              <w:rPr>
                <w:rFonts w:ascii="宋体" w:hAnsi="宋体" w:cs="宋体"/>
                <w:color w:val="auto"/>
                <w:sz w:val="20"/>
                <w:szCs w:val="20"/>
                <w:highlight w:val="none"/>
              </w:rPr>
            </w:pPr>
          </w:p>
          <w:p w14:paraId="1EFDBEA8">
            <w:pPr>
              <w:pStyle w:val="170"/>
              <w:rPr>
                <w:rFonts w:ascii="宋体" w:hAnsi="宋体" w:cs="宋体"/>
                <w:color w:val="auto"/>
                <w:sz w:val="20"/>
                <w:szCs w:val="20"/>
                <w:highlight w:val="none"/>
              </w:rPr>
            </w:pPr>
          </w:p>
          <w:p w14:paraId="6FE6AC3B">
            <w:pPr>
              <w:pStyle w:val="170"/>
              <w:rPr>
                <w:rFonts w:ascii="宋体" w:hAnsi="宋体" w:cs="宋体"/>
                <w:color w:val="auto"/>
                <w:sz w:val="20"/>
                <w:szCs w:val="20"/>
                <w:highlight w:val="none"/>
              </w:rPr>
            </w:pPr>
          </w:p>
          <w:p w14:paraId="318D6074">
            <w:pPr>
              <w:pStyle w:val="170"/>
              <w:rPr>
                <w:rFonts w:ascii="宋体" w:hAnsi="宋体" w:cs="宋体"/>
                <w:color w:val="auto"/>
                <w:sz w:val="20"/>
                <w:szCs w:val="20"/>
                <w:highlight w:val="none"/>
              </w:rPr>
            </w:pPr>
          </w:p>
          <w:p w14:paraId="243B335C">
            <w:pPr>
              <w:pStyle w:val="170"/>
              <w:spacing w:before="171"/>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61</w:t>
            </w:r>
            <w:r>
              <w:rPr>
                <w:rFonts w:hint="eastAsia" w:ascii="宋体" w:hAnsi="宋体" w:cs="宋体"/>
                <w:color w:val="auto"/>
                <w:spacing w:val="1"/>
                <w:w w:val="99"/>
                <w:sz w:val="20"/>
                <w:szCs w:val="20"/>
                <w:highlight w:val="none"/>
              </w:rPr>
              <w:t>8</w:t>
            </w:r>
            <w:r>
              <w:rPr>
                <w:rFonts w:hint="eastAsia" w:ascii="宋体" w:hAnsi="宋体" w:cs="宋体"/>
                <w:color w:val="auto"/>
                <w:w w:val="99"/>
                <w:sz w:val="20"/>
                <w:szCs w:val="20"/>
                <w:highlight w:val="none"/>
              </w:rPr>
              <w:t>0203空调</w:t>
            </w:r>
          </w:p>
          <w:p w14:paraId="58E1DED7">
            <w:pPr>
              <w:pStyle w:val="17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机</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top"/>
          </w:tcPr>
          <w:p w14:paraId="5CCB933F">
            <w:pPr>
              <w:pStyle w:val="170"/>
              <w:rPr>
                <w:rFonts w:ascii="宋体" w:hAnsi="宋体" w:cs="宋体"/>
                <w:color w:val="auto"/>
                <w:sz w:val="20"/>
                <w:szCs w:val="20"/>
                <w:highlight w:val="none"/>
              </w:rPr>
            </w:pPr>
          </w:p>
          <w:p w14:paraId="566A17A3">
            <w:pPr>
              <w:pStyle w:val="170"/>
              <w:rPr>
                <w:rFonts w:ascii="宋体" w:hAnsi="宋体" w:cs="宋体"/>
                <w:color w:val="auto"/>
                <w:sz w:val="20"/>
                <w:szCs w:val="20"/>
                <w:highlight w:val="none"/>
              </w:rPr>
            </w:pPr>
          </w:p>
          <w:p w14:paraId="14D24D9B">
            <w:pPr>
              <w:pStyle w:val="170"/>
              <w:spacing w:before="12"/>
              <w:rPr>
                <w:rFonts w:ascii="宋体" w:hAnsi="宋体" w:cs="宋体"/>
                <w:color w:val="auto"/>
                <w:sz w:val="19"/>
                <w:szCs w:val="19"/>
                <w:highlight w:val="none"/>
              </w:rPr>
            </w:pPr>
          </w:p>
          <w:p w14:paraId="23DA0AE9">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房间空</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调节器</w:t>
            </w:r>
          </w:p>
        </w:tc>
        <w:tc>
          <w:tcPr>
            <w:tcW w:w="2966" w:type="dxa"/>
            <w:tcBorders>
              <w:top w:val="single" w:color="000000" w:sz="4" w:space="0"/>
              <w:left w:val="single" w:color="000000" w:sz="4" w:space="0"/>
              <w:bottom w:val="nil"/>
              <w:right w:val="single" w:color="000000" w:sz="4" w:space="0"/>
            </w:tcBorders>
            <w:noWrap w:val="0"/>
            <w:vAlign w:val="top"/>
          </w:tcPr>
          <w:p w14:paraId="6E7521F1">
            <w:pPr>
              <w:pStyle w:val="170"/>
              <w:spacing w:before="4"/>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《转速可控型房间空气</w:t>
            </w:r>
            <w:r>
              <w:rPr>
                <w:rFonts w:hint="eastAsia" w:ascii="宋体" w:hAnsi="宋体" w:cs="宋体"/>
                <w:color w:val="auto"/>
                <w:spacing w:val="9"/>
                <w:w w:val="99"/>
                <w:sz w:val="20"/>
                <w:szCs w:val="20"/>
                <w:highlight w:val="none"/>
                <w:lang w:eastAsia="zh-CN"/>
              </w:rPr>
              <w:t>调</w:t>
            </w:r>
            <w:r>
              <w:rPr>
                <w:rFonts w:hint="eastAsia" w:ascii="宋体" w:hAnsi="宋体" w:cs="宋体"/>
                <w:color w:val="auto"/>
                <w:spacing w:val="12"/>
                <w:w w:val="99"/>
                <w:sz w:val="20"/>
                <w:szCs w:val="20"/>
                <w:highlight w:val="none"/>
                <w:lang w:eastAsia="zh-CN"/>
              </w:rPr>
              <w:t>节器</w:t>
            </w:r>
            <w:r>
              <w:rPr>
                <w:rFonts w:hint="eastAsia" w:ascii="宋体" w:hAnsi="宋体" w:cs="宋体"/>
                <w:color w:val="auto"/>
                <w:w w:val="99"/>
                <w:sz w:val="20"/>
                <w:szCs w:val="20"/>
                <w:highlight w:val="none"/>
                <w:lang w:eastAsia="zh-CN"/>
              </w:rPr>
              <w:t>能</w:t>
            </w:r>
          </w:p>
        </w:tc>
      </w:tr>
      <w:tr w14:paraId="1F8F5B85">
        <w:tblPrEx>
          <w:tblCellMar>
            <w:top w:w="0" w:type="dxa"/>
            <w:left w:w="0" w:type="dxa"/>
            <w:bottom w:w="0" w:type="dxa"/>
            <w:right w:w="0" w:type="dxa"/>
          </w:tblCellMar>
        </w:tblPrEx>
        <w:trPr>
          <w:trHeight w:val="312"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821D8">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D45F2">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27589">
            <w:pPr>
              <w:widowControl/>
              <w:rPr>
                <w:rFonts w:ascii="宋体" w:hAnsi="宋体" w:cs="宋体"/>
                <w:color w:val="auto"/>
                <w:sz w:val="20"/>
                <w:szCs w:val="20"/>
                <w:highlight w:val="none"/>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B14BB">
            <w:pPr>
              <w:widowControl/>
              <w:rPr>
                <w:rFonts w:ascii="宋体" w:hAnsi="宋体" w:cs="宋体"/>
                <w:color w:val="auto"/>
                <w:sz w:val="20"/>
                <w:szCs w:val="20"/>
                <w:highlight w:val="none"/>
              </w:rPr>
            </w:pPr>
          </w:p>
        </w:tc>
        <w:tc>
          <w:tcPr>
            <w:tcW w:w="2966" w:type="dxa"/>
            <w:tcBorders>
              <w:top w:val="nil"/>
              <w:left w:val="single" w:color="000000" w:sz="4" w:space="0"/>
              <w:bottom w:val="nil"/>
              <w:right w:val="single" w:color="000000" w:sz="4" w:space="0"/>
            </w:tcBorders>
            <w:noWrap w:val="0"/>
            <w:vAlign w:val="top"/>
          </w:tcPr>
          <w:p w14:paraId="3063CD90">
            <w:pPr>
              <w:pStyle w:val="170"/>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效限定值及能效等级》（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p>
        </w:tc>
      </w:tr>
      <w:tr w14:paraId="66B1F9C5">
        <w:tblPrEx>
          <w:tblCellMar>
            <w:top w:w="0" w:type="dxa"/>
            <w:left w:w="0" w:type="dxa"/>
            <w:bottom w:w="0" w:type="dxa"/>
            <w:right w:w="0" w:type="dxa"/>
          </w:tblCellMar>
        </w:tblPrEx>
        <w:trPr>
          <w:trHeight w:val="312"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D4392">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32ACA">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22D7F">
            <w:pPr>
              <w:widowControl/>
              <w:rPr>
                <w:rFonts w:ascii="宋体" w:hAnsi="宋体" w:cs="宋体"/>
                <w:color w:val="auto"/>
                <w:sz w:val="20"/>
                <w:szCs w:val="20"/>
                <w:highlight w:val="none"/>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C33F5">
            <w:pPr>
              <w:widowControl/>
              <w:rPr>
                <w:rFonts w:ascii="宋体" w:hAnsi="宋体" w:cs="宋体"/>
                <w:color w:val="auto"/>
                <w:sz w:val="20"/>
                <w:szCs w:val="20"/>
                <w:highlight w:val="none"/>
              </w:rPr>
            </w:pPr>
          </w:p>
        </w:tc>
        <w:tc>
          <w:tcPr>
            <w:tcW w:w="2966" w:type="dxa"/>
            <w:tcBorders>
              <w:top w:val="nil"/>
              <w:left w:val="single" w:color="000000" w:sz="4" w:space="0"/>
              <w:bottom w:val="nil"/>
              <w:right w:val="single" w:color="000000" w:sz="4" w:space="0"/>
            </w:tcBorders>
            <w:noWrap w:val="0"/>
            <w:vAlign w:val="top"/>
          </w:tcPr>
          <w:p w14:paraId="17622768">
            <w:pPr>
              <w:pStyle w:val="170"/>
              <w:spacing w:line="256" w:lineRule="exact"/>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214</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w:t>
            </w:r>
            <w:r>
              <w:rPr>
                <w:rFonts w:hint="eastAsia" w:ascii="宋体" w:hAnsi="宋体" w:cs="宋体"/>
                <w:color w:val="auto"/>
                <w:w w:val="99"/>
                <w:sz w:val="20"/>
                <w:szCs w:val="20"/>
                <w:highlight w:val="none"/>
              </w:rPr>
              <w:t>20</w:t>
            </w:r>
            <w:r>
              <w:rPr>
                <w:rFonts w:hint="eastAsia" w:ascii="宋体" w:hAnsi="宋体" w:cs="宋体"/>
                <w:color w:val="auto"/>
                <w:spacing w:val="1"/>
                <w:w w:val="99"/>
                <w:sz w:val="20"/>
                <w:szCs w:val="20"/>
                <w:highlight w:val="none"/>
              </w:rPr>
              <w:t>13</w:t>
            </w:r>
            <w:r>
              <w:rPr>
                <w:rFonts w:hint="eastAsia" w:ascii="宋体" w:hAnsi="宋体" w:cs="宋体"/>
                <w:color w:val="auto"/>
                <w:w w:val="99"/>
                <w:sz w:val="20"/>
                <w:szCs w:val="20"/>
                <w:highlight w:val="none"/>
              </w:rPr>
              <w:t>），待</w:t>
            </w:r>
            <w:r>
              <w:rPr>
                <w:rFonts w:hint="eastAsia" w:ascii="宋体" w:hAnsi="宋体" w:cs="宋体"/>
                <w:color w:val="auto"/>
                <w:spacing w:val="1"/>
                <w:w w:val="99"/>
                <w:sz w:val="20"/>
                <w:szCs w:val="20"/>
                <w:highlight w:val="none"/>
              </w:rPr>
              <w:t>20</w:t>
            </w:r>
            <w:r>
              <w:rPr>
                <w:rFonts w:hint="eastAsia" w:ascii="宋体" w:hAnsi="宋体" w:cs="宋体"/>
                <w:color w:val="auto"/>
                <w:w w:val="99"/>
                <w:sz w:val="20"/>
                <w:szCs w:val="20"/>
                <w:highlight w:val="none"/>
              </w:rPr>
              <w:t>19</w:t>
            </w:r>
            <w:r>
              <w:rPr>
                <w:rFonts w:hint="eastAsia" w:ascii="宋体" w:hAnsi="宋体" w:cs="宋体"/>
                <w:color w:val="auto"/>
                <w:spacing w:val="-3"/>
                <w:w w:val="99"/>
                <w:sz w:val="20"/>
                <w:szCs w:val="20"/>
                <w:highlight w:val="none"/>
              </w:rPr>
              <w:t>年</w:t>
            </w:r>
            <w:r>
              <w:rPr>
                <w:rFonts w:hint="eastAsia" w:ascii="宋体" w:hAnsi="宋体" w:cs="宋体"/>
                <w:color w:val="auto"/>
                <w:w w:val="99"/>
                <w:sz w:val="20"/>
                <w:szCs w:val="20"/>
                <w:highlight w:val="none"/>
              </w:rPr>
              <w:t>修订发</w:t>
            </w:r>
          </w:p>
        </w:tc>
      </w:tr>
      <w:tr w14:paraId="431C3B0B">
        <w:tblPrEx>
          <w:tblCellMar>
            <w:top w:w="0" w:type="dxa"/>
            <w:left w:w="0" w:type="dxa"/>
            <w:bottom w:w="0" w:type="dxa"/>
            <w:right w:w="0" w:type="dxa"/>
          </w:tblCellMar>
        </w:tblPrEx>
        <w:trPr>
          <w:trHeight w:val="312"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620A2">
            <w:pPr>
              <w:widowControl/>
              <w:rPr>
                <w:rFonts w:ascii="宋体" w:hAnsi="宋体" w:cs="宋体"/>
                <w:color w:val="auto"/>
                <w:sz w:val="20"/>
                <w:szCs w:val="20"/>
                <w:highlight w:val="none"/>
                <w:lang w:eastAsia="en-US"/>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CD16F">
            <w:pPr>
              <w:widowControl/>
              <w:rPr>
                <w:rFonts w:ascii="宋体" w:hAnsi="宋体" w:cs="宋体"/>
                <w:color w:val="auto"/>
                <w:sz w:val="20"/>
                <w:szCs w:val="20"/>
                <w:highlight w:val="none"/>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4FF9F">
            <w:pPr>
              <w:widowControl/>
              <w:rPr>
                <w:rFonts w:ascii="宋体" w:hAnsi="宋体" w:cs="宋体"/>
                <w:color w:val="auto"/>
                <w:sz w:val="20"/>
                <w:szCs w:val="20"/>
                <w:highlight w:val="none"/>
                <w:lang w:eastAsia="en-US"/>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A4141">
            <w:pPr>
              <w:widowControl/>
              <w:rPr>
                <w:rFonts w:ascii="宋体" w:hAnsi="宋体" w:cs="宋体"/>
                <w:color w:val="auto"/>
                <w:sz w:val="20"/>
                <w:szCs w:val="20"/>
                <w:highlight w:val="none"/>
                <w:lang w:eastAsia="en-US"/>
              </w:rPr>
            </w:pPr>
          </w:p>
        </w:tc>
        <w:tc>
          <w:tcPr>
            <w:tcW w:w="2966" w:type="dxa"/>
            <w:tcBorders>
              <w:top w:val="nil"/>
              <w:left w:val="single" w:color="000000" w:sz="4" w:space="0"/>
              <w:bottom w:val="nil"/>
              <w:right w:val="single" w:color="000000" w:sz="4" w:space="0"/>
            </w:tcBorders>
            <w:noWrap w:val="0"/>
            <w:vAlign w:val="top"/>
          </w:tcPr>
          <w:p w14:paraId="13A4A28F">
            <w:pPr>
              <w:pStyle w:val="170"/>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布后</w:t>
            </w:r>
            <w:r>
              <w:rPr>
                <w:rFonts w:hint="eastAsia" w:ascii="宋体" w:hAnsi="宋体" w:cs="宋体"/>
                <w:color w:val="auto"/>
                <w:spacing w:val="-29"/>
                <w:w w:val="99"/>
                <w:sz w:val="20"/>
                <w:szCs w:val="20"/>
                <w:highlight w:val="none"/>
                <w:lang w:eastAsia="zh-CN"/>
              </w:rPr>
              <w:t>，</w:t>
            </w:r>
            <w:r>
              <w:rPr>
                <w:rFonts w:hint="eastAsia" w:ascii="宋体" w:hAnsi="宋体" w:cs="宋体"/>
                <w:color w:val="auto"/>
                <w:spacing w:val="-27"/>
                <w:w w:val="99"/>
                <w:sz w:val="20"/>
                <w:szCs w:val="20"/>
                <w:highlight w:val="none"/>
                <w:lang w:eastAsia="zh-CN"/>
              </w:rPr>
              <w:t>按</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房</w:t>
            </w:r>
            <w:r>
              <w:rPr>
                <w:rFonts w:hint="eastAsia" w:ascii="宋体" w:hAnsi="宋体" w:cs="宋体"/>
                <w:color w:val="auto"/>
                <w:w w:val="99"/>
                <w:sz w:val="20"/>
                <w:szCs w:val="20"/>
                <w:highlight w:val="none"/>
                <w:lang w:eastAsia="zh-CN"/>
              </w:rPr>
              <w:t>间空</w:t>
            </w:r>
            <w:r>
              <w:rPr>
                <w:rFonts w:hint="eastAsia" w:ascii="宋体" w:hAnsi="宋体" w:cs="宋体"/>
                <w:color w:val="auto"/>
                <w:spacing w:val="2"/>
                <w:w w:val="99"/>
                <w:sz w:val="20"/>
                <w:szCs w:val="20"/>
                <w:highlight w:val="none"/>
                <w:lang w:eastAsia="zh-CN"/>
              </w:rPr>
              <w:t>气</w:t>
            </w:r>
            <w:r>
              <w:rPr>
                <w:rFonts w:hint="eastAsia" w:ascii="宋体" w:hAnsi="宋体" w:cs="宋体"/>
                <w:color w:val="auto"/>
                <w:w w:val="99"/>
                <w:sz w:val="20"/>
                <w:szCs w:val="20"/>
                <w:highlight w:val="none"/>
                <w:lang w:eastAsia="zh-CN"/>
              </w:rPr>
              <w:t>调节</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w:t>
            </w:r>
          </w:p>
        </w:tc>
      </w:tr>
      <w:tr w14:paraId="4BC53777">
        <w:tblPrEx>
          <w:tblCellMar>
            <w:top w:w="0" w:type="dxa"/>
            <w:left w:w="0" w:type="dxa"/>
            <w:bottom w:w="0" w:type="dxa"/>
            <w:right w:w="0" w:type="dxa"/>
          </w:tblCellMar>
        </w:tblPrEx>
        <w:trPr>
          <w:trHeight w:val="312"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9CDA59">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3C18C">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73F05">
            <w:pPr>
              <w:widowControl/>
              <w:rPr>
                <w:rFonts w:ascii="宋体" w:hAnsi="宋体" w:cs="宋体"/>
                <w:color w:val="auto"/>
                <w:sz w:val="20"/>
                <w:szCs w:val="20"/>
                <w:highlight w:val="none"/>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84656">
            <w:pPr>
              <w:widowControl/>
              <w:rPr>
                <w:rFonts w:ascii="宋体" w:hAnsi="宋体" w:cs="宋体"/>
                <w:color w:val="auto"/>
                <w:sz w:val="20"/>
                <w:szCs w:val="20"/>
                <w:highlight w:val="none"/>
              </w:rPr>
            </w:pPr>
          </w:p>
        </w:tc>
        <w:tc>
          <w:tcPr>
            <w:tcW w:w="2966" w:type="dxa"/>
            <w:tcBorders>
              <w:top w:val="nil"/>
              <w:left w:val="single" w:color="000000" w:sz="4" w:space="0"/>
              <w:bottom w:val="nil"/>
              <w:right w:val="single" w:color="000000" w:sz="4" w:space="0"/>
            </w:tcBorders>
            <w:noWrap w:val="0"/>
            <w:vAlign w:val="top"/>
          </w:tcPr>
          <w:p w14:paraId="59ADF07E">
            <w:pPr>
              <w:pStyle w:val="170"/>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spacing w:val="-15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GB214</w:t>
            </w:r>
            <w:r>
              <w:rPr>
                <w:rFonts w:hint="eastAsia" w:ascii="宋体" w:hAnsi="宋体" w:cs="宋体"/>
                <w:color w:val="auto"/>
                <w:w w:val="99"/>
                <w:sz w:val="20"/>
                <w:szCs w:val="20"/>
                <w:highlight w:val="none"/>
                <w:lang w:eastAsia="zh-CN"/>
              </w:rPr>
              <w:t>5</w:t>
            </w:r>
            <w:r>
              <w:rPr>
                <w:rFonts w:hint="eastAsia" w:ascii="宋体" w:hAnsi="宋体" w:cs="宋体"/>
                <w:color w:val="auto"/>
                <w:spacing w:val="-1"/>
                <w:w w:val="99"/>
                <w:sz w:val="20"/>
                <w:szCs w:val="20"/>
                <w:highlight w:val="none"/>
                <w:lang w:eastAsia="zh-CN"/>
              </w:rPr>
              <w:t>5</w:t>
            </w:r>
            <w:r>
              <w:rPr>
                <w:rFonts w:hint="eastAsia" w:ascii="宋体" w:hAnsi="宋体" w:cs="宋体"/>
                <w:color w:val="auto"/>
                <w:spacing w:val="-2"/>
                <w:w w:val="99"/>
                <w:sz w:val="20"/>
                <w:szCs w:val="20"/>
                <w:highlight w:val="none"/>
                <w:lang w:eastAsia="zh-CN"/>
              </w:rPr>
              <w:t>-</w:t>
            </w:r>
            <w:r>
              <w:rPr>
                <w:rFonts w:hint="eastAsia" w:ascii="宋体" w:hAnsi="宋体" w:cs="宋体"/>
                <w:color w:val="auto"/>
                <w:spacing w:val="1"/>
                <w:w w:val="99"/>
                <w:sz w:val="20"/>
                <w:szCs w:val="20"/>
                <w:highlight w:val="none"/>
                <w:lang w:eastAsia="zh-CN"/>
              </w:rPr>
              <w:t>201</w:t>
            </w:r>
            <w:r>
              <w:rPr>
                <w:rFonts w:hint="eastAsia" w:ascii="宋体" w:hAnsi="宋体" w:cs="宋体"/>
                <w:color w:val="auto"/>
                <w:w w:val="99"/>
                <w:sz w:val="20"/>
                <w:szCs w:val="20"/>
                <w:highlight w:val="none"/>
                <w:lang w:eastAsia="zh-CN"/>
              </w:rPr>
              <w:t>9</w:t>
            </w:r>
          </w:p>
        </w:tc>
      </w:tr>
      <w:tr w14:paraId="3F55876C">
        <w:tblPrEx>
          <w:tblCellMar>
            <w:top w:w="0" w:type="dxa"/>
            <w:left w:w="0" w:type="dxa"/>
            <w:bottom w:w="0" w:type="dxa"/>
            <w:right w:w="0" w:type="dxa"/>
          </w:tblCellMar>
        </w:tblPrEx>
        <w:trPr>
          <w:trHeight w:val="319"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9E042C">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EF0CF">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1A8B6">
            <w:pPr>
              <w:widowControl/>
              <w:rPr>
                <w:rFonts w:ascii="宋体" w:hAnsi="宋体" w:cs="宋体"/>
                <w:color w:val="auto"/>
                <w:sz w:val="20"/>
                <w:szCs w:val="20"/>
                <w:highlight w:val="none"/>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CD9174">
            <w:pPr>
              <w:widowControl/>
              <w:rPr>
                <w:rFonts w:ascii="宋体" w:hAnsi="宋体" w:cs="宋体"/>
                <w:color w:val="auto"/>
                <w:sz w:val="20"/>
                <w:szCs w:val="20"/>
                <w:highlight w:val="none"/>
              </w:rPr>
            </w:pPr>
          </w:p>
        </w:tc>
        <w:tc>
          <w:tcPr>
            <w:tcW w:w="2966" w:type="dxa"/>
            <w:tcBorders>
              <w:top w:val="nil"/>
              <w:left w:val="single" w:color="000000" w:sz="4" w:space="0"/>
              <w:bottom w:val="single" w:color="000000" w:sz="4" w:space="0"/>
              <w:right w:val="single" w:color="000000" w:sz="4" w:space="0"/>
            </w:tcBorders>
            <w:noWrap w:val="0"/>
            <w:vAlign w:val="top"/>
          </w:tcPr>
          <w:p w14:paraId="1ED64FE3">
            <w:pPr>
              <w:pStyle w:val="170"/>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实施。</w:t>
            </w:r>
          </w:p>
        </w:tc>
      </w:tr>
      <w:tr w14:paraId="6A4388B0">
        <w:tblPrEx>
          <w:tblCellMar>
            <w:top w:w="0" w:type="dxa"/>
            <w:left w:w="0" w:type="dxa"/>
            <w:bottom w:w="0" w:type="dxa"/>
            <w:right w:w="0" w:type="dxa"/>
          </w:tblCellMar>
        </w:tblPrEx>
        <w:trPr>
          <w:trHeight w:val="958"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8F3F7">
            <w:pPr>
              <w:widowControl/>
              <w:rPr>
                <w:rFonts w:ascii="宋体" w:hAnsi="宋体" w:cs="宋体"/>
                <w:color w:val="auto"/>
                <w:sz w:val="20"/>
                <w:szCs w:val="20"/>
                <w:highlight w:val="none"/>
                <w:lang w:eastAsia="en-US"/>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85506">
            <w:pPr>
              <w:widowControl/>
              <w:rPr>
                <w:rFonts w:ascii="宋体" w:hAnsi="宋体" w:cs="宋体"/>
                <w:color w:val="auto"/>
                <w:sz w:val="20"/>
                <w:szCs w:val="20"/>
                <w:highlight w:val="none"/>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7B230">
            <w:pPr>
              <w:widowControl/>
              <w:rPr>
                <w:rFonts w:ascii="宋体" w:hAnsi="宋体" w:cs="宋体"/>
                <w:color w:val="auto"/>
                <w:sz w:val="20"/>
                <w:szCs w:val="20"/>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11D9290">
            <w:pPr>
              <w:pStyle w:val="170"/>
              <w:spacing w:before="4" w:line="283" w:lineRule="auto"/>
              <w:ind w:left="7" w:right="7"/>
              <w:jc w:val="both"/>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多联式空</w:t>
            </w:r>
            <w:r>
              <w:rPr>
                <w:rFonts w:hint="eastAsia" w:ascii="宋体" w:hAnsi="宋体" w:cs="宋体"/>
                <w:color w:val="auto"/>
                <w:spacing w:val="11"/>
                <w:w w:val="99"/>
                <w:sz w:val="20"/>
                <w:szCs w:val="20"/>
                <w:highlight w:val="none"/>
                <w:lang w:eastAsia="zh-CN"/>
              </w:rPr>
              <w:t>调（</w:t>
            </w:r>
            <w:r>
              <w:rPr>
                <w:rFonts w:hint="eastAsia" w:ascii="宋体" w:hAnsi="宋体" w:cs="宋体"/>
                <w:color w:val="auto"/>
                <w:spacing w:val="12"/>
                <w:w w:val="99"/>
                <w:sz w:val="20"/>
                <w:szCs w:val="20"/>
                <w:highlight w:val="none"/>
                <w:lang w:eastAsia="zh-CN"/>
              </w:rPr>
              <w:t>热泵</w:t>
            </w:r>
            <w:r>
              <w:rPr>
                <w:rFonts w:hint="eastAsia" w:ascii="宋体" w:hAnsi="宋体" w:cs="宋体"/>
                <w:color w:val="auto"/>
                <w:w w:val="99"/>
                <w:sz w:val="20"/>
                <w:szCs w:val="20"/>
                <w:highlight w:val="none"/>
                <w:lang w:eastAsia="zh-CN"/>
              </w:rPr>
              <w:t xml:space="preserve">）机组（制冷量≤ </w:t>
            </w:r>
            <w:r>
              <w:rPr>
                <w:rFonts w:hint="eastAsia" w:ascii="宋体" w:hAnsi="宋体" w:cs="宋体"/>
                <w:color w:val="auto"/>
                <w:spacing w:val="1"/>
                <w:w w:val="99"/>
                <w:sz w:val="20"/>
                <w:szCs w:val="20"/>
                <w:highlight w:val="none"/>
                <w:lang w:eastAsia="zh-CN"/>
              </w:rPr>
              <w:t>140</w:t>
            </w:r>
            <w:r>
              <w:rPr>
                <w:rFonts w:hint="eastAsia" w:ascii="宋体" w:hAnsi="宋体" w:cs="宋体"/>
                <w:color w:val="auto"/>
                <w:w w:val="99"/>
                <w:sz w:val="20"/>
                <w:szCs w:val="20"/>
                <w:highlight w:val="none"/>
                <w:lang w:eastAsia="zh-CN"/>
              </w:rPr>
              <w:t>00</w:t>
            </w:r>
            <w:r>
              <w:rPr>
                <w:rFonts w:hint="eastAsia" w:ascii="宋体" w:hAnsi="宋体" w:cs="宋体"/>
                <w:color w:val="auto"/>
                <w:spacing w:val="1"/>
                <w:w w:val="99"/>
                <w:sz w:val="20"/>
                <w:szCs w:val="20"/>
                <w:highlight w:val="none"/>
                <w:lang w:eastAsia="zh-CN"/>
              </w:rPr>
              <w:t>W</w:t>
            </w:r>
            <w:r>
              <w:rPr>
                <w:rFonts w:hint="eastAsia" w:ascii="宋体" w:hAnsi="宋体" w:cs="宋体"/>
                <w:color w:val="auto"/>
                <w:w w:val="99"/>
                <w:sz w:val="20"/>
                <w:szCs w:val="20"/>
                <w:highlight w:val="none"/>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982EC8C">
            <w:pPr>
              <w:pStyle w:val="170"/>
              <w:spacing w:before="160"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《多联</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空</w:t>
            </w:r>
            <w:r>
              <w:rPr>
                <w:rFonts w:hint="eastAsia" w:ascii="宋体" w:hAnsi="宋体" w:cs="宋体"/>
                <w:color w:val="auto"/>
                <w:spacing w:val="-27"/>
                <w:w w:val="99"/>
                <w:sz w:val="20"/>
                <w:szCs w:val="20"/>
                <w:highlight w:val="none"/>
                <w:lang w:eastAsia="zh-CN"/>
              </w:rPr>
              <w:t>调</w:t>
            </w:r>
            <w:r>
              <w:rPr>
                <w:rFonts w:hint="eastAsia" w:ascii="宋体" w:hAnsi="宋体" w:cs="宋体"/>
                <w:color w:val="auto"/>
                <w:w w:val="99"/>
                <w:sz w:val="20"/>
                <w:szCs w:val="20"/>
                <w:highlight w:val="none"/>
                <w:lang w:eastAsia="zh-CN"/>
              </w:rPr>
              <w:t>（热</w:t>
            </w:r>
            <w:r>
              <w:rPr>
                <w:rFonts w:hint="eastAsia" w:ascii="宋体" w:hAnsi="宋体" w:cs="宋体"/>
                <w:color w:val="auto"/>
                <w:spacing w:val="2"/>
                <w:w w:val="99"/>
                <w:sz w:val="20"/>
                <w:szCs w:val="20"/>
                <w:highlight w:val="none"/>
                <w:lang w:eastAsia="zh-CN"/>
              </w:rPr>
              <w:t>泵</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机</w:t>
            </w:r>
            <w:r>
              <w:rPr>
                <w:rFonts w:hint="eastAsia" w:ascii="宋体" w:hAnsi="宋体" w:cs="宋体"/>
                <w:color w:val="auto"/>
                <w:spacing w:val="2"/>
                <w:w w:val="99"/>
                <w:sz w:val="20"/>
                <w:szCs w:val="20"/>
                <w:highlight w:val="none"/>
                <w:lang w:eastAsia="zh-CN"/>
              </w:rPr>
              <w:t>组</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源效</w:t>
            </w:r>
            <w:r>
              <w:rPr>
                <w:rFonts w:hint="eastAsia" w:ascii="宋体" w:hAnsi="宋体" w:cs="宋体"/>
                <w:color w:val="auto"/>
                <w:spacing w:val="2"/>
                <w:w w:val="99"/>
                <w:sz w:val="20"/>
                <w:szCs w:val="20"/>
                <w:highlight w:val="none"/>
                <w:lang w:eastAsia="zh-CN"/>
              </w:rPr>
              <w:t>率</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2145</w:t>
            </w:r>
            <w:r>
              <w:rPr>
                <w:rFonts w:hint="eastAsia" w:ascii="宋体" w:hAnsi="宋体" w:cs="宋体"/>
                <w:color w:val="auto"/>
                <w:w w:val="99"/>
                <w:sz w:val="20"/>
                <w:szCs w:val="20"/>
                <w:highlight w:val="none"/>
                <w:lang w:eastAsia="zh-CN"/>
              </w:rPr>
              <w:t>4</w:t>
            </w:r>
          </w:p>
        </w:tc>
      </w:tr>
      <w:tr w14:paraId="01944DAB">
        <w:tblPrEx>
          <w:tblCellMar>
            <w:top w:w="0" w:type="dxa"/>
            <w:left w:w="0" w:type="dxa"/>
            <w:bottom w:w="0" w:type="dxa"/>
            <w:right w:w="0" w:type="dxa"/>
          </w:tblCellMar>
        </w:tblPrEx>
        <w:trPr>
          <w:trHeight w:val="327"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7020F">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417D8A">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F2AC3E">
            <w:pPr>
              <w:widowControl/>
              <w:rPr>
                <w:rFonts w:ascii="宋体" w:hAnsi="宋体" w:cs="宋体"/>
                <w:color w:val="auto"/>
                <w:sz w:val="20"/>
                <w:szCs w:val="20"/>
                <w:highlight w:val="none"/>
              </w:rPr>
            </w:pPr>
          </w:p>
        </w:tc>
        <w:tc>
          <w:tcPr>
            <w:tcW w:w="1916" w:type="dxa"/>
            <w:vMerge w:val="restart"/>
            <w:tcBorders>
              <w:top w:val="single" w:color="000000" w:sz="4" w:space="0"/>
              <w:left w:val="single" w:color="000000" w:sz="4" w:space="0"/>
              <w:bottom w:val="nil"/>
              <w:right w:val="single" w:color="000000" w:sz="4" w:space="0"/>
            </w:tcBorders>
            <w:noWrap w:val="0"/>
            <w:vAlign w:val="top"/>
          </w:tcPr>
          <w:p w14:paraId="44209013">
            <w:pPr>
              <w:pStyle w:val="170"/>
              <w:spacing w:before="2"/>
              <w:rPr>
                <w:rFonts w:ascii="宋体" w:hAnsi="宋体" w:cs="宋体"/>
                <w:color w:val="auto"/>
                <w:sz w:val="24"/>
                <w:szCs w:val="24"/>
                <w:highlight w:val="none"/>
                <w:lang w:eastAsia="zh-CN"/>
              </w:rPr>
            </w:pPr>
          </w:p>
          <w:p w14:paraId="3B8EC464">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18F0830F">
            <w:pPr>
              <w:pStyle w:val="170"/>
              <w:spacing w:before="4"/>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w:t>
            </w:r>
          </w:p>
        </w:tc>
      </w:tr>
      <w:tr w14:paraId="12242A8C">
        <w:tblPrEx>
          <w:tblCellMar>
            <w:top w:w="0" w:type="dxa"/>
            <w:left w:w="0" w:type="dxa"/>
            <w:bottom w:w="0" w:type="dxa"/>
            <w:right w:w="0" w:type="dxa"/>
          </w:tblCellMar>
        </w:tblPrEx>
        <w:trPr>
          <w:trHeight w:val="312"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C464D">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7A816">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35094">
            <w:pPr>
              <w:widowControl/>
              <w:rPr>
                <w:rFonts w:ascii="宋体" w:hAnsi="宋体" w:cs="宋体"/>
                <w:color w:val="auto"/>
                <w:sz w:val="20"/>
                <w:szCs w:val="20"/>
                <w:highlight w:val="none"/>
              </w:rPr>
            </w:pPr>
          </w:p>
        </w:tc>
        <w:tc>
          <w:tcPr>
            <w:tcW w:w="1916" w:type="dxa"/>
            <w:vMerge w:val="continue"/>
            <w:tcBorders>
              <w:top w:val="single" w:color="000000" w:sz="4" w:space="0"/>
              <w:left w:val="single" w:color="000000" w:sz="4" w:space="0"/>
              <w:bottom w:val="nil"/>
              <w:right w:val="single" w:color="000000" w:sz="4" w:space="0"/>
            </w:tcBorders>
            <w:noWrap w:val="0"/>
            <w:vAlign w:val="center"/>
          </w:tcPr>
          <w:p w14:paraId="328BE930">
            <w:pPr>
              <w:widowControl/>
              <w:rPr>
                <w:rFonts w:ascii="宋体" w:hAnsi="宋体" w:cs="宋体"/>
                <w:color w:val="auto"/>
                <w:sz w:val="20"/>
                <w:szCs w:val="20"/>
                <w:highlight w:val="none"/>
              </w:rPr>
            </w:pPr>
          </w:p>
        </w:tc>
        <w:tc>
          <w:tcPr>
            <w:tcW w:w="2966" w:type="dxa"/>
            <w:tcBorders>
              <w:top w:val="nil"/>
              <w:left w:val="single" w:color="000000" w:sz="4" w:space="0"/>
              <w:bottom w:val="nil"/>
              <w:right w:val="single" w:color="000000" w:sz="4" w:space="0"/>
            </w:tcBorders>
            <w:noWrap w:val="0"/>
            <w:vAlign w:val="top"/>
          </w:tcPr>
          <w:p w14:paraId="449D52C4">
            <w:pPr>
              <w:pStyle w:val="170"/>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及能源</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spacing w:val="-104"/>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w:t>
            </w:r>
            <w:r>
              <w:rPr>
                <w:rFonts w:hint="eastAsia" w:ascii="宋体" w:hAnsi="宋体" w:cs="宋体"/>
                <w:color w:val="auto"/>
                <w:spacing w:val="-3"/>
                <w:w w:val="99"/>
                <w:sz w:val="20"/>
                <w:szCs w:val="20"/>
                <w:highlight w:val="none"/>
                <w:lang w:eastAsia="zh-CN"/>
              </w:rPr>
              <w:t>6</w:t>
            </w:r>
            <w:r>
              <w:rPr>
                <w:rFonts w:hint="eastAsia" w:ascii="宋体" w:hAnsi="宋体" w:cs="宋体"/>
                <w:color w:val="auto"/>
                <w:spacing w:val="-104"/>
                <w:w w:val="99"/>
                <w:sz w:val="20"/>
                <w:szCs w:val="20"/>
                <w:highlight w:val="none"/>
                <w:lang w:eastAsia="zh-CN"/>
              </w:rPr>
              <w:t>）</w:t>
            </w:r>
            <w:r>
              <w:rPr>
                <w:rFonts w:hint="eastAsia" w:ascii="宋体" w:hAnsi="宋体" w:cs="宋体"/>
                <w:color w:val="auto"/>
                <w:w w:val="99"/>
                <w:sz w:val="20"/>
                <w:szCs w:val="20"/>
                <w:highlight w:val="none"/>
                <w:lang w:eastAsia="zh-CN"/>
              </w:rPr>
              <w:t>《风</w:t>
            </w:r>
          </w:p>
        </w:tc>
      </w:tr>
      <w:tr w14:paraId="59D1509B">
        <w:tblPrEx>
          <w:tblCellMar>
            <w:top w:w="0" w:type="dxa"/>
            <w:left w:w="0" w:type="dxa"/>
            <w:bottom w:w="0" w:type="dxa"/>
            <w:right w:w="0" w:type="dxa"/>
          </w:tblCellMar>
        </w:tblPrEx>
        <w:trPr>
          <w:trHeight w:val="312"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290DB9">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BFE38A">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894B1">
            <w:pPr>
              <w:widowControl/>
              <w:rPr>
                <w:rFonts w:ascii="宋体" w:hAnsi="宋体" w:cs="宋体"/>
                <w:color w:val="auto"/>
                <w:sz w:val="20"/>
                <w:szCs w:val="20"/>
                <w:highlight w:val="none"/>
              </w:rPr>
            </w:pPr>
          </w:p>
        </w:tc>
        <w:tc>
          <w:tcPr>
            <w:tcW w:w="1916" w:type="dxa"/>
            <w:vMerge w:val="restart"/>
            <w:tcBorders>
              <w:top w:val="nil"/>
              <w:left w:val="single" w:color="000000" w:sz="4" w:space="0"/>
              <w:bottom w:val="single" w:color="000000" w:sz="4" w:space="0"/>
              <w:right w:val="single" w:color="000000" w:sz="4" w:space="0"/>
            </w:tcBorders>
            <w:noWrap w:val="0"/>
            <w:vAlign w:val="top"/>
          </w:tcPr>
          <w:p w14:paraId="1E33485A">
            <w:pPr>
              <w:pStyle w:val="170"/>
              <w:spacing w:line="256" w:lineRule="exact"/>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w:t>
            </w:r>
            <w:r>
              <w:rPr>
                <w:rFonts w:hint="eastAsia" w:ascii="宋体" w:hAnsi="宋体" w:cs="宋体"/>
                <w:color w:val="auto"/>
                <w:w w:val="99"/>
                <w:sz w:val="20"/>
                <w:szCs w:val="20"/>
                <w:highlight w:val="none"/>
              </w:rPr>
              <w:t>制冷量≤</w:t>
            </w:r>
            <w:r>
              <w:rPr>
                <w:rFonts w:hint="eastAsia" w:ascii="宋体" w:hAnsi="宋体" w:cs="宋体"/>
                <w:color w:val="auto"/>
                <w:spacing w:val="1"/>
                <w:w w:val="99"/>
                <w:sz w:val="20"/>
                <w:szCs w:val="20"/>
                <w:highlight w:val="none"/>
              </w:rPr>
              <w:t>14000W</w:t>
            </w:r>
            <w:r>
              <w:rPr>
                <w:rFonts w:hint="eastAsia" w:ascii="宋体" w:hAnsi="宋体" w:cs="宋体"/>
                <w:color w:val="auto"/>
                <w:w w:val="99"/>
                <w:sz w:val="20"/>
                <w:szCs w:val="20"/>
                <w:highlight w:val="none"/>
              </w:rPr>
              <w:t>)</w:t>
            </w:r>
          </w:p>
        </w:tc>
        <w:tc>
          <w:tcPr>
            <w:tcW w:w="2966" w:type="dxa"/>
            <w:tcBorders>
              <w:top w:val="nil"/>
              <w:left w:val="single" w:color="000000" w:sz="4" w:space="0"/>
              <w:bottom w:val="nil"/>
              <w:right w:val="single" w:color="000000" w:sz="4" w:space="0"/>
            </w:tcBorders>
            <w:noWrap w:val="0"/>
            <w:vAlign w:val="top"/>
          </w:tcPr>
          <w:p w14:paraId="701BD6BC">
            <w:pPr>
              <w:pStyle w:val="170"/>
              <w:spacing w:line="256" w:lineRule="exact"/>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管送风式空调机组能效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w:t>
            </w:r>
          </w:p>
        </w:tc>
      </w:tr>
      <w:tr w14:paraId="1FE9B09B">
        <w:tblPrEx>
          <w:tblCellMar>
            <w:top w:w="0" w:type="dxa"/>
            <w:left w:w="0" w:type="dxa"/>
            <w:bottom w:w="0" w:type="dxa"/>
            <w:right w:w="0" w:type="dxa"/>
          </w:tblCellMar>
        </w:tblPrEx>
        <w:trPr>
          <w:trHeight w:val="319"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A05BF">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1967D">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4ABB91">
            <w:pPr>
              <w:widowControl/>
              <w:rPr>
                <w:rFonts w:ascii="宋体" w:hAnsi="宋体" w:cs="宋体"/>
                <w:color w:val="auto"/>
                <w:sz w:val="20"/>
                <w:szCs w:val="20"/>
                <w:highlight w:val="none"/>
              </w:rPr>
            </w:pPr>
          </w:p>
        </w:tc>
        <w:tc>
          <w:tcPr>
            <w:tcW w:w="1916" w:type="dxa"/>
            <w:vMerge w:val="continue"/>
            <w:tcBorders>
              <w:top w:val="nil"/>
              <w:left w:val="single" w:color="000000" w:sz="4" w:space="0"/>
              <w:bottom w:val="single" w:color="000000" w:sz="4" w:space="0"/>
              <w:right w:val="single" w:color="000000" w:sz="4" w:space="0"/>
            </w:tcBorders>
            <w:noWrap w:val="0"/>
            <w:vAlign w:val="center"/>
          </w:tcPr>
          <w:p w14:paraId="69C74021">
            <w:pPr>
              <w:widowControl/>
              <w:rPr>
                <w:rFonts w:ascii="宋体" w:hAnsi="宋体" w:cs="宋体"/>
                <w:color w:val="auto"/>
                <w:sz w:val="20"/>
                <w:szCs w:val="20"/>
                <w:highlight w:val="none"/>
              </w:rPr>
            </w:pPr>
          </w:p>
        </w:tc>
        <w:tc>
          <w:tcPr>
            <w:tcW w:w="2966" w:type="dxa"/>
            <w:tcBorders>
              <w:top w:val="nil"/>
              <w:left w:val="single" w:color="000000" w:sz="4" w:space="0"/>
              <w:bottom w:val="single" w:color="000000" w:sz="4" w:space="0"/>
              <w:right w:val="single" w:color="000000" w:sz="4" w:space="0"/>
            </w:tcBorders>
            <w:noWrap w:val="0"/>
            <w:vAlign w:val="top"/>
          </w:tcPr>
          <w:p w14:paraId="7E62ABF6">
            <w:pPr>
              <w:pStyle w:val="170"/>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能效等</w:t>
            </w:r>
            <w:r>
              <w:rPr>
                <w:rFonts w:hint="eastAsia" w:ascii="宋体" w:hAnsi="宋体" w:cs="宋体"/>
                <w:color w:val="auto"/>
                <w:spacing w:val="2"/>
                <w:w w:val="99"/>
                <w:sz w:val="20"/>
                <w:szCs w:val="20"/>
                <w:highlight w:val="none"/>
              </w:rPr>
              <w:t>级</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374</w:t>
            </w:r>
            <w:r>
              <w:rPr>
                <w:rFonts w:hint="eastAsia" w:ascii="宋体" w:hAnsi="宋体" w:cs="宋体"/>
                <w:color w:val="auto"/>
                <w:w w:val="99"/>
                <w:sz w:val="20"/>
                <w:szCs w:val="20"/>
                <w:highlight w:val="none"/>
              </w:rPr>
              <w:t>7</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w:t>
            </w:r>
          </w:p>
        </w:tc>
      </w:tr>
      <w:tr w14:paraId="07339BA6">
        <w:tblPrEx>
          <w:tblCellMar>
            <w:top w:w="0" w:type="dxa"/>
            <w:left w:w="0" w:type="dxa"/>
            <w:bottom w:w="0" w:type="dxa"/>
            <w:right w:w="0" w:type="dxa"/>
          </w:tblCellMar>
        </w:tblPrEx>
        <w:trPr>
          <w:trHeight w:val="653"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C6071">
            <w:pPr>
              <w:widowControl/>
              <w:rPr>
                <w:rFonts w:ascii="宋体" w:hAnsi="宋体" w:cs="宋体"/>
                <w:color w:val="auto"/>
                <w:sz w:val="20"/>
                <w:szCs w:val="20"/>
                <w:highlight w:val="none"/>
                <w:lang w:eastAsia="en-US"/>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02CA6">
            <w:pPr>
              <w:widowControl/>
              <w:rPr>
                <w:rFonts w:ascii="宋体" w:hAnsi="宋体" w:cs="宋体"/>
                <w:color w:val="auto"/>
                <w:sz w:val="20"/>
                <w:szCs w:val="20"/>
                <w:highlight w:val="none"/>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B095F65">
            <w:pPr>
              <w:pStyle w:val="170"/>
              <w:spacing w:before="162"/>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01洗衣机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8D0CA39">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F714E05">
            <w:pPr>
              <w:pStyle w:val="170"/>
              <w:spacing w:before="6"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《电动洗衣机能效水效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1202</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4</w:t>
            </w:r>
            <w:r>
              <w:rPr>
                <w:rFonts w:hint="eastAsia" w:ascii="宋体" w:hAnsi="宋体" w:cs="宋体"/>
                <w:color w:val="auto"/>
                <w:w w:val="99"/>
                <w:sz w:val="20"/>
                <w:szCs w:val="20"/>
                <w:highlight w:val="none"/>
                <w:lang w:eastAsia="zh-CN"/>
              </w:rPr>
              <w:t>）</w:t>
            </w:r>
          </w:p>
        </w:tc>
      </w:tr>
      <w:tr w14:paraId="4411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646" w:type="dxa"/>
            <w:vMerge w:val="restart"/>
            <w:tcBorders>
              <w:top w:val="single" w:color="auto" w:sz="4" w:space="0"/>
              <w:left w:val="single" w:color="auto" w:sz="4" w:space="0"/>
              <w:bottom w:val="single" w:color="auto" w:sz="4" w:space="0"/>
              <w:right w:val="single" w:color="auto" w:sz="4" w:space="0"/>
            </w:tcBorders>
            <w:noWrap w:val="0"/>
            <w:vAlign w:val="top"/>
          </w:tcPr>
          <w:p w14:paraId="660E91DB">
            <w:pPr>
              <w:rPr>
                <w:rFonts w:ascii="Calibri" w:hAnsi="Calibri"/>
                <w:color w:val="auto"/>
                <w:sz w:val="22"/>
                <w:szCs w:val="22"/>
                <w:highlight w:val="none"/>
                <w:lang w:eastAsia="en-US"/>
              </w:rPr>
            </w:pPr>
          </w:p>
        </w:tc>
        <w:tc>
          <w:tcPr>
            <w:tcW w:w="1094" w:type="dxa"/>
            <w:vMerge w:val="restart"/>
            <w:tcBorders>
              <w:top w:val="single" w:color="auto" w:sz="4" w:space="0"/>
              <w:left w:val="single" w:color="auto" w:sz="4" w:space="0"/>
              <w:bottom w:val="single" w:color="auto" w:sz="4" w:space="0"/>
              <w:right w:val="single" w:color="auto" w:sz="4" w:space="0"/>
            </w:tcBorders>
            <w:noWrap w:val="0"/>
            <w:vAlign w:val="top"/>
          </w:tcPr>
          <w:p w14:paraId="66ECD673">
            <w:pPr>
              <w:rPr>
                <w:rFonts w:ascii="Calibri" w:hAnsi="Calibri"/>
                <w:color w:val="auto"/>
                <w:sz w:val="22"/>
                <w:szCs w:val="22"/>
                <w:highlight w:val="none"/>
                <w:lang w:eastAsia="en-US"/>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14:paraId="110D7DE6">
            <w:pPr>
              <w:pStyle w:val="170"/>
              <w:rPr>
                <w:rFonts w:ascii="宋体" w:hAnsi="宋体" w:cs="宋体"/>
                <w:color w:val="auto"/>
                <w:sz w:val="20"/>
                <w:szCs w:val="20"/>
                <w:highlight w:val="none"/>
              </w:rPr>
            </w:pPr>
          </w:p>
          <w:p w14:paraId="44FF0D2A">
            <w:pPr>
              <w:pStyle w:val="170"/>
              <w:rPr>
                <w:rFonts w:ascii="宋体" w:hAnsi="宋体" w:cs="宋体"/>
                <w:color w:val="auto"/>
                <w:sz w:val="20"/>
                <w:szCs w:val="20"/>
                <w:highlight w:val="none"/>
              </w:rPr>
            </w:pPr>
          </w:p>
          <w:p w14:paraId="06947EF3">
            <w:pPr>
              <w:pStyle w:val="170"/>
              <w:rPr>
                <w:rFonts w:ascii="宋体" w:hAnsi="宋体" w:cs="宋体"/>
                <w:color w:val="auto"/>
                <w:sz w:val="20"/>
                <w:szCs w:val="20"/>
                <w:highlight w:val="none"/>
              </w:rPr>
            </w:pPr>
          </w:p>
          <w:p w14:paraId="4F2A8F1D">
            <w:pPr>
              <w:pStyle w:val="170"/>
              <w:rPr>
                <w:rFonts w:ascii="宋体" w:hAnsi="宋体" w:cs="宋体"/>
                <w:color w:val="auto"/>
                <w:sz w:val="20"/>
                <w:szCs w:val="20"/>
                <w:highlight w:val="none"/>
              </w:rPr>
            </w:pPr>
          </w:p>
          <w:p w14:paraId="0B4121FF">
            <w:pPr>
              <w:pStyle w:val="170"/>
              <w:rPr>
                <w:rFonts w:ascii="宋体" w:hAnsi="宋体" w:cs="宋体"/>
                <w:color w:val="auto"/>
                <w:sz w:val="20"/>
                <w:szCs w:val="20"/>
                <w:highlight w:val="none"/>
              </w:rPr>
            </w:pPr>
          </w:p>
          <w:p w14:paraId="7A30BE67">
            <w:pPr>
              <w:pStyle w:val="170"/>
              <w:spacing w:before="161"/>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808热水器</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6EA0D8E1">
            <w:pPr>
              <w:pStyle w:val="170"/>
              <w:spacing w:before="12"/>
              <w:rPr>
                <w:rFonts w:ascii="宋体" w:hAnsi="宋体" w:cs="宋体"/>
                <w:color w:val="auto"/>
                <w:sz w:val="15"/>
                <w:szCs w:val="15"/>
                <w:highlight w:val="none"/>
              </w:rPr>
            </w:pPr>
          </w:p>
          <w:p w14:paraId="050781BB">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0A424101">
            <w:pPr>
              <w:pStyle w:val="170"/>
              <w:tabs>
                <w:tab w:val="left" w:pos="1608"/>
              </w:tabs>
              <w:spacing w:before="5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《储水式电热水器能效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z w:val="20"/>
                <w:szCs w:val="20"/>
                <w:highlight w:val="none"/>
                <w:lang w:eastAsia="zh-CN"/>
              </w:rPr>
              <w:tab/>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51</w:t>
            </w:r>
            <w:r>
              <w:rPr>
                <w:rFonts w:hint="eastAsia" w:ascii="宋体" w:hAnsi="宋体" w:cs="宋体"/>
                <w:color w:val="auto"/>
                <w:spacing w:val="1"/>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68AB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14:paraId="6ED2A618">
            <w:pPr>
              <w:widowControl/>
              <w:rPr>
                <w:rFonts w:ascii="Calibri" w:hAnsi="Calibri"/>
                <w:color w:val="auto"/>
                <w:sz w:val="22"/>
                <w:szCs w:val="22"/>
                <w:highlight w:val="none"/>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4F8E8BEB">
            <w:pPr>
              <w:widowControl/>
              <w:rPr>
                <w:rFonts w:ascii="Calibri" w:hAnsi="Calibri"/>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194970F1">
            <w:pPr>
              <w:widowControl/>
              <w:rPr>
                <w:rFonts w:ascii="宋体" w:hAnsi="宋体" w:cs="宋体"/>
                <w:color w:val="auto"/>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top"/>
          </w:tcPr>
          <w:p w14:paraId="14B0C65B">
            <w:pPr>
              <w:pStyle w:val="170"/>
              <w:spacing w:before="2"/>
              <w:rPr>
                <w:rFonts w:ascii="宋体" w:hAnsi="宋体" w:cs="宋体"/>
                <w:color w:val="auto"/>
                <w:sz w:val="24"/>
                <w:szCs w:val="24"/>
                <w:highlight w:val="none"/>
                <w:lang w:eastAsia="zh-CN"/>
              </w:rPr>
            </w:pPr>
          </w:p>
          <w:p w14:paraId="5B7F4CF7">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燃气热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65C8D8CD">
            <w:pPr>
              <w:pStyle w:val="170"/>
              <w:spacing w:before="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《家用燃气快速热水器</w:t>
            </w:r>
            <w:r>
              <w:rPr>
                <w:rFonts w:hint="eastAsia" w:ascii="宋体" w:hAnsi="宋体" w:cs="宋体"/>
                <w:color w:val="auto"/>
                <w:spacing w:val="9"/>
                <w:w w:val="99"/>
                <w:sz w:val="20"/>
                <w:szCs w:val="20"/>
                <w:highlight w:val="none"/>
                <w:lang w:eastAsia="zh-CN"/>
              </w:rPr>
              <w:t>和</w:t>
            </w:r>
            <w:r>
              <w:rPr>
                <w:rFonts w:hint="eastAsia" w:ascii="宋体" w:hAnsi="宋体" w:cs="宋体"/>
                <w:color w:val="auto"/>
                <w:spacing w:val="12"/>
                <w:w w:val="99"/>
                <w:sz w:val="20"/>
                <w:szCs w:val="20"/>
                <w:highlight w:val="none"/>
                <w:lang w:eastAsia="zh-CN"/>
              </w:rPr>
              <w:t>燃气</w:t>
            </w:r>
            <w:r>
              <w:rPr>
                <w:rFonts w:hint="eastAsia" w:ascii="宋体" w:hAnsi="宋体" w:cs="宋体"/>
                <w:color w:val="auto"/>
                <w:w w:val="99"/>
                <w:sz w:val="20"/>
                <w:szCs w:val="20"/>
                <w:highlight w:val="none"/>
                <w:lang w:eastAsia="zh-CN"/>
              </w:rPr>
              <w:t>采暖热水</w:t>
            </w:r>
            <w:r>
              <w:rPr>
                <w:rFonts w:hint="eastAsia" w:ascii="宋体" w:hAnsi="宋体" w:cs="宋体"/>
                <w:color w:val="auto"/>
                <w:spacing w:val="2"/>
                <w:w w:val="99"/>
                <w:sz w:val="20"/>
                <w:szCs w:val="20"/>
                <w:highlight w:val="none"/>
                <w:lang w:eastAsia="zh-CN"/>
              </w:rPr>
              <w:t>炉</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770E9423">
            <w:pPr>
              <w:pStyle w:val="170"/>
              <w:spacing w:before="1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65</w:t>
            </w:r>
            <w:r>
              <w:rPr>
                <w:rFonts w:hint="eastAsia" w:ascii="宋体" w:hAnsi="宋体" w:cs="宋体"/>
                <w:color w:val="auto"/>
                <w:w w:val="99"/>
                <w:sz w:val="20"/>
                <w:szCs w:val="20"/>
                <w:highlight w:val="none"/>
              </w:rPr>
              <w:t>）</w:t>
            </w:r>
          </w:p>
        </w:tc>
      </w:tr>
      <w:tr w14:paraId="7EB9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14:paraId="0599C67C">
            <w:pPr>
              <w:widowControl/>
              <w:rPr>
                <w:rFonts w:ascii="Calibri" w:hAnsi="Calibri"/>
                <w:color w:val="auto"/>
                <w:sz w:val="22"/>
                <w:szCs w:val="22"/>
                <w:highlight w:val="none"/>
                <w:lang w:eastAsia="en-US"/>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2A2D86FB">
            <w:pPr>
              <w:widowControl/>
              <w:rPr>
                <w:rFonts w:ascii="Calibri" w:hAnsi="Calibri"/>
                <w:color w:val="auto"/>
                <w:sz w:val="22"/>
                <w:szCs w:val="22"/>
                <w:highlight w:val="none"/>
                <w:lang w:eastAsia="en-US"/>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4173BEE8">
            <w:pPr>
              <w:widowControl/>
              <w:rPr>
                <w:rFonts w:ascii="宋体" w:hAnsi="宋体" w:cs="宋体"/>
                <w:color w:val="auto"/>
                <w:sz w:val="20"/>
                <w:szCs w:val="20"/>
                <w:highlight w:val="none"/>
                <w:lang w:eastAsia="en-US"/>
              </w:rPr>
            </w:pPr>
          </w:p>
        </w:tc>
        <w:tc>
          <w:tcPr>
            <w:tcW w:w="1916" w:type="dxa"/>
            <w:tcBorders>
              <w:top w:val="single" w:color="auto" w:sz="4" w:space="0"/>
              <w:left w:val="single" w:color="auto" w:sz="4" w:space="0"/>
              <w:bottom w:val="single" w:color="auto" w:sz="4" w:space="0"/>
              <w:right w:val="single" w:color="auto" w:sz="4" w:space="0"/>
            </w:tcBorders>
            <w:noWrap w:val="0"/>
            <w:vAlign w:val="top"/>
          </w:tcPr>
          <w:p w14:paraId="285E85E8">
            <w:pPr>
              <w:pStyle w:val="170"/>
              <w:rPr>
                <w:rFonts w:ascii="宋体" w:hAnsi="宋体" w:cs="宋体"/>
                <w:color w:val="auto"/>
                <w:sz w:val="19"/>
                <w:szCs w:val="19"/>
                <w:highlight w:val="none"/>
              </w:rPr>
            </w:pPr>
          </w:p>
          <w:p w14:paraId="15DF47BD">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热泵热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7690BFD8">
            <w:pPr>
              <w:pStyle w:val="170"/>
              <w:spacing w:before="93"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热</w:t>
            </w:r>
            <w:r>
              <w:rPr>
                <w:rFonts w:hint="eastAsia" w:ascii="宋体" w:hAnsi="宋体" w:cs="宋体"/>
                <w:color w:val="auto"/>
                <w:w w:val="99"/>
                <w:sz w:val="20"/>
                <w:szCs w:val="20"/>
                <w:highlight w:val="none"/>
                <w:lang w:eastAsia="zh-CN"/>
              </w:rPr>
              <w:t>水</w:t>
            </w:r>
            <w:r>
              <w:rPr>
                <w:rFonts w:hint="eastAsia" w:ascii="宋体" w:hAnsi="宋体" w:cs="宋体"/>
                <w:color w:val="auto"/>
                <w:spacing w:val="-27"/>
                <w:w w:val="99"/>
                <w:sz w:val="20"/>
                <w:szCs w:val="20"/>
                <w:highlight w:val="none"/>
                <w:lang w:eastAsia="zh-CN"/>
              </w:rPr>
              <w:t>机</w:t>
            </w:r>
            <w:r>
              <w:rPr>
                <w:rFonts w:hint="eastAsia" w:ascii="宋体" w:hAnsi="宋体" w:cs="宋体"/>
                <w:color w:val="auto"/>
                <w:w w:val="99"/>
                <w:sz w:val="20"/>
                <w:szCs w:val="20"/>
                <w:highlight w:val="none"/>
                <w:lang w:eastAsia="zh-CN"/>
              </w:rPr>
              <w:t>（器</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295</w:t>
            </w:r>
            <w:r>
              <w:rPr>
                <w:rFonts w:hint="eastAsia" w:ascii="宋体" w:hAnsi="宋体" w:cs="宋体"/>
                <w:color w:val="auto"/>
                <w:w w:val="99"/>
                <w:sz w:val="20"/>
                <w:szCs w:val="20"/>
                <w:highlight w:val="none"/>
                <w:lang w:eastAsia="zh-CN"/>
              </w:rPr>
              <w:t>4</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598C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14:paraId="39F11157">
            <w:pPr>
              <w:widowControl/>
              <w:rPr>
                <w:rFonts w:ascii="Calibri" w:hAnsi="Calibri"/>
                <w:color w:val="auto"/>
                <w:sz w:val="22"/>
                <w:szCs w:val="22"/>
                <w:highlight w:val="none"/>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4A3C5E60">
            <w:pPr>
              <w:widowControl/>
              <w:rPr>
                <w:rFonts w:ascii="Calibri" w:hAnsi="Calibri"/>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340A3EF9">
            <w:pPr>
              <w:widowControl/>
              <w:rPr>
                <w:rFonts w:ascii="宋体" w:hAnsi="宋体" w:cs="宋体"/>
                <w:color w:val="auto"/>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top"/>
          </w:tcPr>
          <w:p w14:paraId="2FCE6D0F">
            <w:pPr>
              <w:pStyle w:val="170"/>
              <w:spacing w:before="12"/>
              <w:rPr>
                <w:rFonts w:ascii="宋体" w:hAnsi="宋体" w:cs="宋体"/>
                <w:color w:val="auto"/>
                <w:sz w:val="15"/>
                <w:szCs w:val="15"/>
                <w:highlight w:val="none"/>
                <w:lang w:eastAsia="zh-CN"/>
              </w:rPr>
            </w:pPr>
          </w:p>
          <w:p w14:paraId="0EB7506C">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太阳能</w:t>
            </w:r>
            <w:r>
              <w:rPr>
                <w:rFonts w:hint="eastAsia" w:ascii="宋体" w:hAnsi="宋体" w:cs="宋体"/>
                <w:color w:val="auto"/>
                <w:spacing w:val="2"/>
                <w:w w:val="99"/>
                <w:sz w:val="20"/>
                <w:szCs w:val="20"/>
                <w:highlight w:val="none"/>
              </w:rPr>
              <w:t>热</w:t>
            </w:r>
            <w:r>
              <w:rPr>
                <w:rFonts w:hint="eastAsia" w:ascii="宋体" w:hAnsi="宋体" w:cs="宋体"/>
                <w:color w:val="auto"/>
                <w:w w:val="99"/>
                <w:sz w:val="20"/>
                <w:szCs w:val="20"/>
                <w:highlight w:val="none"/>
              </w:rPr>
              <w:t>水系统</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1DFF6D0C">
            <w:pPr>
              <w:pStyle w:val="170"/>
              <w:spacing w:before="5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《家用太阳能热水系统</w:t>
            </w:r>
            <w:r>
              <w:rPr>
                <w:rFonts w:hint="eastAsia" w:ascii="宋体" w:hAnsi="宋体" w:cs="宋体"/>
                <w:color w:val="auto"/>
                <w:spacing w:val="9"/>
                <w:w w:val="99"/>
                <w:sz w:val="20"/>
                <w:szCs w:val="20"/>
                <w:highlight w:val="none"/>
                <w:lang w:eastAsia="zh-CN"/>
              </w:rPr>
              <w:t>能</w:t>
            </w:r>
            <w:r>
              <w:rPr>
                <w:rFonts w:hint="eastAsia" w:ascii="宋体" w:hAnsi="宋体" w:cs="宋体"/>
                <w:color w:val="auto"/>
                <w:spacing w:val="12"/>
                <w:w w:val="99"/>
                <w:sz w:val="20"/>
                <w:szCs w:val="20"/>
                <w:highlight w:val="none"/>
                <w:lang w:eastAsia="zh-CN"/>
              </w:rPr>
              <w:t>效限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26</w:t>
            </w:r>
            <w:r>
              <w:rPr>
                <w:rFonts w:hint="eastAsia" w:ascii="宋体" w:hAnsi="宋体" w:cs="宋体"/>
                <w:color w:val="auto"/>
                <w:w w:val="99"/>
                <w:sz w:val="20"/>
                <w:szCs w:val="20"/>
                <w:highlight w:val="none"/>
                <w:lang w:eastAsia="zh-CN"/>
              </w:rPr>
              <w:t>96</w:t>
            </w:r>
            <w:r>
              <w:rPr>
                <w:rFonts w:hint="eastAsia" w:ascii="宋体" w:hAnsi="宋体" w:cs="宋体"/>
                <w:color w:val="auto"/>
                <w:spacing w:val="-2"/>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3ACC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646" w:type="dxa"/>
            <w:vMerge w:val="restart"/>
            <w:tcBorders>
              <w:top w:val="single" w:color="auto" w:sz="4" w:space="0"/>
              <w:left w:val="single" w:color="auto" w:sz="4" w:space="0"/>
              <w:bottom w:val="single" w:color="auto" w:sz="4" w:space="0"/>
              <w:right w:val="single" w:color="auto" w:sz="4" w:space="0"/>
            </w:tcBorders>
            <w:noWrap w:val="0"/>
            <w:vAlign w:val="top"/>
          </w:tcPr>
          <w:p w14:paraId="535C86F2">
            <w:pPr>
              <w:pStyle w:val="170"/>
              <w:rPr>
                <w:rFonts w:ascii="宋体" w:hAnsi="宋体" w:cs="宋体"/>
                <w:color w:val="auto"/>
                <w:sz w:val="20"/>
                <w:szCs w:val="20"/>
                <w:highlight w:val="none"/>
                <w:lang w:eastAsia="zh-CN"/>
              </w:rPr>
            </w:pPr>
          </w:p>
          <w:p w14:paraId="12A6F8E7">
            <w:pPr>
              <w:pStyle w:val="170"/>
              <w:rPr>
                <w:rFonts w:ascii="宋体" w:hAnsi="宋体" w:cs="宋体"/>
                <w:color w:val="auto"/>
                <w:sz w:val="20"/>
                <w:szCs w:val="20"/>
                <w:highlight w:val="none"/>
                <w:lang w:eastAsia="zh-CN"/>
              </w:rPr>
            </w:pPr>
          </w:p>
          <w:p w14:paraId="2214F203">
            <w:pPr>
              <w:pStyle w:val="170"/>
              <w:rPr>
                <w:rFonts w:ascii="宋体" w:hAnsi="宋体" w:cs="宋体"/>
                <w:color w:val="auto"/>
                <w:sz w:val="20"/>
                <w:szCs w:val="20"/>
                <w:highlight w:val="none"/>
                <w:lang w:eastAsia="zh-CN"/>
              </w:rPr>
            </w:pPr>
          </w:p>
          <w:p w14:paraId="55683380">
            <w:pPr>
              <w:pStyle w:val="170"/>
              <w:rPr>
                <w:rFonts w:ascii="宋体" w:hAnsi="宋体" w:cs="宋体"/>
                <w:color w:val="auto"/>
                <w:sz w:val="20"/>
                <w:szCs w:val="20"/>
                <w:highlight w:val="none"/>
                <w:lang w:eastAsia="zh-CN"/>
              </w:rPr>
            </w:pPr>
          </w:p>
          <w:p w14:paraId="65871201">
            <w:pPr>
              <w:pStyle w:val="170"/>
              <w:rPr>
                <w:rFonts w:ascii="宋体" w:hAnsi="宋体" w:cs="宋体"/>
                <w:color w:val="auto"/>
                <w:sz w:val="20"/>
                <w:szCs w:val="20"/>
                <w:highlight w:val="none"/>
                <w:lang w:eastAsia="zh-CN"/>
              </w:rPr>
            </w:pPr>
          </w:p>
          <w:p w14:paraId="0C885276">
            <w:pPr>
              <w:pStyle w:val="170"/>
              <w:spacing w:before="12"/>
              <w:rPr>
                <w:rFonts w:ascii="宋体" w:hAnsi="宋体" w:cs="宋体"/>
                <w:color w:val="auto"/>
                <w:sz w:val="23"/>
                <w:szCs w:val="23"/>
                <w:highlight w:val="none"/>
                <w:lang w:eastAsia="zh-CN"/>
              </w:rPr>
            </w:pPr>
          </w:p>
          <w:p w14:paraId="27D44B16">
            <w:pPr>
              <w:pStyle w:val="17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1</w:t>
            </w:r>
          </w:p>
        </w:tc>
        <w:tc>
          <w:tcPr>
            <w:tcW w:w="1094" w:type="dxa"/>
            <w:vMerge w:val="restart"/>
            <w:tcBorders>
              <w:top w:val="single" w:color="auto" w:sz="4" w:space="0"/>
              <w:left w:val="single" w:color="auto" w:sz="4" w:space="0"/>
              <w:bottom w:val="single" w:color="auto" w:sz="4" w:space="0"/>
              <w:right w:val="single" w:color="auto" w:sz="4" w:space="0"/>
            </w:tcBorders>
            <w:noWrap w:val="0"/>
            <w:vAlign w:val="top"/>
          </w:tcPr>
          <w:p w14:paraId="4DB76E19">
            <w:pPr>
              <w:pStyle w:val="170"/>
              <w:rPr>
                <w:rFonts w:ascii="宋体" w:hAnsi="宋体" w:cs="宋体"/>
                <w:color w:val="auto"/>
                <w:sz w:val="20"/>
                <w:szCs w:val="20"/>
                <w:highlight w:val="none"/>
              </w:rPr>
            </w:pPr>
          </w:p>
          <w:p w14:paraId="68FAC62D">
            <w:pPr>
              <w:pStyle w:val="170"/>
              <w:rPr>
                <w:rFonts w:ascii="宋体" w:hAnsi="宋体" w:cs="宋体"/>
                <w:color w:val="auto"/>
                <w:sz w:val="20"/>
                <w:szCs w:val="20"/>
                <w:highlight w:val="none"/>
              </w:rPr>
            </w:pPr>
          </w:p>
          <w:p w14:paraId="5802EA5A">
            <w:pPr>
              <w:pStyle w:val="170"/>
              <w:rPr>
                <w:rFonts w:ascii="宋体" w:hAnsi="宋体" w:cs="宋体"/>
                <w:color w:val="auto"/>
                <w:sz w:val="20"/>
                <w:szCs w:val="20"/>
                <w:highlight w:val="none"/>
              </w:rPr>
            </w:pPr>
          </w:p>
          <w:p w14:paraId="1A3B90AF">
            <w:pPr>
              <w:pStyle w:val="170"/>
              <w:rPr>
                <w:rFonts w:ascii="宋体" w:hAnsi="宋体" w:cs="宋体"/>
                <w:color w:val="auto"/>
                <w:sz w:val="20"/>
                <w:szCs w:val="20"/>
                <w:highlight w:val="none"/>
              </w:rPr>
            </w:pPr>
          </w:p>
          <w:p w14:paraId="7C3674CA">
            <w:pPr>
              <w:pStyle w:val="170"/>
              <w:rPr>
                <w:rFonts w:ascii="宋体" w:hAnsi="宋体" w:cs="宋体"/>
                <w:color w:val="auto"/>
                <w:sz w:val="20"/>
                <w:szCs w:val="20"/>
                <w:highlight w:val="none"/>
              </w:rPr>
            </w:pPr>
          </w:p>
          <w:p w14:paraId="74078CBA">
            <w:pPr>
              <w:pStyle w:val="170"/>
              <w:spacing w:before="157"/>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9照明设备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27872F89">
            <w:pPr>
              <w:pStyle w:val="170"/>
              <w:spacing w:before="133"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4"/>
                <w:w w:val="99"/>
                <w:sz w:val="20"/>
                <w:szCs w:val="20"/>
                <w:highlight w:val="none"/>
                <w:lang w:eastAsia="zh-CN"/>
              </w:rPr>
              <w:t>普</w:t>
            </w:r>
            <w:r>
              <w:rPr>
                <w:rFonts w:hint="eastAsia" w:ascii="宋体" w:hAnsi="宋体" w:cs="宋体"/>
                <w:color w:val="auto"/>
                <w:w w:val="99"/>
                <w:sz w:val="20"/>
                <w:szCs w:val="20"/>
                <w:highlight w:val="none"/>
                <w:lang w:eastAsia="zh-CN"/>
              </w:rPr>
              <w:t>通照明用</w:t>
            </w:r>
            <w:r>
              <w:rPr>
                <w:rFonts w:hint="eastAsia" w:ascii="宋体" w:hAnsi="宋体" w:cs="宋体"/>
                <w:color w:val="auto"/>
                <w:spacing w:val="24"/>
                <w:w w:val="99"/>
                <w:sz w:val="20"/>
                <w:szCs w:val="20"/>
                <w:highlight w:val="none"/>
                <w:lang w:eastAsia="zh-CN"/>
              </w:rPr>
              <w:t>双</w:t>
            </w:r>
            <w:r>
              <w:rPr>
                <w:rFonts w:hint="eastAsia" w:ascii="宋体" w:hAnsi="宋体" w:cs="宋体"/>
                <w:color w:val="auto"/>
                <w:w w:val="99"/>
                <w:sz w:val="20"/>
                <w:szCs w:val="20"/>
                <w:highlight w:val="none"/>
                <w:lang w:eastAsia="zh-CN"/>
              </w:rPr>
              <w:t>端荧光灯</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43A0DA0D">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E14BF04">
            <w:pPr>
              <w:pStyle w:val="170"/>
              <w:spacing w:before="133"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《普通照明用双端荧光</w:t>
            </w:r>
            <w:r>
              <w:rPr>
                <w:rFonts w:hint="eastAsia" w:ascii="宋体" w:hAnsi="宋体" w:cs="宋体"/>
                <w:color w:val="auto"/>
                <w:spacing w:val="9"/>
                <w:w w:val="99"/>
                <w:sz w:val="20"/>
                <w:szCs w:val="20"/>
                <w:highlight w:val="none"/>
                <w:lang w:eastAsia="zh-CN"/>
              </w:rPr>
              <w:t>灯</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04</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14:paraId="7D0B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14:paraId="544EA2F3">
            <w:pPr>
              <w:widowControl/>
              <w:rPr>
                <w:rFonts w:ascii="宋体" w:hAnsi="宋体" w:cs="宋体"/>
                <w:color w:val="auto"/>
                <w:sz w:val="20"/>
                <w:szCs w:val="20"/>
                <w:highlight w:val="none"/>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20B2F065">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5ACF753">
            <w:pPr>
              <w:pStyle w:val="170"/>
              <w:spacing w:before="92" w:line="283" w:lineRule="auto"/>
              <w:ind w:left="7" w:right="2"/>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w:t>
            </w:r>
            <w:r>
              <w:rPr>
                <w:rFonts w:hint="eastAsia" w:ascii="宋体" w:hAnsi="宋体" w:cs="宋体"/>
                <w:color w:val="auto"/>
                <w:spacing w:val="12"/>
                <w:w w:val="99"/>
                <w:sz w:val="20"/>
                <w:szCs w:val="20"/>
                <w:highlight w:val="none"/>
              </w:rPr>
              <w:t>道</w:t>
            </w:r>
            <w:r>
              <w:rPr>
                <w:rFonts w:hint="eastAsia" w:ascii="宋体" w:hAnsi="宋体" w:cs="宋体"/>
                <w:color w:val="auto"/>
                <w:spacing w:val="9"/>
                <w:w w:val="99"/>
                <w:sz w:val="20"/>
                <w:szCs w:val="20"/>
                <w:highlight w:val="none"/>
              </w:rPr>
              <w:t>路</w:t>
            </w:r>
            <w:r>
              <w:rPr>
                <w:rFonts w:hint="eastAsia" w:ascii="宋体" w:hAnsi="宋体" w:cs="宋体"/>
                <w:color w:val="auto"/>
                <w:spacing w:val="13"/>
                <w:w w:val="99"/>
                <w:sz w:val="20"/>
                <w:szCs w:val="20"/>
                <w:highlight w:val="none"/>
              </w:rPr>
              <w:t>/</w:t>
            </w:r>
            <w:r>
              <w:rPr>
                <w:rFonts w:hint="eastAsia" w:ascii="宋体" w:hAnsi="宋体" w:cs="宋体"/>
                <w:color w:val="auto"/>
                <w:spacing w:val="12"/>
                <w:w w:val="99"/>
                <w:sz w:val="20"/>
                <w:szCs w:val="20"/>
                <w:highlight w:val="none"/>
              </w:rPr>
              <w:t>隧道照</w:t>
            </w:r>
            <w:r>
              <w:rPr>
                <w:rFonts w:hint="eastAsia" w:ascii="宋体" w:hAnsi="宋体" w:cs="宋体"/>
                <w:color w:val="auto"/>
                <w:w w:val="99"/>
                <w:sz w:val="20"/>
                <w:szCs w:val="20"/>
                <w:highlight w:val="none"/>
              </w:rPr>
              <w:t>明产品</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52F58A8A">
            <w:pPr>
              <w:rPr>
                <w:rFonts w:ascii="Calibri" w:hAnsi="Calibri"/>
                <w:color w:val="auto"/>
                <w:sz w:val="22"/>
                <w:szCs w:val="22"/>
                <w:highlight w:val="none"/>
                <w:lang w:eastAsia="en-US"/>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1807E9B7">
            <w:pPr>
              <w:pStyle w:val="170"/>
              <w:spacing w:before="92" w:line="283"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道</w:t>
            </w:r>
            <w:r>
              <w:rPr>
                <w:rFonts w:hint="eastAsia" w:ascii="宋体" w:hAnsi="宋体" w:cs="宋体"/>
                <w:color w:val="auto"/>
                <w:spacing w:val="4"/>
                <w:w w:val="99"/>
                <w:sz w:val="20"/>
                <w:szCs w:val="20"/>
                <w:highlight w:val="none"/>
                <w:lang w:eastAsia="zh-CN"/>
              </w:rPr>
              <w:t>路和隧道照</w:t>
            </w:r>
            <w:r>
              <w:rPr>
                <w:rFonts w:hint="eastAsia" w:ascii="宋体" w:hAnsi="宋体" w:cs="宋体"/>
                <w:color w:val="auto"/>
                <w:spacing w:val="2"/>
                <w:w w:val="99"/>
                <w:sz w:val="20"/>
                <w:szCs w:val="20"/>
                <w:highlight w:val="none"/>
                <w:lang w:eastAsia="zh-CN"/>
              </w:rPr>
              <w:t>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灯</w:t>
            </w:r>
            <w:r>
              <w:rPr>
                <w:rFonts w:hint="eastAsia" w:ascii="宋体" w:hAnsi="宋体" w:cs="宋体"/>
                <w:color w:val="auto"/>
                <w:spacing w:val="2"/>
                <w:w w:val="99"/>
                <w:sz w:val="20"/>
                <w:szCs w:val="20"/>
                <w:highlight w:val="none"/>
                <w:lang w:eastAsia="zh-CN"/>
              </w:rPr>
              <w:t>具</w:t>
            </w:r>
            <w:r>
              <w:rPr>
                <w:rFonts w:hint="eastAsia" w:ascii="宋体" w:hAnsi="宋体" w:cs="宋体"/>
                <w:color w:val="auto"/>
                <w:w w:val="99"/>
                <w:sz w:val="20"/>
                <w:szCs w:val="20"/>
                <w:highlight w:val="none"/>
                <w:lang w:eastAsia="zh-CN"/>
              </w:rPr>
              <w:t>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3747</w:t>
            </w:r>
            <w:r>
              <w:rPr>
                <w:rFonts w:hint="eastAsia" w:ascii="宋体" w:hAnsi="宋体" w:cs="宋体"/>
                <w:color w:val="auto"/>
                <w:w w:val="99"/>
                <w:sz w:val="20"/>
                <w:szCs w:val="20"/>
                <w:highlight w:val="none"/>
                <w:lang w:eastAsia="zh-CN"/>
              </w:rPr>
              <w:t>8</w:t>
            </w:r>
          </w:p>
        </w:tc>
      </w:tr>
      <w:tr w14:paraId="7018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14:paraId="4610803F">
            <w:pPr>
              <w:widowControl/>
              <w:rPr>
                <w:rFonts w:ascii="宋体" w:hAnsi="宋体" w:cs="宋体"/>
                <w:color w:val="auto"/>
                <w:sz w:val="20"/>
                <w:szCs w:val="20"/>
                <w:highlight w:val="none"/>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74FF83DD">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D698181">
            <w:pPr>
              <w:pStyle w:val="170"/>
              <w:spacing w:before="4"/>
              <w:rPr>
                <w:rFonts w:ascii="宋体" w:hAnsi="宋体" w:cs="宋体"/>
                <w:color w:val="auto"/>
                <w:sz w:val="18"/>
                <w:szCs w:val="18"/>
                <w:highlight w:val="none"/>
                <w:lang w:eastAsia="zh-CN"/>
              </w:rPr>
            </w:pPr>
          </w:p>
          <w:p w14:paraId="184AD3F7">
            <w:pPr>
              <w:pStyle w:val="17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D筒灯</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19DD1689">
            <w:pPr>
              <w:rPr>
                <w:rFonts w:ascii="Calibri" w:hAnsi="Calibri"/>
                <w:color w:val="auto"/>
                <w:sz w:val="22"/>
                <w:szCs w:val="22"/>
                <w:highlight w:val="none"/>
                <w:lang w:eastAsia="en-US"/>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0397BB20">
            <w:pPr>
              <w:pStyle w:val="170"/>
              <w:spacing w:before="83" w:line="283"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14:paraId="6365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14:paraId="76A3445D">
            <w:pPr>
              <w:widowControl/>
              <w:rPr>
                <w:rFonts w:ascii="宋体" w:hAnsi="宋体" w:cs="宋体"/>
                <w:color w:val="auto"/>
                <w:sz w:val="20"/>
                <w:szCs w:val="20"/>
                <w:highlight w:val="none"/>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691B88A9">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13476D1">
            <w:pPr>
              <w:pStyle w:val="170"/>
              <w:spacing w:line="283" w:lineRule="auto"/>
              <w:ind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普</w:t>
            </w:r>
            <w:r>
              <w:rPr>
                <w:rFonts w:hint="eastAsia" w:ascii="宋体" w:hAnsi="宋体" w:cs="宋体"/>
                <w:color w:val="auto"/>
                <w:spacing w:val="24"/>
                <w:w w:val="99"/>
                <w:sz w:val="20"/>
                <w:szCs w:val="20"/>
                <w:highlight w:val="none"/>
                <w:lang w:eastAsia="zh-CN"/>
              </w:rPr>
              <w:t>通</w:t>
            </w:r>
            <w:r>
              <w:rPr>
                <w:rFonts w:hint="eastAsia" w:ascii="宋体" w:hAnsi="宋体" w:cs="宋体"/>
                <w:color w:val="auto"/>
                <w:w w:val="99"/>
                <w:sz w:val="20"/>
                <w:szCs w:val="20"/>
                <w:highlight w:val="none"/>
                <w:lang w:eastAsia="zh-CN"/>
              </w:rPr>
              <w:t>照明用非</w:t>
            </w:r>
            <w:r>
              <w:rPr>
                <w:rFonts w:hint="eastAsia" w:ascii="宋体" w:hAnsi="宋体" w:cs="宋体"/>
                <w:color w:val="auto"/>
                <w:spacing w:val="24"/>
                <w:w w:val="99"/>
                <w:sz w:val="20"/>
                <w:szCs w:val="20"/>
                <w:highlight w:val="none"/>
                <w:lang w:eastAsia="zh-CN"/>
              </w:rPr>
              <w:t>定</w:t>
            </w:r>
            <w:r>
              <w:rPr>
                <w:rFonts w:hint="eastAsia" w:ascii="宋体" w:hAnsi="宋体" w:cs="宋体"/>
                <w:color w:val="auto"/>
                <w:w w:val="99"/>
                <w:sz w:val="20"/>
                <w:szCs w:val="20"/>
                <w:highlight w:val="none"/>
                <w:lang w:eastAsia="zh-CN"/>
              </w:rPr>
              <w:t>向自镇流</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D灯</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6A03430E">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16E61F17">
            <w:pPr>
              <w:pStyle w:val="170"/>
              <w:spacing w:line="283" w:lineRule="auto"/>
              <w:ind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14:paraId="5A8F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exact"/>
        </w:trPr>
        <w:tc>
          <w:tcPr>
            <w:tcW w:w="646" w:type="dxa"/>
            <w:tcBorders>
              <w:top w:val="single" w:color="auto" w:sz="4" w:space="0"/>
              <w:left w:val="single" w:color="auto" w:sz="4" w:space="0"/>
              <w:bottom w:val="single" w:color="auto" w:sz="4" w:space="0"/>
              <w:right w:val="single" w:color="auto" w:sz="4" w:space="0"/>
            </w:tcBorders>
            <w:noWrap w:val="0"/>
            <w:vAlign w:val="top"/>
          </w:tcPr>
          <w:p w14:paraId="4D097A82">
            <w:pPr>
              <w:pStyle w:val="170"/>
              <w:spacing w:before="1"/>
              <w:rPr>
                <w:rFonts w:ascii="宋体" w:hAnsi="宋体" w:cs="宋体"/>
                <w:color w:val="auto"/>
                <w:sz w:val="18"/>
                <w:szCs w:val="18"/>
                <w:highlight w:val="none"/>
                <w:lang w:eastAsia="zh-CN"/>
              </w:rPr>
            </w:pPr>
          </w:p>
          <w:p w14:paraId="1A2ED7AD">
            <w:pPr>
              <w:pStyle w:val="17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2</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03E5DBEC">
            <w:pPr>
              <w:pStyle w:val="170"/>
              <w:spacing w:before="81"/>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910电视设备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15C661AB">
            <w:pPr>
              <w:pStyle w:val="170"/>
              <w:spacing w:before="81" w:line="283" w:lineRule="auto"/>
              <w:ind w:left="7" w:right="5"/>
              <w:rPr>
                <w:rFonts w:ascii="宋体" w:hAnsi="宋体" w:cs="宋体"/>
                <w:color w:val="auto"/>
                <w:sz w:val="20"/>
                <w:szCs w:val="20"/>
                <w:highlight w:val="none"/>
                <w:lang w:eastAsia="zh-CN"/>
              </w:rPr>
            </w:pPr>
            <w:r>
              <w:rPr>
                <w:rFonts w:hint="eastAsia" w:ascii="宋体" w:hAnsi="宋体" w:cs="宋体"/>
                <w:color w:val="auto"/>
                <w:spacing w:val="1"/>
                <w:w w:val="99"/>
                <w:sz w:val="20"/>
                <w:szCs w:val="20"/>
                <w:highlight w:val="none"/>
                <w:lang w:eastAsia="zh-CN"/>
              </w:rPr>
              <w:t>A02</w:t>
            </w:r>
            <w:r>
              <w:rPr>
                <w:rFonts w:hint="eastAsia" w:ascii="宋体" w:hAnsi="宋体" w:cs="宋体"/>
                <w:color w:val="auto"/>
                <w:w w:val="99"/>
                <w:sz w:val="20"/>
                <w:szCs w:val="20"/>
                <w:highlight w:val="none"/>
                <w:lang w:eastAsia="zh-CN"/>
              </w:rPr>
              <w:t>09</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001普通电视设备（</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视机）</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3B3BFAA8">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8B3F954">
            <w:pPr>
              <w:pStyle w:val="170"/>
              <w:spacing w:before="81"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《平板电视能效限定值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w:t>
            </w:r>
            <w:r>
              <w:rPr>
                <w:rFonts w:hint="eastAsia" w:ascii="宋体" w:hAnsi="宋体" w:cs="宋体"/>
                <w:color w:val="auto"/>
                <w:w w:val="99"/>
                <w:sz w:val="20"/>
                <w:szCs w:val="20"/>
                <w:highlight w:val="none"/>
                <w:lang w:eastAsia="zh-CN"/>
              </w:rPr>
              <w:t>50）</w:t>
            </w:r>
          </w:p>
        </w:tc>
      </w:tr>
      <w:tr w14:paraId="759D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646" w:type="dxa"/>
            <w:tcBorders>
              <w:top w:val="single" w:color="auto" w:sz="4" w:space="0"/>
              <w:left w:val="single" w:color="auto" w:sz="4" w:space="0"/>
              <w:bottom w:val="single" w:color="auto" w:sz="4" w:space="0"/>
              <w:right w:val="single" w:color="auto" w:sz="4" w:space="0"/>
            </w:tcBorders>
            <w:noWrap w:val="0"/>
            <w:vAlign w:val="top"/>
          </w:tcPr>
          <w:p w14:paraId="1B512937">
            <w:pPr>
              <w:pStyle w:val="170"/>
              <w:rPr>
                <w:rFonts w:ascii="宋体" w:hAnsi="宋体" w:cs="宋体"/>
                <w:color w:val="auto"/>
                <w:sz w:val="20"/>
                <w:szCs w:val="20"/>
                <w:highlight w:val="none"/>
                <w:lang w:eastAsia="zh-CN"/>
              </w:rPr>
            </w:pPr>
          </w:p>
          <w:p w14:paraId="72B54E5F">
            <w:pPr>
              <w:pStyle w:val="170"/>
              <w:rPr>
                <w:rFonts w:ascii="宋体" w:hAnsi="宋体" w:cs="宋体"/>
                <w:color w:val="auto"/>
                <w:sz w:val="20"/>
                <w:szCs w:val="20"/>
                <w:highlight w:val="none"/>
                <w:lang w:eastAsia="zh-CN"/>
              </w:rPr>
            </w:pPr>
          </w:p>
          <w:p w14:paraId="355DFC9E">
            <w:pPr>
              <w:pStyle w:val="170"/>
              <w:spacing w:before="10"/>
              <w:rPr>
                <w:rFonts w:ascii="宋体" w:hAnsi="宋体" w:cs="宋体"/>
                <w:color w:val="auto"/>
                <w:sz w:val="21"/>
                <w:szCs w:val="21"/>
                <w:highlight w:val="none"/>
                <w:lang w:eastAsia="zh-CN"/>
              </w:rPr>
            </w:pPr>
          </w:p>
          <w:p w14:paraId="5C7199D9">
            <w:pPr>
              <w:pStyle w:val="17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3</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66550FD6">
            <w:pPr>
              <w:pStyle w:val="170"/>
              <w:rPr>
                <w:rFonts w:ascii="宋体" w:hAnsi="宋体" w:cs="宋体"/>
                <w:color w:val="auto"/>
                <w:sz w:val="20"/>
                <w:szCs w:val="20"/>
                <w:highlight w:val="none"/>
              </w:rPr>
            </w:pPr>
          </w:p>
          <w:p w14:paraId="2DFCEA1C">
            <w:pPr>
              <w:pStyle w:val="170"/>
              <w:spacing w:before="11"/>
              <w:rPr>
                <w:rFonts w:ascii="宋体" w:hAnsi="宋体" w:cs="宋体"/>
                <w:color w:val="auto"/>
                <w:sz w:val="29"/>
                <w:szCs w:val="29"/>
                <w:highlight w:val="none"/>
              </w:rPr>
            </w:pPr>
          </w:p>
          <w:p w14:paraId="71EEBB8C">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911视频设备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58B86466">
            <w:pPr>
              <w:pStyle w:val="170"/>
              <w:rPr>
                <w:rFonts w:ascii="宋体" w:hAnsi="宋体" w:cs="宋体"/>
                <w:color w:val="auto"/>
                <w:sz w:val="20"/>
                <w:szCs w:val="20"/>
                <w:highlight w:val="none"/>
              </w:rPr>
            </w:pPr>
          </w:p>
          <w:p w14:paraId="4340D855">
            <w:pPr>
              <w:pStyle w:val="170"/>
              <w:spacing w:before="11"/>
              <w:rPr>
                <w:rFonts w:ascii="宋体" w:hAnsi="宋体" w:cs="宋体"/>
                <w:color w:val="auto"/>
                <w:sz w:val="29"/>
                <w:szCs w:val="29"/>
                <w:highlight w:val="none"/>
              </w:rPr>
            </w:pPr>
          </w:p>
          <w:p w14:paraId="2FAB6041">
            <w:pPr>
              <w:pStyle w:val="170"/>
              <w:spacing w:line="283" w:lineRule="auto"/>
              <w:ind w:left="7" w:right="5"/>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09</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107视频监控设备</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1EFB7260">
            <w:pPr>
              <w:pStyle w:val="170"/>
              <w:rPr>
                <w:rFonts w:ascii="宋体" w:hAnsi="宋体" w:cs="宋体"/>
                <w:color w:val="auto"/>
                <w:sz w:val="20"/>
                <w:szCs w:val="20"/>
                <w:highlight w:val="none"/>
              </w:rPr>
            </w:pPr>
          </w:p>
          <w:p w14:paraId="0B94590D">
            <w:pPr>
              <w:pStyle w:val="170"/>
              <w:rPr>
                <w:rFonts w:ascii="宋体" w:hAnsi="宋体" w:cs="宋体"/>
                <w:color w:val="auto"/>
                <w:sz w:val="20"/>
                <w:szCs w:val="20"/>
                <w:highlight w:val="none"/>
              </w:rPr>
            </w:pPr>
          </w:p>
          <w:p w14:paraId="4F860C8B">
            <w:pPr>
              <w:pStyle w:val="170"/>
              <w:spacing w:before="10"/>
              <w:rPr>
                <w:rFonts w:ascii="宋体" w:hAnsi="宋体" w:cs="宋体"/>
                <w:color w:val="auto"/>
                <w:sz w:val="21"/>
                <w:szCs w:val="21"/>
                <w:highlight w:val="none"/>
              </w:rPr>
            </w:pPr>
          </w:p>
          <w:p w14:paraId="74475823">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监视器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1A8B5DA2">
            <w:pPr>
              <w:pStyle w:val="170"/>
              <w:spacing w:before="28" w:line="283" w:lineRule="auto"/>
              <w:ind w:left="7" w:right="5"/>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以射频信号为主要信号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平板</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24850</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2"/>
                <w:w w:val="99"/>
                <w:sz w:val="20"/>
                <w:szCs w:val="20"/>
                <w:highlight w:val="none"/>
                <w:lang w:eastAsia="zh-CN"/>
              </w:rPr>
              <w:t>以数字信号为主要信号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计算</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显示</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1853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exact"/>
        </w:trPr>
        <w:tc>
          <w:tcPr>
            <w:tcW w:w="646" w:type="dxa"/>
            <w:tcBorders>
              <w:top w:val="single" w:color="auto" w:sz="4" w:space="0"/>
              <w:left w:val="single" w:color="auto" w:sz="4" w:space="0"/>
              <w:bottom w:val="single" w:color="auto" w:sz="4" w:space="0"/>
              <w:right w:val="single" w:color="auto" w:sz="4" w:space="0"/>
            </w:tcBorders>
            <w:noWrap w:val="0"/>
            <w:vAlign w:val="top"/>
          </w:tcPr>
          <w:p w14:paraId="21CDBC88">
            <w:pPr>
              <w:pStyle w:val="170"/>
              <w:spacing w:before="10"/>
              <w:rPr>
                <w:rFonts w:ascii="宋体" w:hAnsi="宋体" w:cs="宋体"/>
                <w:color w:val="auto"/>
                <w:sz w:val="17"/>
                <w:szCs w:val="17"/>
                <w:highlight w:val="none"/>
                <w:lang w:eastAsia="zh-CN"/>
              </w:rPr>
            </w:pPr>
          </w:p>
          <w:p w14:paraId="7AC24DC3">
            <w:pPr>
              <w:pStyle w:val="17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4</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3B0CA336">
            <w:pPr>
              <w:pStyle w:val="170"/>
              <w:spacing w:before="76"/>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A03</w:t>
            </w:r>
            <w:r>
              <w:rPr>
                <w:rFonts w:hint="eastAsia" w:ascii="宋体" w:hAnsi="宋体" w:cs="宋体"/>
                <w:color w:val="auto"/>
                <w:w w:val="99"/>
                <w:sz w:val="20"/>
                <w:szCs w:val="20"/>
                <w:highlight w:val="none"/>
              </w:rPr>
              <w:t>12</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0饮食炊事机械</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26D2BC4D">
            <w:pPr>
              <w:pStyle w:val="170"/>
              <w:spacing w:before="10"/>
              <w:rPr>
                <w:rFonts w:ascii="宋体" w:hAnsi="宋体" w:cs="宋体"/>
                <w:color w:val="auto"/>
                <w:sz w:val="17"/>
                <w:szCs w:val="17"/>
                <w:highlight w:val="none"/>
              </w:rPr>
            </w:pPr>
          </w:p>
          <w:p w14:paraId="3ACA69A7">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商用燃</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灶具</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2C168B7A">
            <w:pPr>
              <w:rPr>
                <w:rFonts w:ascii="Calibri" w:hAnsi="Calibri"/>
                <w:color w:val="auto"/>
                <w:sz w:val="22"/>
                <w:szCs w:val="22"/>
                <w:highlight w:val="none"/>
                <w:lang w:eastAsia="en-US"/>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9FF0122">
            <w:pPr>
              <w:pStyle w:val="170"/>
              <w:spacing w:before="76"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《商用燃气灶具能效限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53</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10FF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646" w:type="dxa"/>
            <w:vMerge w:val="restart"/>
            <w:tcBorders>
              <w:top w:val="single" w:color="auto" w:sz="4" w:space="0"/>
              <w:left w:val="single" w:color="auto" w:sz="4" w:space="0"/>
              <w:bottom w:val="single" w:color="auto" w:sz="4" w:space="0"/>
              <w:right w:val="single" w:color="auto" w:sz="4" w:space="0"/>
            </w:tcBorders>
            <w:noWrap w:val="0"/>
            <w:vAlign w:val="top"/>
          </w:tcPr>
          <w:p w14:paraId="38BFBBE8">
            <w:pPr>
              <w:pStyle w:val="170"/>
              <w:rPr>
                <w:rFonts w:ascii="宋体" w:hAnsi="宋体" w:cs="宋体"/>
                <w:color w:val="auto"/>
                <w:sz w:val="20"/>
                <w:szCs w:val="20"/>
                <w:highlight w:val="none"/>
                <w:lang w:eastAsia="zh-CN"/>
              </w:rPr>
            </w:pPr>
          </w:p>
          <w:p w14:paraId="36FC5BEF">
            <w:pPr>
              <w:pStyle w:val="170"/>
              <w:rPr>
                <w:rFonts w:ascii="宋体" w:hAnsi="宋体" w:cs="宋体"/>
                <w:color w:val="auto"/>
                <w:sz w:val="20"/>
                <w:szCs w:val="20"/>
                <w:highlight w:val="none"/>
                <w:lang w:eastAsia="zh-CN"/>
              </w:rPr>
            </w:pPr>
          </w:p>
          <w:p w14:paraId="311E19D3">
            <w:pPr>
              <w:pStyle w:val="170"/>
              <w:rPr>
                <w:rFonts w:ascii="宋体" w:hAnsi="宋体" w:cs="宋体"/>
                <w:color w:val="auto"/>
                <w:sz w:val="20"/>
                <w:szCs w:val="20"/>
                <w:highlight w:val="none"/>
                <w:lang w:eastAsia="zh-CN"/>
              </w:rPr>
            </w:pPr>
          </w:p>
          <w:p w14:paraId="3072D566">
            <w:pPr>
              <w:pStyle w:val="170"/>
              <w:spacing w:before="1"/>
              <w:rPr>
                <w:rFonts w:ascii="宋体" w:hAnsi="宋体" w:cs="宋体"/>
                <w:color w:val="auto"/>
                <w:sz w:val="29"/>
                <w:szCs w:val="29"/>
                <w:highlight w:val="none"/>
                <w:lang w:eastAsia="zh-CN"/>
              </w:rPr>
            </w:pPr>
          </w:p>
          <w:p w14:paraId="2F9B3585">
            <w:pPr>
              <w:pStyle w:val="17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5</w:t>
            </w:r>
          </w:p>
        </w:tc>
        <w:tc>
          <w:tcPr>
            <w:tcW w:w="1094" w:type="dxa"/>
            <w:vMerge w:val="restart"/>
            <w:tcBorders>
              <w:top w:val="single" w:color="auto" w:sz="4" w:space="0"/>
              <w:left w:val="single" w:color="auto" w:sz="4" w:space="0"/>
              <w:bottom w:val="single" w:color="auto" w:sz="4" w:space="0"/>
              <w:right w:val="single" w:color="auto" w:sz="4" w:space="0"/>
            </w:tcBorders>
            <w:noWrap w:val="0"/>
            <w:vAlign w:val="top"/>
          </w:tcPr>
          <w:p w14:paraId="1E14AF4D">
            <w:pPr>
              <w:pStyle w:val="170"/>
              <w:rPr>
                <w:rFonts w:ascii="宋体" w:hAnsi="宋体" w:cs="宋体"/>
                <w:color w:val="auto"/>
                <w:sz w:val="20"/>
                <w:szCs w:val="20"/>
                <w:highlight w:val="none"/>
              </w:rPr>
            </w:pPr>
          </w:p>
          <w:p w14:paraId="78F9FCC9">
            <w:pPr>
              <w:pStyle w:val="170"/>
              <w:rPr>
                <w:rFonts w:ascii="宋体" w:hAnsi="宋体" w:cs="宋体"/>
                <w:color w:val="auto"/>
                <w:sz w:val="20"/>
                <w:szCs w:val="20"/>
                <w:highlight w:val="none"/>
              </w:rPr>
            </w:pPr>
          </w:p>
          <w:p w14:paraId="68072760">
            <w:pPr>
              <w:pStyle w:val="170"/>
              <w:spacing w:before="9"/>
              <w:rPr>
                <w:rFonts w:ascii="宋体" w:hAnsi="宋体" w:cs="宋体"/>
                <w:color w:val="auto"/>
                <w:sz w:val="17"/>
                <w:szCs w:val="17"/>
                <w:highlight w:val="none"/>
              </w:rPr>
            </w:pPr>
          </w:p>
          <w:p w14:paraId="3B9BB9FC">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A060</w:t>
            </w:r>
            <w:r>
              <w:rPr>
                <w:rFonts w:hint="eastAsia" w:ascii="宋体" w:hAnsi="宋体" w:cs="宋体"/>
                <w:color w:val="auto"/>
                <w:w w:val="99"/>
                <w:sz w:val="20"/>
                <w:szCs w:val="20"/>
                <w:highlight w:val="none"/>
              </w:rPr>
              <w:t>805便器</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1B67F915">
            <w:pPr>
              <w:pStyle w:val="170"/>
              <w:spacing w:before="5"/>
              <w:rPr>
                <w:rFonts w:ascii="宋体" w:hAnsi="宋体" w:cs="宋体"/>
                <w:color w:val="auto"/>
                <w:sz w:val="21"/>
                <w:szCs w:val="21"/>
                <w:highlight w:val="none"/>
              </w:rPr>
            </w:pPr>
          </w:p>
          <w:p w14:paraId="5BBDFD76">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坐便器</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036A48C1">
            <w:pPr>
              <w:rPr>
                <w:rFonts w:ascii="Calibri" w:hAnsi="Calibri"/>
                <w:color w:val="auto"/>
                <w:sz w:val="22"/>
                <w:szCs w:val="22"/>
                <w:highlight w:val="none"/>
                <w:lang w:eastAsia="en-US"/>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D6206C0">
            <w:pPr>
              <w:pStyle w:val="170"/>
              <w:spacing w:before="124"/>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《坐便</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水效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水</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57CAA371">
            <w:pPr>
              <w:pStyle w:val="17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02</w:t>
            </w:r>
            <w:r>
              <w:rPr>
                <w:rFonts w:hint="eastAsia" w:ascii="宋体" w:hAnsi="宋体" w:cs="宋体"/>
                <w:color w:val="auto"/>
                <w:w w:val="99"/>
                <w:sz w:val="20"/>
                <w:szCs w:val="20"/>
                <w:highlight w:val="none"/>
              </w:rPr>
              <w:t>）</w:t>
            </w:r>
          </w:p>
        </w:tc>
      </w:tr>
      <w:tr w14:paraId="7238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14:paraId="73B1AD53">
            <w:pPr>
              <w:widowControl/>
              <w:rPr>
                <w:rFonts w:ascii="宋体" w:hAnsi="宋体" w:cs="宋体"/>
                <w:color w:val="auto"/>
                <w:sz w:val="20"/>
                <w:szCs w:val="20"/>
                <w:highlight w:val="none"/>
                <w:lang w:eastAsia="en-US"/>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438DBED6">
            <w:pPr>
              <w:widowControl/>
              <w:rPr>
                <w:rFonts w:ascii="宋体" w:hAnsi="宋体" w:cs="宋体"/>
                <w:color w:val="auto"/>
                <w:sz w:val="20"/>
                <w:szCs w:val="20"/>
                <w:highlight w:val="none"/>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EFF3DE3">
            <w:pPr>
              <w:pStyle w:val="170"/>
              <w:spacing w:before="5"/>
              <w:rPr>
                <w:rFonts w:ascii="宋体" w:hAnsi="宋体" w:cs="宋体"/>
                <w:color w:val="auto"/>
                <w:sz w:val="21"/>
                <w:szCs w:val="21"/>
                <w:highlight w:val="none"/>
              </w:rPr>
            </w:pPr>
          </w:p>
          <w:p w14:paraId="0875C546">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蹲便器</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601A194C">
            <w:pPr>
              <w:rPr>
                <w:rFonts w:ascii="Calibri" w:hAnsi="Calibri"/>
                <w:color w:val="auto"/>
                <w:sz w:val="22"/>
                <w:szCs w:val="22"/>
                <w:highlight w:val="none"/>
                <w:lang w:eastAsia="en-US"/>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4CDEBF9A">
            <w:pPr>
              <w:pStyle w:val="170"/>
              <w:spacing w:before="12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《蹲便器用水效率限定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14:paraId="66D5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14:paraId="391FFD70">
            <w:pPr>
              <w:widowControl/>
              <w:rPr>
                <w:rFonts w:ascii="宋体" w:hAnsi="宋体" w:cs="宋体"/>
                <w:color w:val="auto"/>
                <w:sz w:val="20"/>
                <w:szCs w:val="20"/>
                <w:highlight w:val="none"/>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4F01D99A">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ED3C794">
            <w:pPr>
              <w:pStyle w:val="170"/>
              <w:spacing w:before="5"/>
              <w:rPr>
                <w:rFonts w:ascii="宋体" w:hAnsi="宋体" w:cs="宋体"/>
                <w:color w:val="auto"/>
                <w:sz w:val="21"/>
                <w:szCs w:val="21"/>
                <w:highlight w:val="none"/>
                <w:lang w:eastAsia="zh-CN"/>
              </w:rPr>
            </w:pPr>
          </w:p>
          <w:p w14:paraId="48081982">
            <w:pPr>
              <w:pStyle w:val="170"/>
              <w:ind w:left="7"/>
              <w:rPr>
                <w:rFonts w:ascii="宋体" w:hAnsi="宋体" w:cs="宋体"/>
                <w:color w:val="auto"/>
                <w:sz w:val="20"/>
                <w:szCs w:val="20"/>
                <w:highlight w:val="none"/>
              </w:rPr>
            </w:pPr>
            <w:r>
              <w:rPr>
                <w:rFonts w:hint="eastAsia" w:ascii="宋体" w:hAnsi="宋体" w:cs="宋体"/>
                <w:color w:val="auto"/>
                <w:w w:val="99"/>
                <w:sz w:val="20"/>
                <w:szCs w:val="20"/>
                <w:highlight w:val="none"/>
              </w:rPr>
              <w:t>小便器</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5A5D2625">
            <w:pPr>
              <w:rPr>
                <w:rFonts w:ascii="Calibri" w:hAnsi="Calibri"/>
                <w:color w:val="auto"/>
                <w:sz w:val="22"/>
                <w:szCs w:val="22"/>
                <w:highlight w:val="none"/>
                <w:lang w:eastAsia="en-US"/>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25CA877">
            <w:pPr>
              <w:pStyle w:val="170"/>
              <w:spacing w:before="12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《小便器用水效率限定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14:paraId="5EA32C70">
        <w:tblPrEx>
          <w:tblCellMar>
            <w:top w:w="0" w:type="dxa"/>
            <w:left w:w="0" w:type="dxa"/>
            <w:bottom w:w="0" w:type="dxa"/>
            <w:right w:w="0" w:type="dxa"/>
          </w:tblCellMar>
        </w:tblPrEx>
        <w:trPr>
          <w:trHeight w:val="943" w:hRule="exact"/>
        </w:trPr>
        <w:tc>
          <w:tcPr>
            <w:tcW w:w="646" w:type="dxa"/>
            <w:tcBorders>
              <w:top w:val="single" w:color="000000" w:sz="4" w:space="0"/>
              <w:left w:val="single" w:color="000000" w:sz="4" w:space="0"/>
              <w:bottom w:val="single" w:color="000000" w:sz="4" w:space="0"/>
              <w:right w:val="single" w:color="000000" w:sz="4" w:space="0"/>
            </w:tcBorders>
            <w:noWrap w:val="0"/>
            <w:vAlign w:val="top"/>
          </w:tcPr>
          <w:p w14:paraId="71AF169B">
            <w:pPr>
              <w:pStyle w:val="170"/>
              <w:spacing w:before="8"/>
              <w:rPr>
                <w:rFonts w:ascii="宋体" w:hAnsi="宋体" w:cs="宋体"/>
                <w:color w:val="auto"/>
                <w:sz w:val="23"/>
                <w:szCs w:val="23"/>
                <w:highlight w:val="none"/>
              </w:rPr>
            </w:pPr>
          </w:p>
          <w:p w14:paraId="0CC179AB">
            <w:pPr>
              <w:pStyle w:val="170"/>
              <w:ind w:left="182"/>
              <w:rPr>
                <w:rFonts w:ascii="宋体" w:hAnsi="宋体" w:cs="宋体"/>
                <w:color w:val="auto"/>
                <w:sz w:val="20"/>
                <w:szCs w:val="20"/>
                <w:highlight w:val="none"/>
              </w:rPr>
            </w:pPr>
            <w:r>
              <w:rPr>
                <w:rFonts w:hint="eastAsia" w:ascii="宋体"/>
                <w:color w:val="auto"/>
                <w:sz w:val="20"/>
                <w:highlight w:val="none"/>
              </w:rPr>
              <w:t>16</w:t>
            </w:r>
          </w:p>
        </w:tc>
        <w:tc>
          <w:tcPr>
            <w:tcW w:w="1094" w:type="dxa"/>
            <w:tcBorders>
              <w:top w:val="single" w:color="000000" w:sz="4" w:space="0"/>
              <w:left w:val="single" w:color="000000" w:sz="4" w:space="0"/>
              <w:bottom w:val="single" w:color="000000" w:sz="4" w:space="0"/>
              <w:right w:val="single" w:color="000000" w:sz="4" w:space="0"/>
            </w:tcBorders>
            <w:noWrap w:val="0"/>
            <w:vAlign w:val="top"/>
          </w:tcPr>
          <w:p w14:paraId="0D08CC51">
            <w:pPr>
              <w:pStyle w:val="170"/>
              <w:spacing w:before="153"/>
              <w:ind w:left="7"/>
              <w:rPr>
                <w:rFonts w:ascii="宋体" w:hAnsi="宋体" w:cs="宋体"/>
                <w:color w:val="auto"/>
                <w:sz w:val="20"/>
                <w:szCs w:val="20"/>
                <w:highlight w:val="none"/>
              </w:rPr>
            </w:pPr>
            <w:r>
              <w:rPr>
                <w:rFonts w:hint="eastAsia" w:ascii="宋体" w:hAnsi="宋体" w:cs="宋体"/>
                <w:color w:val="auto"/>
                <w:sz w:val="20"/>
                <w:szCs w:val="20"/>
                <w:highlight w:val="none"/>
              </w:rPr>
              <w:t>★A060806水</w:t>
            </w:r>
            <w:r>
              <w:rPr>
                <w:rFonts w:hint="eastAsia" w:ascii="宋体" w:hAnsi="宋体" w:cs="宋体"/>
                <w:color w:val="auto"/>
                <w:w w:val="99"/>
                <w:sz w:val="20"/>
                <w:szCs w:val="20"/>
                <w:highlight w:val="none"/>
              </w:rPr>
              <w:t>嘴</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F2CF4EE">
            <w:pPr>
              <w:rPr>
                <w:rFonts w:ascii="Calibri" w:hAnsi="Calibri"/>
                <w:color w:val="auto"/>
                <w:sz w:val="22"/>
                <w:szCs w:val="22"/>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F1501A5">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98A2B10">
            <w:pPr>
              <w:pStyle w:val="170"/>
              <w:spacing w:before="153"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14:paraId="641A7371">
        <w:tblPrEx>
          <w:tblCellMar>
            <w:top w:w="0" w:type="dxa"/>
            <w:left w:w="0" w:type="dxa"/>
            <w:bottom w:w="0" w:type="dxa"/>
            <w:right w:w="0" w:type="dxa"/>
          </w:tblCellMar>
        </w:tblPrEx>
        <w:trPr>
          <w:trHeight w:val="1050" w:hRule="exact"/>
        </w:trPr>
        <w:tc>
          <w:tcPr>
            <w:tcW w:w="646" w:type="dxa"/>
            <w:tcBorders>
              <w:top w:val="single" w:color="000000" w:sz="4" w:space="0"/>
              <w:left w:val="single" w:color="000000" w:sz="4" w:space="0"/>
              <w:bottom w:val="single" w:color="000000" w:sz="4" w:space="0"/>
              <w:right w:val="single" w:color="000000" w:sz="4" w:space="0"/>
            </w:tcBorders>
            <w:noWrap w:val="0"/>
            <w:vAlign w:val="top"/>
          </w:tcPr>
          <w:p w14:paraId="58812DA8">
            <w:pPr>
              <w:pStyle w:val="170"/>
              <w:spacing w:before="6"/>
              <w:rPr>
                <w:rFonts w:ascii="宋体" w:hAnsi="宋体" w:cs="宋体"/>
                <w:color w:val="auto"/>
                <w:sz w:val="20"/>
                <w:szCs w:val="20"/>
                <w:highlight w:val="none"/>
                <w:lang w:eastAsia="zh-CN"/>
              </w:rPr>
            </w:pPr>
          </w:p>
          <w:p w14:paraId="6ECB6CD0">
            <w:pPr>
              <w:pStyle w:val="170"/>
              <w:ind w:left="182"/>
              <w:rPr>
                <w:rFonts w:ascii="宋体" w:hAnsi="宋体" w:cs="宋体"/>
                <w:color w:val="auto"/>
                <w:sz w:val="20"/>
                <w:szCs w:val="20"/>
                <w:highlight w:val="none"/>
              </w:rPr>
            </w:pPr>
            <w:r>
              <w:rPr>
                <w:rFonts w:hint="eastAsia" w:ascii="宋体"/>
                <w:color w:val="auto"/>
                <w:sz w:val="20"/>
                <w:highlight w:val="none"/>
              </w:rPr>
              <w:t>17</w:t>
            </w:r>
          </w:p>
        </w:tc>
        <w:tc>
          <w:tcPr>
            <w:tcW w:w="1094" w:type="dxa"/>
            <w:tcBorders>
              <w:top w:val="single" w:color="000000" w:sz="4" w:space="0"/>
              <w:left w:val="single" w:color="000000" w:sz="4" w:space="0"/>
              <w:bottom w:val="single" w:color="000000" w:sz="4" w:space="0"/>
              <w:right w:val="single" w:color="000000" w:sz="4" w:space="0"/>
            </w:tcBorders>
            <w:noWrap w:val="0"/>
            <w:vAlign w:val="top"/>
          </w:tcPr>
          <w:p w14:paraId="56763CDC">
            <w:pPr>
              <w:pStyle w:val="170"/>
              <w:spacing w:before="112"/>
              <w:ind w:left="7"/>
              <w:rPr>
                <w:rFonts w:ascii="宋体" w:hAnsi="宋体" w:cs="宋体"/>
                <w:color w:val="auto"/>
                <w:sz w:val="20"/>
                <w:szCs w:val="20"/>
                <w:highlight w:val="none"/>
              </w:rPr>
            </w:pPr>
            <w:r>
              <w:rPr>
                <w:rFonts w:hint="eastAsia" w:ascii="宋体" w:hAnsi="宋体" w:cs="宋体"/>
                <w:color w:val="auto"/>
                <w:sz w:val="20"/>
                <w:szCs w:val="20"/>
                <w:highlight w:val="none"/>
              </w:rPr>
              <w:t>A060807便器冲洗阀</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C4A555E">
            <w:pPr>
              <w:rPr>
                <w:rFonts w:ascii="Calibri" w:hAnsi="Calibri"/>
                <w:color w:val="auto"/>
                <w:sz w:val="22"/>
                <w:szCs w:val="22"/>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BC2F779">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4847E99">
            <w:pPr>
              <w:pStyle w:val="170"/>
              <w:spacing w:before="11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14:paraId="7644CBE7">
        <w:tblPrEx>
          <w:tblCellMar>
            <w:top w:w="0" w:type="dxa"/>
            <w:left w:w="0" w:type="dxa"/>
            <w:bottom w:w="0" w:type="dxa"/>
            <w:right w:w="0" w:type="dxa"/>
          </w:tblCellMar>
        </w:tblPrEx>
        <w:trPr>
          <w:trHeight w:val="685" w:hRule="exact"/>
        </w:trPr>
        <w:tc>
          <w:tcPr>
            <w:tcW w:w="646" w:type="dxa"/>
            <w:tcBorders>
              <w:top w:val="single" w:color="000000" w:sz="4" w:space="0"/>
              <w:left w:val="single" w:color="000000" w:sz="4" w:space="0"/>
              <w:bottom w:val="single" w:color="000000" w:sz="4" w:space="0"/>
              <w:right w:val="single" w:color="000000" w:sz="4" w:space="0"/>
            </w:tcBorders>
            <w:noWrap w:val="0"/>
            <w:vAlign w:val="top"/>
          </w:tcPr>
          <w:p w14:paraId="672BA4F9">
            <w:pPr>
              <w:pStyle w:val="170"/>
              <w:spacing w:before="12"/>
              <w:rPr>
                <w:rFonts w:ascii="宋体" w:hAnsi="宋体" w:cs="宋体"/>
                <w:color w:val="auto"/>
                <w:sz w:val="21"/>
                <w:szCs w:val="21"/>
                <w:highlight w:val="none"/>
                <w:lang w:eastAsia="zh-CN"/>
              </w:rPr>
            </w:pPr>
          </w:p>
          <w:p w14:paraId="08D5E0BC">
            <w:pPr>
              <w:pStyle w:val="170"/>
              <w:ind w:left="182"/>
              <w:rPr>
                <w:rFonts w:ascii="宋体" w:hAnsi="宋体" w:cs="宋体"/>
                <w:color w:val="auto"/>
                <w:sz w:val="20"/>
                <w:szCs w:val="20"/>
                <w:highlight w:val="none"/>
              </w:rPr>
            </w:pPr>
            <w:r>
              <w:rPr>
                <w:rFonts w:hint="eastAsia" w:ascii="宋体"/>
                <w:color w:val="auto"/>
                <w:sz w:val="20"/>
                <w:highlight w:val="none"/>
              </w:rPr>
              <w:t>18</w:t>
            </w:r>
          </w:p>
        </w:tc>
        <w:tc>
          <w:tcPr>
            <w:tcW w:w="1094" w:type="dxa"/>
            <w:tcBorders>
              <w:top w:val="single" w:color="000000" w:sz="4" w:space="0"/>
              <w:left w:val="single" w:color="000000" w:sz="4" w:space="0"/>
              <w:bottom w:val="single" w:color="000000" w:sz="4" w:space="0"/>
              <w:right w:val="single" w:color="000000" w:sz="4" w:space="0"/>
            </w:tcBorders>
            <w:noWrap w:val="0"/>
            <w:vAlign w:val="top"/>
          </w:tcPr>
          <w:p w14:paraId="3EA3A75E">
            <w:pPr>
              <w:pStyle w:val="170"/>
              <w:spacing w:before="131"/>
              <w:ind w:left="7"/>
              <w:rPr>
                <w:rFonts w:ascii="宋体" w:hAnsi="宋体" w:cs="宋体"/>
                <w:color w:val="auto"/>
                <w:sz w:val="20"/>
                <w:szCs w:val="20"/>
                <w:highlight w:val="none"/>
              </w:rPr>
            </w:pPr>
            <w:r>
              <w:rPr>
                <w:rFonts w:hint="eastAsia" w:ascii="宋体" w:hAnsi="宋体" w:cs="宋体"/>
                <w:color w:val="auto"/>
                <w:sz w:val="20"/>
                <w:szCs w:val="20"/>
                <w:highlight w:val="none"/>
              </w:rPr>
              <w:t>A060810淋浴</w:t>
            </w:r>
            <w:r>
              <w:rPr>
                <w:rFonts w:hint="eastAsia" w:ascii="宋体" w:hAnsi="宋体" w:cs="宋体"/>
                <w:color w:val="auto"/>
                <w:w w:val="99"/>
                <w:sz w:val="20"/>
                <w:szCs w:val="20"/>
                <w:highlight w:val="none"/>
              </w:rPr>
              <w:t>器</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3903A17">
            <w:pPr>
              <w:rPr>
                <w:rFonts w:ascii="Calibri" w:hAnsi="Calibri"/>
                <w:color w:val="auto"/>
                <w:sz w:val="22"/>
                <w:szCs w:val="22"/>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6AC3AD7">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668E92C">
            <w:pPr>
              <w:pStyle w:val="170"/>
              <w:spacing w:before="131"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14:paraId="63AF9F3C">
      <w:pPr>
        <w:spacing w:after="120" w:line="360" w:lineRule="auto"/>
        <w:rPr>
          <w:rFonts w:hint="eastAsia" w:ascii="宋体" w:hAnsi="宋体"/>
          <w:color w:val="auto"/>
          <w:spacing w:val="-3"/>
          <w:szCs w:val="21"/>
          <w:highlight w:val="none"/>
        </w:rPr>
      </w:pPr>
    </w:p>
    <w:p w14:paraId="5877F052">
      <w:pPr>
        <w:spacing w:after="120" w:line="360" w:lineRule="auto"/>
        <w:rPr>
          <w:rFonts w:hint="eastAsia" w:ascii="宋体" w:hAnsi="宋体" w:eastAsia="宋体"/>
          <w:color w:val="auto"/>
          <w:szCs w:val="21"/>
          <w:highlight w:val="none"/>
          <w:lang w:eastAsia="zh-CN"/>
        </w:rPr>
      </w:pPr>
      <w:r>
        <w:rPr>
          <w:rFonts w:hint="eastAsia" w:ascii="宋体" w:hAnsi="宋体"/>
          <w:color w:val="auto"/>
          <w:spacing w:val="-3"/>
          <w:szCs w:val="21"/>
          <w:highlight w:val="none"/>
        </w:rPr>
        <w:t>注：1.节能产品认证应依据相关国家标准的最新版本，依据国家标准中二级能效（水效）指标。</w:t>
      </w:r>
    </w:p>
    <w:p w14:paraId="163F99D6">
      <w:pPr>
        <w:spacing w:after="120" w:line="360" w:lineRule="auto"/>
        <w:ind w:firstLine="465"/>
        <w:rPr>
          <w:b/>
          <w:bCs/>
          <w:color w:val="auto"/>
          <w:sz w:val="24"/>
          <w:szCs w:val="24"/>
          <w:highlight w:val="none"/>
        </w:rPr>
        <w:sectPr>
          <w:headerReference r:id="rId17" w:type="first"/>
          <w:headerReference r:id="rId16" w:type="default"/>
          <w:pgSz w:w="11906" w:h="16838"/>
          <w:pgMar w:top="1020" w:right="1133" w:bottom="1020" w:left="1418" w:header="851" w:footer="992" w:gutter="0"/>
          <w:cols w:space="720" w:num="1"/>
          <w:titlePg/>
          <w:docGrid w:linePitch="312" w:charSpace="0"/>
        </w:sectPr>
      </w:pPr>
      <w:r>
        <w:rPr>
          <w:rFonts w:hint="eastAsia" w:ascii="宋体" w:hAnsi="宋体"/>
          <w:b/>
          <w:bCs/>
          <w:color w:val="auto"/>
          <w:sz w:val="24"/>
          <w:szCs w:val="24"/>
          <w:highlight w:val="none"/>
        </w:rPr>
        <w:t>2.以“★”标注的为政府强制采购产品。</w:t>
      </w:r>
    </w:p>
    <w:p w14:paraId="359A4D17">
      <w:pPr>
        <w:spacing w:line="528" w:lineRule="exact"/>
        <w:jc w:val="left"/>
        <w:rPr>
          <w:rFonts w:hint="eastAsia"/>
          <w:color w:val="auto"/>
          <w:sz w:val="28"/>
          <w:szCs w:val="28"/>
          <w:highlight w:val="none"/>
        </w:rPr>
      </w:pPr>
      <w:r>
        <w:rPr>
          <w:rFonts w:hint="eastAsia"/>
          <w:color w:val="auto"/>
          <w:sz w:val="28"/>
          <w:szCs w:val="28"/>
          <w:highlight w:val="none"/>
        </w:rPr>
        <w:t>附件4：</w:t>
      </w:r>
    </w:p>
    <w:p w14:paraId="3BC2DC11">
      <w:pPr>
        <w:spacing w:line="528" w:lineRule="exact"/>
        <w:ind w:firstLine="280" w:firstLineChars="100"/>
        <w:jc w:val="center"/>
        <w:outlineLvl w:val="0"/>
        <w:rPr>
          <w:rFonts w:hint="eastAsia" w:ascii="Times New Roman" w:hAnsi="Times New Roman" w:eastAsia="宋体" w:cs="Times New Roman"/>
          <w:color w:val="auto"/>
          <w:sz w:val="28"/>
          <w:szCs w:val="28"/>
          <w:highlight w:val="none"/>
        </w:rPr>
      </w:pPr>
      <w:bookmarkStart w:id="26" w:name="_Toc954"/>
      <w:r>
        <w:rPr>
          <w:rFonts w:hint="eastAsia" w:ascii="Times New Roman" w:hAnsi="Times New Roman" w:eastAsia="宋体" w:cs="Times New Roman"/>
          <w:color w:val="auto"/>
          <w:sz w:val="28"/>
          <w:szCs w:val="28"/>
          <w:highlight w:val="none"/>
        </w:rPr>
        <w:t>环境标志产品政府采购品目清单</w:t>
      </w:r>
      <w:bookmarkEnd w:id="26"/>
    </w:p>
    <w:p w14:paraId="53DC865A">
      <w:pPr>
        <w:spacing w:before="41"/>
        <w:rPr>
          <w:color w:val="auto"/>
          <w:highlight w:val="none"/>
        </w:rPr>
      </w:pPr>
    </w:p>
    <w:p w14:paraId="494ED3EC">
      <w:pPr>
        <w:spacing w:before="41"/>
        <w:rPr>
          <w:color w:val="auto"/>
          <w:highlight w:val="none"/>
        </w:rPr>
      </w:pPr>
    </w:p>
    <w:tbl>
      <w:tblPr>
        <w:tblStyle w:val="183"/>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1424"/>
        <w:gridCol w:w="2468"/>
        <w:gridCol w:w="2076"/>
        <w:gridCol w:w="3272"/>
      </w:tblGrid>
      <w:tr w14:paraId="09012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38" w:type="dxa"/>
            <w:vAlign w:val="top"/>
          </w:tcPr>
          <w:p w14:paraId="5BC3E4C5">
            <w:pPr>
              <w:pStyle w:val="186"/>
              <w:spacing w:before="70" w:line="223" w:lineRule="auto"/>
              <w:ind w:left="129"/>
              <w:rPr>
                <w:color w:val="auto"/>
                <w:highlight w:val="none"/>
              </w:rPr>
            </w:pPr>
            <w:r>
              <w:rPr>
                <w:b/>
                <w:bCs/>
                <w:color w:val="auto"/>
                <w:spacing w:val="-12"/>
                <w:highlight w:val="none"/>
              </w:rPr>
              <w:t>品目</w:t>
            </w:r>
          </w:p>
          <w:p w14:paraId="4855E992">
            <w:pPr>
              <w:pStyle w:val="186"/>
              <w:spacing w:before="91" w:line="222" w:lineRule="auto"/>
              <w:ind w:left="114"/>
              <w:rPr>
                <w:color w:val="auto"/>
                <w:highlight w:val="none"/>
              </w:rPr>
            </w:pPr>
            <w:r>
              <w:rPr>
                <w:b/>
                <w:bCs/>
                <w:color w:val="auto"/>
                <w:spacing w:val="-4"/>
                <w:highlight w:val="none"/>
              </w:rPr>
              <w:t>序号</w:t>
            </w:r>
          </w:p>
        </w:tc>
        <w:tc>
          <w:tcPr>
            <w:tcW w:w="5968" w:type="dxa"/>
            <w:gridSpan w:val="3"/>
            <w:vAlign w:val="top"/>
          </w:tcPr>
          <w:p w14:paraId="64A1E4FF">
            <w:pPr>
              <w:pStyle w:val="186"/>
              <w:spacing w:before="224" w:line="222" w:lineRule="auto"/>
              <w:ind w:left="3054"/>
              <w:rPr>
                <w:color w:val="auto"/>
                <w:highlight w:val="none"/>
              </w:rPr>
            </w:pPr>
            <w:r>
              <w:rPr>
                <w:b/>
                <w:bCs/>
                <w:color w:val="auto"/>
                <w:spacing w:val="-6"/>
                <w:highlight w:val="none"/>
              </w:rPr>
              <w:t>名称</w:t>
            </w:r>
          </w:p>
        </w:tc>
        <w:tc>
          <w:tcPr>
            <w:tcW w:w="3272" w:type="dxa"/>
            <w:vAlign w:val="top"/>
          </w:tcPr>
          <w:p w14:paraId="39D4C6DD">
            <w:pPr>
              <w:pStyle w:val="186"/>
              <w:spacing w:before="224" w:line="219" w:lineRule="auto"/>
              <w:ind w:left="1325"/>
              <w:rPr>
                <w:color w:val="auto"/>
                <w:highlight w:val="none"/>
              </w:rPr>
            </w:pPr>
            <w:r>
              <w:rPr>
                <w:b/>
                <w:bCs/>
                <w:color w:val="auto"/>
                <w:spacing w:val="-4"/>
                <w:highlight w:val="none"/>
              </w:rPr>
              <w:t>依据的标准</w:t>
            </w:r>
          </w:p>
        </w:tc>
      </w:tr>
      <w:tr w14:paraId="3CACE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38" w:type="dxa"/>
            <w:vMerge w:val="restart"/>
            <w:tcBorders>
              <w:bottom w:val="nil"/>
            </w:tcBorders>
            <w:vAlign w:val="top"/>
          </w:tcPr>
          <w:p w14:paraId="015BBB78">
            <w:pPr>
              <w:pStyle w:val="186"/>
              <w:spacing w:before="66" w:line="242" w:lineRule="auto"/>
              <w:ind w:left="128"/>
              <w:rPr>
                <w:color w:val="auto"/>
                <w:highlight w:val="none"/>
              </w:rPr>
            </w:pPr>
            <w:r>
              <w:rPr>
                <w:color w:val="auto"/>
                <w:highlight w:val="none"/>
              </w:rPr>
              <w:t>1</w:t>
            </w:r>
          </w:p>
        </w:tc>
        <w:tc>
          <w:tcPr>
            <w:tcW w:w="1424" w:type="dxa"/>
            <w:vMerge w:val="restart"/>
            <w:tcBorders>
              <w:bottom w:val="nil"/>
            </w:tcBorders>
            <w:vAlign w:val="top"/>
          </w:tcPr>
          <w:p w14:paraId="5E313ADE">
            <w:pPr>
              <w:pStyle w:val="186"/>
              <w:spacing w:before="65" w:line="323" w:lineRule="auto"/>
              <w:ind w:left="110" w:right="108" w:hanging="8"/>
              <w:rPr>
                <w:color w:val="auto"/>
                <w:highlight w:val="none"/>
              </w:rPr>
            </w:pPr>
            <w:r>
              <w:rPr>
                <w:color w:val="auto"/>
                <w:spacing w:val="3"/>
                <w:highlight w:val="none"/>
              </w:rPr>
              <w:t>A020101</w:t>
            </w:r>
            <w:r>
              <w:rPr>
                <w:color w:val="auto"/>
                <w:spacing w:val="34"/>
                <w:highlight w:val="none"/>
              </w:rPr>
              <w:t xml:space="preserve"> </w:t>
            </w:r>
            <w:r>
              <w:rPr>
                <w:color w:val="auto"/>
                <w:spacing w:val="3"/>
                <w:highlight w:val="none"/>
              </w:rPr>
              <w:t>计算机</w:t>
            </w:r>
            <w:r>
              <w:rPr>
                <w:color w:val="auto"/>
                <w:highlight w:val="none"/>
              </w:rPr>
              <w:t xml:space="preserve"> </w:t>
            </w:r>
            <w:r>
              <w:rPr>
                <w:color w:val="auto"/>
                <w:spacing w:val="-3"/>
                <w:highlight w:val="none"/>
              </w:rPr>
              <w:t>设备</w:t>
            </w:r>
          </w:p>
        </w:tc>
        <w:tc>
          <w:tcPr>
            <w:tcW w:w="2468" w:type="dxa"/>
            <w:vAlign w:val="top"/>
          </w:tcPr>
          <w:p w14:paraId="11490F69">
            <w:pPr>
              <w:pStyle w:val="186"/>
              <w:spacing w:before="66" w:line="220" w:lineRule="auto"/>
              <w:ind w:left="103"/>
              <w:rPr>
                <w:color w:val="auto"/>
                <w:highlight w:val="none"/>
              </w:rPr>
            </w:pPr>
            <w:r>
              <w:rPr>
                <w:color w:val="auto"/>
                <w:spacing w:val="-1"/>
                <w:highlight w:val="none"/>
              </w:rPr>
              <w:t>A02010103</w:t>
            </w:r>
            <w:r>
              <w:rPr>
                <w:color w:val="auto"/>
                <w:spacing w:val="-32"/>
                <w:highlight w:val="none"/>
              </w:rPr>
              <w:t xml:space="preserve"> </w:t>
            </w:r>
            <w:r>
              <w:rPr>
                <w:color w:val="auto"/>
                <w:spacing w:val="-1"/>
                <w:highlight w:val="none"/>
              </w:rPr>
              <w:t>服务器</w:t>
            </w:r>
          </w:p>
        </w:tc>
        <w:tc>
          <w:tcPr>
            <w:tcW w:w="2076" w:type="dxa"/>
            <w:vAlign w:val="top"/>
          </w:tcPr>
          <w:p w14:paraId="5D59EF9F">
            <w:pPr>
              <w:rPr>
                <w:rFonts w:ascii="Arial"/>
                <w:color w:val="auto"/>
                <w:sz w:val="21"/>
                <w:highlight w:val="none"/>
              </w:rPr>
            </w:pPr>
          </w:p>
        </w:tc>
        <w:tc>
          <w:tcPr>
            <w:tcW w:w="3272" w:type="dxa"/>
            <w:vAlign w:val="top"/>
          </w:tcPr>
          <w:p w14:paraId="5B5531B5">
            <w:pPr>
              <w:pStyle w:val="186"/>
              <w:spacing w:before="66" w:line="219" w:lineRule="auto"/>
              <w:ind w:left="109"/>
              <w:rPr>
                <w:color w:val="auto"/>
                <w:highlight w:val="none"/>
              </w:rPr>
            </w:pPr>
            <w:r>
              <w:rPr>
                <w:color w:val="auto"/>
                <w:spacing w:val="-2"/>
                <w:highlight w:val="none"/>
              </w:rPr>
              <w:t>HJ2507</w:t>
            </w:r>
            <w:r>
              <w:rPr>
                <w:color w:val="auto"/>
                <w:spacing w:val="-20"/>
                <w:highlight w:val="none"/>
              </w:rPr>
              <w:t xml:space="preserve"> </w:t>
            </w:r>
            <w:r>
              <w:rPr>
                <w:color w:val="auto"/>
                <w:spacing w:val="-2"/>
                <w:highlight w:val="none"/>
              </w:rPr>
              <w:t>网络服务器</w:t>
            </w:r>
          </w:p>
        </w:tc>
      </w:tr>
      <w:tr w14:paraId="637B0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continue"/>
            <w:tcBorders>
              <w:top w:val="nil"/>
              <w:bottom w:val="nil"/>
            </w:tcBorders>
            <w:vAlign w:val="top"/>
          </w:tcPr>
          <w:p w14:paraId="5FE39271">
            <w:pPr>
              <w:rPr>
                <w:rFonts w:ascii="Arial"/>
                <w:color w:val="auto"/>
                <w:sz w:val="21"/>
                <w:highlight w:val="none"/>
              </w:rPr>
            </w:pPr>
          </w:p>
        </w:tc>
        <w:tc>
          <w:tcPr>
            <w:tcW w:w="1424" w:type="dxa"/>
            <w:vMerge w:val="continue"/>
            <w:tcBorders>
              <w:top w:val="nil"/>
              <w:bottom w:val="nil"/>
            </w:tcBorders>
            <w:vAlign w:val="top"/>
          </w:tcPr>
          <w:p w14:paraId="15B734F3">
            <w:pPr>
              <w:rPr>
                <w:rFonts w:ascii="Arial"/>
                <w:color w:val="auto"/>
                <w:sz w:val="21"/>
                <w:highlight w:val="none"/>
              </w:rPr>
            </w:pPr>
          </w:p>
        </w:tc>
        <w:tc>
          <w:tcPr>
            <w:tcW w:w="2468" w:type="dxa"/>
            <w:vAlign w:val="top"/>
          </w:tcPr>
          <w:p w14:paraId="127AF68A">
            <w:pPr>
              <w:pStyle w:val="186"/>
              <w:spacing w:before="65" w:line="219" w:lineRule="auto"/>
              <w:ind w:left="103"/>
              <w:rPr>
                <w:color w:val="auto"/>
                <w:highlight w:val="none"/>
              </w:rPr>
            </w:pPr>
            <w:r>
              <w:rPr>
                <w:color w:val="auto"/>
                <w:spacing w:val="-2"/>
                <w:highlight w:val="none"/>
              </w:rPr>
              <w:t>A02010104</w:t>
            </w:r>
            <w:r>
              <w:rPr>
                <w:color w:val="auto"/>
                <w:spacing w:val="-14"/>
                <w:highlight w:val="none"/>
              </w:rPr>
              <w:t xml:space="preserve"> </w:t>
            </w:r>
            <w:r>
              <w:rPr>
                <w:color w:val="auto"/>
                <w:spacing w:val="-2"/>
                <w:highlight w:val="none"/>
              </w:rPr>
              <w:t>台式计算机</w:t>
            </w:r>
          </w:p>
        </w:tc>
        <w:tc>
          <w:tcPr>
            <w:tcW w:w="2076" w:type="dxa"/>
            <w:vAlign w:val="top"/>
          </w:tcPr>
          <w:p w14:paraId="1DB09A8E">
            <w:pPr>
              <w:rPr>
                <w:rFonts w:ascii="Arial"/>
                <w:color w:val="auto"/>
                <w:sz w:val="21"/>
                <w:highlight w:val="none"/>
              </w:rPr>
            </w:pPr>
          </w:p>
        </w:tc>
        <w:tc>
          <w:tcPr>
            <w:tcW w:w="3272" w:type="dxa"/>
            <w:vAlign w:val="top"/>
          </w:tcPr>
          <w:p w14:paraId="15D1C046">
            <w:pPr>
              <w:pStyle w:val="186"/>
              <w:spacing w:before="64" w:line="219" w:lineRule="auto"/>
              <w:ind w:left="109"/>
              <w:rPr>
                <w:color w:val="auto"/>
                <w:highlight w:val="none"/>
              </w:rPr>
            </w:pPr>
            <w:r>
              <w:rPr>
                <w:color w:val="auto"/>
                <w:spacing w:val="-1"/>
                <w:highlight w:val="none"/>
              </w:rPr>
              <w:t>HJ2536</w:t>
            </w:r>
            <w:r>
              <w:rPr>
                <w:color w:val="auto"/>
                <w:spacing w:val="-28"/>
                <w:highlight w:val="none"/>
              </w:rPr>
              <w:t xml:space="preserve"> </w:t>
            </w:r>
            <w:r>
              <w:rPr>
                <w:color w:val="auto"/>
                <w:spacing w:val="-1"/>
                <w:highlight w:val="none"/>
              </w:rPr>
              <w:t>微型计算机、显示器</w:t>
            </w:r>
          </w:p>
        </w:tc>
      </w:tr>
      <w:tr w14:paraId="6F0F3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continue"/>
            <w:tcBorders>
              <w:top w:val="nil"/>
              <w:bottom w:val="nil"/>
            </w:tcBorders>
            <w:vAlign w:val="top"/>
          </w:tcPr>
          <w:p w14:paraId="3CB5B329">
            <w:pPr>
              <w:rPr>
                <w:rFonts w:ascii="Arial"/>
                <w:color w:val="auto"/>
                <w:sz w:val="21"/>
                <w:highlight w:val="none"/>
              </w:rPr>
            </w:pPr>
          </w:p>
        </w:tc>
        <w:tc>
          <w:tcPr>
            <w:tcW w:w="1424" w:type="dxa"/>
            <w:vMerge w:val="continue"/>
            <w:tcBorders>
              <w:top w:val="nil"/>
              <w:bottom w:val="nil"/>
            </w:tcBorders>
            <w:vAlign w:val="top"/>
          </w:tcPr>
          <w:p w14:paraId="76E47357">
            <w:pPr>
              <w:rPr>
                <w:rFonts w:ascii="Arial"/>
                <w:color w:val="auto"/>
                <w:sz w:val="21"/>
                <w:highlight w:val="none"/>
              </w:rPr>
            </w:pPr>
          </w:p>
        </w:tc>
        <w:tc>
          <w:tcPr>
            <w:tcW w:w="2468" w:type="dxa"/>
            <w:vAlign w:val="top"/>
          </w:tcPr>
          <w:p w14:paraId="09C44C22">
            <w:pPr>
              <w:pStyle w:val="186"/>
              <w:spacing w:before="64" w:line="219" w:lineRule="auto"/>
              <w:ind w:left="103"/>
              <w:rPr>
                <w:color w:val="auto"/>
                <w:highlight w:val="none"/>
              </w:rPr>
            </w:pPr>
            <w:r>
              <w:rPr>
                <w:color w:val="auto"/>
                <w:spacing w:val="-1"/>
                <w:highlight w:val="none"/>
              </w:rPr>
              <w:t>A02010105</w:t>
            </w:r>
            <w:r>
              <w:rPr>
                <w:color w:val="auto"/>
                <w:spacing w:val="-30"/>
                <w:highlight w:val="none"/>
              </w:rPr>
              <w:t xml:space="preserve"> </w:t>
            </w:r>
            <w:r>
              <w:rPr>
                <w:color w:val="auto"/>
                <w:spacing w:val="-1"/>
                <w:highlight w:val="none"/>
              </w:rPr>
              <w:t>便携式计算机</w:t>
            </w:r>
          </w:p>
        </w:tc>
        <w:tc>
          <w:tcPr>
            <w:tcW w:w="2076" w:type="dxa"/>
            <w:vAlign w:val="top"/>
          </w:tcPr>
          <w:p w14:paraId="2284528C">
            <w:pPr>
              <w:rPr>
                <w:rFonts w:ascii="Arial"/>
                <w:color w:val="auto"/>
                <w:sz w:val="21"/>
                <w:highlight w:val="none"/>
              </w:rPr>
            </w:pPr>
          </w:p>
        </w:tc>
        <w:tc>
          <w:tcPr>
            <w:tcW w:w="3272" w:type="dxa"/>
            <w:vAlign w:val="top"/>
          </w:tcPr>
          <w:p w14:paraId="4D145DE3">
            <w:pPr>
              <w:pStyle w:val="186"/>
              <w:spacing w:before="64" w:line="219" w:lineRule="auto"/>
              <w:ind w:left="109"/>
              <w:rPr>
                <w:color w:val="auto"/>
                <w:highlight w:val="none"/>
              </w:rPr>
            </w:pPr>
            <w:r>
              <w:rPr>
                <w:color w:val="auto"/>
                <w:spacing w:val="-1"/>
                <w:highlight w:val="none"/>
              </w:rPr>
              <w:t>HJ2536</w:t>
            </w:r>
            <w:r>
              <w:rPr>
                <w:color w:val="auto"/>
                <w:spacing w:val="-28"/>
                <w:highlight w:val="none"/>
              </w:rPr>
              <w:t xml:space="preserve"> </w:t>
            </w:r>
            <w:r>
              <w:rPr>
                <w:color w:val="auto"/>
                <w:spacing w:val="-1"/>
                <w:highlight w:val="none"/>
              </w:rPr>
              <w:t>微型计算机、显示器</w:t>
            </w:r>
          </w:p>
        </w:tc>
      </w:tr>
      <w:tr w14:paraId="403EA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38" w:type="dxa"/>
            <w:vMerge w:val="continue"/>
            <w:tcBorders>
              <w:top w:val="nil"/>
              <w:bottom w:val="nil"/>
            </w:tcBorders>
            <w:vAlign w:val="top"/>
          </w:tcPr>
          <w:p w14:paraId="587C2C42">
            <w:pPr>
              <w:rPr>
                <w:rFonts w:ascii="Arial"/>
                <w:color w:val="auto"/>
                <w:sz w:val="21"/>
                <w:highlight w:val="none"/>
              </w:rPr>
            </w:pPr>
          </w:p>
        </w:tc>
        <w:tc>
          <w:tcPr>
            <w:tcW w:w="1424" w:type="dxa"/>
            <w:vMerge w:val="continue"/>
            <w:tcBorders>
              <w:top w:val="nil"/>
              <w:bottom w:val="nil"/>
            </w:tcBorders>
            <w:vAlign w:val="top"/>
          </w:tcPr>
          <w:p w14:paraId="376FF181">
            <w:pPr>
              <w:rPr>
                <w:rFonts w:ascii="Arial"/>
                <w:color w:val="auto"/>
                <w:sz w:val="21"/>
                <w:highlight w:val="none"/>
              </w:rPr>
            </w:pPr>
          </w:p>
        </w:tc>
        <w:tc>
          <w:tcPr>
            <w:tcW w:w="2468" w:type="dxa"/>
            <w:vAlign w:val="top"/>
          </w:tcPr>
          <w:p w14:paraId="56AB56A9">
            <w:pPr>
              <w:pStyle w:val="186"/>
              <w:spacing w:before="64" w:line="219" w:lineRule="auto"/>
              <w:ind w:left="103"/>
              <w:rPr>
                <w:color w:val="auto"/>
                <w:highlight w:val="none"/>
              </w:rPr>
            </w:pPr>
            <w:r>
              <w:rPr>
                <w:color w:val="auto"/>
                <w:spacing w:val="-1"/>
                <w:highlight w:val="none"/>
              </w:rPr>
              <w:t>A02010107</w:t>
            </w:r>
            <w:r>
              <w:rPr>
                <w:color w:val="auto"/>
                <w:spacing w:val="-28"/>
                <w:highlight w:val="none"/>
              </w:rPr>
              <w:t xml:space="preserve"> </w:t>
            </w:r>
            <w:r>
              <w:rPr>
                <w:color w:val="auto"/>
                <w:spacing w:val="-1"/>
                <w:highlight w:val="none"/>
              </w:rPr>
              <w:t>平板式微型计算机</w:t>
            </w:r>
          </w:p>
        </w:tc>
        <w:tc>
          <w:tcPr>
            <w:tcW w:w="2076" w:type="dxa"/>
            <w:vAlign w:val="top"/>
          </w:tcPr>
          <w:p w14:paraId="0B97E680">
            <w:pPr>
              <w:rPr>
                <w:rFonts w:ascii="Arial"/>
                <w:color w:val="auto"/>
                <w:sz w:val="21"/>
                <w:highlight w:val="none"/>
              </w:rPr>
            </w:pPr>
          </w:p>
        </w:tc>
        <w:tc>
          <w:tcPr>
            <w:tcW w:w="3272" w:type="dxa"/>
            <w:vAlign w:val="top"/>
          </w:tcPr>
          <w:p w14:paraId="7F81541F">
            <w:pPr>
              <w:pStyle w:val="186"/>
              <w:spacing w:before="63" w:line="219" w:lineRule="auto"/>
              <w:ind w:left="109"/>
              <w:rPr>
                <w:color w:val="auto"/>
                <w:highlight w:val="none"/>
              </w:rPr>
            </w:pPr>
            <w:r>
              <w:rPr>
                <w:color w:val="auto"/>
                <w:spacing w:val="-1"/>
                <w:highlight w:val="none"/>
              </w:rPr>
              <w:t>HJ2536</w:t>
            </w:r>
            <w:r>
              <w:rPr>
                <w:color w:val="auto"/>
                <w:spacing w:val="-28"/>
                <w:highlight w:val="none"/>
              </w:rPr>
              <w:t xml:space="preserve"> </w:t>
            </w:r>
            <w:r>
              <w:rPr>
                <w:color w:val="auto"/>
                <w:spacing w:val="-1"/>
                <w:highlight w:val="none"/>
              </w:rPr>
              <w:t>微型计算机、显示器</w:t>
            </w:r>
          </w:p>
        </w:tc>
      </w:tr>
      <w:tr w14:paraId="3D377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continue"/>
            <w:tcBorders>
              <w:top w:val="nil"/>
              <w:bottom w:val="nil"/>
            </w:tcBorders>
            <w:vAlign w:val="top"/>
          </w:tcPr>
          <w:p w14:paraId="27ABBC79">
            <w:pPr>
              <w:rPr>
                <w:rFonts w:ascii="Arial"/>
                <w:color w:val="auto"/>
                <w:sz w:val="21"/>
                <w:highlight w:val="none"/>
              </w:rPr>
            </w:pPr>
          </w:p>
        </w:tc>
        <w:tc>
          <w:tcPr>
            <w:tcW w:w="1424" w:type="dxa"/>
            <w:vMerge w:val="continue"/>
            <w:tcBorders>
              <w:top w:val="nil"/>
              <w:bottom w:val="nil"/>
            </w:tcBorders>
            <w:vAlign w:val="top"/>
          </w:tcPr>
          <w:p w14:paraId="7482399F">
            <w:pPr>
              <w:rPr>
                <w:rFonts w:ascii="Arial"/>
                <w:color w:val="auto"/>
                <w:sz w:val="21"/>
                <w:highlight w:val="none"/>
              </w:rPr>
            </w:pPr>
          </w:p>
        </w:tc>
        <w:tc>
          <w:tcPr>
            <w:tcW w:w="2468" w:type="dxa"/>
            <w:vAlign w:val="top"/>
          </w:tcPr>
          <w:p w14:paraId="3D92C837">
            <w:pPr>
              <w:pStyle w:val="186"/>
              <w:spacing w:before="65" w:line="219" w:lineRule="auto"/>
              <w:ind w:left="103"/>
              <w:rPr>
                <w:color w:val="auto"/>
                <w:highlight w:val="none"/>
              </w:rPr>
            </w:pPr>
            <w:r>
              <w:rPr>
                <w:color w:val="auto"/>
                <w:spacing w:val="-2"/>
                <w:highlight w:val="none"/>
              </w:rPr>
              <w:t>A02010108</w:t>
            </w:r>
            <w:r>
              <w:rPr>
                <w:color w:val="auto"/>
                <w:spacing w:val="32"/>
                <w:highlight w:val="none"/>
              </w:rPr>
              <w:t xml:space="preserve"> </w:t>
            </w:r>
            <w:r>
              <w:rPr>
                <w:color w:val="auto"/>
                <w:spacing w:val="-2"/>
                <w:highlight w:val="none"/>
              </w:rPr>
              <w:t>网络计算机</w:t>
            </w:r>
          </w:p>
        </w:tc>
        <w:tc>
          <w:tcPr>
            <w:tcW w:w="2076" w:type="dxa"/>
            <w:vAlign w:val="top"/>
          </w:tcPr>
          <w:p w14:paraId="36AA1F3F">
            <w:pPr>
              <w:rPr>
                <w:rFonts w:ascii="Arial"/>
                <w:color w:val="auto"/>
                <w:sz w:val="21"/>
                <w:highlight w:val="none"/>
              </w:rPr>
            </w:pPr>
          </w:p>
        </w:tc>
        <w:tc>
          <w:tcPr>
            <w:tcW w:w="3272" w:type="dxa"/>
            <w:vAlign w:val="top"/>
          </w:tcPr>
          <w:p w14:paraId="51444B60">
            <w:pPr>
              <w:pStyle w:val="186"/>
              <w:spacing w:before="64" w:line="219" w:lineRule="auto"/>
              <w:ind w:left="109"/>
              <w:rPr>
                <w:color w:val="auto"/>
                <w:highlight w:val="none"/>
              </w:rPr>
            </w:pPr>
            <w:r>
              <w:rPr>
                <w:color w:val="auto"/>
                <w:spacing w:val="-1"/>
                <w:highlight w:val="none"/>
              </w:rPr>
              <w:t>HJ2536</w:t>
            </w:r>
            <w:r>
              <w:rPr>
                <w:color w:val="auto"/>
                <w:spacing w:val="-28"/>
                <w:highlight w:val="none"/>
              </w:rPr>
              <w:t xml:space="preserve"> </w:t>
            </w:r>
            <w:r>
              <w:rPr>
                <w:color w:val="auto"/>
                <w:spacing w:val="-1"/>
                <w:highlight w:val="none"/>
              </w:rPr>
              <w:t>微型计算机、显示器</w:t>
            </w:r>
          </w:p>
        </w:tc>
      </w:tr>
      <w:tr w14:paraId="576B2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continue"/>
            <w:tcBorders>
              <w:top w:val="nil"/>
              <w:bottom w:val="nil"/>
            </w:tcBorders>
            <w:vAlign w:val="top"/>
          </w:tcPr>
          <w:p w14:paraId="6FF2B486">
            <w:pPr>
              <w:rPr>
                <w:rFonts w:ascii="Arial"/>
                <w:color w:val="auto"/>
                <w:sz w:val="21"/>
                <w:highlight w:val="none"/>
              </w:rPr>
            </w:pPr>
          </w:p>
        </w:tc>
        <w:tc>
          <w:tcPr>
            <w:tcW w:w="1424" w:type="dxa"/>
            <w:vMerge w:val="continue"/>
            <w:tcBorders>
              <w:top w:val="nil"/>
              <w:bottom w:val="nil"/>
            </w:tcBorders>
            <w:vAlign w:val="top"/>
          </w:tcPr>
          <w:p w14:paraId="1A425602">
            <w:pPr>
              <w:rPr>
                <w:rFonts w:ascii="Arial"/>
                <w:color w:val="auto"/>
                <w:sz w:val="21"/>
                <w:highlight w:val="none"/>
              </w:rPr>
            </w:pPr>
          </w:p>
        </w:tc>
        <w:tc>
          <w:tcPr>
            <w:tcW w:w="2468" w:type="dxa"/>
            <w:vAlign w:val="top"/>
          </w:tcPr>
          <w:p w14:paraId="112AABAF">
            <w:pPr>
              <w:pStyle w:val="186"/>
              <w:spacing w:before="64" w:line="219" w:lineRule="auto"/>
              <w:ind w:left="103"/>
              <w:rPr>
                <w:color w:val="auto"/>
                <w:highlight w:val="none"/>
              </w:rPr>
            </w:pPr>
            <w:r>
              <w:rPr>
                <w:color w:val="auto"/>
                <w:highlight w:val="none"/>
              </w:rPr>
              <w:t>A02010109 计算机工作站</w:t>
            </w:r>
          </w:p>
        </w:tc>
        <w:tc>
          <w:tcPr>
            <w:tcW w:w="2076" w:type="dxa"/>
            <w:vAlign w:val="top"/>
          </w:tcPr>
          <w:p w14:paraId="131FE43B">
            <w:pPr>
              <w:rPr>
                <w:rFonts w:ascii="Arial"/>
                <w:color w:val="auto"/>
                <w:sz w:val="21"/>
                <w:highlight w:val="none"/>
              </w:rPr>
            </w:pPr>
          </w:p>
        </w:tc>
        <w:tc>
          <w:tcPr>
            <w:tcW w:w="3272" w:type="dxa"/>
            <w:vAlign w:val="top"/>
          </w:tcPr>
          <w:p w14:paraId="006A6269">
            <w:pPr>
              <w:pStyle w:val="186"/>
              <w:spacing w:before="64" w:line="219" w:lineRule="auto"/>
              <w:ind w:left="109"/>
              <w:rPr>
                <w:color w:val="auto"/>
                <w:highlight w:val="none"/>
              </w:rPr>
            </w:pPr>
            <w:r>
              <w:rPr>
                <w:color w:val="auto"/>
                <w:spacing w:val="-1"/>
                <w:highlight w:val="none"/>
              </w:rPr>
              <w:t>HJ2536</w:t>
            </w:r>
            <w:r>
              <w:rPr>
                <w:color w:val="auto"/>
                <w:spacing w:val="-28"/>
                <w:highlight w:val="none"/>
              </w:rPr>
              <w:t xml:space="preserve"> </w:t>
            </w:r>
            <w:r>
              <w:rPr>
                <w:color w:val="auto"/>
                <w:spacing w:val="-1"/>
                <w:highlight w:val="none"/>
              </w:rPr>
              <w:t>微型计算机、显示器</w:t>
            </w:r>
          </w:p>
        </w:tc>
      </w:tr>
      <w:tr w14:paraId="43090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38" w:type="dxa"/>
            <w:vMerge w:val="continue"/>
            <w:tcBorders>
              <w:top w:val="nil"/>
            </w:tcBorders>
            <w:vAlign w:val="top"/>
          </w:tcPr>
          <w:p w14:paraId="53E9DF2E">
            <w:pPr>
              <w:rPr>
                <w:rFonts w:ascii="Arial"/>
                <w:color w:val="auto"/>
                <w:sz w:val="21"/>
                <w:highlight w:val="none"/>
              </w:rPr>
            </w:pPr>
          </w:p>
        </w:tc>
        <w:tc>
          <w:tcPr>
            <w:tcW w:w="1424" w:type="dxa"/>
            <w:vMerge w:val="continue"/>
            <w:tcBorders>
              <w:top w:val="nil"/>
            </w:tcBorders>
            <w:vAlign w:val="top"/>
          </w:tcPr>
          <w:p w14:paraId="68E8EABA">
            <w:pPr>
              <w:rPr>
                <w:rFonts w:ascii="Arial"/>
                <w:color w:val="auto"/>
                <w:sz w:val="21"/>
                <w:highlight w:val="none"/>
              </w:rPr>
            </w:pPr>
          </w:p>
        </w:tc>
        <w:tc>
          <w:tcPr>
            <w:tcW w:w="2468" w:type="dxa"/>
            <w:vAlign w:val="top"/>
          </w:tcPr>
          <w:p w14:paraId="68BE81FC">
            <w:pPr>
              <w:pStyle w:val="186"/>
              <w:spacing w:before="64" w:line="219" w:lineRule="auto"/>
              <w:ind w:left="103"/>
              <w:rPr>
                <w:color w:val="auto"/>
                <w:highlight w:val="none"/>
              </w:rPr>
            </w:pPr>
            <w:r>
              <w:rPr>
                <w:color w:val="auto"/>
                <w:spacing w:val="-1"/>
                <w:highlight w:val="none"/>
              </w:rPr>
              <w:t>A02010199</w:t>
            </w:r>
            <w:r>
              <w:rPr>
                <w:color w:val="auto"/>
                <w:spacing w:val="-29"/>
                <w:highlight w:val="none"/>
              </w:rPr>
              <w:t xml:space="preserve"> </w:t>
            </w:r>
            <w:r>
              <w:rPr>
                <w:color w:val="auto"/>
                <w:spacing w:val="-1"/>
                <w:highlight w:val="none"/>
              </w:rPr>
              <w:t>其他计算机设备</w:t>
            </w:r>
          </w:p>
        </w:tc>
        <w:tc>
          <w:tcPr>
            <w:tcW w:w="2076" w:type="dxa"/>
            <w:vAlign w:val="top"/>
          </w:tcPr>
          <w:p w14:paraId="30C89FE4">
            <w:pPr>
              <w:rPr>
                <w:rFonts w:ascii="Arial"/>
                <w:color w:val="auto"/>
                <w:sz w:val="21"/>
                <w:highlight w:val="none"/>
              </w:rPr>
            </w:pPr>
          </w:p>
        </w:tc>
        <w:tc>
          <w:tcPr>
            <w:tcW w:w="3272" w:type="dxa"/>
            <w:vAlign w:val="top"/>
          </w:tcPr>
          <w:p w14:paraId="4E09DC27">
            <w:pPr>
              <w:pStyle w:val="186"/>
              <w:spacing w:before="64" w:line="219" w:lineRule="auto"/>
              <w:ind w:left="109"/>
              <w:rPr>
                <w:color w:val="auto"/>
                <w:highlight w:val="none"/>
              </w:rPr>
            </w:pPr>
            <w:r>
              <w:rPr>
                <w:color w:val="auto"/>
                <w:spacing w:val="-1"/>
                <w:highlight w:val="none"/>
              </w:rPr>
              <w:t>HJ2536</w:t>
            </w:r>
            <w:r>
              <w:rPr>
                <w:color w:val="auto"/>
                <w:spacing w:val="-28"/>
                <w:highlight w:val="none"/>
              </w:rPr>
              <w:t xml:space="preserve"> </w:t>
            </w:r>
            <w:r>
              <w:rPr>
                <w:color w:val="auto"/>
                <w:spacing w:val="-1"/>
                <w:highlight w:val="none"/>
              </w:rPr>
              <w:t>微型计算机、显示器</w:t>
            </w:r>
          </w:p>
        </w:tc>
      </w:tr>
      <w:tr w14:paraId="3D988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restart"/>
            <w:tcBorders>
              <w:bottom w:val="nil"/>
            </w:tcBorders>
            <w:vAlign w:val="top"/>
          </w:tcPr>
          <w:p w14:paraId="26848538">
            <w:pPr>
              <w:pStyle w:val="186"/>
              <w:spacing w:before="64" w:line="242" w:lineRule="auto"/>
              <w:ind w:left="116"/>
              <w:rPr>
                <w:color w:val="auto"/>
                <w:highlight w:val="none"/>
              </w:rPr>
            </w:pPr>
            <w:r>
              <w:rPr>
                <w:color w:val="auto"/>
                <w:highlight w:val="none"/>
              </w:rPr>
              <w:t>2</w:t>
            </w:r>
          </w:p>
        </w:tc>
        <w:tc>
          <w:tcPr>
            <w:tcW w:w="1424" w:type="dxa"/>
            <w:vMerge w:val="restart"/>
            <w:tcBorders>
              <w:bottom w:val="nil"/>
            </w:tcBorders>
            <w:vAlign w:val="top"/>
          </w:tcPr>
          <w:p w14:paraId="34579235">
            <w:pPr>
              <w:pStyle w:val="186"/>
              <w:spacing w:before="64" w:line="323" w:lineRule="auto"/>
              <w:ind w:left="123" w:right="108" w:hanging="21"/>
              <w:rPr>
                <w:color w:val="auto"/>
                <w:highlight w:val="none"/>
              </w:rPr>
            </w:pPr>
            <w:r>
              <w:rPr>
                <w:color w:val="auto"/>
                <w:spacing w:val="3"/>
                <w:highlight w:val="none"/>
              </w:rPr>
              <w:t>A020106</w:t>
            </w:r>
            <w:r>
              <w:rPr>
                <w:color w:val="auto"/>
                <w:spacing w:val="34"/>
                <w:highlight w:val="none"/>
              </w:rPr>
              <w:t xml:space="preserve"> </w:t>
            </w:r>
            <w:r>
              <w:rPr>
                <w:color w:val="auto"/>
                <w:spacing w:val="3"/>
                <w:highlight w:val="none"/>
              </w:rPr>
              <w:t>输入输</w:t>
            </w:r>
            <w:r>
              <w:rPr>
                <w:color w:val="auto"/>
                <w:highlight w:val="none"/>
              </w:rPr>
              <w:t xml:space="preserve"> </w:t>
            </w:r>
            <w:r>
              <w:rPr>
                <w:color w:val="auto"/>
                <w:spacing w:val="-5"/>
                <w:highlight w:val="none"/>
              </w:rPr>
              <w:t>出设备</w:t>
            </w:r>
          </w:p>
        </w:tc>
        <w:tc>
          <w:tcPr>
            <w:tcW w:w="2468" w:type="dxa"/>
            <w:vMerge w:val="restart"/>
            <w:tcBorders>
              <w:bottom w:val="nil"/>
            </w:tcBorders>
            <w:vAlign w:val="top"/>
          </w:tcPr>
          <w:p w14:paraId="134133EB">
            <w:pPr>
              <w:pStyle w:val="186"/>
              <w:spacing w:before="64" w:line="220" w:lineRule="auto"/>
              <w:ind w:left="103"/>
              <w:rPr>
                <w:color w:val="auto"/>
                <w:highlight w:val="none"/>
              </w:rPr>
            </w:pPr>
            <w:r>
              <w:rPr>
                <w:color w:val="auto"/>
                <w:spacing w:val="-1"/>
                <w:highlight w:val="none"/>
              </w:rPr>
              <w:t>A02010601</w:t>
            </w:r>
            <w:r>
              <w:rPr>
                <w:color w:val="auto"/>
                <w:spacing w:val="-31"/>
                <w:highlight w:val="none"/>
              </w:rPr>
              <w:t xml:space="preserve"> </w:t>
            </w:r>
            <w:r>
              <w:rPr>
                <w:color w:val="auto"/>
                <w:spacing w:val="-1"/>
                <w:highlight w:val="none"/>
              </w:rPr>
              <w:t>打印设备</w:t>
            </w:r>
          </w:p>
        </w:tc>
        <w:tc>
          <w:tcPr>
            <w:tcW w:w="2076" w:type="dxa"/>
            <w:vAlign w:val="top"/>
          </w:tcPr>
          <w:p w14:paraId="7BA1CF46">
            <w:pPr>
              <w:pStyle w:val="186"/>
              <w:spacing w:before="65" w:line="219" w:lineRule="auto"/>
              <w:ind w:left="105"/>
              <w:rPr>
                <w:color w:val="auto"/>
                <w:highlight w:val="none"/>
              </w:rPr>
            </w:pPr>
            <w:r>
              <w:rPr>
                <w:color w:val="auto"/>
                <w:highlight w:val="none"/>
              </w:rPr>
              <w:t>A0201060101 喷墨打印机</w:t>
            </w:r>
          </w:p>
        </w:tc>
        <w:tc>
          <w:tcPr>
            <w:tcW w:w="3272" w:type="dxa"/>
            <w:vAlign w:val="top"/>
          </w:tcPr>
          <w:p w14:paraId="7C1CE12A">
            <w:pPr>
              <w:pStyle w:val="186"/>
              <w:spacing w:before="64" w:line="219" w:lineRule="auto"/>
              <w:ind w:left="109"/>
              <w:rPr>
                <w:color w:val="auto"/>
                <w:highlight w:val="none"/>
              </w:rPr>
            </w:pPr>
            <w:r>
              <w:rPr>
                <w:color w:val="auto"/>
                <w:spacing w:val="-1"/>
                <w:highlight w:val="none"/>
              </w:rPr>
              <w:t>HJ2512</w:t>
            </w:r>
            <w:r>
              <w:rPr>
                <w:color w:val="auto"/>
                <w:spacing w:val="-29"/>
                <w:highlight w:val="none"/>
              </w:rPr>
              <w:t xml:space="preserve"> </w:t>
            </w:r>
            <w:r>
              <w:rPr>
                <w:color w:val="auto"/>
                <w:spacing w:val="-1"/>
                <w:highlight w:val="none"/>
              </w:rPr>
              <w:t>打印机、传真机及多功能一体机</w:t>
            </w:r>
          </w:p>
        </w:tc>
      </w:tr>
      <w:tr w14:paraId="66B71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continue"/>
            <w:tcBorders>
              <w:top w:val="nil"/>
              <w:bottom w:val="nil"/>
            </w:tcBorders>
            <w:vAlign w:val="top"/>
          </w:tcPr>
          <w:p w14:paraId="345CCA4D">
            <w:pPr>
              <w:rPr>
                <w:rFonts w:ascii="Arial"/>
                <w:color w:val="auto"/>
                <w:sz w:val="21"/>
                <w:highlight w:val="none"/>
              </w:rPr>
            </w:pPr>
          </w:p>
        </w:tc>
        <w:tc>
          <w:tcPr>
            <w:tcW w:w="1424" w:type="dxa"/>
            <w:vMerge w:val="continue"/>
            <w:tcBorders>
              <w:top w:val="nil"/>
              <w:bottom w:val="nil"/>
            </w:tcBorders>
            <w:vAlign w:val="top"/>
          </w:tcPr>
          <w:p w14:paraId="010F2B9A">
            <w:pPr>
              <w:rPr>
                <w:rFonts w:ascii="Arial"/>
                <w:color w:val="auto"/>
                <w:sz w:val="21"/>
                <w:highlight w:val="none"/>
              </w:rPr>
            </w:pPr>
          </w:p>
        </w:tc>
        <w:tc>
          <w:tcPr>
            <w:tcW w:w="2468" w:type="dxa"/>
            <w:vMerge w:val="continue"/>
            <w:tcBorders>
              <w:top w:val="nil"/>
              <w:bottom w:val="nil"/>
            </w:tcBorders>
            <w:vAlign w:val="top"/>
          </w:tcPr>
          <w:p w14:paraId="1CDB803F">
            <w:pPr>
              <w:rPr>
                <w:rFonts w:ascii="Arial"/>
                <w:color w:val="auto"/>
                <w:sz w:val="21"/>
                <w:highlight w:val="none"/>
              </w:rPr>
            </w:pPr>
          </w:p>
        </w:tc>
        <w:tc>
          <w:tcPr>
            <w:tcW w:w="2076" w:type="dxa"/>
            <w:vAlign w:val="top"/>
          </w:tcPr>
          <w:p w14:paraId="3263FF1D">
            <w:pPr>
              <w:pStyle w:val="186"/>
              <w:spacing w:before="64" w:line="219" w:lineRule="auto"/>
              <w:ind w:left="105"/>
              <w:rPr>
                <w:color w:val="auto"/>
                <w:highlight w:val="none"/>
              </w:rPr>
            </w:pPr>
            <w:r>
              <w:rPr>
                <w:color w:val="auto"/>
                <w:highlight w:val="none"/>
              </w:rPr>
              <w:t>A0201060102 激光打印机</w:t>
            </w:r>
          </w:p>
        </w:tc>
        <w:tc>
          <w:tcPr>
            <w:tcW w:w="3272" w:type="dxa"/>
            <w:vAlign w:val="top"/>
          </w:tcPr>
          <w:p w14:paraId="6C4A2FA1">
            <w:pPr>
              <w:pStyle w:val="186"/>
              <w:spacing w:before="64" w:line="219" w:lineRule="auto"/>
              <w:ind w:left="109"/>
              <w:rPr>
                <w:color w:val="auto"/>
                <w:highlight w:val="none"/>
              </w:rPr>
            </w:pPr>
            <w:r>
              <w:rPr>
                <w:color w:val="auto"/>
                <w:spacing w:val="-1"/>
                <w:highlight w:val="none"/>
              </w:rPr>
              <w:t>HJ2512</w:t>
            </w:r>
            <w:r>
              <w:rPr>
                <w:color w:val="auto"/>
                <w:spacing w:val="-29"/>
                <w:highlight w:val="none"/>
              </w:rPr>
              <w:t xml:space="preserve"> </w:t>
            </w:r>
            <w:r>
              <w:rPr>
                <w:color w:val="auto"/>
                <w:spacing w:val="-1"/>
                <w:highlight w:val="none"/>
              </w:rPr>
              <w:t>打印机、传真机及多功能一体机</w:t>
            </w:r>
          </w:p>
        </w:tc>
      </w:tr>
      <w:tr w14:paraId="655ED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38" w:type="dxa"/>
            <w:vMerge w:val="continue"/>
            <w:tcBorders>
              <w:top w:val="nil"/>
              <w:bottom w:val="nil"/>
            </w:tcBorders>
            <w:vAlign w:val="top"/>
          </w:tcPr>
          <w:p w14:paraId="0606D8DE">
            <w:pPr>
              <w:rPr>
                <w:rFonts w:ascii="Arial"/>
                <w:color w:val="auto"/>
                <w:sz w:val="21"/>
                <w:highlight w:val="none"/>
              </w:rPr>
            </w:pPr>
          </w:p>
        </w:tc>
        <w:tc>
          <w:tcPr>
            <w:tcW w:w="1424" w:type="dxa"/>
            <w:vMerge w:val="continue"/>
            <w:tcBorders>
              <w:top w:val="nil"/>
              <w:bottom w:val="nil"/>
            </w:tcBorders>
            <w:vAlign w:val="top"/>
          </w:tcPr>
          <w:p w14:paraId="410EA86A">
            <w:pPr>
              <w:rPr>
                <w:rFonts w:ascii="Arial"/>
                <w:color w:val="auto"/>
                <w:sz w:val="21"/>
                <w:highlight w:val="none"/>
              </w:rPr>
            </w:pPr>
          </w:p>
        </w:tc>
        <w:tc>
          <w:tcPr>
            <w:tcW w:w="2468" w:type="dxa"/>
            <w:vMerge w:val="continue"/>
            <w:tcBorders>
              <w:top w:val="nil"/>
              <w:bottom w:val="nil"/>
            </w:tcBorders>
            <w:vAlign w:val="top"/>
          </w:tcPr>
          <w:p w14:paraId="15248F17">
            <w:pPr>
              <w:rPr>
                <w:rFonts w:ascii="Arial"/>
                <w:color w:val="auto"/>
                <w:sz w:val="21"/>
                <w:highlight w:val="none"/>
              </w:rPr>
            </w:pPr>
          </w:p>
        </w:tc>
        <w:tc>
          <w:tcPr>
            <w:tcW w:w="2076" w:type="dxa"/>
            <w:vAlign w:val="top"/>
          </w:tcPr>
          <w:p w14:paraId="2F2914B0">
            <w:pPr>
              <w:pStyle w:val="186"/>
              <w:spacing w:before="64" w:line="219" w:lineRule="auto"/>
              <w:ind w:left="105"/>
              <w:rPr>
                <w:color w:val="auto"/>
                <w:highlight w:val="none"/>
              </w:rPr>
            </w:pPr>
            <w:r>
              <w:rPr>
                <w:color w:val="auto"/>
                <w:highlight w:val="none"/>
              </w:rPr>
              <w:t>A0201060103 热式打印机</w:t>
            </w:r>
          </w:p>
        </w:tc>
        <w:tc>
          <w:tcPr>
            <w:tcW w:w="3272" w:type="dxa"/>
            <w:vAlign w:val="top"/>
          </w:tcPr>
          <w:p w14:paraId="70F8A7E4">
            <w:pPr>
              <w:pStyle w:val="186"/>
              <w:spacing w:before="64" w:line="219" w:lineRule="auto"/>
              <w:ind w:left="109"/>
              <w:rPr>
                <w:color w:val="auto"/>
                <w:highlight w:val="none"/>
              </w:rPr>
            </w:pPr>
            <w:r>
              <w:rPr>
                <w:color w:val="auto"/>
                <w:spacing w:val="-1"/>
                <w:highlight w:val="none"/>
              </w:rPr>
              <w:t>HJ2512</w:t>
            </w:r>
            <w:r>
              <w:rPr>
                <w:color w:val="auto"/>
                <w:spacing w:val="-29"/>
                <w:highlight w:val="none"/>
              </w:rPr>
              <w:t xml:space="preserve"> </w:t>
            </w:r>
            <w:r>
              <w:rPr>
                <w:color w:val="auto"/>
                <w:spacing w:val="-1"/>
                <w:highlight w:val="none"/>
              </w:rPr>
              <w:t>打印机、传真机及多功能一体机</w:t>
            </w:r>
          </w:p>
        </w:tc>
      </w:tr>
      <w:tr w14:paraId="2D58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continue"/>
            <w:tcBorders>
              <w:top w:val="nil"/>
              <w:bottom w:val="nil"/>
            </w:tcBorders>
            <w:vAlign w:val="top"/>
          </w:tcPr>
          <w:p w14:paraId="5F405013">
            <w:pPr>
              <w:rPr>
                <w:rFonts w:ascii="Arial"/>
                <w:color w:val="auto"/>
                <w:sz w:val="21"/>
                <w:highlight w:val="none"/>
              </w:rPr>
            </w:pPr>
          </w:p>
        </w:tc>
        <w:tc>
          <w:tcPr>
            <w:tcW w:w="1424" w:type="dxa"/>
            <w:vMerge w:val="continue"/>
            <w:tcBorders>
              <w:top w:val="nil"/>
              <w:bottom w:val="nil"/>
            </w:tcBorders>
            <w:vAlign w:val="top"/>
          </w:tcPr>
          <w:p w14:paraId="71FD1BBD">
            <w:pPr>
              <w:rPr>
                <w:rFonts w:ascii="Arial"/>
                <w:color w:val="auto"/>
                <w:sz w:val="21"/>
                <w:highlight w:val="none"/>
              </w:rPr>
            </w:pPr>
          </w:p>
        </w:tc>
        <w:tc>
          <w:tcPr>
            <w:tcW w:w="2468" w:type="dxa"/>
            <w:vMerge w:val="continue"/>
            <w:tcBorders>
              <w:top w:val="nil"/>
            </w:tcBorders>
            <w:vAlign w:val="top"/>
          </w:tcPr>
          <w:p w14:paraId="52E03F9D">
            <w:pPr>
              <w:rPr>
                <w:rFonts w:ascii="Arial"/>
                <w:color w:val="auto"/>
                <w:sz w:val="21"/>
                <w:highlight w:val="none"/>
              </w:rPr>
            </w:pPr>
          </w:p>
        </w:tc>
        <w:tc>
          <w:tcPr>
            <w:tcW w:w="2076" w:type="dxa"/>
            <w:vAlign w:val="top"/>
          </w:tcPr>
          <w:p w14:paraId="04BDB043">
            <w:pPr>
              <w:pStyle w:val="186"/>
              <w:spacing w:before="65" w:line="219" w:lineRule="auto"/>
              <w:ind w:left="105"/>
              <w:rPr>
                <w:color w:val="auto"/>
                <w:highlight w:val="none"/>
              </w:rPr>
            </w:pPr>
            <w:r>
              <w:rPr>
                <w:color w:val="auto"/>
                <w:highlight w:val="none"/>
              </w:rPr>
              <w:t>A0201060104 针式打印机</w:t>
            </w:r>
          </w:p>
        </w:tc>
        <w:tc>
          <w:tcPr>
            <w:tcW w:w="3272" w:type="dxa"/>
            <w:vAlign w:val="top"/>
          </w:tcPr>
          <w:p w14:paraId="02272632">
            <w:pPr>
              <w:pStyle w:val="186"/>
              <w:spacing w:before="64" w:line="219" w:lineRule="auto"/>
              <w:ind w:left="109"/>
              <w:rPr>
                <w:color w:val="auto"/>
                <w:highlight w:val="none"/>
              </w:rPr>
            </w:pPr>
            <w:r>
              <w:rPr>
                <w:color w:val="auto"/>
                <w:spacing w:val="-1"/>
                <w:highlight w:val="none"/>
              </w:rPr>
              <w:t>HJ2512</w:t>
            </w:r>
            <w:r>
              <w:rPr>
                <w:color w:val="auto"/>
                <w:spacing w:val="-29"/>
                <w:highlight w:val="none"/>
              </w:rPr>
              <w:t xml:space="preserve"> </w:t>
            </w:r>
            <w:r>
              <w:rPr>
                <w:color w:val="auto"/>
                <w:spacing w:val="-1"/>
                <w:highlight w:val="none"/>
              </w:rPr>
              <w:t>打印机、传真机及多功能一体机</w:t>
            </w:r>
          </w:p>
        </w:tc>
      </w:tr>
      <w:tr w14:paraId="338ED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continue"/>
            <w:tcBorders>
              <w:top w:val="nil"/>
              <w:bottom w:val="nil"/>
            </w:tcBorders>
            <w:vAlign w:val="top"/>
          </w:tcPr>
          <w:p w14:paraId="67A8626B">
            <w:pPr>
              <w:rPr>
                <w:rFonts w:ascii="Arial"/>
                <w:color w:val="auto"/>
                <w:sz w:val="21"/>
                <w:highlight w:val="none"/>
              </w:rPr>
            </w:pPr>
          </w:p>
        </w:tc>
        <w:tc>
          <w:tcPr>
            <w:tcW w:w="1424" w:type="dxa"/>
            <w:vMerge w:val="continue"/>
            <w:tcBorders>
              <w:top w:val="nil"/>
              <w:bottom w:val="nil"/>
            </w:tcBorders>
            <w:vAlign w:val="top"/>
          </w:tcPr>
          <w:p w14:paraId="59031D63">
            <w:pPr>
              <w:rPr>
                <w:rFonts w:ascii="Arial"/>
                <w:color w:val="auto"/>
                <w:sz w:val="21"/>
                <w:highlight w:val="none"/>
              </w:rPr>
            </w:pPr>
          </w:p>
        </w:tc>
        <w:tc>
          <w:tcPr>
            <w:tcW w:w="2468" w:type="dxa"/>
            <w:vMerge w:val="restart"/>
            <w:tcBorders>
              <w:bottom w:val="nil"/>
            </w:tcBorders>
            <w:vAlign w:val="top"/>
          </w:tcPr>
          <w:p w14:paraId="77C84284">
            <w:pPr>
              <w:pStyle w:val="186"/>
              <w:spacing w:before="64" w:line="222" w:lineRule="auto"/>
              <w:ind w:left="103"/>
              <w:rPr>
                <w:color w:val="auto"/>
                <w:highlight w:val="none"/>
              </w:rPr>
            </w:pPr>
            <w:r>
              <w:rPr>
                <w:color w:val="auto"/>
                <w:highlight w:val="none"/>
              </w:rPr>
              <w:t>A02010604 显示设备</w:t>
            </w:r>
          </w:p>
        </w:tc>
        <w:tc>
          <w:tcPr>
            <w:tcW w:w="2076" w:type="dxa"/>
            <w:vAlign w:val="top"/>
          </w:tcPr>
          <w:p w14:paraId="6A232E01">
            <w:pPr>
              <w:pStyle w:val="186"/>
              <w:spacing w:before="64" w:line="221" w:lineRule="auto"/>
              <w:ind w:left="105"/>
              <w:rPr>
                <w:color w:val="auto"/>
                <w:highlight w:val="none"/>
              </w:rPr>
            </w:pPr>
            <w:r>
              <w:rPr>
                <w:color w:val="auto"/>
                <w:highlight w:val="none"/>
              </w:rPr>
              <w:t>A0201060401 液晶显示器</w:t>
            </w:r>
          </w:p>
        </w:tc>
        <w:tc>
          <w:tcPr>
            <w:tcW w:w="3272" w:type="dxa"/>
            <w:vAlign w:val="top"/>
          </w:tcPr>
          <w:p w14:paraId="331251AE">
            <w:pPr>
              <w:pStyle w:val="186"/>
              <w:spacing w:before="64" w:line="219" w:lineRule="auto"/>
              <w:ind w:left="109"/>
              <w:rPr>
                <w:color w:val="auto"/>
                <w:highlight w:val="none"/>
              </w:rPr>
            </w:pPr>
            <w:r>
              <w:rPr>
                <w:color w:val="auto"/>
                <w:spacing w:val="-1"/>
                <w:highlight w:val="none"/>
              </w:rPr>
              <w:t>HJ2536</w:t>
            </w:r>
            <w:r>
              <w:rPr>
                <w:color w:val="auto"/>
                <w:spacing w:val="-28"/>
                <w:highlight w:val="none"/>
              </w:rPr>
              <w:t xml:space="preserve"> </w:t>
            </w:r>
            <w:r>
              <w:rPr>
                <w:color w:val="auto"/>
                <w:spacing w:val="-1"/>
                <w:highlight w:val="none"/>
              </w:rPr>
              <w:t>微型计算机、显示器</w:t>
            </w:r>
          </w:p>
        </w:tc>
      </w:tr>
      <w:tr w14:paraId="05107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38" w:type="dxa"/>
            <w:vMerge w:val="continue"/>
            <w:tcBorders>
              <w:top w:val="nil"/>
              <w:bottom w:val="nil"/>
            </w:tcBorders>
            <w:vAlign w:val="top"/>
          </w:tcPr>
          <w:p w14:paraId="5762FA57">
            <w:pPr>
              <w:rPr>
                <w:rFonts w:ascii="Arial"/>
                <w:color w:val="auto"/>
                <w:sz w:val="21"/>
                <w:highlight w:val="none"/>
              </w:rPr>
            </w:pPr>
          </w:p>
        </w:tc>
        <w:tc>
          <w:tcPr>
            <w:tcW w:w="1424" w:type="dxa"/>
            <w:vMerge w:val="continue"/>
            <w:tcBorders>
              <w:top w:val="nil"/>
              <w:bottom w:val="nil"/>
            </w:tcBorders>
            <w:vAlign w:val="top"/>
          </w:tcPr>
          <w:p w14:paraId="5D97312B">
            <w:pPr>
              <w:rPr>
                <w:rFonts w:ascii="Arial"/>
                <w:color w:val="auto"/>
                <w:sz w:val="21"/>
                <w:highlight w:val="none"/>
              </w:rPr>
            </w:pPr>
          </w:p>
        </w:tc>
        <w:tc>
          <w:tcPr>
            <w:tcW w:w="2468" w:type="dxa"/>
            <w:vMerge w:val="continue"/>
            <w:tcBorders>
              <w:top w:val="nil"/>
            </w:tcBorders>
            <w:vAlign w:val="top"/>
          </w:tcPr>
          <w:p w14:paraId="6F23BD6D">
            <w:pPr>
              <w:rPr>
                <w:rFonts w:ascii="Arial"/>
                <w:color w:val="auto"/>
                <w:sz w:val="21"/>
                <w:highlight w:val="none"/>
              </w:rPr>
            </w:pPr>
          </w:p>
        </w:tc>
        <w:tc>
          <w:tcPr>
            <w:tcW w:w="2076" w:type="dxa"/>
            <w:vAlign w:val="top"/>
          </w:tcPr>
          <w:p w14:paraId="0362FC52">
            <w:pPr>
              <w:pStyle w:val="186"/>
              <w:spacing w:before="64" w:line="221" w:lineRule="auto"/>
              <w:ind w:left="105"/>
              <w:rPr>
                <w:color w:val="auto"/>
                <w:highlight w:val="none"/>
              </w:rPr>
            </w:pPr>
            <w:r>
              <w:rPr>
                <w:color w:val="auto"/>
                <w:highlight w:val="none"/>
              </w:rPr>
              <w:t>A0201060499 其他显示器</w:t>
            </w:r>
          </w:p>
        </w:tc>
        <w:tc>
          <w:tcPr>
            <w:tcW w:w="3272" w:type="dxa"/>
            <w:vAlign w:val="top"/>
          </w:tcPr>
          <w:p w14:paraId="775A3465">
            <w:pPr>
              <w:pStyle w:val="186"/>
              <w:spacing w:before="63" w:line="219" w:lineRule="auto"/>
              <w:ind w:left="109"/>
              <w:rPr>
                <w:color w:val="auto"/>
                <w:highlight w:val="none"/>
              </w:rPr>
            </w:pPr>
            <w:r>
              <w:rPr>
                <w:color w:val="auto"/>
                <w:spacing w:val="-1"/>
                <w:highlight w:val="none"/>
              </w:rPr>
              <w:t>HJ2536</w:t>
            </w:r>
            <w:r>
              <w:rPr>
                <w:color w:val="auto"/>
                <w:spacing w:val="-28"/>
                <w:highlight w:val="none"/>
              </w:rPr>
              <w:t xml:space="preserve"> </w:t>
            </w:r>
            <w:r>
              <w:rPr>
                <w:color w:val="auto"/>
                <w:spacing w:val="-1"/>
                <w:highlight w:val="none"/>
              </w:rPr>
              <w:t>微型计算机、显示器</w:t>
            </w:r>
          </w:p>
        </w:tc>
      </w:tr>
      <w:tr w14:paraId="5B74A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continue"/>
            <w:tcBorders>
              <w:top w:val="nil"/>
            </w:tcBorders>
            <w:vAlign w:val="top"/>
          </w:tcPr>
          <w:p w14:paraId="48054F2A">
            <w:pPr>
              <w:rPr>
                <w:rFonts w:ascii="Arial"/>
                <w:color w:val="auto"/>
                <w:sz w:val="21"/>
                <w:highlight w:val="none"/>
              </w:rPr>
            </w:pPr>
          </w:p>
        </w:tc>
        <w:tc>
          <w:tcPr>
            <w:tcW w:w="1424" w:type="dxa"/>
            <w:vMerge w:val="continue"/>
            <w:tcBorders>
              <w:top w:val="nil"/>
            </w:tcBorders>
            <w:vAlign w:val="top"/>
          </w:tcPr>
          <w:p w14:paraId="0B7A481C">
            <w:pPr>
              <w:rPr>
                <w:rFonts w:ascii="Arial"/>
                <w:color w:val="auto"/>
                <w:sz w:val="21"/>
                <w:highlight w:val="none"/>
              </w:rPr>
            </w:pPr>
          </w:p>
        </w:tc>
        <w:tc>
          <w:tcPr>
            <w:tcW w:w="2468" w:type="dxa"/>
            <w:vAlign w:val="top"/>
          </w:tcPr>
          <w:p w14:paraId="6C12EBF2">
            <w:pPr>
              <w:pStyle w:val="186"/>
              <w:spacing w:before="64" w:line="220" w:lineRule="auto"/>
              <w:ind w:left="103"/>
              <w:rPr>
                <w:color w:val="auto"/>
                <w:highlight w:val="none"/>
              </w:rPr>
            </w:pPr>
            <w:r>
              <w:rPr>
                <w:color w:val="auto"/>
                <w:spacing w:val="-2"/>
                <w:highlight w:val="none"/>
              </w:rPr>
              <w:t>A02010609</w:t>
            </w:r>
            <w:r>
              <w:rPr>
                <w:color w:val="auto"/>
                <w:spacing w:val="-9"/>
                <w:highlight w:val="none"/>
              </w:rPr>
              <w:t xml:space="preserve"> </w:t>
            </w:r>
            <w:r>
              <w:rPr>
                <w:color w:val="auto"/>
                <w:spacing w:val="-2"/>
                <w:highlight w:val="none"/>
              </w:rPr>
              <w:t>图形图像输入设备</w:t>
            </w:r>
          </w:p>
        </w:tc>
        <w:tc>
          <w:tcPr>
            <w:tcW w:w="2076" w:type="dxa"/>
            <w:vAlign w:val="top"/>
          </w:tcPr>
          <w:p w14:paraId="68D84E6D">
            <w:pPr>
              <w:pStyle w:val="186"/>
              <w:spacing w:before="64" w:line="220" w:lineRule="auto"/>
              <w:ind w:left="105"/>
              <w:rPr>
                <w:color w:val="auto"/>
                <w:highlight w:val="none"/>
              </w:rPr>
            </w:pPr>
            <w:r>
              <w:rPr>
                <w:color w:val="auto"/>
                <w:highlight w:val="none"/>
              </w:rPr>
              <w:t>A0201060901 扫描仪</w:t>
            </w:r>
          </w:p>
        </w:tc>
        <w:tc>
          <w:tcPr>
            <w:tcW w:w="3272" w:type="dxa"/>
            <w:vAlign w:val="top"/>
          </w:tcPr>
          <w:p w14:paraId="50659916">
            <w:pPr>
              <w:pStyle w:val="186"/>
              <w:spacing w:before="64" w:line="219" w:lineRule="auto"/>
              <w:ind w:left="109"/>
              <w:rPr>
                <w:color w:val="auto"/>
                <w:highlight w:val="none"/>
              </w:rPr>
            </w:pPr>
            <w:r>
              <w:rPr>
                <w:color w:val="auto"/>
                <w:spacing w:val="-1"/>
                <w:highlight w:val="none"/>
              </w:rPr>
              <w:t>HJ2517</w:t>
            </w:r>
            <w:r>
              <w:rPr>
                <w:color w:val="auto"/>
                <w:spacing w:val="-34"/>
                <w:highlight w:val="none"/>
              </w:rPr>
              <w:t xml:space="preserve"> </w:t>
            </w:r>
            <w:r>
              <w:rPr>
                <w:color w:val="auto"/>
                <w:spacing w:val="-1"/>
                <w:highlight w:val="none"/>
              </w:rPr>
              <w:t>扫描仪</w:t>
            </w:r>
          </w:p>
        </w:tc>
      </w:tr>
      <w:tr w14:paraId="59B26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Align w:val="top"/>
          </w:tcPr>
          <w:p w14:paraId="2A518FB3">
            <w:pPr>
              <w:pStyle w:val="186"/>
              <w:spacing w:before="64"/>
              <w:ind w:left="118"/>
              <w:rPr>
                <w:color w:val="auto"/>
                <w:highlight w:val="none"/>
              </w:rPr>
            </w:pPr>
            <w:r>
              <w:rPr>
                <w:color w:val="auto"/>
                <w:highlight w:val="none"/>
              </w:rPr>
              <w:t>3</w:t>
            </w:r>
          </w:p>
        </w:tc>
        <w:tc>
          <w:tcPr>
            <w:tcW w:w="1424" w:type="dxa"/>
            <w:vAlign w:val="top"/>
          </w:tcPr>
          <w:p w14:paraId="5AAA1B92">
            <w:pPr>
              <w:pStyle w:val="186"/>
              <w:spacing w:before="64" w:line="220" w:lineRule="auto"/>
              <w:ind w:left="102"/>
              <w:rPr>
                <w:color w:val="auto"/>
                <w:highlight w:val="none"/>
              </w:rPr>
            </w:pPr>
            <w:r>
              <w:rPr>
                <w:color w:val="auto"/>
                <w:spacing w:val="-1"/>
                <w:highlight w:val="none"/>
              </w:rPr>
              <w:t>A020202</w:t>
            </w:r>
            <w:r>
              <w:rPr>
                <w:color w:val="auto"/>
                <w:spacing w:val="-33"/>
                <w:highlight w:val="none"/>
              </w:rPr>
              <w:t xml:space="preserve"> </w:t>
            </w:r>
            <w:r>
              <w:rPr>
                <w:color w:val="auto"/>
                <w:spacing w:val="-1"/>
                <w:highlight w:val="none"/>
              </w:rPr>
              <w:t>投影仪</w:t>
            </w:r>
          </w:p>
        </w:tc>
        <w:tc>
          <w:tcPr>
            <w:tcW w:w="2468" w:type="dxa"/>
            <w:vAlign w:val="top"/>
          </w:tcPr>
          <w:p w14:paraId="109707A8">
            <w:pPr>
              <w:rPr>
                <w:rFonts w:ascii="Arial"/>
                <w:color w:val="auto"/>
                <w:sz w:val="21"/>
                <w:highlight w:val="none"/>
              </w:rPr>
            </w:pPr>
          </w:p>
        </w:tc>
        <w:tc>
          <w:tcPr>
            <w:tcW w:w="2076" w:type="dxa"/>
            <w:vAlign w:val="top"/>
          </w:tcPr>
          <w:p w14:paraId="03A0BE38">
            <w:pPr>
              <w:rPr>
                <w:rFonts w:ascii="Arial"/>
                <w:color w:val="auto"/>
                <w:sz w:val="21"/>
                <w:highlight w:val="none"/>
              </w:rPr>
            </w:pPr>
          </w:p>
        </w:tc>
        <w:tc>
          <w:tcPr>
            <w:tcW w:w="3272" w:type="dxa"/>
            <w:vAlign w:val="top"/>
          </w:tcPr>
          <w:p w14:paraId="7A70AB7A">
            <w:pPr>
              <w:pStyle w:val="186"/>
              <w:spacing w:before="64" w:line="219" w:lineRule="auto"/>
              <w:ind w:left="109"/>
              <w:rPr>
                <w:color w:val="auto"/>
                <w:highlight w:val="none"/>
              </w:rPr>
            </w:pPr>
            <w:r>
              <w:rPr>
                <w:color w:val="auto"/>
                <w:spacing w:val="-1"/>
                <w:highlight w:val="none"/>
              </w:rPr>
              <w:t>HJ2516</w:t>
            </w:r>
            <w:r>
              <w:rPr>
                <w:color w:val="auto"/>
                <w:spacing w:val="-34"/>
                <w:highlight w:val="none"/>
              </w:rPr>
              <w:t xml:space="preserve"> </w:t>
            </w:r>
            <w:r>
              <w:rPr>
                <w:color w:val="auto"/>
                <w:spacing w:val="-1"/>
                <w:highlight w:val="none"/>
              </w:rPr>
              <w:t>投影仪</w:t>
            </w:r>
          </w:p>
        </w:tc>
      </w:tr>
      <w:tr w14:paraId="6DD7F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38" w:type="dxa"/>
            <w:vAlign w:val="top"/>
          </w:tcPr>
          <w:p w14:paraId="2BF84250">
            <w:pPr>
              <w:pStyle w:val="186"/>
              <w:spacing w:before="64" w:line="242" w:lineRule="auto"/>
              <w:ind w:left="114"/>
              <w:rPr>
                <w:color w:val="auto"/>
                <w:highlight w:val="none"/>
              </w:rPr>
            </w:pPr>
            <w:r>
              <w:rPr>
                <w:color w:val="auto"/>
                <w:highlight w:val="none"/>
              </w:rPr>
              <w:t>4</w:t>
            </w:r>
          </w:p>
        </w:tc>
        <w:tc>
          <w:tcPr>
            <w:tcW w:w="1424" w:type="dxa"/>
            <w:vAlign w:val="top"/>
          </w:tcPr>
          <w:p w14:paraId="4FBF30E4">
            <w:pPr>
              <w:pStyle w:val="186"/>
              <w:spacing w:before="64" w:line="219" w:lineRule="auto"/>
              <w:ind w:left="102"/>
              <w:rPr>
                <w:color w:val="auto"/>
                <w:highlight w:val="none"/>
              </w:rPr>
            </w:pPr>
            <w:r>
              <w:rPr>
                <w:color w:val="auto"/>
                <w:spacing w:val="-1"/>
                <w:highlight w:val="none"/>
              </w:rPr>
              <w:t>A020201</w:t>
            </w:r>
            <w:r>
              <w:rPr>
                <w:color w:val="auto"/>
                <w:spacing w:val="-32"/>
                <w:highlight w:val="none"/>
              </w:rPr>
              <w:t xml:space="preserve"> </w:t>
            </w:r>
            <w:r>
              <w:rPr>
                <w:color w:val="auto"/>
                <w:spacing w:val="-1"/>
                <w:highlight w:val="none"/>
              </w:rPr>
              <w:t>复印机</w:t>
            </w:r>
          </w:p>
        </w:tc>
        <w:tc>
          <w:tcPr>
            <w:tcW w:w="2468" w:type="dxa"/>
            <w:vAlign w:val="top"/>
          </w:tcPr>
          <w:p w14:paraId="19444190">
            <w:pPr>
              <w:rPr>
                <w:rFonts w:ascii="Arial"/>
                <w:color w:val="auto"/>
                <w:sz w:val="21"/>
                <w:highlight w:val="none"/>
              </w:rPr>
            </w:pPr>
          </w:p>
        </w:tc>
        <w:tc>
          <w:tcPr>
            <w:tcW w:w="2076" w:type="dxa"/>
            <w:vAlign w:val="top"/>
          </w:tcPr>
          <w:p w14:paraId="31BC80DF">
            <w:pPr>
              <w:rPr>
                <w:rFonts w:ascii="Arial"/>
                <w:color w:val="auto"/>
                <w:sz w:val="21"/>
                <w:highlight w:val="none"/>
              </w:rPr>
            </w:pPr>
          </w:p>
        </w:tc>
        <w:tc>
          <w:tcPr>
            <w:tcW w:w="3272" w:type="dxa"/>
            <w:vAlign w:val="top"/>
          </w:tcPr>
          <w:p w14:paraId="00EE361F">
            <w:pPr>
              <w:pStyle w:val="186"/>
              <w:spacing w:before="64" w:line="219" w:lineRule="auto"/>
              <w:ind w:left="109"/>
              <w:rPr>
                <w:color w:val="auto"/>
                <w:highlight w:val="none"/>
              </w:rPr>
            </w:pPr>
            <w:r>
              <w:rPr>
                <w:color w:val="auto"/>
                <w:highlight w:val="none"/>
              </w:rPr>
              <w:t>HJ424 数字式复印（包括多功能）设备</w:t>
            </w:r>
          </w:p>
        </w:tc>
      </w:tr>
      <w:tr w14:paraId="15290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38" w:type="dxa"/>
            <w:vAlign w:val="top"/>
          </w:tcPr>
          <w:p w14:paraId="04F2584F">
            <w:pPr>
              <w:pStyle w:val="186"/>
              <w:spacing w:before="65"/>
              <w:ind w:left="118"/>
              <w:rPr>
                <w:color w:val="auto"/>
                <w:highlight w:val="none"/>
              </w:rPr>
            </w:pPr>
            <w:r>
              <w:rPr>
                <w:color w:val="auto"/>
                <w:highlight w:val="none"/>
              </w:rPr>
              <w:t>5</w:t>
            </w:r>
          </w:p>
        </w:tc>
        <w:tc>
          <w:tcPr>
            <w:tcW w:w="1424" w:type="dxa"/>
            <w:vAlign w:val="top"/>
          </w:tcPr>
          <w:p w14:paraId="4BCB84E1">
            <w:pPr>
              <w:pStyle w:val="186"/>
              <w:spacing w:before="64" w:line="284" w:lineRule="auto"/>
              <w:ind w:left="110" w:right="108" w:hanging="8"/>
              <w:rPr>
                <w:color w:val="auto"/>
                <w:highlight w:val="none"/>
              </w:rPr>
            </w:pPr>
            <w:r>
              <w:rPr>
                <w:color w:val="auto"/>
                <w:spacing w:val="2"/>
                <w:highlight w:val="none"/>
              </w:rPr>
              <w:t>A020204</w:t>
            </w:r>
            <w:r>
              <w:rPr>
                <w:color w:val="auto"/>
                <w:spacing w:val="44"/>
                <w:highlight w:val="none"/>
              </w:rPr>
              <w:t xml:space="preserve"> </w:t>
            </w:r>
            <w:r>
              <w:rPr>
                <w:color w:val="auto"/>
                <w:spacing w:val="2"/>
                <w:highlight w:val="none"/>
              </w:rPr>
              <w:t>多功能</w:t>
            </w:r>
            <w:r>
              <w:rPr>
                <w:color w:val="auto"/>
                <w:highlight w:val="none"/>
              </w:rPr>
              <w:t xml:space="preserve"> </w:t>
            </w:r>
            <w:r>
              <w:rPr>
                <w:color w:val="auto"/>
                <w:spacing w:val="-4"/>
                <w:highlight w:val="none"/>
              </w:rPr>
              <w:t>一体机</w:t>
            </w:r>
          </w:p>
        </w:tc>
        <w:tc>
          <w:tcPr>
            <w:tcW w:w="2468" w:type="dxa"/>
            <w:vAlign w:val="top"/>
          </w:tcPr>
          <w:p w14:paraId="0DEEFE1C">
            <w:pPr>
              <w:rPr>
                <w:rFonts w:ascii="Arial"/>
                <w:color w:val="auto"/>
                <w:sz w:val="21"/>
                <w:highlight w:val="none"/>
              </w:rPr>
            </w:pPr>
          </w:p>
        </w:tc>
        <w:tc>
          <w:tcPr>
            <w:tcW w:w="2076" w:type="dxa"/>
            <w:vAlign w:val="top"/>
          </w:tcPr>
          <w:p w14:paraId="54CC473F">
            <w:pPr>
              <w:rPr>
                <w:rFonts w:ascii="Arial"/>
                <w:color w:val="auto"/>
                <w:sz w:val="21"/>
                <w:highlight w:val="none"/>
              </w:rPr>
            </w:pPr>
          </w:p>
        </w:tc>
        <w:tc>
          <w:tcPr>
            <w:tcW w:w="3272" w:type="dxa"/>
            <w:vAlign w:val="top"/>
          </w:tcPr>
          <w:p w14:paraId="480F32AB">
            <w:pPr>
              <w:pStyle w:val="186"/>
              <w:spacing w:before="64" w:line="219" w:lineRule="auto"/>
              <w:ind w:left="109"/>
              <w:rPr>
                <w:color w:val="auto"/>
                <w:highlight w:val="none"/>
              </w:rPr>
            </w:pPr>
            <w:r>
              <w:rPr>
                <w:color w:val="auto"/>
                <w:highlight w:val="none"/>
              </w:rPr>
              <w:t>HJ424 数字式复印（包括多功能）设备</w:t>
            </w:r>
          </w:p>
        </w:tc>
      </w:tr>
      <w:tr w14:paraId="710C2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38" w:type="dxa"/>
            <w:vAlign w:val="top"/>
          </w:tcPr>
          <w:p w14:paraId="0502D3A6">
            <w:pPr>
              <w:pStyle w:val="186"/>
              <w:spacing w:before="65"/>
              <w:ind w:left="116"/>
              <w:rPr>
                <w:color w:val="auto"/>
                <w:highlight w:val="none"/>
              </w:rPr>
            </w:pPr>
            <w:r>
              <w:rPr>
                <w:color w:val="auto"/>
                <w:highlight w:val="none"/>
              </w:rPr>
              <w:t>6</w:t>
            </w:r>
          </w:p>
        </w:tc>
        <w:tc>
          <w:tcPr>
            <w:tcW w:w="1424" w:type="dxa"/>
            <w:vAlign w:val="top"/>
          </w:tcPr>
          <w:p w14:paraId="00117926">
            <w:pPr>
              <w:pStyle w:val="186"/>
              <w:spacing w:before="66" w:line="283" w:lineRule="auto"/>
              <w:ind w:left="109" w:right="108" w:hanging="7"/>
              <w:rPr>
                <w:color w:val="auto"/>
                <w:highlight w:val="none"/>
              </w:rPr>
            </w:pPr>
            <w:r>
              <w:rPr>
                <w:color w:val="auto"/>
                <w:spacing w:val="-1"/>
                <w:highlight w:val="none"/>
              </w:rPr>
              <w:t>A020210</w:t>
            </w:r>
            <w:r>
              <w:rPr>
                <w:color w:val="auto"/>
                <w:spacing w:val="32"/>
                <w:highlight w:val="none"/>
              </w:rPr>
              <w:t xml:space="preserve"> </w:t>
            </w:r>
            <w:r>
              <w:rPr>
                <w:color w:val="auto"/>
                <w:spacing w:val="-1"/>
                <w:highlight w:val="none"/>
              </w:rPr>
              <w:t>文</w:t>
            </w:r>
            <w:r>
              <w:rPr>
                <w:color w:val="auto"/>
                <w:spacing w:val="-48"/>
                <w:highlight w:val="none"/>
              </w:rPr>
              <w:t xml:space="preserve"> </w:t>
            </w:r>
            <w:r>
              <w:rPr>
                <w:color w:val="auto"/>
                <w:spacing w:val="-1"/>
                <w:highlight w:val="none"/>
              </w:rPr>
              <w:t>印设</w:t>
            </w:r>
            <w:r>
              <w:rPr>
                <w:color w:val="auto"/>
                <w:highlight w:val="none"/>
              </w:rPr>
              <w:t xml:space="preserve"> 备</w:t>
            </w:r>
          </w:p>
        </w:tc>
        <w:tc>
          <w:tcPr>
            <w:tcW w:w="2468" w:type="dxa"/>
            <w:vAlign w:val="top"/>
          </w:tcPr>
          <w:p w14:paraId="2D81C236">
            <w:pPr>
              <w:pStyle w:val="186"/>
              <w:spacing w:before="65" w:line="219" w:lineRule="auto"/>
              <w:ind w:left="103"/>
              <w:rPr>
                <w:color w:val="auto"/>
                <w:highlight w:val="none"/>
              </w:rPr>
            </w:pPr>
            <w:r>
              <w:rPr>
                <w:color w:val="auto"/>
                <w:highlight w:val="none"/>
              </w:rPr>
              <w:t>A02021001 速印机</w:t>
            </w:r>
          </w:p>
        </w:tc>
        <w:tc>
          <w:tcPr>
            <w:tcW w:w="2076" w:type="dxa"/>
            <w:vAlign w:val="top"/>
          </w:tcPr>
          <w:p w14:paraId="72D2AA3D">
            <w:pPr>
              <w:rPr>
                <w:rFonts w:ascii="Arial"/>
                <w:color w:val="auto"/>
                <w:sz w:val="21"/>
                <w:highlight w:val="none"/>
              </w:rPr>
            </w:pPr>
          </w:p>
        </w:tc>
        <w:tc>
          <w:tcPr>
            <w:tcW w:w="3272" w:type="dxa"/>
            <w:vAlign w:val="top"/>
          </w:tcPr>
          <w:p w14:paraId="3A1A21CF">
            <w:pPr>
              <w:pStyle w:val="186"/>
              <w:spacing w:before="65" w:line="219" w:lineRule="auto"/>
              <w:ind w:left="109"/>
              <w:rPr>
                <w:color w:val="auto"/>
                <w:highlight w:val="none"/>
              </w:rPr>
            </w:pPr>
            <w:r>
              <w:rPr>
                <w:color w:val="auto"/>
                <w:spacing w:val="-1"/>
                <w:highlight w:val="none"/>
              </w:rPr>
              <w:t>HJ472 数字式一体化速印机</w:t>
            </w:r>
          </w:p>
        </w:tc>
      </w:tr>
      <w:tr w14:paraId="71A03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38" w:type="dxa"/>
            <w:vAlign w:val="top"/>
          </w:tcPr>
          <w:p w14:paraId="36FDA11B">
            <w:pPr>
              <w:pStyle w:val="186"/>
              <w:spacing w:before="66"/>
              <w:ind w:left="119"/>
              <w:rPr>
                <w:color w:val="auto"/>
                <w:highlight w:val="none"/>
              </w:rPr>
            </w:pPr>
            <w:r>
              <w:rPr>
                <w:color w:val="auto"/>
                <w:highlight w:val="none"/>
              </w:rPr>
              <w:t>7</w:t>
            </w:r>
          </w:p>
        </w:tc>
        <w:tc>
          <w:tcPr>
            <w:tcW w:w="1424" w:type="dxa"/>
            <w:vAlign w:val="top"/>
          </w:tcPr>
          <w:p w14:paraId="49F3FEEC">
            <w:pPr>
              <w:pStyle w:val="186"/>
              <w:spacing w:before="67" w:line="301" w:lineRule="auto"/>
              <w:ind w:left="109" w:right="32" w:hanging="7"/>
              <w:rPr>
                <w:color w:val="auto"/>
                <w:highlight w:val="none"/>
              </w:rPr>
            </w:pPr>
            <w:r>
              <w:rPr>
                <w:color w:val="auto"/>
                <w:spacing w:val="3"/>
                <w:highlight w:val="none"/>
              </w:rPr>
              <w:t>A020301</w:t>
            </w:r>
            <w:r>
              <w:rPr>
                <w:color w:val="auto"/>
                <w:spacing w:val="34"/>
                <w:highlight w:val="none"/>
              </w:rPr>
              <w:t xml:space="preserve"> </w:t>
            </w:r>
            <w:r>
              <w:rPr>
                <w:color w:val="auto"/>
                <w:spacing w:val="3"/>
                <w:highlight w:val="none"/>
              </w:rPr>
              <w:t>载货汽</w:t>
            </w:r>
            <w:r>
              <w:rPr>
                <w:color w:val="auto"/>
                <w:highlight w:val="none"/>
              </w:rPr>
              <w:t xml:space="preserve">  </w:t>
            </w:r>
            <w:r>
              <w:rPr>
                <w:color w:val="auto"/>
                <w:spacing w:val="-6"/>
                <w:highlight w:val="none"/>
              </w:rPr>
              <w:t>车（含自卸汽车）</w:t>
            </w:r>
          </w:p>
        </w:tc>
        <w:tc>
          <w:tcPr>
            <w:tcW w:w="2468" w:type="dxa"/>
            <w:vAlign w:val="top"/>
          </w:tcPr>
          <w:p w14:paraId="64E31A6D">
            <w:pPr>
              <w:rPr>
                <w:rFonts w:ascii="Arial"/>
                <w:color w:val="auto"/>
                <w:sz w:val="21"/>
                <w:highlight w:val="none"/>
              </w:rPr>
            </w:pPr>
          </w:p>
        </w:tc>
        <w:tc>
          <w:tcPr>
            <w:tcW w:w="2076" w:type="dxa"/>
            <w:vAlign w:val="top"/>
          </w:tcPr>
          <w:p w14:paraId="4136AABC">
            <w:pPr>
              <w:rPr>
                <w:rFonts w:ascii="Arial"/>
                <w:color w:val="auto"/>
                <w:sz w:val="21"/>
                <w:highlight w:val="none"/>
              </w:rPr>
            </w:pPr>
          </w:p>
        </w:tc>
        <w:tc>
          <w:tcPr>
            <w:tcW w:w="3272" w:type="dxa"/>
            <w:vAlign w:val="top"/>
          </w:tcPr>
          <w:p w14:paraId="6D4F9844">
            <w:pPr>
              <w:pStyle w:val="186"/>
              <w:spacing w:before="65" w:line="219" w:lineRule="auto"/>
              <w:ind w:left="109"/>
              <w:rPr>
                <w:color w:val="auto"/>
                <w:highlight w:val="none"/>
              </w:rPr>
            </w:pPr>
            <w:r>
              <w:rPr>
                <w:color w:val="auto"/>
                <w:spacing w:val="-1"/>
                <w:highlight w:val="none"/>
              </w:rPr>
              <w:t>HJ2532</w:t>
            </w:r>
            <w:r>
              <w:rPr>
                <w:color w:val="auto"/>
                <w:spacing w:val="-35"/>
                <w:highlight w:val="none"/>
              </w:rPr>
              <w:t xml:space="preserve"> </w:t>
            </w:r>
            <w:r>
              <w:rPr>
                <w:color w:val="auto"/>
                <w:spacing w:val="-1"/>
                <w:highlight w:val="none"/>
              </w:rPr>
              <w:t>轻型汽车</w:t>
            </w:r>
          </w:p>
        </w:tc>
      </w:tr>
      <w:tr w14:paraId="253CE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538" w:type="dxa"/>
            <w:vMerge w:val="restart"/>
            <w:tcBorders>
              <w:bottom w:val="nil"/>
            </w:tcBorders>
            <w:vAlign w:val="top"/>
          </w:tcPr>
          <w:p w14:paraId="2B298921">
            <w:pPr>
              <w:pStyle w:val="186"/>
              <w:spacing w:before="67"/>
              <w:ind w:left="115"/>
              <w:rPr>
                <w:color w:val="auto"/>
                <w:highlight w:val="none"/>
              </w:rPr>
            </w:pPr>
            <w:r>
              <w:rPr>
                <w:color w:val="auto"/>
                <w:highlight w:val="none"/>
              </w:rPr>
              <w:t>8</w:t>
            </w:r>
          </w:p>
        </w:tc>
        <w:tc>
          <w:tcPr>
            <w:tcW w:w="1424" w:type="dxa"/>
            <w:vMerge w:val="restart"/>
            <w:tcBorders>
              <w:bottom w:val="nil"/>
            </w:tcBorders>
            <w:vAlign w:val="top"/>
          </w:tcPr>
          <w:p w14:paraId="74474A1B">
            <w:pPr>
              <w:pStyle w:val="186"/>
              <w:spacing w:before="66" w:line="322" w:lineRule="auto"/>
              <w:ind w:left="112" w:right="108" w:hanging="10"/>
              <w:rPr>
                <w:color w:val="auto"/>
                <w:highlight w:val="none"/>
              </w:rPr>
            </w:pPr>
            <w:r>
              <w:rPr>
                <w:color w:val="auto"/>
                <w:spacing w:val="3"/>
                <w:highlight w:val="none"/>
              </w:rPr>
              <w:t>A020305</w:t>
            </w:r>
            <w:r>
              <w:rPr>
                <w:color w:val="auto"/>
                <w:spacing w:val="34"/>
                <w:highlight w:val="none"/>
              </w:rPr>
              <w:t xml:space="preserve"> </w:t>
            </w:r>
            <w:r>
              <w:rPr>
                <w:color w:val="auto"/>
                <w:spacing w:val="3"/>
                <w:highlight w:val="none"/>
              </w:rPr>
              <w:t>乘用车</w:t>
            </w:r>
            <w:r>
              <w:rPr>
                <w:color w:val="auto"/>
                <w:highlight w:val="none"/>
              </w:rPr>
              <w:t xml:space="preserve"> </w:t>
            </w:r>
            <w:r>
              <w:rPr>
                <w:color w:val="auto"/>
                <w:spacing w:val="-3"/>
                <w:highlight w:val="none"/>
              </w:rPr>
              <w:t>（轿车）</w:t>
            </w:r>
          </w:p>
        </w:tc>
        <w:tc>
          <w:tcPr>
            <w:tcW w:w="2468" w:type="dxa"/>
            <w:vAlign w:val="top"/>
          </w:tcPr>
          <w:p w14:paraId="7CA859D8">
            <w:pPr>
              <w:pStyle w:val="186"/>
              <w:spacing w:before="66" w:line="220" w:lineRule="auto"/>
              <w:ind w:left="103"/>
              <w:rPr>
                <w:color w:val="auto"/>
                <w:highlight w:val="none"/>
              </w:rPr>
            </w:pPr>
            <w:r>
              <w:rPr>
                <w:color w:val="auto"/>
                <w:highlight w:val="none"/>
              </w:rPr>
              <w:t>A02030501 轿车</w:t>
            </w:r>
          </w:p>
        </w:tc>
        <w:tc>
          <w:tcPr>
            <w:tcW w:w="2076" w:type="dxa"/>
            <w:vAlign w:val="top"/>
          </w:tcPr>
          <w:p w14:paraId="03B67731">
            <w:pPr>
              <w:rPr>
                <w:rFonts w:ascii="Arial"/>
                <w:color w:val="auto"/>
                <w:sz w:val="21"/>
                <w:highlight w:val="none"/>
              </w:rPr>
            </w:pPr>
          </w:p>
        </w:tc>
        <w:tc>
          <w:tcPr>
            <w:tcW w:w="3272" w:type="dxa"/>
            <w:vAlign w:val="top"/>
          </w:tcPr>
          <w:p w14:paraId="6508C802">
            <w:pPr>
              <w:pStyle w:val="186"/>
              <w:spacing w:before="66" w:line="219" w:lineRule="auto"/>
              <w:ind w:left="109"/>
              <w:rPr>
                <w:color w:val="auto"/>
                <w:highlight w:val="none"/>
              </w:rPr>
            </w:pPr>
            <w:r>
              <w:rPr>
                <w:color w:val="auto"/>
                <w:spacing w:val="-1"/>
                <w:highlight w:val="none"/>
              </w:rPr>
              <w:t>HJ2532</w:t>
            </w:r>
            <w:r>
              <w:rPr>
                <w:color w:val="auto"/>
                <w:spacing w:val="-35"/>
                <w:highlight w:val="none"/>
              </w:rPr>
              <w:t xml:space="preserve"> </w:t>
            </w:r>
            <w:r>
              <w:rPr>
                <w:color w:val="auto"/>
                <w:spacing w:val="-1"/>
                <w:highlight w:val="none"/>
              </w:rPr>
              <w:t>轻型汽车</w:t>
            </w:r>
          </w:p>
        </w:tc>
      </w:tr>
      <w:tr w14:paraId="0DF4B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continue"/>
            <w:tcBorders>
              <w:top w:val="nil"/>
            </w:tcBorders>
            <w:vAlign w:val="top"/>
          </w:tcPr>
          <w:p w14:paraId="30F416B8">
            <w:pPr>
              <w:rPr>
                <w:rFonts w:ascii="Arial"/>
                <w:color w:val="auto"/>
                <w:sz w:val="21"/>
                <w:highlight w:val="none"/>
              </w:rPr>
            </w:pPr>
          </w:p>
        </w:tc>
        <w:tc>
          <w:tcPr>
            <w:tcW w:w="1424" w:type="dxa"/>
            <w:vMerge w:val="continue"/>
            <w:tcBorders>
              <w:top w:val="nil"/>
            </w:tcBorders>
            <w:vAlign w:val="top"/>
          </w:tcPr>
          <w:p w14:paraId="2937DEEB">
            <w:pPr>
              <w:rPr>
                <w:rFonts w:ascii="Arial"/>
                <w:color w:val="auto"/>
                <w:sz w:val="21"/>
                <w:highlight w:val="none"/>
              </w:rPr>
            </w:pPr>
          </w:p>
        </w:tc>
        <w:tc>
          <w:tcPr>
            <w:tcW w:w="2468" w:type="dxa"/>
            <w:vAlign w:val="top"/>
          </w:tcPr>
          <w:p w14:paraId="65AC3BB2">
            <w:pPr>
              <w:pStyle w:val="186"/>
              <w:spacing w:before="66" w:line="220" w:lineRule="auto"/>
              <w:ind w:left="103"/>
              <w:rPr>
                <w:color w:val="auto"/>
                <w:highlight w:val="none"/>
              </w:rPr>
            </w:pPr>
            <w:r>
              <w:rPr>
                <w:color w:val="auto"/>
                <w:spacing w:val="-1"/>
                <w:highlight w:val="none"/>
              </w:rPr>
              <w:t>A02030599</w:t>
            </w:r>
            <w:r>
              <w:rPr>
                <w:color w:val="auto"/>
                <w:spacing w:val="-28"/>
                <w:highlight w:val="none"/>
              </w:rPr>
              <w:t xml:space="preserve"> </w:t>
            </w:r>
            <w:r>
              <w:rPr>
                <w:color w:val="auto"/>
                <w:spacing w:val="-1"/>
                <w:highlight w:val="none"/>
              </w:rPr>
              <w:t>其他乘用车（轿车）</w:t>
            </w:r>
          </w:p>
        </w:tc>
        <w:tc>
          <w:tcPr>
            <w:tcW w:w="2076" w:type="dxa"/>
            <w:vAlign w:val="top"/>
          </w:tcPr>
          <w:p w14:paraId="567604D0">
            <w:pPr>
              <w:rPr>
                <w:rFonts w:ascii="Arial"/>
                <w:color w:val="auto"/>
                <w:sz w:val="21"/>
                <w:highlight w:val="none"/>
              </w:rPr>
            </w:pPr>
          </w:p>
        </w:tc>
        <w:tc>
          <w:tcPr>
            <w:tcW w:w="3272" w:type="dxa"/>
            <w:vAlign w:val="top"/>
          </w:tcPr>
          <w:p w14:paraId="33024E98">
            <w:pPr>
              <w:pStyle w:val="186"/>
              <w:spacing w:before="66" w:line="219" w:lineRule="auto"/>
              <w:ind w:left="109"/>
              <w:rPr>
                <w:color w:val="auto"/>
                <w:highlight w:val="none"/>
              </w:rPr>
            </w:pPr>
            <w:r>
              <w:rPr>
                <w:color w:val="auto"/>
                <w:spacing w:val="-1"/>
                <w:highlight w:val="none"/>
              </w:rPr>
              <w:t>HJ2532</w:t>
            </w:r>
            <w:r>
              <w:rPr>
                <w:color w:val="auto"/>
                <w:spacing w:val="-35"/>
                <w:highlight w:val="none"/>
              </w:rPr>
              <w:t xml:space="preserve"> </w:t>
            </w:r>
            <w:r>
              <w:rPr>
                <w:color w:val="auto"/>
                <w:spacing w:val="-1"/>
                <w:highlight w:val="none"/>
              </w:rPr>
              <w:t>轻型汽车</w:t>
            </w:r>
          </w:p>
        </w:tc>
      </w:tr>
      <w:tr w14:paraId="21502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38" w:type="dxa"/>
            <w:vAlign w:val="top"/>
          </w:tcPr>
          <w:p w14:paraId="5216C84A">
            <w:pPr>
              <w:pStyle w:val="186"/>
              <w:spacing w:before="66"/>
              <w:ind w:left="115"/>
              <w:rPr>
                <w:color w:val="auto"/>
                <w:highlight w:val="none"/>
              </w:rPr>
            </w:pPr>
            <w:r>
              <w:rPr>
                <w:color w:val="auto"/>
                <w:highlight w:val="none"/>
              </w:rPr>
              <w:t>9</w:t>
            </w:r>
          </w:p>
        </w:tc>
        <w:tc>
          <w:tcPr>
            <w:tcW w:w="1424" w:type="dxa"/>
            <w:vAlign w:val="top"/>
          </w:tcPr>
          <w:p w14:paraId="39F42DAF">
            <w:pPr>
              <w:pStyle w:val="186"/>
              <w:spacing w:before="66" w:line="220" w:lineRule="auto"/>
              <w:ind w:left="102"/>
              <w:rPr>
                <w:color w:val="auto"/>
                <w:highlight w:val="none"/>
              </w:rPr>
            </w:pPr>
            <w:r>
              <w:rPr>
                <w:color w:val="auto"/>
                <w:spacing w:val="-1"/>
                <w:highlight w:val="none"/>
              </w:rPr>
              <w:t>A020306</w:t>
            </w:r>
            <w:r>
              <w:rPr>
                <w:color w:val="auto"/>
                <w:spacing w:val="-33"/>
                <w:highlight w:val="none"/>
              </w:rPr>
              <w:t xml:space="preserve"> </w:t>
            </w:r>
            <w:r>
              <w:rPr>
                <w:color w:val="auto"/>
                <w:spacing w:val="-1"/>
                <w:highlight w:val="none"/>
              </w:rPr>
              <w:t>客车</w:t>
            </w:r>
          </w:p>
        </w:tc>
        <w:tc>
          <w:tcPr>
            <w:tcW w:w="2468" w:type="dxa"/>
            <w:vAlign w:val="top"/>
          </w:tcPr>
          <w:p w14:paraId="6495EDE6">
            <w:pPr>
              <w:pStyle w:val="186"/>
              <w:spacing w:before="66" w:line="220" w:lineRule="auto"/>
              <w:ind w:left="103"/>
              <w:rPr>
                <w:color w:val="auto"/>
                <w:highlight w:val="none"/>
              </w:rPr>
            </w:pPr>
            <w:r>
              <w:rPr>
                <w:color w:val="auto"/>
                <w:spacing w:val="-1"/>
                <w:highlight w:val="none"/>
              </w:rPr>
              <w:t>A02030601</w:t>
            </w:r>
            <w:r>
              <w:rPr>
                <w:color w:val="auto"/>
                <w:spacing w:val="-30"/>
                <w:highlight w:val="none"/>
              </w:rPr>
              <w:t xml:space="preserve"> </w:t>
            </w:r>
            <w:r>
              <w:rPr>
                <w:color w:val="auto"/>
                <w:spacing w:val="-1"/>
                <w:highlight w:val="none"/>
              </w:rPr>
              <w:t>小型客车</w:t>
            </w:r>
          </w:p>
        </w:tc>
        <w:tc>
          <w:tcPr>
            <w:tcW w:w="2076" w:type="dxa"/>
            <w:vAlign w:val="top"/>
          </w:tcPr>
          <w:p w14:paraId="5A948B6C">
            <w:pPr>
              <w:rPr>
                <w:rFonts w:ascii="Arial"/>
                <w:color w:val="auto"/>
                <w:sz w:val="21"/>
                <w:highlight w:val="none"/>
              </w:rPr>
            </w:pPr>
          </w:p>
        </w:tc>
        <w:tc>
          <w:tcPr>
            <w:tcW w:w="3272" w:type="dxa"/>
            <w:vAlign w:val="top"/>
          </w:tcPr>
          <w:p w14:paraId="26586727">
            <w:pPr>
              <w:pStyle w:val="186"/>
              <w:spacing w:before="66" w:line="219" w:lineRule="auto"/>
              <w:ind w:left="109"/>
              <w:rPr>
                <w:color w:val="auto"/>
                <w:highlight w:val="none"/>
              </w:rPr>
            </w:pPr>
            <w:r>
              <w:rPr>
                <w:color w:val="auto"/>
                <w:spacing w:val="-1"/>
                <w:highlight w:val="none"/>
              </w:rPr>
              <w:t>HJ2532</w:t>
            </w:r>
            <w:r>
              <w:rPr>
                <w:color w:val="auto"/>
                <w:spacing w:val="-35"/>
                <w:highlight w:val="none"/>
              </w:rPr>
              <w:t xml:space="preserve"> </w:t>
            </w:r>
            <w:r>
              <w:rPr>
                <w:color w:val="auto"/>
                <w:spacing w:val="-1"/>
                <w:highlight w:val="none"/>
              </w:rPr>
              <w:t>轻型汽车</w:t>
            </w:r>
          </w:p>
        </w:tc>
      </w:tr>
      <w:tr w14:paraId="058DF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38" w:type="dxa"/>
            <w:vAlign w:val="top"/>
          </w:tcPr>
          <w:p w14:paraId="2B5DCDC8">
            <w:pPr>
              <w:pStyle w:val="186"/>
              <w:spacing w:before="67"/>
              <w:ind w:left="128"/>
              <w:rPr>
                <w:color w:val="auto"/>
                <w:highlight w:val="none"/>
              </w:rPr>
            </w:pPr>
            <w:r>
              <w:rPr>
                <w:color w:val="auto"/>
                <w:spacing w:val="-10"/>
                <w:highlight w:val="none"/>
              </w:rPr>
              <w:t>10</w:t>
            </w:r>
          </w:p>
        </w:tc>
        <w:tc>
          <w:tcPr>
            <w:tcW w:w="1424" w:type="dxa"/>
            <w:vAlign w:val="top"/>
          </w:tcPr>
          <w:p w14:paraId="0CA48E3F">
            <w:pPr>
              <w:pStyle w:val="186"/>
              <w:spacing w:before="66" w:line="283" w:lineRule="auto"/>
              <w:ind w:left="106" w:right="108" w:hanging="4"/>
              <w:rPr>
                <w:color w:val="auto"/>
                <w:highlight w:val="none"/>
              </w:rPr>
            </w:pPr>
            <w:r>
              <w:rPr>
                <w:color w:val="auto"/>
                <w:spacing w:val="3"/>
                <w:highlight w:val="none"/>
              </w:rPr>
              <w:t>A020307</w:t>
            </w:r>
            <w:r>
              <w:rPr>
                <w:color w:val="auto"/>
                <w:spacing w:val="34"/>
                <w:highlight w:val="none"/>
              </w:rPr>
              <w:t xml:space="preserve"> </w:t>
            </w:r>
            <w:r>
              <w:rPr>
                <w:color w:val="auto"/>
                <w:spacing w:val="3"/>
                <w:highlight w:val="none"/>
              </w:rPr>
              <w:t>专用车</w:t>
            </w:r>
            <w:r>
              <w:rPr>
                <w:color w:val="auto"/>
                <w:highlight w:val="none"/>
              </w:rPr>
              <w:t xml:space="preserve"> 辆</w:t>
            </w:r>
          </w:p>
        </w:tc>
        <w:tc>
          <w:tcPr>
            <w:tcW w:w="2468" w:type="dxa"/>
            <w:vAlign w:val="top"/>
          </w:tcPr>
          <w:p w14:paraId="0F542180">
            <w:pPr>
              <w:pStyle w:val="186"/>
              <w:spacing w:before="66" w:line="220" w:lineRule="auto"/>
              <w:ind w:left="103"/>
              <w:rPr>
                <w:color w:val="auto"/>
                <w:highlight w:val="none"/>
              </w:rPr>
            </w:pPr>
            <w:r>
              <w:rPr>
                <w:color w:val="auto"/>
                <w:spacing w:val="-1"/>
                <w:highlight w:val="none"/>
              </w:rPr>
              <w:t>A02030799</w:t>
            </w:r>
            <w:r>
              <w:rPr>
                <w:color w:val="auto"/>
                <w:spacing w:val="-30"/>
                <w:highlight w:val="none"/>
              </w:rPr>
              <w:t xml:space="preserve"> </w:t>
            </w:r>
            <w:r>
              <w:rPr>
                <w:color w:val="auto"/>
                <w:spacing w:val="-1"/>
                <w:highlight w:val="none"/>
              </w:rPr>
              <w:t>其他专用汽车</w:t>
            </w:r>
          </w:p>
        </w:tc>
        <w:tc>
          <w:tcPr>
            <w:tcW w:w="2076" w:type="dxa"/>
            <w:vAlign w:val="top"/>
          </w:tcPr>
          <w:p w14:paraId="5C814261">
            <w:pPr>
              <w:rPr>
                <w:rFonts w:ascii="Arial"/>
                <w:color w:val="auto"/>
                <w:sz w:val="21"/>
                <w:highlight w:val="none"/>
              </w:rPr>
            </w:pPr>
          </w:p>
        </w:tc>
        <w:tc>
          <w:tcPr>
            <w:tcW w:w="3272" w:type="dxa"/>
            <w:vAlign w:val="top"/>
          </w:tcPr>
          <w:p w14:paraId="61481293">
            <w:pPr>
              <w:pStyle w:val="186"/>
              <w:spacing w:before="66" w:line="219" w:lineRule="auto"/>
              <w:ind w:left="109"/>
              <w:rPr>
                <w:color w:val="auto"/>
                <w:highlight w:val="none"/>
              </w:rPr>
            </w:pPr>
            <w:r>
              <w:rPr>
                <w:color w:val="auto"/>
                <w:spacing w:val="-1"/>
                <w:highlight w:val="none"/>
              </w:rPr>
              <w:t>HJ2532</w:t>
            </w:r>
            <w:r>
              <w:rPr>
                <w:color w:val="auto"/>
                <w:spacing w:val="-35"/>
                <w:highlight w:val="none"/>
              </w:rPr>
              <w:t xml:space="preserve"> </w:t>
            </w:r>
            <w:r>
              <w:rPr>
                <w:color w:val="auto"/>
                <w:spacing w:val="-1"/>
                <w:highlight w:val="none"/>
              </w:rPr>
              <w:t>轻型汽车</w:t>
            </w:r>
          </w:p>
        </w:tc>
      </w:tr>
      <w:tr w14:paraId="0B87F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38" w:type="dxa"/>
            <w:vMerge w:val="restart"/>
            <w:tcBorders>
              <w:bottom w:val="nil"/>
            </w:tcBorders>
            <w:vAlign w:val="top"/>
          </w:tcPr>
          <w:p w14:paraId="0EC08BD6">
            <w:pPr>
              <w:pStyle w:val="186"/>
              <w:spacing w:before="69" w:line="242" w:lineRule="auto"/>
              <w:ind w:left="128"/>
              <w:rPr>
                <w:color w:val="auto"/>
                <w:highlight w:val="none"/>
              </w:rPr>
            </w:pPr>
            <w:r>
              <w:rPr>
                <w:color w:val="auto"/>
                <w:spacing w:val="-10"/>
                <w:highlight w:val="none"/>
              </w:rPr>
              <w:t>11</w:t>
            </w:r>
          </w:p>
        </w:tc>
        <w:tc>
          <w:tcPr>
            <w:tcW w:w="1424" w:type="dxa"/>
            <w:vMerge w:val="restart"/>
            <w:tcBorders>
              <w:bottom w:val="nil"/>
            </w:tcBorders>
            <w:vAlign w:val="top"/>
          </w:tcPr>
          <w:p w14:paraId="1A5E5640">
            <w:pPr>
              <w:pStyle w:val="186"/>
              <w:spacing w:before="69" w:line="323" w:lineRule="auto"/>
              <w:ind w:left="109" w:right="108" w:hanging="7"/>
              <w:rPr>
                <w:color w:val="auto"/>
                <w:highlight w:val="none"/>
              </w:rPr>
            </w:pPr>
            <w:r>
              <w:rPr>
                <w:color w:val="auto"/>
                <w:spacing w:val="3"/>
                <w:highlight w:val="none"/>
              </w:rPr>
              <w:t>A020523</w:t>
            </w:r>
            <w:r>
              <w:rPr>
                <w:color w:val="auto"/>
                <w:spacing w:val="34"/>
                <w:highlight w:val="none"/>
              </w:rPr>
              <w:t xml:space="preserve"> </w:t>
            </w:r>
            <w:r>
              <w:rPr>
                <w:color w:val="auto"/>
                <w:spacing w:val="3"/>
                <w:highlight w:val="none"/>
              </w:rPr>
              <w:t>制冷空</w:t>
            </w:r>
            <w:r>
              <w:rPr>
                <w:color w:val="auto"/>
                <w:highlight w:val="none"/>
              </w:rPr>
              <w:t xml:space="preserve"> </w:t>
            </w:r>
            <w:r>
              <w:rPr>
                <w:color w:val="auto"/>
                <w:spacing w:val="-2"/>
                <w:highlight w:val="none"/>
              </w:rPr>
              <w:t>调设备</w:t>
            </w:r>
          </w:p>
        </w:tc>
        <w:tc>
          <w:tcPr>
            <w:tcW w:w="2468" w:type="dxa"/>
            <w:vAlign w:val="top"/>
          </w:tcPr>
          <w:p w14:paraId="77233931">
            <w:pPr>
              <w:pStyle w:val="186"/>
              <w:spacing w:before="70" w:line="219" w:lineRule="auto"/>
              <w:ind w:left="103"/>
              <w:rPr>
                <w:color w:val="auto"/>
                <w:highlight w:val="none"/>
              </w:rPr>
            </w:pPr>
            <w:r>
              <w:rPr>
                <w:color w:val="auto"/>
                <w:highlight w:val="none"/>
              </w:rPr>
              <w:t>A02052301 制冷压缩机</w:t>
            </w:r>
          </w:p>
        </w:tc>
        <w:tc>
          <w:tcPr>
            <w:tcW w:w="2076" w:type="dxa"/>
            <w:vAlign w:val="top"/>
          </w:tcPr>
          <w:p w14:paraId="3F470A40">
            <w:pPr>
              <w:rPr>
                <w:rFonts w:ascii="Arial"/>
                <w:color w:val="auto"/>
                <w:sz w:val="21"/>
                <w:highlight w:val="none"/>
              </w:rPr>
            </w:pPr>
          </w:p>
        </w:tc>
        <w:tc>
          <w:tcPr>
            <w:tcW w:w="3272" w:type="dxa"/>
            <w:vAlign w:val="top"/>
          </w:tcPr>
          <w:p w14:paraId="4C4E9A43">
            <w:pPr>
              <w:pStyle w:val="186"/>
              <w:spacing w:before="69" w:line="219" w:lineRule="auto"/>
              <w:ind w:left="109"/>
              <w:rPr>
                <w:color w:val="auto"/>
                <w:highlight w:val="none"/>
              </w:rPr>
            </w:pPr>
            <w:r>
              <w:rPr>
                <w:color w:val="auto"/>
                <w:spacing w:val="-1"/>
                <w:highlight w:val="none"/>
              </w:rPr>
              <w:t>HJ2531</w:t>
            </w:r>
            <w:r>
              <w:rPr>
                <w:color w:val="auto"/>
                <w:spacing w:val="-32"/>
                <w:highlight w:val="none"/>
              </w:rPr>
              <w:t xml:space="preserve"> </w:t>
            </w:r>
            <w:r>
              <w:rPr>
                <w:color w:val="auto"/>
                <w:spacing w:val="-1"/>
                <w:highlight w:val="none"/>
              </w:rPr>
              <w:t>工商用制冷设备</w:t>
            </w:r>
          </w:p>
        </w:tc>
      </w:tr>
      <w:tr w14:paraId="1BFFD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38" w:type="dxa"/>
            <w:vMerge w:val="continue"/>
            <w:tcBorders>
              <w:top w:val="nil"/>
              <w:bottom w:val="nil"/>
            </w:tcBorders>
            <w:vAlign w:val="top"/>
          </w:tcPr>
          <w:p w14:paraId="606FEF98">
            <w:pPr>
              <w:rPr>
                <w:rFonts w:ascii="Arial"/>
                <w:color w:val="auto"/>
                <w:sz w:val="21"/>
                <w:highlight w:val="none"/>
              </w:rPr>
            </w:pPr>
          </w:p>
        </w:tc>
        <w:tc>
          <w:tcPr>
            <w:tcW w:w="1424" w:type="dxa"/>
            <w:vMerge w:val="continue"/>
            <w:tcBorders>
              <w:top w:val="nil"/>
              <w:bottom w:val="nil"/>
            </w:tcBorders>
            <w:vAlign w:val="top"/>
          </w:tcPr>
          <w:p w14:paraId="4C3E85BD">
            <w:pPr>
              <w:rPr>
                <w:rFonts w:ascii="Arial"/>
                <w:color w:val="auto"/>
                <w:sz w:val="21"/>
                <w:highlight w:val="none"/>
              </w:rPr>
            </w:pPr>
          </w:p>
        </w:tc>
        <w:tc>
          <w:tcPr>
            <w:tcW w:w="2468" w:type="dxa"/>
            <w:vAlign w:val="top"/>
          </w:tcPr>
          <w:p w14:paraId="5556131C">
            <w:pPr>
              <w:pStyle w:val="186"/>
              <w:spacing w:before="67" w:line="219" w:lineRule="auto"/>
              <w:ind w:left="103"/>
              <w:rPr>
                <w:color w:val="auto"/>
                <w:highlight w:val="none"/>
              </w:rPr>
            </w:pPr>
            <w:r>
              <w:rPr>
                <w:color w:val="auto"/>
                <w:highlight w:val="none"/>
              </w:rPr>
              <w:t>A02052305 空调机组</w:t>
            </w:r>
          </w:p>
        </w:tc>
        <w:tc>
          <w:tcPr>
            <w:tcW w:w="2076" w:type="dxa"/>
            <w:vAlign w:val="top"/>
          </w:tcPr>
          <w:p w14:paraId="55993CCC">
            <w:pPr>
              <w:rPr>
                <w:rFonts w:ascii="Arial"/>
                <w:color w:val="auto"/>
                <w:sz w:val="21"/>
                <w:highlight w:val="none"/>
              </w:rPr>
            </w:pPr>
          </w:p>
        </w:tc>
        <w:tc>
          <w:tcPr>
            <w:tcW w:w="3272" w:type="dxa"/>
            <w:vAlign w:val="top"/>
          </w:tcPr>
          <w:p w14:paraId="14F82166">
            <w:pPr>
              <w:pStyle w:val="186"/>
              <w:spacing w:before="67" w:line="219" w:lineRule="auto"/>
              <w:ind w:left="109"/>
              <w:rPr>
                <w:color w:val="auto"/>
                <w:highlight w:val="none"/>
              </w:rPr>
            </w:pPr>
            <w:r>
              <w:rPr>
                <w:color w:val="auto"/>
                <w:spacing w:val="-1"/>
                <w:highlight w:val="none"/>
              </w:rPr>
              <w:t>HJ2531</w:t>
            </w:r>
            <w:r>
              <w:rPr>
                <w:color w:val="auto"/>
                <w:spacing w:val="-32"/>
                <w:highlight w:val="none"/>
              </w:rPr>
              <w:t xml:space="preserve"> </w:t>
            </w:r>
            <w:r>
              <w:rPr>
                <w:color w:val="auto"/>
                <w:spacing w:val="-1"/>
                <w:highlight w:val="none"/>
              </w:rPr>
              <w:t>工商用制冷设备</w:t>
            </w:r>
          </w:p>
        </w:tc>
      </w:tr>
      <w:tr w14:paraId="119B4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38" w:type="dxa"/>
            <w:vMerge w:val="continue"/>
            <w:tcBorders>
              <w:top w:val="nil"/>
            </w:tcBorders>
            <w:vAlign w:val="top"/>
          </w:tcPr>
          <w:p w14:paraId="5C48C0FA">
            <w:pPr>
              <w:rPr>
                <w:rFonts w:ascii="Arial"/>
                <w:color w:val="auto"/>
                <w:sz w:val="21"/>
                <w:highlight w:val="none"/>
              </w:rPr>
            </w:pPr>
          </w:p>
        </w:tc>
        <w:tc>
          <w:tcPr>
            <w:tcW w:w="1424" w:type="dxa"/>
            <w:vMerge w:val="continue"/>
            <w:tcBorders>
              <w:top w:val="nil"/>
            </w:tcBorders>
            <w:vAlign w:val="top"/>
          </w:tcPr>
          <w:p w14:paraId="7C324934">
            <w:pPr>
              <w:rPr>
                <w:rFonts w:ascii="Arial"/>
                <w:color w:val="auto"/>
                <w:sz w:val="21"/>
                <w:highlight w:val="none"/>
              </w:rPr>
            </w:pPr>
          </w:p>
        </w:tc>
        <w:tc>
          <w:tcPr>
            <w:tcW w:w="2468" w:type="dxa"/>
            <w:vAlign w:val="top"/>
          </w:tcPr>
          <w:p w14:paraId="68305829">
            <w:pPr>
              <w:pStyle w:val="186"/>
              <w:spacing w:before="67" w:line="221" w:lineRule="auto"/>
              <w:ind w:left="103"/>
              <w:rPr>
                <w:color w:val="auto"/>
                <w:highlight w:val="none"/>
              </w:rPr>
            </w:pPr>
            <w:r>
              <w:rPr>
                <w:color w:val="auto"/>
                <w:spacing w:val="-2"/>
                <w:highlight w:val="none"/>
              </w:rPr>
              <w:t>A02052309</w:t>
            </w:r>
            <w:r>
              <w:rPr>
                <w:color w:val="auto"/>
                <w:spacing w:val="-27"/>
                <w:highlight w:val="none"/>
              </w:rPr>
              <w:t xml:space="preserve"> </w:t>
            </w:r>
            <w:r>
              <w:rPr>
                <w:color w:val="auto"/>
                <w:spacing w:val="-2"/>
                <w:highlight w:val="none"/>
              </w:rPr>
              <w:t>专用制冷、空调设备</w:t>
            </w:r>
          </w:p>
        </w:tc>
        <w:tc>
          <w:tcPr>
            <w:tcW w:w="2076" w:type="dxa"/>
            <w:vAlign w:val="top"/>
          </w:tcPr>
          <w:p w14:paraId="29731BC5">
            <w:pPr>
              <w:rPr>
                <w:rFonts w:ascii="Arial"/>
                <w:color w:val="auto"/>
                <w:sz w:val="21"/>
                <w:highlight w:val="none"/>
              </w:rPr>
            </w:pPr>
          </w:p>
        </w:tc>
        <w:tc>
          <w:tcPr>
            <w:tcW w:w="3272" w:type="dxa"/>
            <w:vAlign w:val="top"/>
          </w:tcPr>
          <w:p w14:paraId="262C2288">
            <w:pPr>
              <w:pStyle w:val="186"/>
              <w:spacing w:before="67" w:line="219" w:lineRule="auto"/>
              <w:ind w:left="109"/>
              <w:rPr>
                <w:color w:val="auto"/>
                <w:highlight w:val="none"/>
              </w:rPr>
            </w:pPr>
            <w:r>
              <w:rPr>
                <w:color w:val="auto"/>
                <w:spacing w:val="-1"/>
                <w:highlight w:val="none"/>
              </w:rPr>
              <w:t>HJ2531</w:t>
            </w:r>
            <w:r>
              <w:rPr>
                <w:color w:val="auto"/>
                <w:spacing w:val="-32"/>
                <w:highlight w:val="none"/>
              </w:rPr>
              <w:t xml:space="preserve"> </w:t>
            </w:r>
            <w:r>
              <w:rPr>
                <w:color w:val="auto"/>
                <w:spacing w:val="-1"/>
                <w:highlight w:val="none"/>
              </w:rPr>
              <w:t>工商用制冷设备</w:t>
            </w:r>
          </w:p>
        </w:tc>
      </w:tr>
      <w:tr w14:paraId="66300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restart"/>
            <w:tcBorders>
              <w:bottom w:val="nil"/>
            </w:tcBorders>
            <w:vAlign w:val="top"/>
          </w:tcPr>
          <w:p w14:paraId="4A28B162">
            <w:pPr>
              <w:pStyle w:val="186"/>
              <w:spacing w:before="68" w:line="242" w:lineRule="auto"/>
              <w:ind w:left="128"/>
              <w:rPr>
                <w:color w:val="auto"/>
                <w:highlight w:val="none"/>
              </w:rPr>
            </w:pPr>
            <w:r>
              <w:rPr>
                <w:color w:val="auto"/>
                <w:spacing w:val="-10"/>
                <w:highlight w:val="none"/>
              </w:rPr>
              <w:t>12</w:t>
            </w:r>
          </w:p>
        </w:tc>
        <w:tc>
          <w:tcPr>
            <w:tcW w:w="1424" w:type="dxa"/>
            <w:vMerge w:val="restart"/>
            <w:tcBorders>
              <w:bottom w:val="nil"/>
            </w:tcBorders>
            <w:vAlign w:val="top"/>
          </w:tcPr>
          <w:p w14:paraId="14A63964">
            <w:pPr>
              <w:pStyle w:val="186"/>
              <w:spacing w:before="69" w:line="324" w:lineRule="auto"/>
              <w:ind w:left="128" w:right="108" w:hanging="26"/>
              <w:rPr>
                <w:color w:val="auto"/>
                <w:highlight w:val="none"/>
              </w:rPr>
            </w:pPr>
            <w:r>
              <w:rPr>
                <w:color w:val="auto"/>
                <w:spacing w:val="3"/>
                <w:highlight w:val="none"/>
              </w:rPr>
              <w:t>A020618</w:t>
            </w:r>
            <w:r>
              <w:rPr>
                <w:color w:val="auto"/>
                <w:spacing w:val="34"/>
                <w:highlight w:val="none"/>
              </w:rPr>
              <w:t xml:space="preserve"> </w:t>
            </w:r>
            <w:r>
              <w:rPr>
                <w:color w:val="auto"/>
                <w:spacing w:val="3"/>
                <w:highlight w:val="none"/>
              </w:rPr>
              <w:t>生活用</w:t>
            </w:r>
            <w:r>
              <w:rPr>
                <w:color w:val="auto"/>
                <w:highlight w:val="none"/>
              </w:rPr>
              <w:t xml:space="preserve"> </w:t>
            </w:r>
            <w:r>
              <w:rPr>
                <w:color w:val="auto"/>
                <w:spacing w:val="-8"/>
                <w:highlight w:val="none"/>
              </w:rPr>
              <w:t>电器</w:t>
            </w:r>
          </w:p>
        </w:tc>
        <w:tc>
          <w:tcPr>
            <w:tcW w:w="2468" w:type="dxa"/>
            <w:vAlign w:val="top"/>
          </w:tcPr>
          <w:p w14:paraId="13EE4B49">
            <w:pPr>
              <w:pStyle w:val="186"/>
              <w:spacing w:before="68" w:line="221" w:lineRule="auto"/>
              <w:ind w:left="103"/>
              <w:rPr>
                <w:color w:val="auto"/>
                <w:highlight w:val="none"/>
              </w:rPr>
            </w:pPr>
            <w:r>
              <w:rPr>
                <w:color w:val="auto"/>
                <w:spacing w:val="-1"/>
                <w:highlight w:val="none"/>
              </w:rPr>
              <w:t>A02061802</w:t>
            </w:r>
            <w:r>
              <w:rPr>
                <w:color w:val="auto"/>
                <w:spacing w:val="-29"/>
                <w:highlight w:val="none"/>
              </w:rPr>
              <w:t xml:space="preserve"> </w:t>
            </w:r>
            <w:r>
              <w:rPr>
                <w:color w:val="auto"/>
                <w:spacing w:val="-1"/>
                <w:highlight w:val="none"/>
              </w:rPr>
              <w:t>空气调节电器</w:t>
            </w:r>
          </w:p>
        </w:tc>
        <w:tc>
          <w:tcPr>
            <w:tcW w:w="2076" w:type="dxa"/>
            <w:vAlign w:val="top"/>
          </w:tcPr>
          <w:p w14:paraId="1D5D2E5A">
            <w:pPr>
              <w:pStyle w:val="186"/>
              <w:spacing w:before="68" w:line="219" w:lineRule="auto"/>
              <w:ind w:left="105"/>
              <w:rPr>
                <w:color w:val="auto"/>
                <w:highlight w:val="none"/>
              </w:rPr>
            </w:pPr>
            <w:r>
              <w:rPr>
                <w:color w:val="auto"/>
                <w:spacing w:val="-1"/>
                <w:highlight w:val="none"/>
              </w:rPr>
              <w:t>A0206180203</w:t>
            </w:r>
            <w:r>
              <w:rPr>
                <w:color w:val="auto"/>
                <w:spacing w:val="-28"/>
                <w:highlight w:val="none"/>
              </w:rPr>
              <w:t xml:space="preserve"> </w:t>
            </w:r>
            <w:r>
              <w:rPr>
                <w:color w:val="auto"/>
                <w:spacing w:val="-1"/>
                <w:highlight w:val="none"/>
              </w:rPr>
              <w:t>空调机</w:t>
            </w:r>
          </w:p>
        </w:tc>
        <w:tc>
          <w:tcPr>
            <w:tcW w:w="3272" w:type="dxa"/>
            <w:vAlign w:val="top"/>
          </w:tcPr>
          <w:p w14:paraId="4C32F64A">
            <w:pPr>
              <w:pStyle w:val="186"/>
              <w:spacing w:before="68" w:line="219" w:lineRule="auto"/>
              <w:ind w:left="109"/>
              <w:rPr>
                <w:color w:val="auto"/>
                <w:highlight w:val="none"/>
              </w:rPr>
            </w:pPr>
            <w:r>
              <w:rPr>
                <w:color w:val="auto"/>
                <w:spacing w:val="-1"/>
                <w:highlight w:val="none"/>
              </w:rPr>
              <w:t>HJ2535</w:t>
            </w:r>
            <w:r>
              <w:rPr>
                <w:color w:val="auto"/>
                <w:spacing w:val="-32"/>
                <w:highlight w:val="none"/>
              </w:rPr>
              <w:t xml:space="preserve"> </w:t>
            </w:r>
            <w:r>
              <w:rPr>
                <w:color w:val="auto"/>
                <w:spacing w:val="-1"/>
                <w:highlight w:val="none"/>
              </w:rPr>
              <w:t>房间空气调节器</w:t>
            </w:r>
          </w:p>
        </w:tc>
      </w:tr>
      <w:tr w14:paraId="7A6A7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38" w:type="dxa"/>
            <w:vMerge w:val="continue"/>
            <w:tcBorders>
              <w:top w:val="nil"/>
            </w:tcBorders>
            <w:vAlign w:val="top"/>
          </w:tcPr>
          <w:p w14:paraId="59A9503B">
            <w:pPr>
              <w:rPr>
                <w:rFonts w:ascii="Arial"/>
                <w:color w:val="auto"/>
                <w:sz w:val="21"/>
                <w:highlight w:val="none"/>
              </w:rPr>
            </w:pPr>
          </w:p>
        </w:tc>
        <w:tc>
          <w:tcPr>
            <w:tcW w:w="1424" w:type="dxa"/>
            <w:vMerge w:val="continue"/>
            <w:tcBorders>
              <w:top w:val="nil"/>
            </w:tcBorders>
            <w:vAlign w:val="top"/>
          </w:tcPr>
          <w:p w14:paraId="7ED5D8D2">
            <w:pPr>
              <w:rPr>
                <w:rFonts w:ascii="Arial"/>
                <w:color w:val="auto"/>
                <w:sz w:val="21"/>
                <w:highlight w:val="none"/>
              </w:rPr>
            </w:pPr>
          </w:p>
        </w:tc>
        <w:tc>
          <w:tcPr>
            <w:tcW w:w="2468" w:type="dxa"/>
            <w:vAlign w:val="top"/>
          </w:tcPr>
          <w:p w14:paraId="0E518E54">
            <w:pPr>
              <w:pStyle w:val="186"/>
              <w:spacing w:before="68" w:line="220" w:lineRule="auto"/>
              <w:ind w:left="103"/>
              <w:rPr>
                <w:color w:val="auto"/>
                <w:highlight w:val="none"/>
              </w:rPr>
            </w:pPr>
            <w:r>
              <w:rPr>
                <w:color w:val="auto"/>
                <w:spacing w:val="-1"/>
                <w:highlight w:val="none"/>
              </w:rPr>
              <w:t>A02061808</w:t>
            </w:r>
            <w:r>
              <w:rPr>
                <w:color w:val="auto"/>
                <w:spacing w:val="-31"/>
                <w:highlight w:val="none"/>
              </w:rPr>
              <w:t xml:space="preserve"> </w:t>
            </w:r>
            <w:r>
              <w:rPr>
                <w:color w:val="auto"/>
                <w:spacing w:val="-1"/>
                <w:highlight w:val="none"/>
              </w:rPr>
              <w:t>热水器</w:t>
            </w:r>
          </w:p>
        </w:tc>
        <w:tc>
          <w:tcPr>
            <w:tcW w:w="2076" w:type="dxa"/>
            <w:vAlign w:val="top"/>
          </w:tcPr>
          <w:p w14:paraId="752F59E1">
            <w:pPr>
              <w:rPr>
                <w:rFonts w:ascii="Arial"/>
                <w:color w:val="auto"/>
                <w:sz w:val="21"/>
                <w:highlight w:val="none"/>
              </w:rPr>
            </w:pPr>
          </w:p>
        </w:tc>
        <w:tc>
          <w:tcPr>
            <w:tcW w:w="3272" w:type="dxa"/>
            <w:vAlign w:val="top"/>
          </w:tcPr>
          <w:p w14:paraId="61C004EC">
            <w:pPr>
              <w:pStyle w:val="186"/>
              <w:spacing w:before="67" w:line="219" w:lineRule="auto"/>
              <w:ind w:left="109"/>
              <w:rPr>
                <w:color w:val="auto"/>
                <w:highlight w:val="none"/>
              </w:rPr>
            </w:pPr>
            <w:r>
              <w:rPr>
                <w:color w:val="auto"/>
                <w:spacing w:val="-1"/>
                <w:highlight w:val="none"/>
              </w:rPr>
              <w:t>HJ/T362</w:t>
            </w:r>
            <w:r>
              <w:rPr>
                <w:color w:val="auto"/>
                <w:spacing w:val="-33"/>
                <w:highlight w:val="none"/>
              </w:rPr>
              <w:t xml:space="preserve"> </w:t>
            </w:r>
            <w:r>
              <w:rPr>
                <w:color w:val="auto"/>
                <w:spacing w:val="-1"/>
                <w:highlight w:val="none"/>
              </w:rPr>
              <w:t>太阳能集热器</w:t>
            </w:r>
          </w:p>
        </w:tc>
      </w:tr>
    </w:tbl>
    <w:p w14:paraId="626142C3">
      <w:pPr>
        <w:rPr>
          <w:rFonts w:ascii="Arial"/>
          <w:color w:val="auto"/>
          <w:sz w:val="21"/>
          <w:highlight w:val="none"/>
        </w:rPr>
      </w:pPr>
    </w:p>
    <w:p w14:paraId="79F75358">
      <w:pPr>
        <w:rPr>
          <w:rFonts w:ascii="Arial" w:hAnsi="Arial" w:eastAsia="Arial" w:cs="Arial"/>
          <w:color w:val="auto"/>
          <w:sz w:val="21"/>
          <w:szCs w:val="21"/>
          <w:highlight w:val="none"/>
        </w:rPr>
        <w:sectPr>
          <w:pgSz w:w="11906" w:h="16838"/>
          <w:pgMar w:top="1425" w:right="644" w:bottom="0" w:left="667" w:header="0" w:footer="0" w:gutter="0"/>
          <w:cols w:space="720" w:num="1"/>
        </w:sectPr>
      </w:pPr>
    </w:p>
    <w:p w14:paraId="1BABE37D">
      <w:pPr>
        <w:spacing w:line="91" w:lineRule="auto"/>
        <w:rPr>
          <w:rFonts w:ascii="Arial"/>
          <w:color w:val="auto"/>
          <w:sz w:val="2"/>
          <w:highlight w:val="none"/>
        </w:rPr>
      </w:pPr>
    </w:p>
    <w:tbl>
      <w:tblPr>
        <w:tblStyle w:val="183"/>
        <w:tblW w:w="98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2"/>
        <w:gridCol w:w="1435"/>
        <w:gridCol w:w="2488"/>
        <w:gridCol w:w="2093"/>
        <w:gridCol w:w="3299"/>
      </w:tblGrid>
      <w:tr w14:paraId="3009B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542" w:type="dxa"/>
            <w:vAlign w:val="top"/>
          </w:tcPr>
          <w:p w14:paraId="261462BD">
            <w:pPr>
              <w:pStyle w:val="186"/>
              <w:spacing w:before="68"/>
              <w:ind w:left="128"/>
              <w:rPr>
                <w:color w:val="auto"/>
                <w:highlight w:val="none"/>
              </w:rPr>
            </w:pPr>
            <w:r>
              <w:rPr>
                <w:color w:val="auto"/>
                <w:spacing w:val="-10"/>
                <w:highlight w:val="none"/>
              </w:rPr>
              <w:t>13</w:t>
            </w:r>
          </w:p>
        </w:tc>
        <w:tc>
          <w:tcPr>
            <w:tcW w:w="1435" w:type="dxa"/>
            <w:vAlign w:val="top"/>
          </w:tcPr>
          <w:p w14:paraId="6EC5C891">
            <w:pPr>
              <w:pStyle w:val="186"/>
              <w:spacing w:before="69" w:line="284" w:lineRule="auto"/>
              <w:ind w:left="109" w:right="108" w:hanging="7"/>
              <w:rPr>
                <w:color w:val="auto"/>
                <w:highlight w:val="none"/>
              </w:rPr>
            </w:pPr>
            <w:r>
              <w:rPr>
                <w:color w:val="auto"/>
                <w:spacing w:val="-2"/>
                <w:highlight w:val="none"/>
              </w:rPr>
              <w:t>A020619</w:t>
            </w:r>
            <w:r>
              <w:rPr>
                <w:color w:val="auto"/>
                <w:spacing w:val="39"/>
                <w:highlight w:val="none"/>
              </w:rPr>
              <w:t xml:space="preserve"> </w:t>
            </w:r>
            <w:r>
              <w:rPr>
                <w:color w:val="auto"/>
                <w:spacing w:val="-2"/>
                <w:highlight w:val="none"/>
              </w:rPr>
              <w:t>照</w:t>
            </w:r>
            <w:r>
              <w:rPr>
                <w:color w:val="auto"/>
                <w:spacing w:val="-45"/>
                <w:highlight w:val="none"/>
              </w:rPr>
              <w:t xml:space="preserve"> </w:t>
            </w:r>
            <w:r>
              <w:rPr>
                <w:color w:val="auto"/>
                <w:spacing w:val="-2"/>
                <w:highlight w:val="none"/>
              </w:rPr>
              <w:t>明设</w:t>
            </w:r>
            <w:r>
              <w:rPr>
                <w:color w:val="auto"/>
                <w:highlight w:val="none"/>
              </w:rPr>
              <w:t xml:space="preserve"> 备</w:t>
            </w:r>
          </w:p>
        </w:tc>
        <w:tc>
          <w:tcPr>
            <w:tcW w:w="2488" w:type="dxa"/>
            <w:vAlign w:val="top"/>
          </w:tcPr>
          <w:p w14:paraId="30F764A0">
            <w:pPr>
              <w:pStyle w:val="186"/>
              <w:spacing w:before="68" w:line="220" w:lineRule="auto"/>
              <w:ind w:left="103"/>
              <w:rPr>
                <w:color w:val="auto"/>
                <w:highlight w:val="none"/>
              </w:rPr>
            </w:pPr>
            <w:r>
              <w:rPr>
                <w:color w:val="auto"/>
                <w:spacing w:val="-1"/>
                <w:highlight w:val="none"/>
              </w:rPr>
              <w:t>A02061908</w:t>
            </w:r>
            <w:r>
              <w:rPr>
                <w:color w:val="auto"/>
                <w:spacing w:val="-29"/>
                <w:highlight w:val="none"/>
              </w:rPr>
              <w:t xml:space="preserve"> </w:t>
            </w:r>
            <w:r>
              <w:rPr>
                <w:color w:val="auto"/>
                <w:spacing w:val="-1"/>
                <w:highlight w:val="none"/>
              </w:rPr>
              <w:t>室内照明灯具</w:t>
            </w:r>
          </w:p>
        </w:tc>
        <w:tc>
          <w:tcPr>
            <w:tcW w:w="2093" w:type="dxa"/>
            <w:vAlign w:val="top"/>
          </w:tcPr>
          <w:p w14:paraId="4E1176B7">
            <w:pPr>
              <w:rPr>
                <w:rFonts w:ascii="Arial"/>
                <w:color w:val="auto"/>
                <w:sz w:val="21"/>
                <w:highlight w:val="none"/>
              </w:rPr>
            </w:pPr>
          </w:p>
        </w:tc>
        <w:tc>
          <w:tcPr>
            <w:tcW w:w="3299" w:type="dxa"/>
            <w:vAlign w:val="top"/>
          </w:tcPr>
          <w:p w14:paraId="20401E3C">
            <w:pPr>
              <w:pStyle w:val="186"/>
              <w:spacing w:before="67" w:line="219" w:lineRule="auto"/>
              <w:ind w:left="109"/>
              <w:rPr>
                <w:color w:val="auto"/>
                <w:highlight w:val="none"/>
              </w:rPr>
            </w:pPr>
            <w:r>
              <w:rPr>
                <w:color w:val="auto"/>
                <w:spacing w:val="-1"/>
                <w:highlight w:val="none"/>
              </w:rPr>
              <w:t>HJ2518</w:t>
            </w:r>
            <w:r>
              <w:rPr>
                <w:color w:val="auto"/>
                <w:spacing w:val="-35"/>
                <w:highlight w:val="none"/>
              </w:rPr>
              <w:t xml:space="preserve"> </w:t>
            </w:r>
            <w:r>
              <w:rPr>
                <w:color w:val="auto"/>
                <w:spacing w:val="-1"/>
                <w:highlight w:val="none"/>
              </w:rPr>
              <w:t>照明光源</w:t>
            </w:r>
          </w:p>
        </w:tc>
      </w:tr>
      <w:tr w14:paraId="5C766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542" w:type="dxa"/>
            <w:vAlign w:val="top"/>
          </w:tcPr>
          <w:p w14:paraId="0D9AA66F">
            <w:pPr>
              <w:pStyle w:val="186"/>
              <w:spacing w:before="63" w:line="242" w:lineRule="auto"/>
              <w:ind w:left="128"/>
              <w:rPr>
                <w:color w:val="auto"/>
                <w:highlight w:val="none"/>
              </w:rPr>
            </w:pPr>
            <w:r>
              <w:rPr>
                <w:color w:val="auto"/>
                <w:spacing w:val="-10"/>
                <w:highlight w:val="none"/>
              </w:rPr>
              <w:t>14</w:t>
            </w:r>
          </w:p>
        </w:tc>
        <w:tc>
          <w:tcPr>
            <w:tcW w:w="1435" w:type="dxa"/>
            <w:vAlign w:val="top"/>
          </w:tcPr>
          <w:p w14:paraId="1939815E">
            <w:pPr>
              <w:pStyle w:val="186"/>
              <w:spacing w:before="64" w:line="296" w:lineRule="auto"/>
              <w:ind w:left="109" w:right="106" w:hanging="7"/>
              <w:jc w:val="both"/>
              <w:rPr>
                <w:color w:val="auto"/>
                <w:highlight w:val="none"/>
              </w:rPr>
            </w:pPr>
            <w:r>
              <w:rPr>
                <w:color w:val="auto"/>
                <w:spacing w:val="3"/>
                <w:highlight w:val="none"/>
              </w:rPr>
              <w:t>A020810</w:t>
            </w:r>
            <w:r>
              <w:rPr>
                <w:color w:val="auto"/>
                <w:spacing w:val="34"/>
                <w:highlight w:val="none"/>
              </w:rPr>
              <w:t xml:space="preserve"> </w:t>
            </w:r>
            <w:r>
              <w:rPr>
                <w:color w:val="auto"/>
                <w:spacing w:val="3"/>
                <w:highlight w:val="none"/>
              </w:rPr>
              <w:t>传真及</w:t>
            </w:r>
            <w:r>
              <w:rPr>
                <w:color w:val="auto"/>
                <w:highlight w:val="none"/>
              </w:rPr>
              <w:t xml:space="preserve"> </w:t>
            </w:r>
            <w:r>
              <w:rPr>
                <w:color w:val="auto"/>
                <w:spacing w:val="8"/>
                <w:highlight w:val="none"/>
              </w:rPr>
              <w:t>数据数字通信设</w:t>
            </w:r>
            <w:r>
              <w:rPr>
                <w:color w:val="auto"/>
                <w:spacing w:val="4"/>
                <w:highlight w:val="none"/>
              </w:rPr>
              <w:t xml:space="preserve"> </w:t>
            </w:r>
            <w:r>
              <w:rPr>
                <w:color w:val="auto"/>
                <w:highlight w:val="none"/>
              </w:rPr>
              <w:t>备</w:t>
            </w:r>
          </w:p>
        </w:tc>
        <w:tc>
          <w:tcPr>
            <w:tcW w:w="2488" w:type="dxa"/>
            <w:vAlign w:val="top"/>
          </w:tcPr>
          <w:p w14:paraId="6ADC4D80">
            <w:pPr>
              <w:pStyle w:val="186"/>
              <w:spacing w:before="64" w:line="219" w:lineRule="auto"/>
              <w:ind w:left="103"/>
              <w:rPr>
                <w:color w:val="auto"/>
                <w:highlight w:val="none"/>
              </w:rPr>
            </w:pPr>
            <w:r>
              <w:rPr>
                <w:color w:val="auto"/>
                <w:spacing w:val="-1"/>
                <w:highlight w:val="none"/>
              </w:rPr>
              <w:t>A02081001</w:t>
            </w:r>
            <w:r>
              <w:rPr>
                <w:color w:val="auto"/>
                <w:spacing w:val="-30"/>
                <w:highlight w:val="none"/>
              </w:rPr>
              <w:t xml:space="preserve"> </w:t>
            </w:r>
            <w:r>
              <w:rPr>
                <w:color w:val="auto"/>
                <w:spacing w:val="-1"/>
                <w:highlight w:val="none"/>
              </w:rPr>
              <w:t>传真通信设备</w:t>
            </w:r>
          </w:p>
        </w:tc>
        <w:tc>
          <w:tcPr>
            <w:tcW w:w="2093" w:type="dxa"/>
            <w:vAlign w:val="top"/>
          </w:tcPr>
          <w:p w14:paraId="584FB821">
            <w:pPr>
              <w:rPr>
                <w:rFonts w:ascii="Arial"/>
                <w:color w:val="auto"/>
                <w:sz w:val="21"/>
                <w:highlight w:val="none"/>
              </w:rPr>
            </w:pPr>
          </w:p>
        </w:tc>
        <w:tc>
          <w:tcPr>
            <w:tcW w:w="3299" w:type="dxa"/>
            <w:vAlign w:val="top"/>
          </w:tcPr>
          <w:p w14:paraId="4E351E58">
            <w:pPr>
              <w:pStyle w:val="186"/>
              <w:spacing w:before="63" w:line="219" w:lineRule="auto"/>
              <w:ind w:left="109"/>
              <w:rPr>
                <w:color w:val="auto"/>
                <w:highlight w:val="none"/>
              </w:rPr>
            </w:pPr>
            <w:r>
              <w:rPr>
                <w:color w:val="auto"/>
                <w:spacing w:val="-1"/>
                <w:highlight w:val="none"/>
              </w:rPr>
              <w:t>HJ2512</w:t>
            </w:r>
            <w:r>
              <w:rPr>
                <w:color w:val="auto"/>
                <w:spacing w:val="-29"/>
                <w:highlight w:val="none"/>
              </w:rPr>
              <w:t xml:space="preserve"> </w:t>
            </w:r>
            <w:r>
              <w:rPr>
                <w:color w:val="auto"/>
                <w:spacing w:val="-1"/>
                <w:highlight w:val="none"/>
              </w:rPr>
              <w:t>打印机、传真机及多功能一体机</w:t>
            </w:r>
          </w:p>
        </w:tc>
      </w:tr>
      <w:tr w14:paraId="695A4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542" w:type="dxa"/>
            <w:vMerge w:val="restart"/>
            <w:tcBorders>
              <w:bottom w:val="nil"/>
            </w:tcBorders>
            <w:vAlign w:val="top"/>
          </w:tcPr>
          <w:p w14:paraId="07681374">
            <w:pPr>
              <w:pStyle w:val="186"/>
              <w:spacing w:before="64"/>
              <w:ind w:left="128"/>
              <w:rPr>
                <w:color w:val="auto"/>
                <w:highlight w:val="none"/>
              </w:rPr>
            </w:pPr>
            <w:r>
              <w:rPr>
                <w:color w:val="auto"/>
                <w:spacing w:val="-10"/>
                <w:highlight w:val="none"/>
              </w:rPr>
              <w:t>15</w:t>
            </w:r>
          </w:p>
        </w:tc>
        <w:tc>
          <w:tcPr>
            <w:tcW w:w="1435" w:type="dxa"/>
            <w:vMerge w:val="restart"/>
            <w:tcBorders>
              <w:bottom w:val="nil"/>
            </w:tcBorders>
            <w:vAlign w:val="top"/>
          </w:tcPr>
          <w:p w14:paraId="36F37236">
            <w:pPr>
              <w:pStyle w:val="186"/>
              <w:spacing w:before="64" w:line="323" w:lineRule="auto"/>
              <w:ind w:left="109" w:right="108" w:hanging="7"/>
              <w:rPr>
                <w:color w:val="auto"/>
                <w:highlight w:val="none"/>
              </w:rPr>
            </w:pPr>
            <w:r>
              <w:rPr>
                <w:color w:val="auto"/>
                <w:spacing w:val="1"/>
                <w:highlight w:val="none"/>
              </w:rPr>
              <w:t>A020910</w:t>
            </w:r>
            <w:r>
              <w:rPr>
                <w:color w:val="auto"/>
                <w:spacing w:val="54"/>
                <w:highlight w:val="none"/>
              </w:rPr>
              <w:t xml:space="preserve"> </w:t>
            </w:r>
            <w:r>
              <w:rPr>
                <w:color w:val="auto"/>
                <w:spacing w:val="1"/>
                <w:highlight w:val="none"/>
              </w:rPr>
              <w:t>电视设</w:t>
            </w:r>
            <w:r>
              <w:rPr>
                <w:color w:val="auto"/>
                <w:highlight w:val="none"/>
              </w:rPr>
              <w:t xml:space="preserve"> 备</w:t>
            </w:r>
          </w:p>
        </w:tc>
        <w:tc>
          <w:tcPr>
            <w:tcW w:w="2488" w:type="dxa"/>
            <w:vAlign w:val="top"/>
          </w:tcPr>
          <w:p w14:paraId="12D1EC8F">
            <w:pPr>
              <w:pStyle w:val="186"/>
              <w:spacing w:before="64" w:line="284" w:lineRule="auto"/>
              <w:ind w:left="107" w:right="107" w:hanging="4"/>
              <w:rPr>
                <w:color w:val="auto"/>
                <w:highlight w:val="none"/>
              </w:rPr>
            </w:pPr>
            <w:r>
              <w:rPr>
                <w:color w:val="auto"/>
                <w:spacing w:val="-2"/>
                <w:highlight w:val="none"/>
              </w:rPr>
              <w:t>A02091001</w:t>
            </w:r>
            <w:r>
              <w:rPr>
                <w:color w:val="auto"/>
                <w:spacing w:val="-29"/>
                <w:highlight w:val="none"/>
              </w:rPr>
              <w:t xml:space="preserve"> </w:t>
            </w:r>
            <w:r>
              <w:rPr>
                <w:color w:val="auto"/>
                <w:spacing w:val="-2"/>
                <w:highlight w:val="none"/>
              </w:rPr>
              <w:t>普通电视设备（电视</w:t>
            </w:r>
            <w:r>
              <w:rPr>
                <w:color w:val="auto"/>
                <w:highlight w:val="none"/>
              </w:rPr>
              <w:t xml:space="preserve"> </w:t>
            </w:r>
            <w:r>
              <w:rPr>
                <w:color w:val="auto"/>
                <w:spacing w:val="-4"/>
                <w:highlight w:val="none"/>
              </w:rPr>
              <w:t>机）</w:t>
            </w:r>
          </w:p>
        </w:tc>
        <w:tc>
          <w:tcPr>
            <w:tcW w:w="2093" w:type="dxa"/>
            <w:vAlign w:val="top"/>
          </w:tcPr>
          <w:p w14:paraId="00DDE0B5">
            <w:pPr>
              <w:rPr>
                <w:rFonts w:ascii="Arial"/>
                <w:color w:val="auto"/>
                <w:sz w:val="21"/>
                <w:highlight w:val="none"/>
              </w:rPr>
            </w:pPr>
          </w:p>
        </w:tc>
        <w:tc>
          <w:tcPr>
            <w:tcW w:w="3299" w:type="dxa"/>
            <w:vAlign w:val="top"/>
          </w:tcPr>
          <w:p w14:paraId="748A1E15">
            <w:pPr>
              <w:pStyle w:val="186"/>
              <w:spacing w:before="64" w:line="219" w:lineRule="auto"/>
              <w:ind w:left="109"/>
              <w:rPr>
                <w:color w:val="auto"/>
                <w:highlight w:val="none"/>
              </w:rPr>
            </w:pPr>
            <w:r>
              <w:rPr>
                <w:color w:val="auto"/>
                <w:spacing w:val="-1"/>
                <w:highlight w:val="none"/>
              </w:rPr>
              <w:t>HJ2506</w:t>
            </w:r>
            <w:r>
              <w:rPr>
                <w:color w:val="auto"/>
                <w:spacing w:val="-31"/>
                <w:highlight w:val="none"/>
              </w:rPr>
              <w:t xml:space="preserve"> </w:t>
            </w:r>
            <w:r>
              <w:rPr>
                <w:color w:val="auto"/>
                <w:spacing w:val="-1"/>
                <w:highlight w:val="none"/>
              </w:rPr>
              <w:t>彩色电视广播接收机</w:t>
            </w:r>
          </w:p>
        </w:tc>
      </w:tr>
      <w:tr w14:paraId="18FF0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42" w:type="dxa"/>
            <w:vMerge w:val="continue"/>
            <w:tcBorders>
              <w:top w:val="nil"/>
            </w:tcBorders>
            <w:vAlign w:val="top"/>
          </w:tcPr>
          <w:p w14:paraId="09E4AE4E">
            <w:pPr>
              <w:rPr>
                <w:rFonts w:ascii="Arial"/>
                <w:color w:val="auto"/>
                <w:sz w:val="21"/>
                <w:highlight w:val="none"/>
              </w:rPr>
            </w:pPr>
          </w:p>
        </w:tc>
        <w:tc>
          <w:tcPr>
            <w:tcW w:w="1435" w:type="dxa"/>
            <w:vMerge w:val="continue"/>
            <w:tcBorders>
              <w:top w:val="nil"/>
            </w:tcBorders>
            <w:vAlign w:val="top"/>
          </w:tcPr>
          <w:p w14:paraId="2A32A836">
            <w:pPr>
              <w:rPr>
                <w:rFonts w:ascii="Arial"/>
                <w:color w:val="auto"/>
                <w:sz w:val="21"/>
                <w:highlight w:val="none"/>
              </w:rPr>
            </w:pPr>
          </w:p>
        </w:tc>
        <w:tc>
          <w:tcPr>
            <w:tcW w:w="2488" w:type="dxa"/>
            <w:vAlign w:val="top"/>
          </w:tcPr>
          <w:p w14:paraId="20F0A718">
            <w:pPr>
              <w:pStyle w:val="186"/>
              <w:spacing w:before="67" w:line="284" w:lineRule="auto"/>
              <w:ind w:left="111" w:right="107" w:hanging="8"/>
              <w:rPr>
                <w:color w:val="auto"/>
                <w:highlight w:val="none"/>
              </w:rPr>
            </w:pPr>
            <w:r>
              <w:rPr>
                <w:color w:val="auto"/>
                <w:spacing w:val="6"/>
                <w:highlight w:val="none"/>
              </w:rPr>
              <w:t>A02091003 特殊功能应用电视</w:t>
            </w:r>
            <w:r>
              <w:rPr>
                <w:color w:val="auto"/>
                <w:spacing w:val="7"/>
                <w:highlight w:val="none"/>
              </w:rPr>
              <w:t xml:space="preserve"> </w:t>
            </w:r>
            <w:r>
              <w:rPr>
                <w:color w:val="auto"/>
                <w:spacing w:val="-3"/>
                <w:highlight w:val="none"/>
              </w:rPr>
              <w:t>设备</w:t>
            </w:r>
          </w:p>
        </w:tc>
        <w:tc>
          <w:tcPr>
            <w:tcW w:w="2093" w:type="dxa"/>
            <w:vAlign w:val="top"/>
          </w:tcPr>
          <w:p w14:paraId="5B04DB92">
            <w:pPr>
              <w:rPr>
                <w:rFonts w:ascii="Arial"/>
                <w:color w:val="auto"/>
                <w:sz w:val="21"/>
                <w:highlight w:val="none"/>
              </w:rPr>
            </w:pPr>
          </w:p>
        </w:tc>
        <w:tc>
          <w:tcPr>
            <w:tcW w:w="3299" w:type="dxa"/>
            <w:vAlign w:val="top"/>
          </w:tcPr>
          <w:p w14:paraId="75760C41">
            <w:pPr>
              <w:pStyle w:val="186"/>
              <w:spacing w:before="67" w:line="219" w:lineRule="auto"/>
              <w:ind w:left="109"/>
              <w:rPr>
                <w:color w:val="auto"/>
                <w:highlight w:val="none"/>
              </w:rPr>
            </w:pPr>
            <w:r>
              <w:rPr>
                <w:color w:val="auto"/>
                <w:spacing w:val="-1"/>
                <w:highlight w:val="none"/>
              </w:rPr>
              <w:t>HJ2506</w:t>
            </w:r>
            <w:r>
              <w:rPr>
                <w:color w:val="auto"/>
                <w:spacing w:val="-31"/>
                <w:highlight w:val="none"/>
              </w:rPr>
              <w:t xml:space="preserve"> </w:t>
            </w:r>
            <w:r>
              <w:rPr>
                <w:color w:val="auto"/>
                <w:spacing w:val="-1"/>
                <w:highlight w:val="none"/>
              </w:rPr>
              <w:t>彩色电视广播接收机</w:t>
            </w:r>
          </w:p>
        </w:tc>
      </w:tr>
      <w:tr w14:paraId="5D599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2" w:type="dxa"/>
            <w:vMerge w:val="restart"/>
            <w:tcBorders>
              <w:bottom w:val="nil"/>
            </w:tcBorders>
            <w:vAlign w:val="top"/>
          </w:tcPr>
          <w:p w14:paraId="5F7A9DA2">
            <w:pPr>
              <w:pStyle w:val="186"/>
              <w:spacing w:before="65"/>
              <w:ind w:left="128"/>
              <w:rPr>
                <w:color w:val="auto"/>
                <w:highlight w:val="none"/>
              </w:rPr>
            </w:pPr>
            <w:r>
              <w:rPr>
                <w:color w:val="auto"/>
                <w:spacing w:val="-10"/>
                <w:highlight w:val="none"/>
              </w:rPr>
              <w:t>16</w:t>
            </w:r>
          </w:p>
        </w:tc>
        <w:tc>
          <w:tcPr>
            <w:tcW w:w="1435" w:type="dxa"/>
            <w:vMerge w:val="restart"/>
            <w:tcBorders>
              <w:bottom w:val="nil"/>
            </w:tcBorders>
            <w:vAlign w:val="top"/>
          </w:tcPr>
          <w:p w14:paraId="54399114">
            <w:pPr>
              <w:pStyle w:val="186"/>
              <w:spacing w:before="65" w:line="220" w:lineRule="auto"/>
              <w:ind w:left="193"/>
              <w:rPr>
                <w:color w:val="auto"/>
                <w:highlight w:val="none"/>
              </w:rPr>
            </w:pPr>
            <w:r>
              <w:rPr>
                <w:color w:val="auto"/>
                <w:spacing w:val="-1"/>
                <w:highlight w:val="none"/>
              </w:rPr>
              <w:t>A0601</w:t>
            </w:r>
            <w:r>
              <w:rPr>
                <w:color w:val="auto"/>
                <w:spacing w:val="-36"/>
                <w:highlight w:val="none"/>
              </w:rPr>
              <w:t xml:space="preserve"> </w:t>
            </w:r>
            <w:r>
              <w:rPr>
                <w:color w:val="auto"/>
                <w:spacing w:val="-1"/>
                <w:highlight w:val="none"/>
              </w:rPr>
              <w:t>床类</w:t>
            </w:r>
          </w:p>
        </w:tc>
        <w:tc>
          <w:tcPr>
            <w:tcW w:w="2488" w:type="dxa"/>
            <w:vAlign w:val="top"/>
          </w:tcPr>
          <w:p w14:paraId="43E6E6FD">
            <w:pPr>
              <w:pStyle w:val="186"/>
              <w:spacing w:before="65" w:line="220" w:lineRule="auto"/>
              <w:ind w:left="103"/>
              <w:rPr>
                <w:color w:val="auto"/>
                <w:highlight w:val="none"/>
              </w:rPr>
            </w:pPr>
            <w:r>
              <w:rPr>
                <w:color w:val="auto"/>
                <w:spacing w:val="-1"/>
                <w:highlight w:val="none"/>
              </w:rPr>
              <w:t>A060101</w:t>
            </w:r>
            <w:r>
              <w:rPr>
                <w:color w:val="auto"/>
                <w:spacing w:val="-34"/>
                <w:highlight w:val="none"/>
              </w:rPr>
              <w:t xml:space="preserve"> </w:t>
            </w:r>
            <w:r>
              <w:rPr>
                <w:color w:val="auto"/>
                <w:spacing w:val="-1"/>
                <w:highlight w:val="none"/>
              </w:rPr>
              <w:t>钢木床类</w:t>
            </w:r>
          </w:p>
        </w:tc>
        <w:tc>
          <w:tcPr>
            <w:tcW w:w="2093" w:type="dxa"/>
            <w:vAlign w:val="top"/>
          </w:tcPr>
          <w:p w14:paraId="4F3C70D5">
            <w:pPr>
              <w:rPr>
                <w:rFonts w:ascii="Arial"/>
                <w:color w:val="auto"/>
                <w:sz w:val="21"/>
                <w:highlight w:val="none"/>
              </w:rPr>
            </w:pPr>
          </w:p>
        </w:tc>
        <w:tc>
          <w:tcPr>
            <w:tcW w:w="3299" w:type="dxa"/>
            <w:vAlign w:val="top"/>
          </w:tcPr>
          <w:p w14:paraId="39BA5D0C">
            <w:pPr>
              <w:pStyle w:val="186"/>
              <w:spacing w:before="64"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70899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42" w:type="dxa"/>
            <w:vMerge w:val="continue"/>
            <w:tcBorders>
              <w:top w:val="nil"/>
              <w:bottom w:val="nil"/>
            </w:tcBorders>
            <w:vAlign w:val="top"/>
          </w:tcPr>
          <w:p w14:paraId="0E65B94B">
            <w:pPr>
              <w:rPr>
                <w:rFonts w:ascii="Arial"/>
                <w:color w:val="auto"/>
                <w:sz w:val="21"/>
                <w:highlight w:val="none"/>
              </w:rPr>
            </w:pPr>
          </w:p>
        </w:tc>
        <w:tc>
          <w:tcPr>
            <w:tcW w:w="1435" w:type="dxa"/>
            <w:vMerge w:val="continue"/>
            <w:tcBorders>
              <w:top w:val="nil"/>
              <w:bottom w:val="nil"/>
            </w:tcBorders>
            <w:vAlign w:val="top"/>
          </w:tcPr>
          <w:p w14:paraId="63109C0F">
            <w:pPr>
              <w:rPr>
                <w:rFonts w:ascii="Arial"/>
                <w:color w:val="auto"/>
                <w:sz w:val="21"/>
                <w:highlight w:val="none"/>
              </w:rPr>
            </w:pPr>
          </w:p>
        </w:tc>
        <w:tc>
          <w:tcPr>
            <w:tcW w:w="2488" w:type="dxa"/>
            <w:vAlign w:val="top"/>
          </w:tcPr>
          <w:p w14:paraId="30690367">
            <w:pPr>
              <w:pStyle w:val="186"/>
              <w:spacing w:before="65" w:line="220" w:lineRule="auto"/>
              <w:ind w:left="103"/>
              <w:rPr>
                <w:color w:val="auto"/>
                <w:highlight w:val="none"/>
              </w:rPr>
            </w:pPr>
            <w:r>
              <w:rPr>
                <w:color w:val="auto"/>
                <w:spacing w:val="-1"/>
                <w:highlight w:val="none"/>
              </w:rPr>
              <w:t>A060104</w:t>
            </w:r>
            <w:r>
              <w:rPr>
                <w:color w:val="auto"/>
                <w:spacing w:val="-33"/>
                <w:highlight w:val="none"/>
              </w:rPr>
              <w:t xml:space="preserve"> </w:t>
            </w:r>
            <w:r>
              <w:rPr>
                <w:color w:val="auto"/>
                <w:spacing w:val="-1"/>
                <w:highlight w:val="none"/>
              </w:rPr>
              <w:t>木制床类</w:t>
            </w:r>
          </w:p>
        </w:tc>
        <w:tc>
          <w:tcPr>
            <w:tcW w:w="2093" w:type="dxa"/>
            <w:vAlign w:val="top"/>
          </w:tcPr>
          <w:p w14:paraId="37DC4971">
            <w:pPr>
              <w:rPr>
                <w:rFonts w:ascii="Arial"/>
                <w:color w:val="auto"/>
                <w:sz w:val="21"/>
                <w:highlight w:val="none"/>
              </w:rPr>
            </w:pPr>
          </w:p>
        </w:tc>
        <w:tc>
          <w:tcPr>
            <w:tcW w:w="3299" w:type="dxa"/>
            <w:vAlign w:val="top"/>
          </w:tcPr>
          <w:p w14:paraId="376BD9B3">
            <w:pPr>
              <w:pStyle w:val="186"/>
              <w:spacing w:before="65"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50DFC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2" w:type="dxa"/>
            <w:vMerge w:val="continue"/>
            <w:tcBorders>
              <w:top w:val="nil"/>
            </w:tcBorders>
            <w:vAlign w:val="top"/>
          </w:tcPr>
          <w:p w14:paraId="719560A1">
            <w:pPr>
              <w:rPr>
                <w:rFonts w:ascii="Arial"/>
                <w:color w:val="auto"/>
                <w:sz w:val="21"/>
                <w:highlight w:val="none"/>
              </w:rPr>
            </w:pPr>
          </w:p>
        </w:tc>
        <w:tc>
          <w:tcPr>
            <w:tcW w:w="1435" w:type="dxa"/>
            <w:vMerge w:val="continue"/>
            <w:tcBorders>
              <w:top w:val="nil"/>
            </w:tcBorders>
            <w:vAlign w:val="top"/>
          </w:tcPr>
          <w:p w14:paraId="5AC9AD71">
            <w:pPr>
              <w:rPr>
                <w:rFonts w:ascii="Arial"/>
                <w:color w:val="auto"/>
                <w:sz w:val="21"/>
                <w:highlight w:val="none"/>
              </w:rPr>
            </w:pPr>
          </w:p>
        </w:tc>
        <w:tc>
          <w:tcPr>
            <w:tcW w:w="2488" w:type="dxa"/>
            <w:vAlign w:val="top"/>
          </w:tcPr>
          <w:p w14:paraId="26FEB403">
            <w:pPr>
              <w:pStyle w:val="186"/>
              <w:spacing w:before="65" w:line="220" w:lineRule="auto"/>
              <w:ind w:left="103"/>
              <w:rPr>
                <w:color w:val="auto"/>
                <w:highlight w:val="none"/>
              </w:rPr>
            </w:pPr>
            <w:r>
              <w:rPr>
                <w:color w:val="auto"/>
                <w:spacing w:val="-1"/>
                <w:highlight w:val="none"/>
              </w:rPr>
              <w:t>A060199</w:t>
            </w:r>
            <w:r>
              <w:rPr>
                <w:color w:val="auto"/>
                <w:spacing w:val="-33"/>
                <w:highlight w:val="none"/>
              </w:rPr>
              <w:t xml:space="preserve"> </w:t>
            </w:r>
            <w:r>
              <w:rPr>
                <w:color w:val="auto"/>
                <w:spacing w:val="-1"/>
                <w:highlight w:val="none"/>
              </w:rPr>
              <w:t>其他床类</w:t>
            </w:r>
          </w:p>
        </w:tc>
        <w:tc>
          <w:tcPr>
            <w:tcW w:w="2093" w:type="dxa"/>
            <w:vAlign w:val="top"/>
          </w:tcPr>
          <w:p w14:paraId="51982F53">
            <w:pPr>
              <w:rPr>
                <w:rFonts w:ascii="Arial"/>
                <w:color w:val="auto"/>
                <w:sz w:val="21"/>
                <w:highlight w:val="none"/>
              </w:rPr>
            </w:pPr>
          </w:p>
        </w:tc>
        <w:tc>
          <w:tcPr>
            <w:tcW w:w="3299" w:type="dxa"/>
            <w:vAlign w:val="top"/>
          </w:tcPr>
          <w:p w14:paraId="0176D31F">
            <w:pPr>
              <w:pStyle w:val="186"/>
              <w:spacing w:before="65"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0EB31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2" w:type="dxa"/>
            <w:vMerge w:val="restart"/>
            <w:tcBorders>
              <w:bottom w:val="nil"/>
            </w:tcBorders>
            <w:vAlign w:val="top"/>
          </w:tcPr>
          <w:p w14:paraId="067DD7B6">
            <w:pPr>
              <w:pStyle w:val="186"/>
              <w:spacing w:before="66"/>
              <w:ind w:left="128"/>
              <w:rPr>
                <w:color w:val="auto"/>
                <w:highlight w:val="none"/>
              </w:rPr>
            </w:pPr>
            <w:r>
              <w:rPr>
                <w:color w:val="auto"/>
                <w:spacing w:val="-10"/>
                <w:highlight w:val="none"/>
              </w:rPr>
              <w:t>17</w:t>
            </w:r>
          </w:p>
        </w:tc>
        <w:tc>
          <w:tcPr>
            <w:tcW w:w="1435" w:type="dxa"/>
            <w:vMerge w:val="restart"/>
            <w:tcBorders>
              <w:bottom w:val="nil"/>
            </w:tcBorders>
            <w:vAlign w:val="top"/>
          </w:tcPr>
          <w:p w14:paraId="4F422ECA">
            <w:pPr>
              <w:pStyle w:val="186"/>
              <w:spacing w:before="65" w:line="220" w:lineRule="auto"/>
              <w:ind w:left="102"/>
              <w:rPr>
                <w:color w:val="auto"/>
                <w:highlight w:val="none"/>
              </w:rPr>
            </w:pPr>
            <w:r>
              <w:rPr>
                <w:color w:val="auto"/>
                <w:spacing w:val="-2"/>
                <w:highlight w:val="none"/>
              </w:rPr>
              <w:t>A0602</w:t>
            </w:r>
            <w:r>
              <w:rPr>
                <w:color w:val="auto"/>
                <w:spacing w:val="-22"/>
                <w:highlight w:val="none"/>
              </w:rPr>
              <w:t xml:space="preserve"> </w:t>
            </w:r>
            <w:r>
              <w:rPr>
                <w:color w:val="auto"/>
                <w:spacing w:val="-2"/>
                <w:highlight w:val="none"/>
              </w:rPr>
              <w:t>台、桌类</w:t>
            </w:r>
          </w:p>
        </w:tc>
        <w:tc>
          <w:tcPr>
            <w:tcW w:w="2488" w:type="dxa"/>
            <w:vAlign w:val="top"/>
          </w:tcPr>
          <w:p w14:paraId="3EF98E90">
            <w:pPr>
              <w:pStyle w:val="186"/>
              <w:spacing w:before="65" w:line="220" w:lineRule="auto"/>
              <w:ind w:left="103"/>
              <w:rPr>
                <w:color w:val="auto"/>
                <w:highlight w:val="none"/>
              </w:rPr>
            </w:pPr>
            <w:r>
              <w:rPr>
                <w:color w:val="auto"/>
                <w:spacing w:val="-1"/>
                <w:highlight w:val="none"/>
              </w:rPr>
              <w:t>A060201</w:t>
            </w:r>
            <w:r>
              <w:rPr>
                <w:color w:val="auto"/>
                <w:spacing w:val="-29"/>
                <w:highlight w:val="none"/>
              </w:rPr>
              <w:t xml:space="preserve"> </w:t>
            </w:r>
            <w:r>
              <w:rPr>
                <w:color w:val="auto"/>
                <w:spacing w:val="-1"/>
                <w:highlight w:val="none"/>
              </w:rPr>
              <w:t>钢木台、桌类</w:t>
            </w:r>
          </w:p>
        </w:tc>
        <w:tc>
          <w:tcPr>
            <w:tcW w:w="2093" w:type="dxa"/>
            <w:vAlign w:val="top"/>
          </w:tcPr>
          <w:p w14:paraId="63D7ED7A">
            <w:pPr>
              <w:rPr>
                <w:rFonts w:ascii="Arial"/>
                <w:color w:val="auto"/>
                <w:sz w:val="21"/>
                <w:highlight w:val="none"/>
              </w:rPr>
            </w:pPr>
          </w:p>
        </w:tc>
        <w:tc>
          <w:tcPr>
            <w:tcW w:w="3299" w:type="dxa"/>
            <w:vAlign w:val="top"/>
          </w:tcPr>
          <w:p w14:paraId="44310610">
            <w:pPr>
              <w:pStyle w:val="186"/>
              <w:spacing w:before="65"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35ACC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42" w:type="dxa"/>
            <w:vMerge w:val="continue"/>
            <w:tcBorders>
              <w:top w:val="nil"/>
              <w:bottom w:val="nil"/>
            </w:tcBorders>
            <w:vAlign w:val="top"/>
          </w:tcPr>
          <w:p w14:paraId="506791F7">
            <w:pPr>
              <w:rPr>
                <w:rFonts w:ascii="Arial"/>
                <w:color w:val="auto"/>
                <w:sz w:val="21"/>
                <w:highlight w:val="none"/>
              </w:rPr>
            </w:pPr>
          </w:p>
        </w:tc>
        <w:tc>
          <w:tcPr>
            <w:tcW w:w="1435" w:type="dxa"/>
            <w:vMerge w:val="continue"/>
            <w:tcBorders>
              <w:top w:val="nil"/>
              <w:bottom w:val="nil"/>
            </w:tcBorders>
            <w:vAlign w:val="top"/>
          </w:tcPr>
          <w:p w14:paraId="15BBB0FD">
            <w:pPr>
              <w:rPr>
                <w:rFonts w:ascii="Arial"/>
                <w:color w:val="auto"/>
                <w:sz w:val="21"/>
                <w:highlight w:val="none"/>
              </w:rPr>
            </w:pPr>
          </w:p>
        </w:tc>
        <w:tc>
          <w:tcPr>
            <w:tcW w:w="2488" w:type="dxa"/>
            <w:vAlign w:val="top"/>
          </w:tcPr>
          <w:p w14:paraId="4D21D347">
            <w:pPr>
              <w:pStyle w:val="186"/>
              <w:spacing w:before="65" w:line="220" w:lineRule="auto"/>
              <w:ind w:left="103"/>
              <w:rPr>
                <w:color w:val="auto"/>
                <w:highlight w:val="none"/>
              </w:rPr>
            </w:pPr>
            <w:r>
              <w:rPr>
                <w:color w:val="auto"/>
                <w:spacing w:val="-1"/>
                <w:highlight w:val="none"/>
              </w:rPr>
              <w:t>A060205</w:t>
            </w:r>
            <w:r>
              <w:rPr>
                <w:color w:val="auto"/>
                <w:spacing w:val="-29"/>
                <w:highlight w:val="none"/>
              </w:rPr>
              <w:t xml:space="preserve"> </w:t>
            </w:r>
            <w:r>
              <w:rPr>
                <w:color w:val="auto"/>
                <w:spacing w:val="-1"/>
                <w:highlight w:val="none"/>
              </w:rPr>
              <w:t>木制台、桌类</w:t>
            </w:r>
          </w:p>
        </w:tc>
        <w:tc>
          <w:tcPr>
            <w:tcW w:w="2093" w:type="dxa"/>
            <w:vAlign w:val="top"/>
          </w:tcPr>
          <w:p w14:paraId="4FE60C8F">
            <w:pPr>
              <w:rPr>
                <w:rFonts w:ascii="Arial"/>
                <w:color w:val="auto"/>
                <w:sz w:val="21"/>
                <w:highlight w:val="none"/>
              </w:rPr>
            </w:pPr>
          </w:p>
        </w:tc>
        <w:tc>
          <w:tcPr>
            <w:tcW w:w="3299" w:type="dxa"/>
            <w:vAlign w:val="top"/>
          </w:tcPr>
          <w:p w14:paraId="570D9799">
            <w:pPr>
              <w:pStyle w:val="186"/>
              <w:spacing w:before="65"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75CE7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2" w:type="dxa"/>
            <w:vMerge w:val="continue"/>
            <w:tcBorders>
              <w:top w:val="nil"/>
            </w:tcBorders>
            <w:vAlign w:val="top"/>
          </w:tcPr>
          <w:p w14:paraId="08DC5794">
            <w:pPr>
              <w:rPr>
                <w:rFonts w:ascii="Arial"/>
                <w:color w:val="auto"/>
                <w:sz w:val="21"/>
                <w:highlight w:val="none"/>
              </w:rPr>
            </w:pPr>
          </w:p>
        </w:tc>
        <w:tc>
          <w:tcPr>
            <w:tcW w:w="1435" w:type="dxa"/>
            <w:vMerge w:val="continue"/>
            <w:tcBorders>
              <w:top w:val="nil"/>
            </w:tcBorders>
            <w:vAlign w:val="top"/>
          </w:tcPr>
          <w:p w14:paraId="723EF5E8">
            <w:pPr>
              <w:rPr>
                <w:rFonts w:ascii="Arial"/>
                <w:color w:val="auto"/>
                <w:sz w:val="21"/>
                <w:highlight w:val="none"/>
              </w:rPr>
            </w:pPr>
          </w:p>
        </w:tc>
        <w:tc>
          <w:tcPr>
            <w:tcW w:w="2488" w:type="dxa"/>
            <w:vAlign w:val="top"/>
          </w:tcPr>
          <w:p w14:paraId="2A9BC133">
            <w:pPr>
              <w:pStyle w:val="186"/>
              <w:spacing w:before="66" w:line="220" w:lineRule="auto"/>
              <w:ind w:left="103"/>
              <w:rPr>
                <w:color w:val="auto"/>
                <w:highlight w:val="none"/>
              </w:rPr>
            </w:pPr>
            <w:r>
              <w:rPr>
                <w:color w:val="auto"/>
                <w:spacing w:val="-1"/>
                <w:highlight w:val="none"/>
              </w:rPr>
              <w:t>A060299</w:t>
            </w:r>
            <w:r>
              <w:rPr>
                <w:color w:val="auto"/>
                <w:spacing w:val="-29"/>
                <w:highlight w:val="none"/>
              </w:rPr>
              <w:t xml:space="preserve"> </w:t>
            </w:r>
            <w:r>
              <w:rPr>
                <w:color w:val="auto"/>
                <w:spacing w:val="-1"/>
                <w:highlight w:val="none"/>
              </w:rPr>
              <w:t>其他台、桌类</w:t>
            </w:r>
          </w:p>
        </w:tc>
        <w:tc>
          <w:tcPr>
            <w:tcW w:w="2093" w:type="dxa"/>
            <w:vAlign w:val="top"/>
          </w:tcPr>
          <w:p w14:paraId="188BF30A">
            <w:pPr>
              <w:rPr>
                <w:rFonts w:ascii="Arial"/>
                <w:color w:val="auto"/>
                <w:sz w:val="21"/>
                <w:highlight w:val="none"/>
              </w:rPr>
            </w:pPr>
          </w:p>
        </w:tc>
        <w:tc>
          <w:tcPr>
            <w:tcW w:w="3299" w:type="dxa"/>
            <w:vAlign w:val="top"/>
          </w:tcPr>
          <w:p w14:paraId="61830377">
            <w:pPr>
              <w:pStyle w:val="186"/>
              <w:spacing w:before="66"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74360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542" w:type="dxa"/>
            <w:vMerge w:val="restart"/>
            <w:tcBorders>
              <w:bottom w:val="nil"/>
            </w:tcBorders>
            <w:vAlign w:val="top"/>
          </w:tcPr>
          <w:p w14:paraId="6B819CA5">
            <w:pPr>
              <w:pStyle w:val="186"/>
              <w:spacing w:before="67"/>
              <w:ind w:left="128"/>
              <w:rPr>
                <w:color w:val="auto"/>
                <w:highlight w:val="none"/>
              </w:rPr>
            </w:pPr>
            <w:r>
              <w:rPr>
                <w:color w:val="auto"/>
                <w:spacing w:val="-10"/>
                <w:highlight w:val="none"/>
              </w:rPr>
              <w:t>18</w:t>
            </w:r>
          </w:p>
        </w:tc>
        <w:tc>
          <w:tcPr>
            <w:tcW w:w="1435" w:type="dxa"/>
            <w:vMerge w:val="restart"/>
            <w:tcBorders>
              <w:bottom w:val="nil"/>
            </w:tcBorders>
            <w:vAlign w:val="top"/>
          </w:tcPr>
          <w:p w14:paraId="1BD48079">
            <w:pPr>
              <w:pStyle w:val="186"/>
              <w:spacing w:before="66" w:line="220" w:lineRule="auto"/>
              <w:ind w:left="102"/>
              <w:rPr>
                <w:color w:val="auto"/>
                <w:highlight w:val="none"/>
              </w:rPr>
            </w:pPr>
            <w:r>
              <w:rPr>
                <w:color w:val="auto"/>
                <w:spacing w:val="-1"/>
                <w:highlight w:val="none"/>
              </w:rPr>
              <w:t>A0603</w:t>
            </w:r>
            <w:r>
              <w:rPr>
                <w:color w:val="auto"/>
                <w:spacing w:val="-36"/>
                <w:highlight w:val="none"/>
              </w:rPr>
              <w:t xml:space="preserve"> </w:t>
            </w:r>
            <w:r>
              <w:rPr>
                <w:color w:val="auto"/>
                <w:spacing w:val="-1"/>
                <w:highlight w:val="none"/>
              </w:rPr>
              <w:t>椅凳类</w:t>
            </w:r>
          </w:p>
        </w:tc>
        <w:tc>
          <w:tcPr>
            <w:tcW w:w="2488" w:type="dxa"/>
            <w:vAlign w:val="top"/>
          </w:tcPr>
          <w:p w14:paraId="546BAEB9">
            <w:pPr>
              <w:pStyle w:val="186"/>
              <w:spacing w:before="66" w:line="220" w:lineRule="auto"/>
              <w:ind w:left="103"/>
              <w:rPr>
                <w:color w:val="auto"/>
                <w:highlight w:val="none"/>
              </w:rPr>
            </w:pPr>
            <w:r>
              <w:rPr>
                <w:color w:val="auto"/>
                <w:spacing w:val="-1"/>
                <w:highlight w:val="none"/>
              </w:rPr>
              <w:t>A060301</w:t>
            </w:r>
            <w:r>
              <w:rPr>
                <w:color w:val="auto"/>
                <w:spacing w:val="-46"/>
                <w:highlight w:val="none"/>
              </w:rPr>
              <w:t xml:space="preserve"> </w:t>
            </w:r>
            <w:r>
              <w:rPr>
                <w:color w:val="auto"/>
                <w:spacing w:val="-1"/>
                <w:highlight w:val="none"/>
              </w:rPr>
              <w:t>金属骨架为主的椅凳类</w:t>
            </w:r>
          </w:p>
        </w:tc>
        <w:tc>
          <w:tcPr>
            <w:tcW w:w="2093" w:type="dxa"/>
            <w:vAlign w:val="top"/>
          </w:tcPr>
          <w:p w14:paraId="6C60A8E3">
            <w:pPr>
              <w:rPr>
                <w:rFonts w:ascii="Arial"/>
                <w:color w:val="auto"/>
                <w:sz w:val="21"/>
                <w:highlight w:val="none"/>
              </w:rPr>
            </w:pPr>
          </w:p>
        </w:tc>
        <w:tc>
          <w:tcPr>
            <w:tcW w:w="3299" w:type="dxa"/>
            <w:vAlign w:val="top"/>
          </w:tcPr>
          <w:p w14:paraId="7E5A39DC">
            <w:pPr>
              <w:pStyle w:val="186"/>
              <w:spacing w:before="66"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36F42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42" w:type="dxa"/>
            <w:vMerge w:val="continue"/>
            <w:tcBorders>
              <w:top w:val="nil"/>
              <w:bottom w:val="nil"/>
            </w:tcBorders>
            <w:vAlign w:val="top"/>
          </w:tcPr>
          <w:p w14:paraId="2E862296">
            <w:pPr>
              <w:rPr>
                <w:rFonts w:ascii="Arial"/>
                <w:color w:val="auto"/>
                <w:sz w:val="21"/>
                <w:highlight w:val="none"/>
              </w:rPr>
            </w:pPr>
          </w:p>
        </w:tc>
        <w:tc>
          <w:tcPr>
            <w:tcW w:w="1435" w:type="dxa"/>
            <w:vMerge w:val="continue"/>
            <w:tcBorders>
              <w:top w:val="nil"/>
              <w:bottom w:val="nil"/>
            </w:tcBorders>
            <w:vAlign w:val="top"/>
          </w:tcPr>
          <w:p w14:paraId="67D70B39">
            <w:pPr>
              <w:rPr>
                <w:rFonts w:ascii="Arial"/>
                <w:color w:val="auto"/>
                <w:sz w:val="21"/>
                <w:highlight w:val="none"/>
              </w:rPr>
            </w:pPr>
          </w:p>
        </w:tc>
        <w:tc>
          <w:tcPr>
            <w:tcW w:w="2488" w:type="dxa"/>
            <w:vAlign w:val="top"/>
          </w:tcPr>
          <w:p w14:paraId="565ADE80">
            <w:pPr>
              <w:pStyle w:val="186"/>
              <w:spacing w:before="66" w:line="220" w:lineRule="auto"/>
              <w:ind w:left="103"/>
              <w:rPr>
                <w:color w:val="auto"/>
                <w:highlight w:val="none"/>
              </w:rPr>
            </w:pPr>
            <w:r>
              <w:rPr>
                <w:color w:val="auto"/>
                <w:spacing w:val="-1"/>
                <w:highlight w:val="none"/>
              </w:rPr>
              <w:t>A060302</w:t>
            </w:r>
            <w:r>
              <w:rPr>
                <w:color w:val="auto"/>
                <w:spacing w:val="-29"/>
                <w:highlight w:val="none"/>
              </w:rPr>
              <w:t xml:space="preserve"> </w:t>
            </w:r>
            <w:r>
              <w:rPr>
                <w:color w:val="auto"/>
                <w:spacing w:val="-1"/>
                <w:highlight w:val="none"/>
              </w:rPr>
              <w:t>木骨架为主的椅凳类</w:t>
            </w:r>
          </w:p>
        </w:tc>
        <w:tc>
          <w:tcPr>
            <w:tcW w:w="2093" w:type="dxa"/>
            <w:vAlign w:val="top"/>
          </w:tcPr>
          <w:p w14:paraId="3554F96A">
            <w:pPr>
              <w:rPr>
                <w:rFonts w:ascii="Arial"/>
                <w:color w:val="auto"/>
                <w:sz w:val="21"/>
                <w:highlight w:val="none"/>
              </w:rPr>
            </w:pPr>
          </w:p>
        </w:tc>
        <w:tc>
          <w:tcPr>
            <w:tcW w:w="3299" w:type="dxa"/>
            <w:vAlign w:val="top"/>
          </w:tcPr>
          <w:p w14:paraId="67B75D1F">
            <w:pPr>
              <w:pStyle w:val="186"/>
              <w:spacing w:before="66"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73BCD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2" w:type="dxa"/>
            <w:vMerge w:val="continue"/>
            <w:tcBorders>
              <w:top w:val="nil"/>
            </w:tcBorders>
            <w:vAlign w:val="top"/>
          </w:tcPr>
          <w:p w14:paraId="22C788A2">
            <w:pPr>
              <w:rPr>
                <w:rFonts w:ascii="Arial"/>
                <w:color w:val="auto"/>
                <w:sz w:val="21"/>
                <w:highlight w:val="none"/>
              </w:rPr>
            </w:pPr>
          </w:p>
        </w:tc>
        <w:tc>
          <w:tcPr>
            <w:tcW w:w="1435" w:type="dxa"/>
            <w:vMerge w:val="continue"/>
            <w:tcBorders>
              <w:top w:val="nil"/>
            </w:tcBorders>
            <w:vAlign w:val="top"/>
          </w:tcPr>
          <w:p w14:paraId="4AA1BFBE">
            <w:pPr>
              <w:rPr>
                <w:rFonts w:ascii="Arial"/>
                <w:color w:val="auto"/>
                <w:sz w:val="21"/>
                <w:highlight w:val="none"/>
              </w:rPr>
            </w:pPr>
          </w:p>
        </w:tc>
        <w:tc>
          <w:tcPr>
            <w:tcW w:w="2488" w:type="dxa"/>
            <w:vAlign w:val="top"/>
          </w:tcPr>
          <w:p w14:paraId="04F8CE43">
            <w:pPr>
              <w:pStyle w:val="186"/>
              <w:spacing w:before="67" w:line="220" w:lineRule="auto"/>
              <w:ind w:left="103"/>
              <w:rPr>
                <w:color w:val="auto"/>
                <w:highlight w:val="none"/>
              </w:rPr>
            </w:pPr>
            <w:r>
              <w:rPr>
                <w:color w:val="auto"/>
                <w:spacing w:val="-1"/>
                <w:highlight w:val="none"/>
              </w:rPr>
              <w:t>A060399</w:t>
            </w:r>
            <w:r>
              <w:rPr>
                <w:color w:val="auto"/>
                <w:spacing w:val="-33"/>
                <w:highlight w:val="none"/>
              </w:rPr>
              <w:t xml:space="preserve"> </w:t>
            </w:r>
            <w:r>
              <w:rPr>
                <w:color w:val="auto"/>
                <w:spacing w:val="-1"/>
                <w:highlight w:val="none"/>
              </w:rPr>
              <w:t>其他椅凳类</w:t>
            </w:r>
          </w:p>
        </w:tc>
        <w:tc>
          <w:tcPr>
            <w:tcW w:w="2093" w:type="dxa"/>
            <w:vAlign w:val="top"/>
          </w:tcPr>
          <w:p w14:paraId="683275ED">
            <w:pPr>
              <w:rPr>
                <w:rFonts w:ascii="Arial"/>
                <w:color w:val="auto"/>
                <w:sz w:val="21"/>
                <w:highlight w:val="none"/>
              </w:rPr>
            </w:pPr>
          </w:p>
        </w:tc>
        <w:tc>
          <w:tcPr>
            <w:tcW w:w="3299" w:type="dxa"/>
            <w:vAlign w:val="top"/>
          </w:tcPr>
          <w:p w14:paraId="6EBF9825">
            <w:pPr>
              <w:pStyle w:val="186"/>
              <w:spacing w:before="66"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691E0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2" w:type="dxa"/>
            <w:vAlign w:val="top"/>
          </w:tcPr>
          <w:p w14:paraId="2C1C8393">
            <w:pPr>
              <w:pStyle w:val="186"/>
              <w:spacing w:before="67"/>
              <w:ind w:left="128"/>
              <w:rPr>
                <w:color w:val="auto"/>
                <w:highlight w:val="none"/>
              </w:rPr>
            </w:pPr>
            <w:r>
              <w:rPr>
                <w:color w:val="auto"/>
                <w:spacing w:val="-10"/>
                <w:highlight w:val="none"/>
              </w:rPr>
              <w:t>19</w:t>
            </w:r>
          </w:p>
        </w:tc>
        <w:tc>
          <w:tcPr>
            <w:tcW w:w="1435" w:type="dxa"/>
            <w:vAlign w:val="top"/>
          </w:tcPr>
          <w:p w14:paraId="6899F3AE">
            <w:pPr>
              <w:pStyle w:val="186"/>
              <w:spacing w:before="67" w:line="220" w:lineRule="auto"/>
              <w:ind w:left="102"/>
              <w:rPr>
                <w:color w:val="auto"/>
                <w:highlight w:val="none"/>
              </w:rPr>
            </w:pPr>
            <w:r>
              <w:rPr>
                <w:color w:val="auto"/>
                <w:spacing w:val="-1"/>
                <w:highlight w:val="none"/>
              </w:rPr>
              <w:t>A0604</w:t>
            </w:r>
            <w:r>
              <w:rPr>
                <w:color w:val="auto"/>
                <w:spacing w:val="-35"/>
                <w:highlight w:val="none"/>
              </w:rPr>
              <w:t xml:space="preserve"> </w:t>
            </w:r>
            <w:r>
              <w:rPr>
                <w:color w:val="auto"/>
                <w:spacing w:val="-1"/>
                <w:highlight w:val="none"/>
              </w:rPr>
              <w:t>沙发类</w:t>
            </w:r>
          </w:p>
        </w:tc>
        <w:tc>
          <w:tcPr>
            <w:tcW w:w="2488" w:type="dxa"/>
            <w:vAlign w:val="top"/>
          </w:tcPr>
          <w:p w14:paraId="1F396754">
            <w:pPr>
              <w:pStyle w:val="186"/>
              <w:spacing w:before="67" w:line="220" w:lineRule="auto"/>
              <w:ind w:left="103"/>
              <w:rPr>
                <w:color w:val="auto"/>
                <w:highlight w:val="none"/>
              </w:rPr>
            </w:pPr>
            <w:r>
              <w:rPr>
                <w:color w:val="auto"/>
                <w:spacing w:val="-1"/>
                <w:highlight w:val="none"/>
              </w:rPr>
              <w:t>A060499</w:t>
            </w:r>
            <w:r>
              <w:rPr>
                <w:color w:val="auto"/>
                <w:spacing w:val="-33"/>
                <w:highlight w:val="none"/>
              </w:rPr>
              <w:t xml:space="preserve"> </w:t>
            </w:r>
            <w:r>
              <w:rPr>
                <w:color w:val="auto"/>
                <w:spacing w:val="-1"/>
                <w:highlight w:val="none"/>
              </w:rPr>
              <w:t>其他沙发类</w:t>
            </w:r>
          </w:p>
        </w:tc>
        <w:tc>
          <w:tcPr>
            <w:tcW w:w="2093" w:type="dxa"/>
            <w:vAlign w:val="top"/>
          </w:tcPr>
          <w:p w14:paraId="01AFF7AE">
            <w:pPr>
              <w:rPr>
                <w:rFonts w:ascii="Arial"/>
                <w:color w:val="auto"/>
                <w:sz w:val="21"/>
                <w:highlight w:val="none"/>
              </w:rPr>
            </w:pPr>
          </w:p>
        </w:tc>
        <w:tc>
          <w:tcPr>
            <w:tcW w:w="3299" w:type="dxa"/>
            <w:vAlign w:val="top"/>
          </w:tcPr>
          <w:p w14:paraId="416AD220">
            <w:pPr>
              <w:pStyle w:val="186"/>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126F6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2" w:type="dxa"/>
            <w:vMerge w:val="restart"/>
            <w:tcBorders>
              <w:bottom w:val="nil"/>
            </w:tcBorders>
            <w:vAlign w:val="top"/>
          </w:tcPr>
          <w:p w14:paraId="4DAED7C4">
            <w:pPr>
              <w:pStyle w:val="186"/>
              <w:spacing w:before="67"/>
              <w:ind w:left="116"/>
              <w:rPr>
                <w:color w:val="auto"/>
                <w:highlight w:val="none"/>
              </w:rPr>
            </w:pPr>
            <w:r>
              <w:rPr>
                <w:color w:val="auto"/>
                <w:spacing w:val="-4"/>
                <w:highlight w:val="none"/>
              </w:rPr>
              <w:t>20</w:t>
            </w:r>
          </w:p>
        </w:tc>
        <w:tc>
          <w:tcPr>
            <w:tcW w:w="1435" w:type="dxa"/>
            <w:vMerge w:val="restart"/>
            <w:tcBorders>
              <w:bottom w:val="nil"/>
            </w:tcBorders>
            <w:vAlign w:val="top"/>
          </w:tcPr>
          <w:p w14:paraId="024B9F53">
            <w:pPr>
              <w:pStyle w:val="186"/>
              <w:spacing w:before="67" w:line="220" w:lineRule="auto"/>
              <w:ind w:left="193"/>
              <w:rPr>
                <w:color w:val="auto"/>
                <w:highlight w:val="none"/>
              </w:rPr>
            </w:pPr>
            <w:r>
              <w:rPr>
                <w:color w:val="auto"/>
                <w:spacing w:val="-1"/>
                <w:highlight w:val="none"/>
              </w:rPr>
              <w:t>A0605</w:t>
            </w:r>
            <w:r>
              <w:rPr>
                <w:color w:val="auto"/>
                <w:spacing w:val="-36"/>
                <w:highlight w:val="none"/>
              </w:rPr>
              <w:t xml:space="preserve"> </w:t>
            </w:r>
            <w:r>
              <w:rPr>
                <w:color w:val="auto"/>
                <w:spacing w:val="-1"/>
                <w:highlight w:val="none"/>
              </w:rPr>
              <w:t>柜类</w:t>
            </w:r>
          </w:p>
        </w:tc>
        <w:tc>
          <w:tcPr>
            <w:tcW w:w="2488" w:type="dxa"/>
            <w:vAlign w:val="top"/>
          </w:tcPr>
          <w:p w14:paraId="3CF50E07">
            <w:pPr>
              <w:pStyle w:val="186"/>
              <w:spacing w:before="67" w:line="220" w:lineRule="auto"/>
              <w:ind w:left="103"/>
              <w:rPr>
                <w:color w:val="auto"/>
                <w:highlight w:val="none"/>
              </w:rPr>
            </w:pPr>
            <w:r>
              <w:rPr>
                <w:color w:val="auto"/>
                <w:spacing w:val="-1"/>
                <w:highlight w:val="none"/>
              </w:rPr>
              <w:t>A060501</w:t>
            </w:r>
            <w:r>
              <w:rPr>
                <w:color w:val="auto"/>
                <w:spacing w:val="-33"/>
                <w:highlight w:val="none"/>
              </w:rPr>
              <w:t xml:space="preserve"> </w:t>
            </w:r>
            <w:r>
              <w:rPr>
                <w:color w:val="auto"/>
                <w:spacing w:val="-1"/>
                <w:highlight w:val="none"/>
              </w:rPr>
              <w:t>木质柜类</w:t>
            </w:r>
          </w:p>
        </w:tc>
        <w:tc>
          <w:tcPr>
            <w:tcW w:w="2093" w:type="dxa"/>
            <w:vAlign w:val="top"/>
          </w:tcPr>
          <w:p w14:paraId="0DC520FB">
            <w:pPr>
              <w:rPr>
                <w:rFonts w:ascii="Arial"/>
                <w:color w:val="auto"/>
                <w:sz w:val="21"/>
                <w:highlight w:val="none"/>
              </w:rPr>
            </w:pPr>
          </w:p>
        </w:tc>
        <w:tc>
          <w:tcPr>
            <w:tcW w:w="3299" w:type="dxa"/>
            <w:vAlign w:val="top"/>
          </w:tcPr>
          <w:p w14:paraId="17C2AA7D">
            <w:pPr>
              <w:pStyle w:val="186"/>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1E971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2" w:type="dxa"/>
            <w:vMerge w:val="continue"/>
            <w:tcBorders>
              <w:top w:val="nil"/>
              <w:bottom w:val="nil"/>
            </w:tcBorders>
            <w:vAlign w:val="top"/>
          </w:tcPr>
          <w:p w14:paraId="57A4961F">
            <w:pPr>
              <w:rPr>
                <w:rFonts w:ascii="Arial"/>
                <w:color w:val="auto"/>
                <w:sz w:val="21"/>
                <w:highlight w:val="none"/>
              </w:rPr>
            </w:pPr>
          </w:p>
        </w:tc>
        <w:tc>
          <w:tcPr>
            <w:tcW w:w="1435" w:type="dxa"/>
            <w:vMerge w:val="continue"/>
            <w:tcBorders>
              <w:top w:val="nil"/>
              <w:bottom w:val="nil"/>
            </w:tcBorders>
            <w:vAlign w:val="top"/>
          </w:tcPr>
          <w:p w14:paraId="3A998AFA">
            <w:pPr>
              <w:rPr>
                <w:rFonts w:ascii="Arial"/>
                <w:color w:val="auto"/>
                <w:sz w:val="21"/>
                <w:highlight w:val="none"/>
              </w:rPr>
            </w:pPr>
          </w:p>
        </w:tc>
        <w:tc>
          <w:tcPr>
            <w:tcW w:w="2488" w:type="dxa"/>
            <w:vAlign w:val="top"/>
          </w:tcPr>
          <w:p w14:paraId="3A400BAB">
            <w:pPr>
              <w:pStyle w:val="186"/>
              <w:spacing w:before="67" w:line="220" w:lineRule="auto"/>
              <w:ind w:left="103"/>
              <w:rPr>
                <w:color w:val="auto"/>
                <w:highlight w:val="none"/>
              </w:rPr>
            </w:pPr>
            <w:r>
              <w:rPr>
                <w:color w:val="auto"/>
                <w:spacing w:val="-1"/>
                <w:highlight w:val="none"/>
              </w:rPr>
              <w:t>A060503</w:t>
            </w:r>
            <w:r>
              <w:rPr>
                <w:color w:val="auto"/>
                <w:spacing w:val="-32"/>
                <w:highlight w:val="none"/>
              </w:rPr>
              <w:t xml:space="preserve"> </w:t>
            </w:r>
            <w:r>
              <w:rPr>
                <w:color w:val="auto"/>
                <w:spacing w:val="-1"/>
                <w:highlight w:val="none"/>
              </w:rPr>
              <w:t>金属质柜类</w:t>
            </w:r>
          </w:p>
        </w:tc>
        <w:tc>
          <w:tcPr>
            <w:tcW w:w="2093" w:type="dxa"/>
            <w:vAlign w:val="top"/>
          </w:tcPr>
          <w:p w14:paraId="72F1D711">
            <w:pPr>
              <w:rPr>
                <w:rFonts w:ascii="Arial"/>
                <w:color w:val="auto"/>
                <w:sz w:val="21"/>
                <w:highlight w:val="none"/>
              </w:rPr>
            </w:pPr>
          </w:p>
        </w:tc>
        <w:tc>
          <w:tcPr>
            <w:tcW w:w="3299" w:type="dxa"/>
            <w:vAlign w:val="top"/>
          </w:tcPr>
          <w:p w14:paraId="00A2E27A">
            <w:pPr>
              <w:pStyle w:val="186"/>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70C48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2" w:type="dxa"/>
            <w:vMerge w:val="continue"/>
            <w:tcBorders>
              <w:top w:val="nil"/>
            </w:tcBorders>
            <w:vAlign w:val="top"/>
          </w:tcPr>
          <w:p w14:paraId="6B37F18D">
            <w:pPr>
              <w:rPr>
                <w:rFonts w:ascii="Arial"/>
                <w:color w:val="auto"/>
                <w:sz w:val="21"/>
                <w:highlight w:val="none"/>
              </w:rPr>
            </w:pPr>
          </w:p>
        </w:tc>
        <w:tc>
          <w:tcPr>
            <w:tcW w:w="1435" w:type="dxa"/>
            <w:vMerge w:val="continue"/>
            <w:tcBorders>
              <w:top w:val="nil"/>
            </w:tcBorders>
            <w:vAlign w:val="top"/>
          </w:tcPr>
          <w:p w14:paraId="7E6CCF24">
            <w:pPr>
              <w:rPr>
                <w:rFonts w:ascii="Arial"/>
                <w:color w:val="auto"/>
                <w:sz w:val="21"/>
                <w:highlight w:val="none"/>
              </w:rPr>
            </w:pPr>
          </w:p>
        </w:tc>
        <w:tc>
          <w:tcPr>
            <w:tcW w:w="2488" w:type="dxa"/>
            <w:vAlign w:val="top"/>
          </w:tcPr>
          <w:p w14:paraId="24D0522B">
            <w:pPr>
              <w:pStyle w:val="186"/>
              <w:spacing w:before="67" w:line="220" w:lineRule="auto"/>
              <w:ind w:left="103"/>
              <w:rPr>
                <w:color w:val="auto"/>
                <w:highlight w:val="none"/>
              </w:rPr>
            </w:pPr>
            <w:r>
              <w:rPr>
                <w:color w:val="auto"/>
                <w:spacing w:val="-1"/>
                <w:highlight w:val="none"/>
              </w:rPr>
              <w:t>A060599</w:t>
            </w:r>
            <w:r>
              <w:rPr>
                <w:color w:val="auto"/>
                <w:spacing w:val="-33"/>
                <w:highlight w:val="none"/>
              </w:rPr>
              <w:t xml:space="preserve"> </w:t>
            </w:r>
            <w:r>
              <w:rPr>
                <w:color w:val="auto"/>
                <w:spacing w:val="-1"/>
                <w:highlight w:val="none"/>
              </w:rPr>
              <w:t>其他柜类</w:t>
            </w:r>
          </w:p>
        </w:tc>
        <w:tc>
          <w:tcPr>
            <w:tcW w:w="2093" w:type="dxa"/>
            <w:vAlign w:val="top"/>
          </w:tcPr>
          <w:p w14:paraId="03CB406E">
            <w:pPr>
              <w:rPr>
                <w:rFonts w:ascii="Arial"/>
                <w:color w:val="auto"/>
                <w:sz w:val="21"/>
                <w:highlight w:val="none"/>
              </w:rPr>
            </w:pPr>
          </w:p>
        </w:tc>
        <w:tc>
          <w:tcPr>
            <w:tcW w:w="3299" w:type="dxa"/>
            <w:vAlign w:val="top"/>
          </w:tcPr>
          <w:p w14:paraId="03211738">
            <w:pPr>
              <w:pStyle w:val="186"/>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195D9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2" w:type="dxa"/>
            <w:vMerge w:val="restart"/>
            <w:tcBorders>
              <w:bottom w:val="nil"/>
            </w:tcBorders>
            <w:vAlign w:val="top"/>
          </w:tcPr>
          <w:p w14:paraId="6645D345">
            <w:pPr>
              <w:pStyle w:val="186"/>
              <w:spacing w:before="67" w:line="242" w:lineRule="auto"/>
              <w:ind w:left="116"/>
              <w:rPr>
                <w:color w:val="auto"/>
                <w:highlight w:val="none"/>
              </w:rPr>
            </w:pPr>
            <w:r>
              <w:rPr>
                <w:color w:val="auto"/>
                <w:spacing w:val="-4"/>
                <w:highlight w:val="none"/>
              </w:rPr>
              <w:t>21</w:t>
            </w:r>
          </w:p>
        </w:tc>
        <w:tc>
          <w:tcPr>
            <w:tcW w:w="1435" w:type="dxa"/>
            <w:vMerge w:val="restart"/>
            <w:tcBorders>
              <w:bottom w:val="nil"/>
            </w:tcBorders>
            <w:vAlign w:val="top"/>
          </w:tcPr>
          <w:p w14:paraId="1A908630">
            <w:pPr>
              <w:pStyle w:val="186"/>
              <w:spacing w:before="67" w:line="220" w:lineRule="auto"/>
              <w:ind w:left="102"/>
              <w:rPr>
                <w:color w:val="auto"/>
                <w:highlight w:val="none"/>
              </w:rPr>
            </w:pPr>
            <w:r>
              <w:rPr>
                <w:color w:val="auto"/>
                <w:spacing w:val="-1"/>
                <w:highlight w:val="none"/>
              </w:rPr>
              <w:t>A0606</w:t>
            </w:r>
            <w:r>
              <w:rPr>
                <w:color w:val="auto"/>
                <w:spacing w:val="-35"/>
                <w:highlight w:val="none"/>
              </w:rPr>
              <w:t xml:space="preserve"> </w:t>
            </w:r>
            <w:r>
              <w:rPr>
                <w:color w:val="auto"/>
                <w:spacing w:val="-1"/>
                <w:highlight w:val="none"/>
              </w:rPr>
              <w:t>架类</w:t>
            </w:r>
          </w:p>
        </w:tc>
        <w:tc>
          <w:tcPr>
            <w:tcW w:w="2488" w:type="dxa"/>
            <w:vAlign w:val="top"/>
          </w:tcPr>
          <w:p w14:paraId="13E74D90">
            <w:pPr>
              <w:pStyle w:val="186"/>
              <w:spacing w:before="67" w:line="220" w:lineRule="auto"/>
              <w:ind w:left="103"/>
              <w:rPr>
                <w:color w:val="auto"/>
                <w:highlight w:val="none"/>
              </w:rPr>
            </w:pPr>
            <w:r>
              <w:rPr>
                <w:color w:val="auto"/>
                <w:spacing w:val="-1"/>
                <w:highlight w:val="none"/>
              </w:rPr>
              <w:t>A060601</w:t>
            </w:r>
            <w:r>
              <w:rPr>
                <w:color w:val="auto"/>
                <w:spacing w:val="-33"/>
                <w:highlight w:val="none"/>
              </w:rPr>
              <w:t xml:space="preserve"> </w:t>
            </w:r>
            <w:r>
              <w:rPr>
                <w:color w:val="auto"/>
                <w:spacing w:val="-1"/>
                <w:highlight w:val="none"/>
              </w:rPr>
              <w:t>木质架类</w:t>
            </w:r>
          </w:p>
        </w:tc>
        <w:tc>
          <w:tcPr>
            <w:tcW w:w="2093" w:type="dxa"/>
            <w:vAlign w:val="top"/>
          </w:tcPr>
          <w:p w14:paraId="7DAAFFE3">
            <w:pPr>
              <w:rPr>
                <w:rFonts w:ascii="Arial"/>
                <w:color w:val="auto"/>
                <w:sz w:val="21"/>
                <w:highlight w:val="none"/>
              </w:rPr>
            </w:pPr>
          </w:p>
        </w:tc>
        <w:tc>
          <w:tcPr>
            <w:tcW w:w="3299" w:type="dxa"/>
            <w:vAlign w:val="top"/>
          </w:tcPr>
          <w:p w14:paraId="4CAAFFC7">
            <w:pPr>
              <w:pStyle w:val="186"/>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06858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2" w:type="dxa"/>
            <w:vMerge w:val="continue"/>
            <w:tcBorders>
              <w:top w:val="nil"/>
            </w:tcBorders>
            <w:vAlign w:val="top"/>
          </w:tcPr>
          <w:p w14:paraId="2FBEE3F4">
            <w:pPr>
              <w:rPr>
                <w:rFonts w:ascii="Arial"/>
                <w:color w:val="auto"/>
                <w:sz w:val="21"/>
                <w:highlight w:val="none"/>
              </w:rPr>
            </w:pPr>
          </w:p>
        </w:tc>
        <w:tc>
          <w:tcPr>
            <w:tcW w:w="1435" w:type="dxa"/>
            <w:vMerge w:val="continue"/>
            <w:tcBorders>
              <w:top w:val="nil"/>
            </w:tcBorders>
            <w:vAlign w:val="top"/>
          </w:tcPr>
          <w:p w14:paraId="6FD4DF96">
            <w:pPr>
              <w:rPr>
                <w:rFonts w:ascii="Arial"/>
                <w:color w:val="auto"/>
                <w:sz w:val="21"/>
                <w:highlight w:val="none"/>
              </w:rPr>
            </w:pPr>
          </w:p>
        </w:tc>
        <w:tc>
          <w:tcPr>
            <w:tcW w:w="2488" w:type="dxa"/>
            <w:vAlign w:val="top"/>
          </w:tcPr>
          <w:p w14:paraId="225761AF">
            <w:pPr>
              <w:pStyle w:val="186"/>
              <w:spacing w:before="67" w:line="220" w:lineRule="auto"/>
              <w:ind w:left="103"/>
              <w:rPr>
                <w:color w:val="auto"/>
                <w:highlight w:val="none"/>
              </w:rPr>
            </w:pPr>
            <w:r>
              <w:rPr>
                <w:color w:val="auto"/>
                <w:spacing w:val="-1"/>
                <w:highlight w:val="none"/>
              </w:rPr>
              <w:t>A060602</w:t>
            </w:r>
            <w:r>
              <w:rPr>
                <w:color w:val="auto"/>
                <w:spacing w:val="-32"/>
                <w:highlight w:val="none"/>
              </w:rPr>
              <w:t xml:space="preserve"> </w:t>
            </w:r>
            <w:r>
              <w:rPr>
                <w:color w:val="auto"/>
                <w:spacing w:val="-1"/>
                <w:highlight w:val="none"/>
              </w:rPr>
              <w:t>金属质架类</w:t>
            </w:r>
          </w:p>
        </w:tc>
        <w:tc>
          <w:tcPr>
            <w:tcW w:w="2093" w:type="dxa"/>
            <w:vAlign w:val="top"/>
          </w:tcPr>
          <w:p w14:paraId="56C72FCA">
            <w:pPr>
              <w:rPr>
                <w:rFonts w:ascii="Arial"/>
                <w:color w:val="auto"/>
                <w:sz w:val="21"/>
                <w:highlight w:val="none"/>
              </w:rPr>
            </w:pPr>
          </w:p>
        </w:tc>
        <w:tc>
          <w:tcPr>
            <w:tcW w:w="3299" w:type="dxa"/>
            <w:vAlign w:val="top"/>
          </w:tcPr>
          <w:p w14:paraId="7DC17613">
            <w:pPr>
              <w:pStyle w:val="186"/>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6D1EB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2" w:type="dxa"/>
            <w:vMerge w:val="restart"/>
            <w:tcBorders>
              <w:bottom w:val="nil"/>
            </w:tcBorders>
            <w:vAlign w:val="top"/>
          </w:tcPr>
          <w:p w14:paraId="738E7152">
            <w:pPr>
              <w:pStyle w:val="186"/>
              <w:spacing w:before="67" w:line="242" w:lineRule="auto"/>
              <w:ind w:left="116"/>
              <w:rPr>
                <w:color w:val="auto"/>
                <w:highlight w:val="none"/>
              </w:rPr>
            </w:pPr>
            <w:r>
              <w:rPr>
                <w:color w:val="auto"/>
                <w:spacing w:val="-4"/>
                <w:highlight w:val="none"/>
              </w:rPr>
              <w:t>22</w:t>
            </w:r>
          </w:p>
        </w:tc>
        <w:tc>
          <w:tcPr>
            <w:tcW w:w="1435" w:type="dxa"/>
            <w:vMerge w:val="restart"/>
            <w:tcBorders>
              <w:bottom w:val="nil"/>
            </w:tcBorders>
            <w:vAlign w:val="top"/>
          </w:tcPr>
          <w:p w14:paraId="413BA742">
            <w:pPr>
              <w:pStyle w:val="186"/>
              <w:spacing w:before="67" w:line="220" w:lineRule="auto"/>
              <w:ind w:left="102"/>
              <w:rPr>
                <w:color w:val="auto"/>
                <w:highlight w:val="none"/>
              </w:rPr>
            </w:pPr>
            <w:r>
              <w:rPr>
                <w:color w:val="auto"/>
                <w:spacing w:val="-1"/>
                <w:highlight w:val="none"/>
              </w:rPr>
              <w:t>A0607</w:t>
            </w:r>
            <w:r>
              <w:rPr>
                <w:color w:val="auto"/>
                <w:spacing w:val="-35"/>
                <w:highlight w:val="none"/>
              </w:rPr>
              <w:t xml:space="preserve"> </w:t>
            </w:r>
            <w:r>
              <w:rPr>
                <w:color w:val="auto"/>
                <w:spacing w:val="-1"/>
                <w:highlight w:val="none"/>
              </w:rPr>
              <w:t>屏风类</w:t>
            </w:r>
          </w:p>
        </w:tc>
        <w:tc>
          <w:tcPr>
            <w:tcW w:w="2488" w:type="dxa"/>
            <w:vAlign w:val="top"/>
          </w:tcPr>
          <w:p w14:paraId="5E71B359">
            <w:pPr>
              <w:pStyle w:val="186"/>
              <w:spacing w:before="67" w:line="220" w:lineRule="auto"/>
              <w:ind w:left="103"/>
              <w:rPr>
                <w:color w:val="auto"/>
                <w:highlight w:val="none"/>
              </w:rPr>
            </w:pPr>
            <w:r>
              <w:rPr>
                <w:color w:val="auto"/>
                <w:spacing w:val="-1"/>
                <w:highlight w:val="none"/>
              </w:rPr>
              <w:t>A060701</w:t>
            </w:r>
            <w:r>
              <w:rPr>
                <w:color w:val="auto"/>
                <w:spacing w:val="-33"/>
                <w:highlight w:val="none"/>
              </w:rPr>
              <w:t xml:space="preserve"> </w:t>
            </w:r>
            <w:r>
              <w:rPr>
                <w:color w:val="auto"/>
                <w:spacing w:val="-1"/>
                <w:highlight w:val="none"/>
              </w:rPr>
              <w:t>木质屏风类</w:t>
            </w:r>
          </w:p>
        </w:tc>
        <w:tc>
          <w:tcPr>
            <w:tcW w:w="2093" w:type="dxa"/>
            <w:vAlign w:val="top"/>
          </w:tcPr>
          <w:p w14:paraId="07DB47D9">
            <w:pPr>
              <w:rPr>
                <w:rFonts w:ascii="Arial"/>
                <w:color w:val="auto"/>
                <w:sz w:val="21"/>
                <w:highlight w:val="none"/>
              </w:rPr>
            </w:pPr>
          </w:p>
        </w:tc>
        <w:tc>
          <w:tcPr>
            <w:tcW w:w="3299" w:type="dxa"/>
            <w:vAlign w:val="top"/>
          </w:tcPr>
          <w:p w14:paraId="7D8E84F2">
            <w:pPr>
              <w:pStyle w:val="186"/>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1CBD2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2" w:type="dxa"/>
            <w:vMerge w:val="continue"/>
            <w:tcBorders>
              <w:top w:val="nil"/>
            </w:tcBorders>
            <w:vAlign w:val="top"/>
          </w:tcPr>
          <w:p w14:paraId="622D1430">
            <w:pPr>
              <w:rPr>
                <w:rFonts w:ascii="Arial"/>
                <w:color w:val="auto"/>
                <w:sz w:val="21"/>
                <w:highlight w:val="none"/>
              </w:rPr>
            </w:pPr>
          </w:p>
        </w:tc>
        <w:tc>
          <w:tcPr>
            <w:tcW w:w="1435" w:type="dxa"/>
            <w:vMerge w:val="continue"/>
            <w:tcBorders>
              <w:top w:val="nil"/>
            </w:tcBorders>
            <w:vAlign w:val="top"/>
          </w:tcPr>
          <w:p w14:paraId="536339A0">
            <w:pPr>
              <w:rPr>
                <w:rFonts w:ascii="Arial"/>
                <w:color w:val="auto"/>
                <w:sz w:val="21"/>
                <w:highlight w:val="none"/>
              </w:rPr>
            </w:pPr>
          </w:p>
        </w:tc>
        <w:tc>
          <w:tcPr>
            <w:tcW w:w="2488" w:type="dxa"/>
            <w:vAlign w:val="top"/>
          </w:tcPr>
          <w:p w14:paraId="11FFD8E9">
            <w:pPr>
              <w:pStyle w:val="186"/>
              <w:spacing w:before="67" w:line="220" w:lineRule="auto"/>
              <w:ind w:left="103"/>
              <w:rPr>
                <w:color w:val="auto"/>
                <w:highlight w:val="none"/>
              </w:rPr>
            </w:pPr>
            <w:r>
              <w:rPr>
                <w:color w:val="auto"/>
                <w:spacing w:val="-1"/>
                <w:highlight w:val="none"/>
              </w:rPr>
              <w:t>A060702</w:t>
            </w:r>
            <w:r>
              <w:rPr>
                <w:color w:val="auto"/>
                <w:spacing w:val="-32"/>
                <w:highlight w:val="none"/>
              </w:rPr>
              <w:t xml:space="preserve"> </w:t>
            </w:r>
            <w:r>
              <w:rPr>
                <w:color w:val="auto"/>
                <w:spacing w:val="-1"/>
                <w:highlight w:val="none"/>
              </w:rPr>
              <w:t>金属质屏风类</w:t>
            </w:r>
          </w:p>
        </w:tc>
        <w:tc>
          <w:tcPr>
            <w:tcW w:w="2093" w:type="dxa"/>
            <w:vAlign w:val="top"/>
          </w:tcPr>
          <w:p w14:paraId="6723B58C">
            <w:pPr>
              <w:rPr>
                <w:rFonts w:ascii="Arial"/>
                <w:color w:val="auto"/>
                <w:sz w:val="21"/>
                <w:highlight w:val="none"/>
              </w:rPr>
            </w:pPr>
          </w:p>
        </w:tc>
        <w:tc>
          <w:tcPr>
            <w:tcW w:w="3299" w:type="dxa"/>
            <w:vAlign w:val="top"/>
          </w:tcPr>
          <w:p w14:paraId="6469576D">
            <w:pPr>
              <w:pStyle w:val="186"/>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2E48B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2" w:type="dxa"/>
            <w:vAlign w:val="top"/>
          </w:tcPr>
          <w:p w14:paraId="694685D3">
            <w:pPr>
              <w:pStyle w:val="186"/>
              <w:spacing w:before="67"/>
              <w:ind w:left="116"/>
              <w:rPr>
                <w:color w:val="auto"/>
                <w:highlight w:val="none"/>
              </w:rPr>
            </w:pPr>
            <w:r>
              <w:rPr>
                <w:color w:val="auto"/>
                <w:spacing w:val="-4"/>
                <w:highlight w:val="none"/>
              </w:rPr>
              <w:t>23</w:t>
            </w:r>
          </w:p>
        </w:tc>
        <w:tc>
          <w:tcPr>
            <w:tcW w:w="1435" w:type="dxa"/>
            <w:vAlign w:val="top"/>
          </w:tcPr>
          <w:p w14:paraId="53871908">
            <w:pPr>
              <w:pStyle w:val="186"/>
              <w:spacing w:before="67" w:line="220" w:lineRule="auto"/>
              <w:ind w:left="102"/>
              <w:rPr>
                <w:color w:val="auto"/>
                <w:highlight w:val="none"/>
              </w:rPr>
            </w:pPr>
            <w:r>
              <w:rPr>
                <w:color w:val="auto"/>
                <w:spacing w:val="-1"/>
                <w:highlight w:val="none"/>
              </w:rPr>
              <w:t>A060804</w:t>
            </w:r>
            <w:r>
              <w:rPr>
                <w:color w:val="auto"/>
                <w:spacing w:val="-32"/>
                <w:highlight w:val="none"/>
              </w:rPr>
              <w:t xml:space="preserve"> </w:t>
            </w:r>
            <w:r>
              <w:rPr>
                <w:color w:val="auto"/>
                <w:spacing w:val="-1"/>
                <w:highlight w:val="none"/>
              </w:rPr>
              <w:t>水池</w:t>
            </w:r>
          </w:p>
        </w:tc>
        <w:tc>
          <w:tcPr>
            <w:tcW w:w="2488" w:type="dxa"/>
            <w:vAlign w:val="top"/>
          </w:tcPr>
          <w:p w14:paraId="517D3844">
            <w:pPr>
              <w:rPr>
                <w:rFonts w:ascii="Arial"/>
                <w:color w:val="auto"/>
                <w:sz w:val="21"/>
                <w:highlight w:val="none"/>
              </w:rPr>
            </w:pPr>
          </w:p>
        </w:tc>
        <w:tc>
          <w:tcPr>
            <w:tcW w:w="2093" w:type="dxa"/>
            <w:vAlign w:val="top"/>
          </w:tcPr>
          <w:p w14:paraId="316F7C8F">
            <w:pPr>
              <w:rPr>
                <w:rFonts w:ascii="Arial"/>
                <w:color w:val="auto"/>
                <w:sz w:val="21"/>
                <w:highlight w:val="none"/>
              </w:rPr>
            </w:pPr>
          </w:p>
        </w:tc>
        <w:tc>
          <w:tcPr>
            <w:tcW w:w="3299" w:type="dxa"/>
            <w:vAlign w:val="top"/>
          </w:tcPr>
          <w:p w14:paraId="1EDB9945">
            <w:pPr>
              <w:pStyle w:val="186"/>
              <w:spacing w:before="66" w:line="219" w:lineRule="auto"/>
              <w:ind w:left="109"/>
              <w:rPr>
                <w:color w:val="auto"/>
                <w:highlight w:val="none"/>
              </w:rPr>
            </w:pPr>
            <w:r>
              <w:rPr>
                <w:color w:val="auto"/>
                <w:spacing w:val="-1"/>
                <w:highlight w:val="none"/>
              </w:rPr>
              <w:t>HJ/T296</w:t>
            </w:r>
            <w:r>
              <w:rPr>
                <w:color w:val="auto"/>
                <w:spacing w:val="-34"/>
                <w:highlight w:val="none"/>
              </w:rPr>
              <w:t xml:space="preserve"> </w:t>
            </w:r>
            <w:r>
              <w:rPr>
                <w:color w:val="auto"/>
                <w:spacing w:val="-1"/>
                <w:highlight w:val="none"/>
              </w:rPr>
              <w:t>卫生陶瓷</w:t>
            </w:r>
          </w:p>
        </w:tc>
      </w:tr>
      <w:tr w14:paraId="4EA51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2" w:type="dxa"/>
            <w:vAlign w:val="top"/>
          </w:tcPr>
          <w:p w14:paraId="06077B82">
            <w:pPr>
              <w:pStyle w:val="186"/>
              <w:spacing w:before="67" w:line="242" w:lineRule="auto"/>
              <w:ind w:left="116"/>
              <w:rPr>
                <w:color w:val="auto"/>
                <w:highlight w:val="none"/>
              </w:rPr>
            </w:pPr>
            <w:r>
              <w:rPr>
                <w:color w:val="auto"/>
                <w:spacing w:val="-4"/>
                <w:highlight w:val="none"/>
              </w:rPr>
              <w:t>24</w:t>
            </w:r>
          </w:p>
        </w:tc>
        <w:tc>
          <w:tcPr>
            <w:tcW w:w="1435" w:type="dxa"/>
            <w:vAlign w:val="top"/>
          </w:tcPr>
          <w:p w14:paraId="57DBC5C6">
            <w:pPr>
              <w:pStyle w:val="186"/>
              <w:spacing w:before="67" w:line="220" w:lineRule="auto"/>
              <w:ind w:left="102"/>
              <w:rPr>
                <w:color w:val="auto"/>
                <w:highlight w:val="none"/>
              </w:rPr>
            </w:pPr>
            <w:r>
              <w:rPr>
                <w:color w:val="auto"/>
                <w:spacing w:val="-1"/>
                <w:highlight w:val="none"/>
              </w:rPr>
              <w:t>A060805</w:t>
            </w:r>
            <w:r>
              <w:rPr>
                <w:color w:val="auto"/>
                <w:spacing w:val="-33"/>
                <w:highlight w:val="none"/>
              </w:rPr>
              <w:t xml:space="preserve"> </w:t>
            </w:r>
            <w:r>
              <w:rPr>
                <w:color w:val="auto"/>
                <w:spacing w:val="-1"/>
                <w:highlight w:val="none"/>
              </w:rPr>
              <w:t>便器</w:t>
            </w:r>
          </w:p>
        </w:tc>
        <w:tc>
          <w:tcPr>
            <w:tcW w:w="2488" w:type="dxa"/>
            <w:vAlign w:val="top"/>
          </w:tcPr>
          <w:p w14:paraId="77C8A876">
            <w:pPr>
              <w:rPr>
                <w:rFonts w:ascii="Arial"/>
                <w:color w:val="auto"/>
                <w:sz w:val="21"/>
                <w:highlight w:val="none"/>
              </w:rPr>
            </w:pPr>
          </w:p>
        </w:tc>
        <w:tc>
          <w:tcPr>
            <w:tcW w:w="2093" w:type="dxa"/>
            <w:vAlign w:val="top"/>
          </w:tcPr>
          <w:p w14:paraId="00A5F273">
            <w:pPr>
              <w:rPr>
                <w:rFonts w:ascii="Arial"/>
                <w:color w:val="auto"/>
                <w:sz w:val="21"/>
                <w:highlight w:val="none"/>
              </w:rPr>
            </w:pPr>
          </w:p>
        </w:tc>
        <w:tc>
          <w:tcPr>
            <w:tcW w:w="3299" w:type="dxa"/>
            <w:vAlign w:val="top"/>
          </w:tcPr>
          <w:p w14:paraId="787D5336">
            <w:pPr>
              <w:pStyle w:val="186"/>
              <w:spacing w:before="67" w:line="219" w:lineRule="auto"/>
              <w:ind w:left="109"/>
              <w:rPr>
                <w:color w:val="auto"/>
                <w:highlight w:val="none"/>
              </w:rPr>
            </w:pPr>
            <w:r>
              <w:rPr>
                <w:color w:val="auto"/>
                <w:spacing w:val="-1"/>
                <w:highlight w:val="none"/>
              </w:rPr>
              <w:t>HJ/T296</w:t>
            </w:r>
            <w:r>
              <w:rPr>
                <w:color w:val="auto"/>
                <w:spacing w:val="-34"/>
                <w:highlight w:val="none"/>
              </w:rPr>
              <w:t xml:space="preserve"> </w:t>
            </w:r>
            <w:r>
              <w:rPr>
                <w:color w:val="auto"/>
                <w:spacing w:val="-1"/>
                <w:highlight w:val="none"/>
              </w:rPr>
              <w:t>卫生陶瓷</w:t>
            </w:r>
          </w:p>
        </w:tc>
      </w:tr>
      <w:tr w14:paraId="17592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2" w:type="dxa"/>
            <w:vAlign w:val="top"/>
          </w:tcPr>
          <w:p w14:paraId="766B2F29">
            <w:pPr>
              <w:pStyle w:val="186"/>
              <w:spacing w:before="67"/>
              <w:ind w:left="116"/>
              <w:rPr>
                <w:color w:val="auto"/>
                <w:highlight w:val="none"/>
              </w:rPr>
            </w:pPr>
            <w:r>
              <w:rPr>
                <w:color w:val="auto"/>
                <w:spacing w:val="-4"/>
                <w:highlight w:val="none"/>
              </w:rPr>
              <w:t>25</w:t>
            </w:r>
          </w:p>
        </w:tc>
        <w:tc>
          <w:tcPr>
            <w:tcW w:w="1435" w:type="dxa"/>
            <w:vAlign w:val="top"/>
          </w:tcPr>
          <w:p w14:paraId="67F0E284">
            <w:pPr>
              <w:pStyle w:val="186"/>
              <w:spacing w:before="67" w:line="220" w:lineRule="auto"/>
              <w:ind w:left="102"/>
              <w:rPr>
                <w:color w:val="auto"/>
                <w:highlight w:val="none"/>
              </w:rPr>
            </w:pPr>
            <w:r>
              <w:rPr>
                <w:color w:val="auto"/>
                <w:spacing w:val="-1"/>
                <w:highlight w:val="none"/>
              </w:rPr>
              <w:t>A060806</w:t>
            </w:r>
            <w:r>
              <w:rPr>
                <w:color w:val="auto"/>
                <w:spacing w:val="-32"/>
                <w:highlight w:val="none"/>
              </w:rPr>
              <w:t xml:space="preserve"> </w:t>
            </w:r>
            <w:r>
              <w:rPr>
                <w:color w:val="auto"/>
                <w:spacing w:val="-1"/>
                <w:highlight w:val="none"/>
              </w:rPr>
              <w:t>水嘴</w:t>
            </w:r>
          </w:p>
        </w:tc>
        <w:tc>
          <w:tcPr>
            <w:tcW w:w="2488" w:type="dxa"/>
            <w:vAlign w:val="top"/>
          </w:tcPr>
          <w:p w14:paraId="6C0C61A0">
            <w:pPr>
              <w:rPr>
                <w:rFonts w:ascii="Arial"/>
                <w:color w:val="auto"/>
                <w:sz w:val="21"/>
                <w:highlight w:val="none"/>
              </w:rPr>
            </w:pPr>
          </w:p>
        </w:tc>
        <w:tc>
          <w:tcPr>
            <w:tcW w:w="2093" w:type="dxa"/>
            <w:vAlign w:val="top"/>
          </w:tcPr>
          <w:p w14:paraId="48357137">
            <w:pPr>
              <w:rPr>
                <w:rFonts w:ascii="Arial"/>
                <w:color w:val="auto"/>
                <w:sz w:val="21"/>
                <w:highlight w:val="none"/>
              </w:rPr>
            </w:pPr>
          </w:p>
        </w:tc>
        <w:tc>
          <w:tcPr>
            <w:tcW w:w="3299" w:type="dxa"/>
            <w:vAlign w:val="top"/>
          </w:tcPr>
          <w:p w14:paraId="17D16008">
            <w:pPr>
              <w:pStyle w:val="186"/>
              <w:spacing w:before="67" w:line="219" w:lineRule="auto"/>
              <w:ind w:left="109"/>
              <w:rPr>
                <w:color w:val="auto"/>
                <w:highlight w:val="none"/>
              </w:rPr>
            </w:pPr>
            <w:r>
              <w:rPr>
                <w:color w:val="auto"/>
                <w:spacing w:val="-1"/>
                <w:highlight w:val="none"/>
              </w:rPr>
              <w:t>HJ/T411</w:t>
            </w:r>
            <w:r>
              <w:rPr>
                <w:color w:val="auto"/>
                <w:spacing w:val="-34"/>
                <w:highlight w:val="none"/>
              </w:rPr>
              <w:t xml:space="preserve"> </w:t>
            </w:r>
            <w:r>
              <w:rPr>
                <w:color w:val="auto"/>
                <w:spacing w:val="-1"/>
                <w:highlight w:val="none"/>
              </w:rPr>
              <w:t>水嘴</w:t>
            </w:r>
          </w:p>
        </w:tc>
      </w:tr>
      <w:tr w14:paraId="3CDD2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2" w:type="dxa"/>
            <w:vAlign w:val="top"/>
          </w:tcPr>
          <w:p w14:paraId="36F66FB3">
            <w:pPr>
              <w:pStyle w:val="186"/>
              <w:spacing w:before="67"/>
              <w:ind w:left="116"/>
              <w:rPr>
                <w:color w:val="auto"/>
                <w:highlight w:val="none"/>
              </w:rPr>
            </w:pPr>
            <w:r>
              <w:rPr>
                <w:color w:val="auto"/>
                <w:spacing w:val="-4"/>
                <w:highlight w:val="none"/>
              </w:rPr>
              <w:t>26</w:t>
            </w:r>
          </w:p>
        </w:tc>
        <w:tc>
          <w:tcPr>
            <w:tcW w:w="1435" w:type="dxa"/>
            <w:vAlign w:val="top"/>
          </w:tcPr>
          <w:p w14:paraId="42B17BE9">
            <w:pPr>
              <w:pStyle w:val="186"/>
              <w:spacing w:before="67" w:line="221" w:lineRule="auto"/>
              <w:ind w:left="102"/>
              <w:rPr>
                <w:color w:val="auto"/>
                <w:highlight w:val="none"/>
              </w:rPr>
            </w:pPr>
            <w:r>
              <w:rPr>
                <w:color w:val="auto"/>
                <w:spacing w:val="-1"/>
                <w:highlight w:val="none"/>
              </w:rPr>
              <w:t>A0609</w:t>
            </w:r>
            <w:r>
              <w:rPr>
                <w:color w:val="auto"/>
                <w:spacing w:val="-34"/>
                <w:highlight w:val="none"/>
              </w:rPr>
              <w:t xml:space="preserve"> </w:t>
            </w:r>
            <w:r>
              <w:rPr>
                <w:color w:val="auto"/>
                <w:spacing w:val="-1"/>
                <w:highlight w:val="none"/>
              </w:rPr>
              <w:t>组合家具</w:t>
            </w:r>
          </w:p>
        </w:tc>
        <w:tc>
          <w:tcPr>
            <w:tcW w:w="2488" w:type="dxa"/>
            <w:vAlign w:val="top"/>
          </w:tcPr>
          <w:p w14:paraId="7D532BEC">
            <w:pPr>
              <w:rPr>
                <w:rFonts w:ascii="Arial"/>
                <w:color w:val="auto"/>
                <w:sz w:val="21"/>
                <w:highlight w:val="none"/>
              </w:rPr>
            </w:pPr>
          </w:p>
        </w:tc>
        <w:tc>
          <w:tcPr>
            <w:tcW w:w="2093" w:type="dxa"/>
            <w:vAlign w:val="top"/>
          </w:tcPr>
          <w:p w14:paraId="5F839F24">
            <w:pPr>
              <w:rPr>
                <w:rFonts w:ascii="Arial"/>
                <w:color w:val="auto"/>
                <w:sz w:val="21"/>
                <w:highlight w:val="none"/>
              </w:rPr>
            </w:pPr>
          </w:p>
        </w:tc>
        <w:tc>
          <w:tcPr>
            <w:tcW w:w="3299" w:type="dxa"/>
            <w:vAlign w:val="top"/>
          </w:tcPr>
          <w:p w14:paraId="7F630EAC">
            <w:pPr>
              <w:pStyle w:val="186"/>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6C23C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542" w:type="dxa"/>
            <w:vAlign w:val="top"/>
          </w:tcPr>
          <w:p w14:paraId="0DF341D2">
            <w:pPr>
              <w:pStyle w:val="186"/>
              <w:spacing w:before="68"/>
              <w:ind w:left="116"/>
              <w:rPr>
                <w:color w:val="auto"/>
                <w:highlight w:val="none"/>
              </w:rPr>
            </w:pPr>
            <w:r>
              <w:rPr>
                <w:color w:val="auto"/>
                <w:spacing w:val="-4"/>
                <w:highlight w:val="none"/>
              </w:rPr>
              <w:t>27</w:t>
            </w:r>
          </w:p>
        </w:tc>
        <w:tc>
          <w:tcPr>
            <w:tcW w:w="1435" w:type="dxa"/>
            <w:vAlign w:val="top"/>
          </w:tcPr>
          <w:p w14:paraId="2AED83E2">
            <w:pPr>
              <w:pStyle w:val="186"/>
              <w:spacing w:before="68" w:line="282" w:lineRule="auto"/>
              <w:ind w:left="108" w:right="106" w:hanging="6"/>
              <w:rPr>
                <w:color w:val="auto"/>
                <w:highlight w:val="none"/>
              </w:rPr>
            </w:pPr>
            <w:r>
              <w:rPr>
                <w:color w:val="auto"/>
                <w:spacing w:val="4"/>
                <w:highlight w:val="none"/>
              </w:rPr>
              <w:t>A0610</w:t>
            </w:r>
            <w:r>
              <w:rPr>
                <w:color w:val="auto"/>
                <w:spacing w:val="31"/>
                <w:highlight w:val="none"/>
              </w:rPr>
              <w:t xml:space="preserve"> </w:t>
            </w:r>
            <w:r>
              <w:rPr>
                <w:color w:val="auto"/>
                <w:spacing w:val="4"/>
                <w:highlight w:val="none"/>
              </w:rPr>
              <w:t>家用家具</w:t>
            </w:r>
            <w:r>
              <w:rPr>
                <w:color w:val="auto"/>
                <w:highlight w:val="none"/>
              </w:rPr>
              <w:t xml:space="preserve"> </w:t>
            </w:r>
            <w:r>
              <w:rPr>
                <w:color w:val="auto"/>
                <w:spacing w:val="-2"/>
                <w:highlight w:val="none"/>
              </w:rPr>
              <w:t>零配件</w:t>
            </w:r>
          </w:p>
        </w:tc>
        <w:tc>
          <w:tcPr>
            <w:tcW w:w="2488" w:type="dxa"/>
            <w:vAlign w:val="top"/>
          </w:tcPr>
          <w:p w14:paraId="429E927A">
            <w:pPr>
              <w:rPr>
                <w:rFonts w:ascii="Arial"/>
                <w:color w:val="auto"/>
                <w:sz w:val="21"/>
                <w:highlight w:val="none"/>
              </w:rPr>
            </w:pPr>
          </w:p>
        </w:tc>
        <w:tc>
          <w:tcPr>
            <w:tcW w:w="2093" w:type="dxa"/>
            <w:vAlign w:val="top"/>
          </w:tcPr>
          <w:p w14:paraId="0E2BA910">
            <w:pPr>
              <w:rPr>
                <w:rFonts w:ascii="Arial"/>
                <w:color w:val="auto"/>
                <w:sz w:val="21"/>
                <w:highlight w:val="none"/>
              </w:rPr>
            </w:pPr>
          </w:p>
        </w:tc>
        <w:tc>
          <w:tcPr>
            <w:tcW w:w="3299" w:type="dxa"/>
            <w:vAlign w:val="top"/>
          </w:tcPr>
          <w:p w14:paraId="29609D6A">
            <w:pPr>
              <w:pStyle w:val="186"/>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32227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42" w:type="dxa"/>
            <w:vAlign w:val="top"/>
          </w:tcPr>
          <w:p w14:paraId="0B5ED368">
            <w:pPr>
              <w:pStyle w:val="186"/>
              <w:spacing w:before="70"/>
              <w:ind w:left="116"/>
              <w:rPr>
                <w:color w:val="auto"/>
                <w:highlight w:val="none"/>
              </w:rPr>
            </w:pPr>
            <w:r>
              <w:rPr>
                <w:color w:val="auto"/>
                <w:spacing w:val="-4"/>
                <w:highlight w:val="none"/>
              </w:rPr>
              <w:t>28</w:t>
            </w:r>
          </w:p>
        </w:tc>
        <w:tc>
          <w:tcPr>
            <w:tcW w:w="1435" w:type="dxa"/>
            <w:vAlign w:val="top"/>
          </w:tcPr>
          <w:p w14:paraId="739787A0">
            <w:pPr>
              <w:pStyle w:val="186"/>
              <w:spacing w:before="71" w:line="282" w:lineRule="auto"/>
              <w:ind w:left="109" w:right="106" w:hanging="7"/>
              <w:rPr>
                <w:color w:val="auto"/>
                <w:highlight w:val="none"/>
              </w:rPr>
            </w:pPr>
            <w:r>
              <w:rPr>
                <w:color w:val="auto"/>
                <w:spacing w:val="4"/>
                <w:highlight w:val="none"/>
              </w:rPr>
              <w:t>A0699</w:t>
            </w:r>
            <w:r>
              <w:rPr>
                <w:color w:val="auto"/>
                <w:spacing w:val="31"/>
                <w:highlight w:val="none"/>
              </w:rPr>
              <w:t xml:space="preserve"> </w:t>
            </w:r>
            <w:r>
              <w:rPr>
                <w:color w:val="auto"/>
                <w:spacing w:val="4"/>
                <w:highlight w:val="none"/>
              </w:rPr>
              <w:t>其他家具</w:t>
            </w:r>
            <w:r>
              <w:rPr>
                <w:color w:val="auto"/>
                <w:highlight w:val="none"/>
              </w:rPr>
              <w:t xml:space="preserve"> </w:t>
            </w:r>
            <w:r>
              <w:rPr>
                <w:color w:val="auto"/>
                <w:spacing w:val="-3"/>
                <w:highlight w:val="none"/>
              </w:rPr>
              <w:t>用具</w:t>
            </w:r>
          </w:p>
        </w:tc>
        <w:tc>
          <w:tcPr>
            <w:tcW w:w="2488" w:type="dxa"/>
            <w:vAlign w:val="top"/>
          </w:tcPr>
          <w:p w14:paraId="1E4DB89C">
            <w:pPr>
              <w:rPr>
                <w:rFonts w:ascii="Arial"/>
                <w:color w:val="auto"/>
                <w:sz w:val="21"/>
                <w:highlight w:val="none"/>
              </w:rPr>
            </w:pPr>
          </w:p>
        </w:tc>
        <w:tc>
          <w:tcPr>
            <w:tcW w:w="2093" w:type="dxa"/>
            <w:vAlign w:val="top"/>
          </w:tcPr>
          <w:p w14:paraId="09E15F50">
            <w:pPr>
              <w:rPr>
                <w:rFonts w:ascii="Arial"/>
                <w:color w:val="auto"/>
                <w:sz w:val="21"/>
                <w:highlight w:val="none"/>
              </w:rPr>
            </w:pPr>
          </w:p>
        </w:tc>
        <w:tc>
          <w:tcPr>
            <w:tcW w:w="3299" w:type="dxa"/>
            <w:vAlign w:val="top"/>
          </w:tcPr>
          <w:p w14:paraId="33BB23BA">
            <w:pPr>
              <w:pStyle w:val="186"/>
              <w:spacing w:before="70"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21539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542" w:type="dxa"/>
            <w:vAlign w:val="top"/>
          </w:tcPr>
          <w:p w14:paraId="6749FEBD">
            <w:pPr>
              <w:pStyle w:val="186"/>
              <w:spacing w:before="68"/>
              <w:ind w:left="116"/>
              <w:rPr>
                <w:color w:val="auto"/>
                <w:highlight w:val="none"/>
              </w:rPr>
            </w:pPr>
            <w:r>
              <w:rPr>
                <w:color w:val="auto"/>
                <w:spacing w:val="-4"/>
                <w:highlight w:val="none"/>
              </w:rPr>
              <w:t>29</w:t>
            </w:r>
          </w:p>
        </w:tc>
        <w:tc>
          <w:tcPr>
            <w:tcW w:w="1435" w:type="dxa"/>
            <w:vAlign w:val="top"/>
          </w:tcPr>
          <w:p w14:paraId="4E0936EF">
            <w:pPr>
              <w:pStyle w:val="186"/>
              <w:spacing w:before="69" w:line="284" w:lineRule="auto"/>
              <w:ind w:left="111" w:right="106" w:hanging="9"/>
              <w:rPr>
                <w:color w:val="auto"/>
                <w:highlight w:val="none"/>
              </w:rPr>
            </w:pPr>
            <w:r>
              <w:rPr>
                <w:color w:val="auto"/>
                <w:spacing w:val="-7"/>
                <w:highlight w:val="none"/>
              </w:rPr>
              <w:t>A070101</w:t>
            </w:r>
            <w:r>
              <w:rPr>
                <w:color w:val="auto"/>
                <w:spacing w:val="-36"/>
                <w:highlight w:val="none"/>
              </w:rPr>
              <w:t xml:space="preserve"> </w:t>
            </w:r>
            <w:r>
              <w:rPr>
                <w:color w:val="auto"/>
                <w:spacing w:val="-7"/>
                <w:highlight w:val="none"/>
              </w:rPr>
              <w:t>棉、化纤</w:t>
            </w:r>
            <w:r>
              <w:rPr>
                <w:color w:val="auto"/>
                <w:highlight w:val="none"/>
              </w:rPr>
              <w:t xml:space="preserve"> </w:t>
            </w:r>
            <w:r>
              <w:rPr>
                <w:color w:val="auto"/>
                <w:spacing w:val="-2"/>
                <w:highlight w:val="none"/>
              </w:rPr>
              <w:t>纺织及印染原料</w:t>
            </w:r>
          </w:p>
        </w:tc>
        <w:tc>
          <w:tcPr>
            <w:tcW w:w="2488" w:type="dxa"/>
            <w:vAlign w:val="top"/>
          </w:tcPr>
          <w:p w14:paraId="2E5F58A0">
            <w:pPr>
              <w:rPr>
                <w:rFonts w:ascii="Arial"/>
                <w:color w:val="auto"/>
                <w:sz w:val="21"/>
                <w:highlight w:val="none"/>
              </w:rPr>
            </w:pPr>
          </w:p>
        </w:tc>
        <w:tc>
          <w:tcPr>
            <w:tcW w:w="2093" w:type="dxa"/>
            <w:vAlign w:val="top"/>
          </w:tcPr>
          <w:p w14:paraId="3D3BA5F0">
            <w:pPr>
              <w:rPr>
                <w:rFonts w:ascii="Arial"/>
                <w:color w:val="auto"/>
                <w:sz w:val="21"/>
                <w:highlight w:val="none"/>
              </w:rPr>
            </w:pPr>
          </w:p>
        </w:tc>
        <w:tc>
          <w:tcPr>
            <w:tcW w:w="3299" w:type="dxa"/>
            <w:vAlign w:val="top"/>
          </w:tcPr>
          <w:p w14:paraId="3023BC35">
            <w:pPr>
              <w:pStyle w:val="186"/>
              <w:spacing w:before="67" w:line="219" w:lineRule="auto"/>
              <w:ind w:left="109"/>
              <w:rPr>
                <w:color w:val="auto"/>
                <w:highlight w:val="none"/>
              </w:rPr>
            </w:pPr>
            <w:r>
              <w:rPr>
                <w:color w:val="auto"/>
                <w:spacing w:val="-1"/>
                <w:highlight w:val="none"/>
              </w:rPr>
              <w:t>HJ2546</w:t>
            </w:r>
            <w:r>
              <w:rPr>
                <w:color w:val="auto"/>
                <w:spacing w:val="-34"/>
                <w:highlight w:val="none"/>
              </w:rPr>
              <w:t xml:space="preserve"> </w:t>
            </w:r>
            <w:r>
              <w:rPr>
                <w:color w:val="auto"/>
                <w:spacing w:val="-1"/>
                <w:highlight w:val="none"/>
              </w:rPr>
              <w:t>纺织产品</w:t>
            </w:r>
          </w:p>
        </w:tc>
      </w:tr>
    </w:tbl>
    <w:p w14:paraId="36412F65">
      <w:pPr>
        <w:rPr>
          <w:rFonts w:ascii="Arial"/>
          <w:color w:val="auto"/>
          <w:sz w:val="21"/>
          <w:highlight w:val="none"/>
        </w:rPr>
      </w:pPr>
    </w:p>
    <w:p w14:paraId="2FA35A5C">
      <w:pPr>
        <w:rPr>
          <w:rFonts w:ascii="Arial" w:hAnsi="Arial" w:eastAsia="Arial" w:cs="Arial"/>
          <w:color w:val="auto"/>
          <w:sz w:val="21"/>
          <w:szCs w:val="21"/>
          <w:highlight w:val="none"/>
        </w:rPr>
        <w:sectPr>
          <w:pgSz w:w="11906" w:h="16838"/>
          <w:pgMar w:top="1431" w:right="644" w:bottom="0" w:left="667" w:header="0" w:footer="0" w:gutter="0"/>
          <w:cols w:space="720" w:num="1"/>
        </w:sectPr>
      </w:pPr>
    </w:p>
    <w:p w14:paraId="0375C434">
      <w:pPr>
        <w:spacing w:line="91" w:lineRule="auto"/>
        <w:rPr>
          <w:rFonts w:ascii="Arial"/>
          <w:color w:val="auto"/>
          <w:sz w:val="2"/>
          <w:highlight w:val="none"/>
        </w:rPr>
      </w:pPr>
    </w:p>
    <w:tbl>
      <w:tblPr>
        <w:tblStyle w:val="183"/>
        <w:tblW w:w="96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403"/>
        <w:gridCol w:w="2432"/>
        <w:gridCol w:w="2046"/>
        <w:gridCol w:w="3225"/>
      </w:tblGrid>
      <w:tr w14:paraId="2EB1C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30" w:type="dxa"/>
            <w:vAlign w:val="top"/>
          </w:tcPr>
          <w:p w14:paraId="05EE7B7D">
            <w:pPr>
              <w:pStyle w:val="186"/>
              <w:spacing w:before="68"/>
              <w:ind w:left="118"/>
              <w:rPr>
                <w:color w:val="auto"/>
                <w:highlight w:val="none"/>
              </w:rPr>
            </w:pPr>
            <w:r>
              <w:rPr>
                <w:color w:val="auto"/>
                <w:spacing w:val="-5"/>
                <w:highlight w:val="none"/>
              </w:rPr>
              <w:t>30</w:t>
            </w:r>
          </w:p>
        </w:tc>
        <w:tc>
          <w:tcPr>
            <w:tcW w:w="1403" w:type="dxa"/>
            <w:vAlign w:val="top"/>
          </w:tcPr>
          <w:p w14:paraId="0493258E">
            <w:pPr>
              <w:pStyle w:val="186"/>
              <w:spacing w:before="69" w:line="296" w:lineRule="auto"/>
              <w:ind w:left="109" w:right="106" w:hanging="7"/>
              <w:jc w:val="both"/>
              <w:rPr>
                <w:color w:val="auto"/>
                <w:highlight w:val="none"/>
              </w:rPr>
            </w:pPr>
            <w:r>
              <w:rPr>
                <w:color w:val="auto"/>
                <w:spacing w:val="-2"/>
                <w:highlight w:val="none"/>
              </w:rPr>
              <w:t>A090101</w:t>
            </w:r>
            <w:r>
              <w:rPr>
                <w:color w:val="auto"/>
                <w:spacing w:val="42"/>
                <w:highlight w:val="none"/>
              </w:rPr>
              <w:t xml:space="preserve"> </w:t>
            </w:r>
            <w:r>
              <w:rPr>
                <w:color w:val="auto"/>
                <w:spacing w:val="-2"/>
                <w:highlight w:val="none"/>
              </w:rPr>
              <w:t>复</w:t>
            </w:r>
            <w:r>
              <w:rPr>
                <w:color w:val="auto"/>
                <w:spacing w:val="-48"/>
                <w:highlight w:val="none"/>
              </w:rPr>
              <w:t xml:space="preserve"> </w:t>
            </w:r>
            <w:r>
              <w:rPr>
                <w:color w:val="auto"/>
                <w:spacing w:val="-2"/>
                <w:highlight w:val="none"/>
              </w:rPr>
              <w:t>印纸</w:t>
            </w:r>
            <w:r>
              <w:rPr>
                <w:color w:val="auto"/>
                <w:highlight w:val="none"/>
              </w:rPr>
              <w:t xml:space="preserve"> </w:t>
            </w:r>
            <w:r>
              <w:rPr>
                <w:color w:val="auto"/>
                <w:spacing w:val="8"/>
                <w:highlight w:val="none"/>
              </w:rPr>
              <w:t>（包括再生复印</w:t>
            </w:r>
            <w:r>
              <w:rPr>
                <w:color w:val="auto"/>
                <w:spacing w:val="4"/>
                <w:highlight w:val="none"/>
              </w:rPr>
              <w:t xml:space="preserve"> </w:t>
            </w:r>
            <w:r>
              <w:rPr>
                <w:color w:val="auto"/>
                <w:spacing w:val="-5"/>
                <w:highlight w:val="none"/>
              </w:rPr>
              <w:t>纸）</w:t>
            </w:r>
          </w:p>
        </w:tc>
        <w:tc>
          <w:tcPr>
            <w:tcW w:w="2432" w:type="dxa"/>
            <w:vAlign w:val="top"/>
          </w:tcPr>
          <w:p w14:paraId="326696D7">
            <w:pPr>
              <w:rPr>
                <w:rFonts w:ascii="Arial"/>
                <w:color w:val="auto"/>
                <w:sz w:val="21"/>
                <w:highlight w:val="none"/>
              </w:rPr>
            </w:pPr>
          </w:p>
        </w:tc>
        <w:tc>
          <w:tcPr>
            <w:tcW w:w="2046" w:type="dxa"/>
            <w:vAlign w:val="top"/>
          </w:tcPr>
          <w:p w14:paraId="6DD486E1">
            <w:pPr>
              <w:rPr>
                <w:rFonts w:ascii="Arial"/>
                <w:color w:val="auto"/>
                <w:sz w:val="21"/>
                <w:highlight w:val="none"/>
              </w:rPr>
            </w:pPr>
          </w:p>
        </w:tc>
        <w:tc>
          <w:tcPr>
            <w:tcW w:w="3225" w:type="dxa"/>
            <w:vAlign w:val="top"/>
          </w:tcPr>
          <w:p w14:paraId="2B64791E">
            <w:pPr>
              <w:pStyle w:val="186"/>
              <w:spacing w:before="67" w:line="219" w:lineRule="auto"/>
              <w:ind w:left="109"/>
              <w:rPr>
                <w:color w:val="auto"/>
                <w:highlight w:val="none"/>
              </w:rPr>
            </w:pPr>
            <w:r>
              <w:rPr>
                <w:color w:val="auto"/>
                <w:spacing w:val="-2"/>
                <w:highlight w:val="none"/>
              </w:rPr>
              <w:t>HJ410</w:t>
            </w:r>
            <w:r>
              <w:rPr>
                <w:color w:val="auto"/>
                <w:spacing w:val="-27"/>
                <w:highlight w:val="none"/>
              </w:rPr>
              <w:t xml:space="preserve"> </w:t>
            </w:r>
            <w:r>
              <w:rPr>
                <w:color w:val="auto"/>
                <w:spacing w:val="-2"/>
                <w:highlight w:val="none"/>
              </w:rPr>
              <w:t>文化用纸</w:t>
            </w:r>
          </w:p>
        </w:tc>
      </w:tr>
      <w:tr w14:paraId="26A8C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530" w:type="dxa"/>
            <w:vAlign w:val="top"/>
          </w:tcPr>
          <w:p w14:paraId="3D6B0526">
            <w:pPr>
              <w:pStyle w:val="186"/>
              <w:spacing w:before="64"/>
              <w:ind w:left="118"/>
              <w:rPr>
                <w:color w:val="auto"/>
                <w:highlight w:val="none"/>
              </w:rPr>
            </w:pPr>
            <w:r>
              <w:rPr>
                <w:color w:val="auto"/>
                <w:spacing w:val="-5"/>
                <w:highlight w:val="none"/>
              </w:rPr>
              <w:t>31</w:t>
            </w:r>
          </w:p>
        </w:tc>
        <w:tc>
          <w:tcPr>
            <w:tcW w:w="1403" w:type="dxa"/>
            <w:vAlign w:val="top"/>
          </w:tcPr>
          <w:p w14:paraId="056C180F">
            <w:pPr>
              <w:pStyle w:val="186"/>
              <w:spacing w:before="64" w:line="296" w:lineRule="auto"/>
              <w:ind w:left="109" w:right="106" w:hanging="7"/>
              <w:jc w:val="both"/>
              <w:rPr>
                <w:color w:val="auto"/>
                <w:highlight w:val="none"/>
              </w:rPr>
            </w:pPr>
            <w:r>
              <w:rPr>
                <w:color w:val="auto"/>
                <w:spacing w:val="3"/>
                <w:highlight w:val="none"/>
              </w:rPr>
              <w:t>A090201</w:t>
            </w:r>
            <w:r>
              <w:rPr>
                <w:color w:val="auto"/>
                <w:spacing w:val="34"/>
                <w:highlight w:val="none"/>
              </w:rPr>
              <w:t xml:space="preserve"> </w:t>
            </w:r>
            <w:r>
              <w:rPr>
                <w:color w:val="auto"/>
                <w:spacing w:val="3"/>
                <w:highlight w:val="none"/>
              </w:rPr>
              <w:t>鼓粉盒</w:t>
            </w:r>
            <w:r>
              <w:rPr>
                <w:color w:val="auto"/>
                <w:highlight w:val="none"/>
              </w:rPr>
              <w:t xml:space="preserve"> </w:t>
            </w:r>
            <w:r>
              <w:rPr>
                <w:color w:val="auto"/>
                <w:spacing w:val="8"/>
                <w:highlight w:val="none"/>
              </w:rPr>
              <w:t>（包括再生鼓粉</w:t>
            </w:r>
            <w:r>
              <w:rPr>
                <w:color w:val="auto"/>
                <w:spacing w:val="4"/>
                <w:highlight w:val="none"/>
              </w:rPr>
              <w:t xml:space="preserve"> </w:t>
            </w:r>
            <w:r>
              <w:rPr>
                <w:color w:val="auto"/>
                <w:spacing w:val="-5"/>
                <w:highlight w:val="none"/>
              </w:rPr>
              <w:t>盒）</w:t>
            </w:r>
          </w:p>
        </w:tc>
        <w:tc>
          <w:tcPr>
            <w:tcW w:w="2432" w:type="dxa"/>
            <w:vAlign w:val="top"/>
          </w:tcPr>
          <w:p w14:paraId="214ADBAD">
            <w:pPr>
              <w:rPr>
                <w:rFonts w:ascii="Arial"/>
                <w:color w:val="auto"/>
                <w:sz w:val="21"/>
                <w:highlight w:val="none"/>
              </w:rPr>
            </w:pPr>
          </w:p>
        </w:tc>
        <w:tc>
          <w:tcPr>
            <w:tcW w:w="2046" w:type="dxa"/>
            <w:vAlign w:val="top"/>
          </w:tcPr>
          <w:p w14:paraId="4FDD6777">
            <w:pPr>
              <w:rPr>
                <w:rFonts w:ascii="Arial"/>
                <w:color w:val="auto"/>
                <w:sz w:val="21"/>
                <w:highlight w:val="none"/>
              </w:rPr>
            </w:pPr>
          </w:p>
        </w:tc>
        <w:tc>
          <w:tcPr>
            <w:tcW w:w="3225" w:type="dxa"/>
            <w:vAlign w:val="top"/>
          </w:tcPr>
          <w:p w14:paraId="0C18838B">
            <w:pPr>
              <w:pStyle w:val="186"/>
              <w:spacing w:before="63" w:line="219" w:lineRule="auto"/>
              <w:ind w:left="109"/>
              <w:rPr>
                <w:color w:val="auto"/>
                <w:highlight w:val="none"/>
              </w:rPr>
            </w:pPr>
            <w:r>
              <w:rPr>
                <w:color w:val="auto"/>
                <w:spacing w:val="-1"/>
                <w:highlight w:val="none"/>
              </w:rPr>
              <w:t>HJ/T413</w:t>
            </w:r>
            <w:r>
              <w:rPr>
                <w:color w:val="auto"/>
                <w:spacing w:val="-34"/>
                <w:highlight w:val="none"/>
              </w:rPr>
              <w:t xml:space="preserve"> </w:t>
            </w:r>
            <w:r>
              <w:rPr>
                <w:color w:val="auto"/>
                <w:spacing w:val="-1"/>
                <w:highlight w:val="none"/>
              </w:rPr>
              <w:t>再生鼓粉盒</w:t>
            </w:r>
          </w:p>
        </w:tc>
      </w:tr>
      <w:tr w14:paraId="5C19E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30" w:type="dxa"/>
            <w:vMerge w:val="restart"/>
            <w:tcBorders>
              <w:bottom w:val="nil"/>
            </w:tcBorders>
            <w:vAlign w:val="top"/>
          </w:tcPr>
          <w:p w14:paraId="16335829">
            <w:pPr>
              <w:pStyle w:val="186"/>
              <w:spacing w:before="64"/>
              <w:ind w:left="118"/>
              <w:rPr>
                <w:color w:val="auto"/>
                <w:highlight w:val="none"/>
              </w:rPr>
            </w:pPr>
            <w:r>
              <w:rPr>
                <w:color w:val="auto"/>
                <w:spacing w:val="-5"/>
                <w:highlight w:val="none"/>
              </w:rPr>
              <w:t>32</w:t>
            </w:r>
          </w:p>
        </w:tc>
        <w:tc>
          <w:tcPr>
            <w:tcW w:w="1403" w:type="dxa"/>
            <w:vMerge w:val="restart"/>
            <w:tcBorders>
              <w:bottom w:val="nil"/>
            </w:tcBorders>
            <w:vAlign w:val="top"/>
          </w:tcPr>
          <w:p w14:paraId="3E2E54EA">
            <w:pPr>
              <w:pStyle w:val="186"/>
              <w:spacing w:before="64" w:line="219" w:lineRule="auto"/>
              <w:ind w:left="102"/>
              <w:rPr>
                <w:color w:val="auto"/>
                <w:highlight w:val="none"/>
              </w:rPr>
            </w:pPr>
            <w:r>
              <w:rPr>
                <w:color w:val="auto"/>
                <w:spacing w:val="-1"/>
                <w:highlight w:val="none"/>
              </w:rPr>
              <w:t>A100203</w:t>
            </w:r>
            <w:r>
              <w:rPr>
                <w:color w:val="auto"/>
                <w:spacing w:val="-33"/>
                <w:highlight w:val="none"/>
              </w:rPr>
              <w:t xml:space="preserve"> </w:t>
            </w:r>
            <w:r>
              <w:rPr>
                <w:color w:val="auto"/>
                <w:spacing w:val="-1"/>
                <w:highlight w:val="none"/>
              </w:rPr>
              <w:t>人造板</w:t>
            </w:r>
          </w:p>
        </w:tc>
        <w:tc>
          <w:tcPr>
            <w:tcW w:w="2432" w:type="dxa"/>
            <w:vAlign w:val="top"/>
          </w:tcPr>
          <w:p w14:paraId="4F7CE4C5">
            <w:pPr>
              <w:pStyle w:val="186"/>
              <w:spacing w:before="64" w:line="219" w:lineRule="auto"/>
              <w:ind w:left="103"/>
              <w:rPr>
                <w:color w:val="auto"/>
                <w:highlight w:val="none"/>
              </w:rPr>
            </w:pPr>
            <w:r>
              <w:rPr>
                <w:color w:val="auto"/>
                <w:spacing w:val="-1"/>
                <w:highlight w:val="none"/>
              </w:rPr>
              <w:t>A10020301</w:t>
            </w:r>
            <w:r>
              <w:rPr>
                <w:color w:val="auto"/>
                <w:spacing w:val="-32"/>
                <w:highlight w:val="none"/>
              </w:rPr>
              <w:t xml:space="preserve"> </w:t>
            </w:r>
            <w:r>
              <w:rPr>
                <w:color w:val="auto"/>
                <w:spacing w:val="-1"/>
                <w:highlight w:val="none"/>
              </w:rPr>
              <w:t>胶合板</w:t>
            </w:r>
          </w:p>
        </w:tc>
        <w:tc>
          <w:tcPr>
            <w:tcW w:w="2046" w:type="dxa"/>
            <w:vAlign w:val="top"/>
          </w:tcPr>
          <w:p w14:paraId="5BD72457">
            <w:pPr>
              <w:rPr>
                <w:rFonts w:ascii="Arial"/>
                <w:color w:val="auto"/>
                <w:sz w:val="21"/>
                <w:highlight w:val="none"/>
              </w:rPr>
            </w:pPr>
          </w:p>
        </w:tc>
        <w:tc>
          <w:tcPr>
            <w:tcW w:w="3225" w:type="dxa"/>
            <w:vAlign w:val="top"/>
          </w:tcPr>
          <w:p w14:paraId="1A1E97DD">
            <w:pPr>
              <w:pStyle w:val="186"/>
              <w:spacing w:before="64" w:line="219" w:lineRule="auto"/>
              <w:ind w:left="109"/>
              <w:rPr>
                <w:color w:val="auto"/>
                <w:highlight w:val="none"/>
              </w:rPr>
            </w:pPr>
            <w:r>
              <w:rPr>
                <w:color w:val="auto"/>
                <w:spacing w:val="-1"/>
                <w:highlight w:val="none"/>
              </w:rPr>
              <w:t>HJ571</w:t>
            </w:r>
            <w:r>
              <w:rPr>
                <w:color w:val="auto"/>
                <w:spacing w:val="-34"/>
                <w:highlight w:val="none"/>
              </w:rPr>
              <w:t xml:space="preserve"> </w:t>
            </w:r>
            <w:r>
              <w:rPr>
                <w:color w:val="auto"/>
                <w:spacing w:val="-1"/>
                <w:highlight w:val="none"/>
              </w:rPr>
              <w:t>人造板及其制品</w:t>
            </w:r>
          </w:p>
        </w:tc>
      </w:tr>
      <w:tr w14:paraId="14F65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530" w:type="dxa"/>
            <w:vMerge w:val="continue"/>
            <w:tcBorders>
              <w:top w:val="nil"/>
              <w:bottom w:val="nil"/>
            </w:tcBorders>
            <w:vAlign w:val="top"/>
          </w:tcPr>
          <w:p w14:paraId="111528A8">
            <w:pPr>
              <w:rPr>
                <w:rFonts w:ascii="Arial"/>
                <w:color w:val="auto"/>
                <w:sz w:val="21"/>
                <w:highlight w:val="none"/>
              </w:rPr>
            </w:pPr>
          </w:p>
        </w:tc>
        <w:tc>
          <w:tcPr>
            <w:tcW w:w="1403" w:type="dxa"/>
            <w:vMerge w:val="continue"/>
            <w:tcBorders>
              <w:top w:val="nil"/>
              <w:bottom w:val="nil"/>
            </w:tcBorders>
            <w:vAlign w:val="top"/>
          </w:tcPr>
          <w:p w14:paraId="7F39135B">
            <w:pPr>
              <w:rPr>
                <w:rFonts w:ascii="Arial"/>
                <w:color w:val="auto"/>
                <w:sz w:val="21"/>
                <w:highlight w:val="none"/>
              </w:rPr>
            </w:pPr>
          </w:p>
        </w:tc>
        <w:tc>
          <w:tcPr>
            <w:tcW w:w="2432" w:type="dxa"/>
            <w:vAlign w:val="top"/>
          </w:tcPr>
          <w:p w14:paraId="1614D057">
            <w:pPr>
              <w:pStyle w:val="186"/>
              <w:spacing w:before="65" w:line="219" w:lineRule="auto"/>
              <w:ind w:left="103"/>
              <w:rPr>
                <w:color w:val="auto"/>
                <w:highlight w:val="none"/>
              </w:rPr>
            </w:pPr>
            <w:r>
              <w:rPr>
                <w:color w:val="auto"/>
                <w:spacing w:val="-1"/>
                <w:highlight w:val="none"/>
              </w:rPr>
              <w:t>A10020302</w:t>
            </w:r>
            <w:r>
              <w:rPr>
                <w:color w:val="auto"/>
                <w:spacing w:val="-30"/>
                <w:highlight w:val="none"/>
              </w:rPr>
              <w:t xml:space="preserve"> </w:t>
            </w:r>
            <w:r>
              <w:rPr>
                <w:color w:val="auto"/>
                <w:spacing w:val="-1"/>
                <w:highlight w:val="none"/>
              </w:rPr>
              <w:t>纤维板</w:t>
            </w:r>
          </w:p>
        </w:tc>
        <w:tc>
          <w:tcPr>
            <w:tcW w:w="2046" w:type="dxa"/>
            <w:vAlign w:val="top"/>
          </w:tcPr>
          <w:p w14:paraId="339F164A">
            <w:pPr>
              <w:rPr>
                <w:rFonts w:ascii="Arial"/>
                <w:color w:val="auto"/>
                <w:sz w:val="21"/>
                <w:highlight w:val="none"/>
              </w:rPr>
            </w:pPr>
          </w:p>
        </w:tc>
        <w:tc>
          <w:tcPr>
            <w:tcW w:w="3225" w:type="dxa"/>
            <w:vAlign w:val="top"/>
          </w:tcPr>
          <w:p w14:paraId="0E96D94B">
            <w:pPr>
              <w:pStyle w:val="186"/>
              <w:spacing w:before="64" w:line="219" w:lineRule="auto"/>
              <w:ind w:left="109"/>
              <w:rPr>
                <w:color w:val="auto"/>
                <w:highlight w:val="none"/>
              </w:rPr>
            </w:pPr>
            <w:r>
              <w:rPr>
                <w:color w:val="auto"/>
                <w:spacing w:val="-1"/>
                <w:highlight w:val="none"/>
              </w:rPr>
              <w:t>HJ571</w:t>
            </w:r>
            <w:r>
              <w:rPr>
                <w:color w:val="auto"/>
                <w:spacing w:val="-34"/>
                <w:highlight w:val="none"/>
              </w:rPr>
              <w:t xml:space="preserve"> </w:t>
            </w:r>
            <w:r>
              <w:rPr>
                <w:color w:val="auto"/>
                <w:spacing w:val="-1"/>
                <w:highlight w:val="none"/>
              </w:rPr>
              <w:t>人造板及其制品</w:t>
            </w:r>
          </w:p>
        </w:tc>
      </w:tr>
      <w:tr w14:paraId="5552C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530" w:type="dxa"/>
            <w:vMerge w:val="continue"/>
            <w:tcBorders>
              <w:top w:val="nil"/>
              <w:bottom w:val="nil"/>
            </w:tcBorders>
            <w:vAlign w:val="top"/>
          </w:tcPr>
          <w:p w14:paraId="009C535A">
            <w:pPr>
              <w:rPr>
                <w:rFonts w:ascii="Arial"/>
                <w:color w:val="auto"/>
                <w:sz w:val="21"/>
                <w:highlight w:val="none"/>
              </w:rPr>
            </w:pPr>
          </w:p>
        </w:tc>
        <w:tc>
          <w:tcPr>
            <w:tcW w:w="1403" w:type="dxa"/>
            <w:vMerge w:val="continue"/>
            <w:tcBorders>
              <w:top w:val="nil"/>
              <w:bottom w:val="nil"/>
            </w:tcBorders>
            <w:vAlign w:val="top"/>
          </w:tcPr>
          <w:p w14:paraId="4FABBA67">
            <w:pPr>
              <w:rPr>
                <w:rFonts w:ascii="Arial"/>
                <w:color w:val="auto"/>
                <w:sz w:val="21"/>
                <w:highlight w:val="none"/>
              </w:rPr>
            </w:pPr>
          </w:p>
        </w:tc>
        <w:tc>
          <w:tcPr>
            <w:tcW w:w="2432" w:type="dxa"/>
            <w:vAlign w:val="top"/>
          </w:tcPr>
          <w:p w14:paraId="3AA509B8">
            <w:pPr>
              <w:pStyle w:val="186"/>
              <w:spacing w:before="65" w:line="219" w:lineRule="auto"/>
              <w:ind w:left="103"/>
              <w:rPr>
                <w:color w:val="auto"/>
                <w:highlight w:val="none"/>
              </w:rPr>
            </w:pPr>
            <w:r>
              <w:rPr>
                <w:color w:val="auto"/>
                <w:spacing w:val="-1"/>
                <w:highlight w:val="none"/>
              </w:rPr>
              <w:t>A10020303</w:t>
            </w:r>
            <w:r>
              <w:rPr>
                <w:color w:val="auto"/>
                <w:spacing w:val="-32"/>
                <w:highlight w:val="none"/>
              </w:rPr>
              <w:t xml:space="preserve"> </w:t>
            </w:r>
            <w:r>
              <w:rPr>
                <w:color w:val="auto"/>
                <w:spacing w:val="-1"/>
                <w:highlight w:val="none"/>
              </w:rPr>
              <w:t>刨花板</w:t>
            </w:r>
          </w:p>
        </w:tc>
        <w:tc>
          <w:tcPr>
            <w:tcW w:w="2046" w:type="dxa"/>
            <w:vAlign w:val="top"/>
          </w:tcPr>
          <w:p w14:paraId="6FAB1D3B">
            <w:pPr>
              <w:rPr>
                <w:rFonts w:ascii="Arial"/>
                <w:color w:val="auto"/>
                <w:sz w:val="21"/>
                <w:highlight w:val="none"/>
              </w:rPr>
            </w:pPr>
          </w:p>
        </w:tc>
        <w:tc>
          <w:tcPr>
            <w:tcW w:w="3225" w:type="dxa"/>
            <w:vAlign w:val="top"/>
          </w:tcPr>
          <w:p w14:paraId="522CAE9D">
            <w:pPr>
              <w:pStyle w:val="186"/>
              <w:spacing w:before="64" w:line="219" w:lineRule="auto"/>
              <w:ind w:left="109"/>
              <w:rPr>
                <w:color w:val="auto"/>
                <w:highlight w:val="none"/>
              </w:rPr>
            </w:pPr>
            <w:r>
              <w:rPr>
                <w:color w:val="auto"/>
                <w:spacing w:val="-1"/>
                <w:highlight w:val="none"/>
              </w:rPr>
              <w:t>HJ571</w:t>
            </w:r>
            <w:r>
              <w:rPr>
                <w:color w:val="auto"/>
                <w:spacing w:val="-34"/>
                <w:highlight w:val="none"/>
              </w:rPr>
              <w:t xml:space="preserve"> </w:t>
            </w:r>
            <w:r>
              <w:rPr>
                <w:color w:val="auto"/>
                <w:spacing w:val="-1"/>
                <w:highlight w:val="none"/>
              </w:rPr>
              <w:t>人造板及其制品</w:t>
            </w:r>
          </w:p>
        </w:tc>
      </w:tr>
      <w:tr w14:paraId="2640C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530" w:type="dxa"/>
            <w:vMerge w:val="continue"/>
            <w:tcBorders>
              <w:top w:val="nil"/>
              <w:bottom w:val="nil"/>
            </w:tcBorders>
            <w:vAlign w:val="top"/>
          </w:tcPr>
          <w:p w14:paraId="428248EC">
            <w:pPr>
              <w:rPr>
                <w:rFonts w:ascii="Arial"/>
                <w:color w:val="auto"/>
                <w:sz w:val="21"/>
                <w:highlight w:val="none"/>
              </w:rPr>
            </w:pPr>
          </w:p>
        </w:tc>
        <w:tc>
          <w:tcPr>
            <w:tcW w:w="1403" w:type="dxa"/>
            <w:vMerge w:val="continue"/>
            <w:tcBorders>
              <w:top w:val="nil"/>
              <w:bottom w:val="nil"/>
            </w:tcBorders>
            <w:vAlign w:val="top"/>
          </w:tcPr>
          <w:p w14:paraId="34D4FA36">
            <w:pPr>
              <w:rPr>
                <w:rFonts w:ascii="Arial"/>
                <w:color w:val="auto"/>
                <w:sz w:val="21"/>
                <w:highlight w:val="none"/>
              </w:rPr>
            </w:pPr>
          </w:p>
        </w:tc>
        <w:tc>
          <w:tcPr>
            <w:tcW w:w="2432" w:type="dxa"/>
            <w:vAlign w:val="top"/>
          </w:tcPr>
          <w:p w14:paraId="767AAAB6">
            <w:pPr>
              <w:pStyle w:val="186"/>
              <w:spacing w:before="68" w:line="219" w:lineRule="auto"/>
              <w:ind w:left="103"/>
              <w:rPr>
                <w:color w:val="auto"/>
                <w:highlight w:val="none"/>
              </w:rPr>
            </w:pPr>
            <w:r>
              <w:rPr>
                <w:color w:val="auto"/>
                <w:spacing w:val="-1"/>
                <w:highlight w:val="none"/>
              </w:rPr>
              <w:t>A10020304</w:t>
            </w:r>
            <w:r>
              <w:rPr>
                <w:color w:val="auto"/>
                <w:spacing w:val="-31"/>
                <w:highlight w:val="none"/>
              </w:rPr>
              <w:t xml:space="preserve"> </w:t>
            </w:r>
            <w:r>
              <w:rPr>
                <w:color w:val="auto"/>
                <w:spacing w:val="-1"/>
                <w:highlight w:val="none"/>
              </w:rPr>
              <w:t>细木工板</w:t>
            </w:r>
          </w:p>
        </w:tc>
        <w:tc>
          <w:tcPr>
            <w:tcW w:w="2046" w:type="dxa"/>
            <w:vAlign w:val="top"/>
          </w:tcPr>
          <w:p w14:paraId="309D9187">
            <w:pPr>
              <w:rPr>
                <w:rFonts w:ascii="Arial"/>
                <w:color w:val="auto"/>
                <w:sz w:val="21"/>
                <w:highlight w:val="none"/>
              </w:rPr>
            </w:pPr>
          </w:p>
        </w:tc>
        <w:tc>
          <w:tcPr>
            <w:tcW w:w="3225" w:type="dxa"/>
            <w:vAlign w:val="top"/>
          </w:tcPr>
          <w:p w14:paraId="411B921F">
            <w:pPr>
              <w:pStyle w:val="186"/>
              <w:spacing w:before="67" w:line="219" w:lineRule="auto"/>
              <w:ind w:left="109"/>
              <w:rPr>
                <w:color w:val="auto"/>
                <w:highlight w:val="none"/>
              </w:rPr>
            </w:pPr>
            <w:r>
              <w:rPr>
                <w:color w:val="auto"/>
                <w:spacing w:val="-1"/>
                <w:highlight w:val="none"/>
              </w:rPr>
              <w:t>HJ571</w:t>
            </w:r>
            <w:r>
              <w:rPr>
                <w:color w:val="auto"/>
                <w:spacing w:val="-34"/>
                <w:highlight w:val="none"/>
              </w:rPr>
              <w:t xml:space="preserve"> </w:t>
            </w:r>
            <w:r>
              <w:rPr>
                <w:color w:val="auto"/>
                <w:spacing w:val="-1"/>
                <w:highlight w:val="none"/>
              </w:rPr>
              <w:t>人造板及其制品</w:t>
            </w:r>
          </w:p>
        </w:tc>
      </w:tr>
      <w:tr w14:paraId="1BF3B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530" w:type="dxa"/>
            <w:vMerge w:val="continue"/>
            <w:tcBorders>
              <w:top w:val="nil"/>
            </w:tcBorders>
            <w:vAlign w:val="top"/>
          </w:tcPr>
          <w:p w14:paraId="2ED2B47D">
            <w:pPr>
              <w:rPr>
                <w:rFonts w:ascii="Arial"/>
                <w:color w:val="auto"/>
                <w:sz w:val="21"/>
                <w:highlight w:val="none"/>
              </w:rPr>
            </w:pPr>
          </w:p>
        </w:tc>
        <w:tc>
          <w:tcPr>
            <w:tcW w:w="1403" w:type="dxa"/>
            <w:vMerge w:val="continue"/>
            <w:tcBorders>
              <w:top w:val="nil"/>
            </w:tcBorders>
            <w:vAlign w:val="top"/>
          </w:tcPr>
          <w:p w14:paraId="372CCA8E">
            <w:pPr>
              <w:rPr>
                <w:rFonts w:ascii="Arial"/>
                <w:color w:val="auto"/>
                <w:sz w:val="21"/>
                <w:highlight w:val="none"/>
              </w:rPr>
            </w:pPr>
          </w:p>
        </w:tc>
        <w:tc>
          <w:tcPr>
            <w:tcW w:w="2432" w:type="dxa"/>
            <w:vAlign w:val="top"/>
          </w:tcPr>
          <w:p w14:paraId="135CB076">
            <w:pPr>
              <w:pStyle w:val="186"/>
              <w:spacing w:before="65" w:line="219" w:lineRule="auto"/>
              <w:ind w:left="103"/>
              <w:rPr>
                <w:color w:val="auto"/>
                <w:highlight w:val="none"/>
              </w:rPr>
            </w:pPr>
            <w:r>
              <w:rPr>
                <w:color w:val="auto"/>
                <w:spacing w:val="-1"/>
                <w:highlight w:val="none"/>
              </w:rPr>
              <w:t>A10020399</w:t>
            </w:r>
            <w:r>
              <w:rPr>
                <w:color w:val="auto"/>
                <w:spacing w:val="-31"/>
                <w:highlight w:val="none"/>
              </w:rPr>
              <w:t xml:space="preserve"> </w:t>
            </w:r>
            <w:r>
              <w:rPr>
                <w:color w:val="auto"/>
                <w:spacing w:val="-1"/>
                <w:highlight w:val="none"/>
              </w:rPr>
              <w:t>其他人造板</w:t>
            </w:r>
          </w:p>
        </w:tc>
        <w:tc>
          <w:tcPr>
            <w:tcW w:w="2046" w:type="dxa"/>
            <w:vAlign w:val="top"/>
          </w:tcPr>
          <w:p w14:paraId="2ABB22ED">
            <w:pPr>
              <w:rPr>
                <w:rFonts w:ascii="Arial"/>
                <w:color w:val="auto"/>
                <w:sz w:val="21"/>
                <w:highlight w:val="none"/>
              </w:rPr>
            </w:pPr>
          </w:p>
        </w:tc>
        <w:tc>
          <w:tcPr>
            <w:tcW w:w="3225" w:type="dxa"/>
            <w:vAlign w:val="top"/>
          </w:tcPr>
          <w:p w14:paraId="5FE0D7EA">
            <w:pPr>
              <w:pStyle w:val="186"/>
              <w:spacing w:before="64" w:line="219" w:lineRule="auto"/>
              <w:ind w:left="109"/>
              <w:rPr>
                <w:color w:val="auto"/>
                <w:highlight w:val="none"/>
              </w:rPr>
            </w:pPr>
            <w:r>
              <w:rPr>
                <w:color w:val="auto"/>
                <w:spacing w:val="-1"/>
                <w:highlight w:val="none"/>
              </w:rPr>
              <w:t>HJ571</w:t>
            </w:r>
            <w:r>
              <w:rPr>
                <w:color w:val="auto"/>
                <w:spacing w:val="-34"/>
                <w:highlight w:val="none"/>
              </w:rPr>
              <w:t xml:space="preserve"> </w:t>
            </w:r>
            <w:r>
              <w:rPr>
                <w:color w:val="auto"/>
                <w:spacing w:val="-1"/>
                <w:highlight w:val="none"/>
              </w:rPr>
              <w:t>人造板及其制品</w:t>
            </w:r>
          </w:p>
        </w:tc>
      </w:tr>
      <w:tr w14:paraId="3C66C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530" w:type="dxa"/>
            <w:vMerge w:val="restart"/>
            <w:tcBorders>
              <w:bottom w:val="nil"/>
            </w:tcBorders>
            <w:vAlign w:val="top"/>
          </w:tcPr>
          <w:p w14:paraId="39C543F2">
            <w:pPr>
              <w:pStyle w:val="186"/>
              <w:spacing w:before="65"/>
              <w:ind w:left="118"/>
              <w:rPr>
                <w:color w:val="auto"/>
                <w:highlight w:val="none"/>
              </w:rPr>
            </w:pPr>
            <w:r>
              <w:rPr>
                <w:color w:val="auto"/>
                <w:spacing w:val="-5"/>
                <w:highlight w:val="none"/>
              </w:rPr>
              <w:t>33</w:t>
            </w:r>
          </w:p>
        </w:tc>
        <w:tc>
          <w:tcPr>
            <w:tcW w:w="1403" w:type="dxa"/>
            <w:vMerge w:val="restart"/>
            <w:tcBorders>
              <w:bottom w:val="nil"/>
            </w:tcBorders>
            <w:vAlign w:val="top"/>
          </w:tcPr>
          <w:p w14:paraId="56F241BC">
            <w:pPr>
              <w:pStyle w:val="186"/>
              <w:spacing w:before="64" w:line="321" w:lineRule="auto"/>
              <w:ind w:left="109" w:right="108" w:hanging="7"/>
              <w:rPr>
                <w:color w:val="auto"/>
                <w:highlight w:val="none"/>
              </w:rPr>
            </w:pPr>
            <w:r>
              <w:rPr>
                <w:color w:val="auto"/>
                <w:spacing w:val="3"/>
                <w:highlight w:val="none"/>
              </w:rPr>
              <w:t>A100204</w:t>
            </w:r>
            <w:r>
              <w:rPr>
                <w:color w:val="auto"/>
                <w:spacing w:val="34"/>
                <w:highlight w:val="none"/>
              </w:rPr>
              <w:t xml:space="preserve"> </w:t>
            </w:r>
            <w:r>
              <w:rPr>
                <w:color w:val="auto"/>
                <w:spacing w:val="3"/>
                <w:highlight w:val="none"/>
              </w:rPr>
              <w:t>二次加</w:t>
            </w:r>
            <w:r>
              <w:rPr>
                <w:color w:val="auto"/>
                <w:highlight w:val="none"/>
              </w:rPr>
              <w:t xml:space="preserve"> </w:t>
            </w:r>
            <w:r>
              <w:rPr>
                <w:color w:val="auto"/>
                <w:spacing w:val="-2"/>
                <w:highlight w:val="none"/>
              </w:rPr>
              <w:t>工材,相关板材</w:t>
            </w:r>
          </w:p>
        </w:tc>
        <w:tc>
          <w:tcPr>
            <w:tcW w:w="2432" w:type="dxa"/>
            <w:vAlign w:val="top"/>
          </w:tcPr>
          <w:p w14:paraId="24127E25">
            <w:pPr>
              <w:pStyle w:val="186"/>
              <w:spacing w:before="65" w:line="219" w:lineRule="auto"/>
              <w:ind w:left="103"/>
              <w:rPr>
                <w:color w:val="auto"/>
                <w:highlight w:val="none"/>
              </w:rPr>
            </w:pPr>
            <w:r>
              <w:rPr>
                <w:color w:val="auto"/>
                <w:spacing w:val="-1"/>
                <w:highlight w:val="none"/>
              </w:rPr>
              <w:t>A10020404</w:t>
            </w:r>
            <w:r>
              <w:rPr>
                <w:color w:val="auto"/>
                <w:spacing w:val="-28"/>
                <w:highlight w:val="none"/>
              </w:rPr>
              <w:t xml:space="preserve"> </w:t>
            </w:r>
            <w:r>
              <w:rPr>
                <w:color w:val="auto"/>
                <w:spacing w:val="-1"/>
                <w:highlight w:val="none"/>
              </w:rPr>
              <w:t>人造板表面装饰板</w:t>
            </w:r>
          </w:p>
        </w:tc>
        <w:tc>
          <w:tcPr>
            <w:tcW w:w="2046" w:type="dxa"/>
            <w:vAlign w:val="top"/>
          </w:tcPr>
          <w:p w14:paraId="76EF0258">
            <w:pPr>
              <w:rPr>
                <w:rFonts w:ascii="Arial"/>
                <w:color w:val="auto"/>
                <w:sz w:val="21"/>
                <w:highlight w:val="none"/>
              </w:rPr>
            </w:pPr>
          </w:p>
        </w:tc>
        <w:tc>
          <w:tcPr>
            <w:tcW w:w="3225" w:type="dxa"/>
            <w:vAlign w:val="top"/>
          </w:tcPr>
          <w:p w14:paraId="6C4C684B">
            <w:pPr>
              <w:pStyle w:val="186"/>
              <w:spacing w:before="64" w:line="219" w:lineRule="auto"/>
              <w:ind w:left="109"/>
              <w:rPr>
                <w:color w:val="auto"/>
                <w:highlight w:val="none"/>
              </w:rPr>
            </w:pPr>
            <w:r>
              <w:rPr>
                <w:color w:val="auto"/>
                <w:spacing w:val="-1"/>
                <w:highlight w:val="none"/>
              </w:rPr>
              <w:t>HJ571</w:t>
            </w:r>
            <w:r>
              <w:rPr>
                <w:color w:val="auto"/>
                <w:spacing w:val="-30"/>
                <w:highlight w:val="none"/>
              </w:rPr>
              <w:t xml:space="preserve"> </w:t>
            </w:r>
            <w:r>
              <w:rPr>
                <w:color w:val="auto"/>
                <w:spacing w:val="-1"/>
                <w:highlight w:val="none"/>
              </w:rPr>
              <w:t>人造板及其制品/HJ2540</w:t>
            </w:r>
            <w:r>
              <w:rPr>
                <w:color w:val="auto"/>
                <w:spacing w:val="-38"/>
                <w:highlight w:val="none"/>
              </w:rPr>
              <w:t xml:space="preserve"> </w:t>
            </w:r>
            <w:r>
              <w:rPr>
                <w:color w:val="auto"/>
                <w:spacing w:val="-1"/>
                <w:highlight w:val="none"/>
              </w:rPr>
              <w:t>木塑制品</w:t>
            </w:r>
          </w:p>
        </w:tc>
      </w:tr>
      <w:tr w14:paraId="52627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30" w:type="dxa"/>
            <w:vMerge w:val="continue"/>
            <w:tcBorders>
              <w:top w:val="nil"/>
            </w:tcBorders>
            <w:vAlign w:val="top"/>
          </w:tcPr>
          <w:p w14:paraId="2A773911">
            <w:pPr>
              <w:rPr>
                <w:rFonts w:ascii="Arial"/>
                <w:color w:val="auto"/>
                <w:sz w:val="21"/>
                <w:highlight w:val="none"/>
              </w:rPr>
            </w:pPr>
          </w:p>
        </w:tc>
        <w:tc>
          <w:tcPr>
            <w:tcW w:w="1403" w:type="dxa"/>
            <w:vMerge w:val="continue"/>
            <w:tcBorders>
              <w:top w:val="nil"/>
            </w:tcBorders>
            <w:vAlign w:val="top"/>
          </w:tcPr>
          <w:p w14:paraId="1408D2AC">
            <w:pPr>
              <w:rPr>
                <w:rFonts w:ascii="Arial"/>
                <w:color w:val="auto"/>
                <w:sz w:val="21"/>
                <w:highlight w:val="none"/>
              </w:rPr>
            </w:pPr>
          </w:p>
        </w:tc>
        <w:tc>
          <w:tcPr>
            <w:tcW w:w="2432" w:type="dxa"/>
            <w:vAlign w:val="top"/>
          </w:tcPr>
          <w:p w14:paraId="13A56D1E">
            <w:pPr>
              <w:pStyle w:val="186"/>
              <w:spacing w:before="67" w:line="284" w:lineRule="auto"/>
              <w:ind w:left="113" w:right="107" w:hanging="10"/>
              <w:rPr>
                <w:color w:val="auto"/>
                <w:highlight w:val="none"/>
              </w:rPr>
            </w:pPr>
            <w:r>
              <w:rPr>
                <w:color w:val="auto"/>
                <w:spacing w:val="5"/>
                <w:highlight w:val="none"/>
              </w:rPr>
              <w:t>A10020404</w:t>
            </w:r>
            <w:r>
              <w:rPr>
                <w:color w:val="auto"/>
                <w:spacing w:val="30"/>
                <w:highlight w:val="none"/>
              </w:rPr>
              <w:t xml:space="preserve"> </w:t>
            </w:r>
            <w:r>
              <w:rPr>
                <w:color w:val="auto"/>
                <w:spacing w:val="5"/>
                <w:highlight w:val="none"/>
              </w:rPr>
              <w:t>人造板表面装饰板</w:t>
            </w:r>
            <w:r>
              <w:rPr>
                <w:color w:val="auto"/>
                <w:highlight w:val="none"/>
              </w:rPr>
              <w:t xml:space="preserve"> </w:t>
            </w:r>
            <w:r>
              <w:rPr>
                <w:color w:val="auto"/>
                <w:spacing w:val="-3"/>
                <w:highlight w:val="none"/>
              </w:rPr>
              <w:t>（地板）</w:t>
            </w:r>
          </w:p>
        </w:tc>
        <w:tc>
          <w:tcPr>
            <w:tcW w:w="2046" w:type="dxa"/>
            <w:vAlign w:val="top"/>
          </w:tcPr>
          <w:p w14:paraId="4C3EA09B">
            <w:pPr>
              <w:rPr>
                <w:rFonts w:ascii="Arial"/>
                <w:color w:val="auto"/>
                <w:sz w:val="21"/>
                <w:highlight w:val="none"/>
              </w:rPr>
            </w:pPr>
          </w:p>
        </w:tc>
        <w:tc>
          <w:tcPr>
            <w:tcW w:w="3225" w:type="dxa"/>
            <w:vAlign w:val="top"/>
          </w:tcPr>
          <w:p w14:paraId="59DF5997">
            <w:pPr>
              <w:pStyle w:val="186"/>
              <w:spacing w:before="67" w:line="219" w:lineRule="auto"/>
              <w:ind w:left="109"/>
              <w:rPr>
                <w:color w:val="auto"/>
                <w:highlight w:val="none"/>
              </w:rPr>
            </w:pPr>
            <w:r>
              <w:rPr>
                <w:color w:val="auto"/>
                <w:spacing w:val="-1"/>
                <w:highlight w:val="none"/>
              </w:rPr>
              <w:t>HJ571</w:t>
            </w:r>
            <w:r>
              <w:rPr>
                <w:color w:val="auto"/>
                <w:spacing w:val="-30"/>
                <w:highlight w:val="none"/>
              </w:rPr>
              <w:t xml:space="preserve"> </w:t>
            </w:r>
            <w:r>
              <w:rPr>
                <w:color w:val="auto"/>
                <w:spacing w:val="-1"/>
                <w:highlight w:val="none"/>
              </w:rPr>
              <w:t>人造板及其制品/HJ2540</w:t>
            </w:r>
            <w:r>
              <w:rPr>
                <w:color w:val="auto"/>
                <w:spacing w:val="-38"/>
                <w:highlight w:val="none"/>
              </w:rPr>
              <w:t xml:space="preserve"> </w:t>
            </w:r>
            <w:r>
              <w:rPr>
                <w:color w:val="auto"/>
                <w:spacing w:val="-1"/>
                <w:highlight w:val="none"/>
              </w:rPr>
              <w:t>木塑制品</w:t>
            </w:r>
          </w:p>
        </w:tc>
      </w:tr>
      <w:tr w14:paraId="15E86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30" w:type="dxa"/>
            <w:vAlign w:val="top"/>
          </w:tcPr>
          <w:p w14:paraId="5BBBBE5B">
            <w:pPr>
              <w:pStyle w:val="186"/>
              <w:spacing w:before="65"/>
              <w:ind w:left="118"/>
              <w:rPr>
                <w:color w:val="auto"/>
                <w:highlight w:val="none"/>
              </w:rPr>
            </w:pPr>
            <w:r>
              <w:rPr>
                <w:color w:val="auto"/>
                <w:spacing w:val="-5"/>
                <w:highlight w:val="none"/>
              </w:rPr>
              <w:t>34</w:t>
            </w:r>
          </w:p>
        </w:tc>
        <w:tc>
          <w:tcPr>
            <w:tcW w:w="1403" w:type="dxa"/>
            <w:vAlign w:val="top"/>
          </w:tcPr>
          <w:p w14:paraId="1540D0BB">
            <w:pPr>
              <w:pStyle w:val="186"/>
              <w:spacing w:before="66" w:line="283" w:lineRule="auto"/>
              <w:ind w:left="107" w:right="108" w:hanging="5"/>
              <w:rPr>
                <w:color w:val="auto"/>
                <w:highlight w:val="none"/>
              </w:rPr>
            </w:pPr>
            <w:r>
              <w:rPr>
                <w:color w:val="auto"/>
                <w:spacing w:val="3"/>
                <w:highlight w:val="none"/>
              </w:rPr>
              <w:t>A100301</w:t>
            </w:r>
            <w:r>
              <w:rPr>
                <w:color w:val="auto"/>
                <w:spacing w:val="34"/>
                <w:highlight w:val="none"/>
              </w:rPr>
              <w:t xml:space="preserve"> </w:t>
            </w:r>
            <w:r>
              <w:rPr>
                <w:color w:val="auto"/>
                <w:spacing w:val="3"/>
                <w:highlight w:val="none"/>
              </w:rPr>
              <w:t>水泥熟</w:t>
            </w:r>
            <w:r>
              <w:rPr>
                <w:color w:val="auto"/>
                <w:highlight w:val="none"/>
              </w:rPr>
              <w:t xml:space="preserve"> </w:t>
            </w:r>
            <w:r>
              <w:rPr>
                <w:color w:val="auto"/>
                <w:spacing w:val="-2"/>
                <w:highlight w:val="none"/>
              </w:rPr>
              <w:t>料及水泥</w:t>
            </w:r>
          </w:p>
        </w:tc>
        <w:tc>
          <w:tcPr>
            <w:tcW w:w="2432" w:type="dxa"/>
            <w:vAlign w:val="top"/>
          </w:tcPr>
          <w:p w14:paraId="1C47B1ED">
            <w:pPr>
              <w:pStyle w:val="186"/>
              <w:spacing w:before="65" w:line="220" w:lineRule="auto"/>
              <w:ind w:left="103"/>
              <w:rPr>
                <w:color w:val="auto"/>
                <w:highlight w:val="none"/>
              </w:rPr>
            </w:pPr>
            <w:r>
              <w:rPr>
                <w:color w:val="auto"/>
                <w:spacing w:val="-1"/>
                <w:highlight w:val="none"/>
              </w:rPr>
              <w:t>A10030102</w:t>
            </w:r>
            <w:r>
              <w:rPr>
                <w:color w:val="auto"/>
                <w:spacing w:val="-31"/>
                <w:highlight w:val="none"/>
              </w:rPr>
              <w:t xml:space="preserve"> </w:t>
            </w:r>
            <w:r>
              <w:rPr>
                <w:color w:val="auto"/>
                <w:spacing w:val="-1"/>
                <w:highlight w:val="none"/>
              </w:rPr>
              <w:t>水泥</w:t>
            </w:r>
          </w:p>
        </w:tc>
        <w:tc>
          <w:tcPr>
            <w:tcW w:w="2046" w:type="dxa"/>
            <w:vAlign w:val="top"/>
          </w:tcPr>
          <w:p w14:paraId="6213343F">
            <w:pPr>
              <w:rPr>
                <w:rFonts w:ascii="Arial"/>
                <w:color w:val="auto"/>
                <w:sz w:val="21"/>
                <w:highlight w:val="none"/>
              </w:rPr>
            </w:pPr>
          </w:p>
        </w:tc>
        <w:tc>
          <w:tcPr>
            <w:tcW w:w="3225" w:type="dxa"/>
            <w:vAlign w:val="top"/>
          </w:tcPr>
          <w:p w14:paraId="7CE86655">
            <w:pPr>
              <w:pStyle w:val="186"/>
              <w:spacing w:before="64" w:line="219" w:lineRule="auto"/>
              <w:ind w:left="109"/>
              <w:rPr>
                <w:color w:val="auto"/>
                <w:highlight w:val="none"/>
              </w:rPr>
            </w:pPr>
            <w:r>
              <w:rPr>
                <w:color w:val="auto"/>
                <w:spacing w:val="-1"/>
                <w:highlight w:val="none"/>
              </w:rPr>
              <w:t>HJ2519</w:t>
            </w:r>
            <w:r>
              <w:rPr>
                <w:color w:val="auto"/>
                <w:spacing w:val="-34"/>
                <w:highlight w:val="none"/>
              </w:rPr>
              <w:t xml:space="preserve"> </w:t>
            </w:r>
            <w:r>
              <w:rPr>
                <w:color w:val="auto"/>
                <w:spacing w:val="-1"/>
                <w:highlight w:val="none"/>
              </w:rPr>
              <w:t>水泥</w:t>
            </w:r>
          </w:p>
        </w:tc>
      </w:tr>
      <w:tr w14:paraId="66A10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30" w:type="dxa"/>
            <w:vAlign w:val="top"/>
          </w:tcPr>
          <w:p w14:paraId="06F192CE">
            <w:pPr>
              <w:pStyle w:val="186"/>
              <w:spacing w:before="66"/>
              <w:ind w:left="118"/>
              <w:rPr>
                <w:color w:val="auto"/>
                <w:highlight w:val="none"/>
              </w:rPr>
            </w:pPr>
            <w:r>
              <w:rPr>
                <w:color w:val="auto"/>
                <w:spacing w:val="-5"/>
                <w:highlight w:val="none"/>
              </w:rPr>
              <w:t>35</w:t>
            </w:r>
          </w:p>
        </w:tc>
        <w:tc>
          <w:tcPr>
            <w:tcW w:w="1403" w:type="dxa"/>
            <w:vAlign w:val="top"/>
          </w:tcPr>
          <w:p w14:paraId="5864C615">
            <w:pPr>
              <w:pStyle w:val="186"/>
              <w:spacing w:before="66" w:line="283" w:lineRule="auto"/>
              <w:ind w:left="106" w:right="108" w:hanging="4"/>
              <w:rPr>
                <w:color w:val="auto"/>
                <w:highlight w:val="none"/>
              </w:rPr>
            </w:pPr>
            <w:r>
              <w:rPr>
                <w:color w:val="auto"/>
                <w:spacing w:val="3"/>
                <w:highlight w:val="none"/>
              </w:rPr>
              <w:t>A100303</w:t>
            </w:r>
            <w:r>
              <w:rPr>
                <w:color w:val="auto"/>
                <w:spacing w:val="34"/>
                <w:highlight w:val="none"/>
              </w:rPr>
              <w:t xml:space="preserve"> </w:t>
            </w:r>
            <w:r>
              <w:rPr>
                <w:color w:val="auto"/>
                <w:spacing w:val="3"/>
                <w:highlight w:val="none"/>
              </w:rPr>
              <w:t>水泥混</w:t>
            </w:r>
            <w:r>
              <w:rPr>
                <w:color w:val="auto"/>
                <w:highlight w:val="none"/>
              </w:rPr>
              <w:t xml:space="preserve"> </w:t>
            </w:r>
            <w:r>
              <w:rPr>
                <w:color w:val="auto"/>
                <w:spacing w:val="-2"/>
                <w:highlight w:val="none"/>
              </w:rPr>
              <w:t>凝土制品</w:t>
            </w:r>
          </w:p>
        </w:tc>
        <w:tc>
          <w:tcPr>
            <w:tcW w:w="2432" w:type="dxa"/>
            <w:vAlign w:val="top"/>
          </w:tcPr>
          <w:p w14:paraId="554DB41E">
            <w:pPr>
              <w:pStyle w:val="186"/>
              <w:spacing w:before="65" w:line="221" w:lineRule="auto"/>
              <w:ind w:left="103"/>
              <w:rPr>
                <w:color w:val="auto"/>
                <w:highlight w:val="none"/>
              </w:rPr>
            </w:pPr>
            <w:r>
              <w:rPr>
                <w:color w:val="auto"/>
                <w:spacing w:val="-1"/>
                <w:highlight w:val="none"/>
              </w:rPr>
              <w:t>A10030301</w:t>
            </w:r>
            <w:r>
              <w:rPr>
                <w:color w:val="auto"/>
                <w:spacing w:val="-30"/>
                <w:highlight w:val="none"/>
              </w:rPr>
              <w:t xml:space="preserve"> </w:t>
            </w:r>
            <w:r>
              <w:rPr>
                <w:color w:val="auto"/>
                <w:spacing w:val="-1"/>
                <w:highlight w:val="none"/>
              </w:rPr>
              <w:t>商品混凝土</w:t>
            </w:r>
          </w:p>
        </w:tc>
        <w:tc>
          <w:tcPr>
            <w:tcW w:w="2046" w:type="dxa"/>
            <w:vAlign w:val="top"/>
          </w:tcPr>
          <w:p w14:paraId="02A66CBF">
            <w:pPr>
              <w:rPr>
                <w:rFonts w:ascii="Arial"/>
                <w:color w:val="auto"/>
                <w:sz w:val="21"/>
                <w:highlight w:val="none"/>
              </w:rPr>
            </w:pPr>
          </w:p>
        </w:tc>
        <w:tc>
          <w:tcPr>
            <w:tcW w:w="3225" w:type="dxa"/>
            <w:vAlign w:val="top"/>
          </w:tcPr>
          <w:p w14:paraId="41790914">
            <w:pPr>
              <w:pStyle w:val="186"/>
              <w:spacing w:before="65" w:line="219" w:lineRule="auto"/>
              <w:ind w:left="109"/>
              <w:rPr>
                <w:color w:val="auto"/>
                <w:highlight w:val="none"/>
              </w:rPr>
            </w:pPr>
            <w:r>
              <w:rPr>
                <w:color w:val="auto"/>
                <w:spacing w:val="-1"/>
                <w:highlight w:val="none"/>
              </w:rPr>
              <w:t>HJ/T412</w:t>
            </w:r>
            <w:r>
              <w:rPr>
                <w:color w:val="auto"/>
                <w:spacing w:val="-34"/>
                <w:highlight w:val="none"/>
              </w:rPr>
              <w:t xml:space="preserve"> </w:t>
            </w:r>
            <w:r>
              <w:rPr>
                <w:color w:val="auto"/>
                <w:spacing w:val="-1"/>
                <w:highlight w:val="none"/>
              </w:rPr>
              <w:t>预拌混凝土</w:t>
            </w:r>
          </w:p>
        </w:tc>
      </w:tr>
      <w:tr w14:paraId="19945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530" w:type="dxa"/>
            <w:vMerge w:val="restart"/>
            <w:tcBorders>
              <w:bottom w:val="nil"/>
            </w:tcBorders>
            <w:vAlign w:val="top"/>
          </w:tcPr>
          <w:p w14:paraId="5DB5C1DB">
            <w:pPr>
              <w:pStyle w:val="186"/>
              <w:spacing w:before="66"/>
              <w:ind w:left="118"/>
              <w:rPr>
                <w:color w:val="auto"/>
                <w:highlight w:val="none"/>
              </w:rPr>
            </w:pPr>
            <w:r>
              <w:rPr>
                <w:color w:val="auto"/>
                <w:spacing w:val="-5"/>
                <w:highlight w:val="none"/>
              </w:rPr>
              <w:t>36</w:t>
            </w:r>
          </w:p>
        </w:tc>
        <w:tc>
          <w:tcPr>
            <w:tcW w:w="1403" w:type="dxa"/>
            <w:vMerge w:val="restart"/>
            <w:tcBorders>
              <w:bottom w:val="nil"/>
            </w:tcBorders>
            <w:vAlign w:val="top"/>
          </w:tcPr>
          <w:p w14:paraId="6E4BD2C7">
            <w:pPr>
              <w:pStyle w:val="186"/>
              <w:spacing w:before="66" w:line="322" w:lineRule="auto"/>
              <w:ind w:left="111" w:right="108" w:hanging="9"/>
              <w:rPr>
                <w:color w:val="auto"/>
                <w:highlight w:val="none"/>
              </w:rPr>
            </w:pPr>
            <w:r>
              <w:rPr>
                <w:color w:val="auto"/>
                <w:spacing w:val="3"/>
                <w:highlight w:val="none"/>
              </w:rPr>
              <w:t>A100304</w:t>
            </w:r>
            <w:r>
              <w:rPr>
                <w:color w:val="auto"/>
                <w:spacing w:val="35"/>
                <w:highlight w:val="none"/>
              </w:rPr>
              <w:t xml:space="preserve"> </w:t>
            </w:r>
            <w:r>
              <w:rPr>
                <w:color w:val="auto"/>
                <w:spacing w:val="3"/>
                <w:highlight w:val="none"/>
              </w:rPr>
              <w:t>纤维增</w:t>
            </w:r>
            <w:r>
              <w:rPr>
                <w:color w:val="auto"/>
                <w:highlight w:val="none"/>
              </w:rPr>
              <w:t xml:space="preserve"> </w:t>
            </w:r>
            <w:r>
              <w:rPr>
                <w:color w:val="auto"/>
                <w:spacing w:val="-2"/>
                <w:highlight w:val="none"/>
              </w:rPr>
              <w:t>强水泥制品</w:t>
            </w:r>
          </w:p>
        </w:tc>
        <w:tc>
          <w:tcPr>
            <w:tcW w:w="2432" w:type="dxa"/>
            <w:vAlign w:val="top"/>
          </w:tcPr>
          <w:p w14:paraId="3954E7AE">
            <w:pPr>
              <w:pStyle w:val="186"/>
              <w:spacing w:before="66" w:line="219" w:lineRule="auto"/>
              <w:ind w:left="103"/>
              <w:rPr>
                <w:color w:val="auto"/>
                <w:highlight w:val="none"/>
              </w:rPr>
            </w:pPr>
            <w:r>
              <w:rPr>
                <w:color w:val="auto"/>
                <w:spacing w:val="-1"/>
                <w:highlight w:val="none"/>
              </w:rPr>
              <w:t>A10030402</w:t>
            </w:r>
            <w:r>
              <w:rPr>
                <w:color w:val="auto"/>
                <w:spacing w:val="-28"/>
                <w:highlight w:val="none"/>
              </w:rPr>
              <w:t xml:space="preserve"> </w:t>
            </w:r>
            <w:r>
              <w:rPr>
                <w:color w:val="auto"/>
                <w:spacing w:val="-1"/>
                <w:highlight w:val="none"/>
              </w:rPr>
              <w:t>纤维增强硅酸钙板</w:t>
            </w:r>
          </w:p>
        </w:tc>
        <w:tc>
          <w:tcPr>
            <w:tcW w:w="2046" w:type="dxa"/>
            <w:vAlign w:val="top"/>
          </w:tcPr>
          <w:p w14:paraId="3FE7717E">
            <w:pPr>
              <w:rPr>
                <w:rFonts w:ascii="Arial"/>
                <w:color w:val="auto"/>
                <w:sz w:val="21"/>
                <w:highlight w:val="none"/>
              </w:rPr>
            </w:pPr>
          </w:p>
        </w:tc>
        <w:tc>
          <w:tcPr>
            <w:tcW w:w="3225" w:type="dxa"/>
            <w:vAlign w:val="top"/>
          </w:tcPr>
          <w:p w14:paraId="0F45BA50">
            <w:pPr>
              <w:pStyle w:val="186"/>
              <w:spacing w:before="66" w:line="219" w:lineRule="auto"/>
              <w:ind w:left="109"/>
              <w:rPr>
                <w:color w:val="auto"/>
                <w:highlight w:val="none"/>
              </w:rPr>
            </w:pPr>
            <w:r>
              <w:rPr>
                <w:color w:val="auto"/>
                <w:spacing w:val="-1"/>
                <w:highlight w:val="none"/>
              </w:rPr>
              <w:t>HJ/T223</w:t>
            </w:r>
            <w:r>
              <w:rPr>
                <w:color w:val="auto"/>
                <w:spacing w:val="-33"/>
                <w:highlight w:val="none"/>
              </w:rPr>
              <w:t xml:space="preserve"> </w:t>
            </w:r>
            <w:r>
              <w:rPr>
                <w:color w:val="auto"/>
                <w:spacing w:val="-1"/>
                <w:highlight w:val="none"/>
              </w:rPr>
              <w:t>轻质墙体板材</w:t>
            </w:r>
          </w:p>
        </w:tc>
      </w:tr>
      <w:tr w14:paraId="7D147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30" w:type="dxa"/>
            <w:vMerge w:val="continue"/>
            <w:tcBorders>
              <w:top w:val="nil"/>
            </w:tcBorders>
            <w:vAlign w:val="top"/>
          </w:tcPr>
          <w:p w14:paraId="1492561A">
            <w:pPr>
              <w:rPr>
                <w:rFonts w:ascii="Arial"/>
                <w:color w:val="auto"/>
                <w:sz w:val="21"/>
                <w:highlight w:val="none"/>
              </w:rPr>
            </w:pPr>
          </w:p>
        </w:tc>
        <w:tc>
          <w:tcPr>
            <w:tcW w:w="1403" w:type="dxa"/>
            <w:vMerge w:val="continue"/>
            <w:tcBorders>
              <w:top w:val="nil"/>
            </w:tcBorders>
            <w:vAlign w:val="top"/>
          </w:tcPr>
          <w:p w14:paraId="23BB2E42">
            <w:pPr>
              <w:rPr>
                <w:rFonts w:ascii="Arial"/>
                <w:color w:val="auto"/>
                <w:sz w:val="21"/>
                <w:highlight w:val="none"/>
              </w:rPr>
            </w:pPr>
          </w:p>
        </w:tc>
        <w:tc>
          <w:tcPr>
            <w:tcW w:w="2432" w:type="dxa"/>
            <w:vAlign w:val="top"/>
          </w:tcPr>
          <w:p w14:paraId="68A57041">
            <w:pPr>
              <w:pStyle w:val="186"/>
              <w:spacing w:before="66" w:line="220" w:lineRule="auto"/>
              <w:ind w:left="103"/>
              <w:rPr>
                <w:color w:val="auto"/>
                <w:highlight w:val="none"/>
              </w:rPr>
            </w:pPr>
            <w:r>
              <w:rPr>
                <w:color w:val="auto"/>
                <w:spacing w:val="-1"/>
                <w:highlight w:val="none"/>
              </w:rPr>
              <w:t>A10030403</w:t>
            </w:r>
            <w:r>
              <w:rPr>
                <w:color w:val="auto"/>
                <w:spacing w:val="-45"/>
                <w:highlight w:val="none"/>
              </w:rPr>
              <w:t xml:space="preserve"> </w:t>
            </w:r>
            <w:r>
              <w:rPr>
                <w:color w:val="auto"/>
                <w:spacing w:val="-1"/>
                <w:highlight w:val="none"/>
              </w:rPr>
              <w:t>无石棉纤维水泥制品</w:t>
            </w:r>
          </w:p>
        </w:tc>
        <w:tc>
          <w:tcPr>
            <w:tcW w:w="2046" w:type="dxa"/>
            <w:vAlign w:val="top"/>
          </w:tcPr>
          <w:p w14:paraId="6A1F6A43">
            <w:pPr>
              <w:rPr>
                <w:rFonts w:ascii="Arial"/>
                <w:color w:val="auto"/>
                <w:sz w:val="21"/>
                <w:highlight w:val="none"/>
              </w:rPr>
            </w:pPr>
          </w:p>
        </w:tc>
        <w:tc>
          <w:tcPr>
            <w:tcW w:w="3225" w:type="dxa"/>
            <w:vAlign w:val="top"/>
          </w:tcPr>
          <w:p w14:paraId="5F29C596">
            <w:pPr>
              <w:pStyle w:val="186"/>
              <w:spacing w:before="66" w:line="219" w:lineRule="auto"/>
              <w:ind w:left="109"/>
              <w:rPr>
                <w:color w:val="auto"/>
                <w:highlight w:val="none"/>
              </w:rPr>
            </w:pPr>
            <w:r>
              <w:rPr>
                <w:color w:val="auto"/>
                <w:spacing w:val="-1"/>
                <w:highlight w:val="none"/>
              </w:rPr>
              <w:t>HJ/T223</w:t>
            </w:r>
            <w:r>
              <w:rPr>
                <w:color w:val="auto"/>
                <w:spacing w:val="-33"/>
                <w:highlight w:val="none"/>
              </w:rPr>
              <w:t xml:space="preserve"> </w:t>
            </w:r>
            <w:r>
              <w:rPr>
                <w:color w:val="auto"/>
                <w:spacing w:val="-1"/>
                <w:highlight w:val="none"/>
              </w:rPr>
              <w:t>轻质墙体板材</w:t>
            </w:r>
          </w:p>
        </w:tc>
      </w:tr>
      <w:tr w14:paraId="585F1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530" w:type="dxa"/>
            <w:vMerge w:val="restart"/>
            <w:tcBorders>
              <w:bottom w:val="nil"/>
            </w:tcBorders>
            <w:vAlign w:val="top"/>
          </w:tcPr>
          <w:p w14:paraId="0E5AE07B">
            <w:pPr>
              <w:pStyle w:val="186"/>
              <w:spacing w:before="67"/>
              <w:ind w:left="118"/>
              <w:rPr>
                <w:color w:val="auto"/>
                <w:highlight w:val="none"/>
              </w:rPr>
            </w:pPr>
            <w:r>
              <w:rPr>
                <w:color w:val="auto"/>
                <w:spacing w:val="-5"/>
                <w:highlight w:val="none"/>
              </w:rPr>
              <w:t>37</w:t>
            </w:r>
          </w:p>
        </w:tc>
        <w:tc>
          <w:tcPr>
            <w:tcW w:w="1403" w:type="dxa"/>
            <w:vMerge w:val="restart"/>
            <w:tcBorders>
              <w:bottom w:val="nil"/>
            </w:tcBorders>
            <w:vAlign w:val="top"/>
          </w:tcPr>
          <w:p w14:paraId="44ACDDF1">
            <w:pPr>
              <w:pStyle w:val="186"/>
              <w:spacing w:before="66" w:line="322" w:lineRule="auto"/>
              <w:ind w:left="109" w:right="108" w:hanging="7"/>
              <w:rPr>
                <w:color w:val="auto"/>
                <w:highlight w:val="none"/>
              </w:rPr>
            </w:pPr>
            <w:r>
              <w:rPr>
                <w:color w:val="auto"/>
                <w:spacing w:val="3"/>
                <w:highlight w:val="none"/>
              </w:rPr>
              <w:t>A100305</w:t>
            </w:r>
            <w:r>
              <w:rPr>
                <w:color w:val="auto"/>
                <w:spacing w:val="34"/>
                <w:highlight w:val="none"/>
              </w:rPr>
              <w:t xml:space="preserve"> </w:t>
            </w:r>
            <w:r>
              <w:rPr>
                <w:color w:val="auto"/>
                <w:spacing w:val="3"/>
                <w:highlight w:val="none"/>
              </w:rPr>
              <w:t>轻质建</w:t>
            </w:r>
            <w:r>
              <w:rPr>
                <w:color w:val="auto"/>
                <w:highlight w:val="none"/>
              </w:rPr>
              <w:t xml:space="preserve"> </w:t>
            </w:r>
            <w:r>
              <w:rPr>
                <w:color w:val="auto"/>
                <w:spacing w:val="-2"/>
                <w:highlight w:val="none"/>
              </w:rPr>
              <w:t>筑材料及制品</w:t>
            </w:r>
          </w:p>
        </w:tc>
        <w:tc>
          <w:tcPr>
            <w:tcW w:w="2432" w:type="dxa"/>
            <w:vAlign w:val="top"/>
          </w:tcPr>
          <w:p w14:paraId="0EECC389">
            <w:pPr>
              <w:pStyle w:val="186"/>
              <w:spacing w:before="67" w:line="219" w:lineRule="auto"/>
              <w:ind w:left="103"/>
              <w:rPr>
                <w:color w:val="auto"/>
                <w:highlight w:val="none"/>
              </w:rPr>
            </w:pPr>
            <w:r>
              <w:rPr>
                <w:color w:val="auto"/>
                <w:spacing w:val="-1"/>
                <w:highlight w:val="none"/>
              </w:rPr>
              <w:t>A10030501</w:t>
            </w:r>
            <w:r>
              <w:rPr>
                <w:color w:val="auto"/>
                <w:spacing w:val="-32"/>
                <w:highlight w:val="none"/>
              </w:rPr>
              <w:t xml:space="preserve"> </w:t>
            </w:r>
            <w:r>
              <w:rPr>
                <w:color w:val="auto"/>
                <w:spacing w:val="-1"/>
                <w:highlight w:val="none"/>
              </w:rPr>
              <w:t>石膏板</w:t>
            </w:r>
          </w:p>
        </w:tc>
        <w:tc>
          <w:tcPr>
            <w:tcW w:w="2046" w:type="dxa"/>
            <w:vAlign w:val="top"/>
          </w:tcPr>
          <w:p w14:paraId="33E875BC">
            <w:pPr>
              <w:rPr>
                <w:rFonts w:ascii="Arial"/>
                <w:color w:val="auto"/>
                <w:sz w:val="21"/>
                <w:highlight w:val="none"/>
              </w:rPr>
            </w:pPr>
          </w:p>
        </w:tc>
        <w:tc>
          <w:tcPr>
            <w:tcW w:w="3225" w:type="dxa"/>
            <w:vAlign w:val="top"/>
          </w:tcPr>
          <w:p w14:paraId="2A87840B">
            <w:pPr>
              <w:pStyle w:val="186"/>
              <w:spacing w:before="66" w:line="219" w:lineRule="auto"/>
              <w:ind w:left="109"/>
              <w:rPr>
                <w:color w:val="auto"/>
                <w:highlight w:val="none"/>
              </w:rPr>
            </w:pPr>
            <w:r>
              <w:rPr>
                <w:color w:val="auto"/>
                <w:spacing w:val="-1"/>
                <w:highlight w:val="none"/>
              </w:rPr>
              <w:t>HJ/T223</w:t>
            </w:r>
            <w:r>
              <w:rPr>
                <w:color w:val="auto"/>
                <w:spacing w:val="-33"/>
                <w:highlight w:val="none"/>
              </w:rPr>
              <w:t xml:space="preserve"> </w:t>
            </w:r>
            <w:r>
              <w:rPr>
                <w:color w:val="auto"/>
                <w:spacing w:val="-1"/>
                <w:highlight w:val="none"/>
              </w:rPr>
              <w:t>轻质墙体板材</w:t>
            </w:r>
          </w:p>
        </w:tc>
      </w:tr>
      <w:tr w14:paraId="76E87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530" w:type="dxa"/>
            <w:vMerge w:val="continue"/>
            <w:tcBorders>
              <w:top w:val="nil"/>
            </w:tcBorders>
            <w:vAlign w:val="top"/>
          </w:tcPr>
          <w:p w14:paraId="446E3495">
            <w:pPr>
              <w:rPr>
                <w:rFonts w:ascii="Arial"/>
                <w:color w:val="auto"/>
                <w:sz w:val="21"/>
                <w:highlight w:val="none"/>
              </w:rPr>
            </w:pPr>
          </w:p>
        </w:tc>
        <w:tc>
          <w:tcPr>
            <w:tcW w:w="1403" w:type="dxa"/>
            <w:vMerge w:val="continue"/>
            <w:tcBorders>
              <w:top w:val="nil"/>
            </w:tcBorders>
            <w:vAlign w:val="top"/>
          </w:tcPr>
          <w:p w14:paraId="0E614609">
            <w:pPr>
              <w:rPr>
                <w:rFonts w:ascii="Arial"/>
                <w:color w:val="auto"/>
                <w:sz w:val="21"/>
                <w:highlight w:val="none"/>
              </w:rPr>
            </w:pPr>
          </w:p>
        </w:tc>
        <w:tc>
          <w:tcPr>
            <w:tcW w:w="2432" w:type="dxa"/>
            <w:vAlign w:val="top"/>
          </w:tcPr>
          <w:p w14:paraId="10876C73">
            <w:pPr>
              <w:pStyle w:val="186"/>
              <w:spacing w:before="66" w:line="219" w:lineRule="auto"/>
              <w:ind w:left="103"/>
              <w:rPr>
                <w:color w:val="auto"/>
                <w:highlight w:val="none"/>
              </w:rPr>
            </w:pPr>
            <w:r>
              <w:rPr>
                <w:color w:val="auto"/>
                <w:spacing w:val="-1"/>
                <w:highlight w:val="none"/>
              </w:rPr>
              <w:t>A10030503</w:t>
            </w:r>
            <w:r>
              <w:rPr>
                <w:color w:val="auto"/>
                <w:spacing w:val="-30"/>
                <w:highlight w:val="none"/>
              </w:rPr>
              <w:t xml:space="preserve"> </w:t>
            </w:r>
            <w:r>
              <w:rPr>
                <w:color w:val="auto"/>
                <w:spacing w:val="-1"/>
                <w:highlight w:val="none"/>
              </w:rPr>
              <w:t>轻质隔墙条板</w:t>
            </w:r>
          </w:p>
        </w:tc>
        <w:tc>
          <w:tcPr>
            <w:tcW w:w="2046" w:type="dxa"/>
            <w:vAlign w:val="top"/>
          </w:tcPr>
          <w:p w14:paraId="546B54E7">
            <w:pPr>
              <w:rPr>
                <w:rFonts w:ascii="Arial"/>
                <w:color w:val="auto"/>
                <w:sz w:val="21"/>
                <w:highlight w:val="none"/>
              </w:rPr>
            </w:pPr>
          </w:p>
        </w:tc>
        <w:tc>
          <w:tcPr>
            <w:tcW w:w="3225" w:type="dxa"/>
            <w:vAlign w:val="top"/>
          </w:tcPr>
          <w:p w14:paraId="6CDB502D">
            <w:pPr>
              <w:pStyle w:val="186"/>
              <w:spacing w:before="66" w:line="219" w:lineRule="auto"/>
              <w:ind w:left="109"/>
              <w:rPr>
                <w:color w:val="auto"/>
                <w:highlight w:val="none"/>
              </w:rPr>
            </w:pPr>
            <w:r>
              <w:rPr>
                <w:color w:val="auto"/>
                <w:spacing w:val="-1"/>
                <w:highlight w:val="none"/>
              </w:rPr>
              <w:t>HJ/T223</w:t>
            </w:r>
            <w:r>
              <w:rPr>
                <w:color w:val="auto"/>
                <w:spacing w:val="-33"/>
                <w:highlight w:val="none"/>
              </w:rPr>
              <w:t xml:space="preserve"> </w:t>
            </w:r>
            <w:r>
              <w:rPr>
                <w:color w:val="auto"/>
                <w:spacing w:val="-1"/>
                <w:highlight w:val="none"/>
              </w:rPr>
              <w:t>轻质墙体板材</w:t>
            </w:r>
          </w:p>
        </w:tc>
      </w:tr>
      <w:tr w14:paraId="42CD6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530" w:type="dxa"/>
            <w:vMerge w:val="restart"/>
            <w:tcBorders>
              <w:bottom w:val="nil"/>
            </w:tcBorders>
            <w:vAlign w:val="top"/>
          </w:tcPr>
          <w:p w14:paraId="18296EAD">
            <w:pPr>
              <w:pStyle w:val="186"/>
              <w:spacing w:before="67"/>
              <w:ind w:left="118"/>
              <w:rPr>
                <w:color w:val="auto"/>
                <w:highlight w:val="none"/>
              </w:rPr>
            </w:pPr>
            <w:r>
              <w:rPr>
                <w:color w:val="auto"/>
                <w:spacing w:val="-5"/>
                <w:highlight w:val="none"/>
              </w:rPr>
              <w:t>38</w:t>
            </w:r>
          </w:p>
        </w:tc>
        <w:tc>
          <w:tcPr>
            <w:tcW w:w="1403" w:type="dxa"/>
            <w:vMerge w:val="restart"/>
            <w:tcBorders>
              <w:bottom w:val="nil"/>
            </w:tcBorders>
            <w:vAlign w:val="top"/>
          </w:tcPr>
          <w:p w14:paraId="613C117E">
            <w:pPr>
              <w:pStyle w:val="186"/>
              <w:spacing w:before="67" w:line="322" w:lineRule="auto"/>
              <w:ind w:left="111" w:right="108" w:hanging="9"/>
              <w:rPr>
                <w:color w:val="auto"/>
                <w:highlight w:val="none"/>
              </w:rPr>
            </w:pPr>
            <w:r>
              <w:rPr>
                <w:color w:val="auto"/>
                <w:spacing w:val="-1"/>
                <w:highlight w:val="none"/>
              </w:rPr>
              <w:t>A100307</w:t>
            </w:r>
            <w:r>
              <w:rPr>
                <w:color w:val="auto"/>
                <w:spacing w:val="36"/>
                <w:highlight w:val="none"/>
              </w:rPr>
              <w:t xml:space="preserve"> </w:t>
            </w:r>
            <w:r>
              <w:rPr>
                <w:color w:val="auto"/>
                <w:spacing w:val="-1"/>
                <w:highlight w:val="none"/>
              </w:rPr>
              <w:t>建筑</w:t>
            </w:r>
            <w:r>
              <w:rPr>
                <w:color w:val="auto"/>
                <w:spacing w:val="-52"/>
                <w:highlight w:val="none"/>
              </w:rPr>
              <w:t xml:space="preserve"> </w:t>
            </w:r>
            <w:r>
              <w:rPr>
                <w:color w:val="auto"/>
                <w:spacing w:val="-1"/>
                <w:highlight w:val="none"/>
              </w:rPr>
              <w:t>陶</w:t>
            </w:r>
            <w:r>
              <w:rPr>
                <w:color w:val="auto"/>
                <w:highlight w:val="none"/>
              </w:rPr>
              <w:t xml:space="preserve"> </w:t>
            </w:r>
            <w:r>
              <w:rPr>
                <w:color w:val="auto"/>
                <w:spacing w:val="-3"/>
                <w:highlight w:val="none"/>
              </w:rPr>
              <w:t>瓷制品</w:t>
            </w:r>
          </w:p>
        </w:tc>
        <w:tc>
          <w:tcPr>
            <w:tcW w:w="2432" w:type="dxa"/>
            <w:vAlign w:val="top"/>
          </w:tcPr>
          <w:p w14:paraId="331EFAC9">
            <w:pPr>
              <w:pStyle w:val="186"/>
              <w:spacing w:before="66" w:line="221" w:lineRule="auto"/>
              <w:ind w:left="103"/>
              <w:rPr>
                <w:color w:val="auto"/>
                <w:highlight w:val="none"/>
              </w:rPr>
            </w:pPr>
            <w:r>
              <w:rPr>
                <w:color w:val="auto"/>
                <w:spacing w:val="-1"/>
                <w:highlight w:val="none"/>
              </w:rPr>
              <w:t>A10030701</w:t>
            </w:r>
            <w:r>
              <w:rPr>
                <w:color w:val="auto"/>
                <w:spacing w:val="-30"/>
                <w:highlight w:val="none"/>
              </w:rPr>
              <w:t xml:space="preserve"> </w:t>
            </w:r>
            <w:r>
              <w:rPr>
                <w:color w:val="auto"/>
                <w:spacing w:val="-1"/>
                <w:highlight w:val="none"/>
              </w:rPr>
              <w:t>瓷质砖</w:t>
            </w:r>
          </w:p>
        </w:tc>
        <w:tc>
          <w:tcPr>
            <w:tcW w:w="2046" w:type="dxa"/>
            <w:vAlign w:val="top"/>
          </w:tcPr>
          <w:p w14:paraId="18A5D4E6">
            <w:pPr>
              <w:rPr>
                <w:rFonts w:ascii="Arial"/>
                <w:color w:val="auto"/>
                <w:sz w:val="21"/>
                <w:highlight w:val="none"/>
              </w:rPr>
            </w:pPr>
          </w:p>
        </w:tc>
        <w:tc>
          <w:tcPr>
            <w:tcW w:w="3225" w:type="dxa"/>
            <w:vAlign w:val="top"/>
          </w:tcPr>
          <w:p w14:paraId="600FA511">
            <w:pPr>
              <w:pStyle w:val="186"/>
              <w:spacing w:before="66" w:line="219" w:lineRule="auto"/>
              <w:ind w:left="109"/>
              <w:rPr>
                <w:color w:val="auto"/>
                <w:highlight w:val="none"/>
              </w:rPr>
            </w:pPr>
            <w:r>
              <w:rPr>
                <w:color w:val="auto"/>
                <w:spacing w:val="-2"/>
                <w:highlight w:val="none"/>
              </w:rPr>
              <w:t>HJ/T297</w:t>
            </w:r>
            <w:r>
              <w:rPr>
                <w:color w:val="auto"/>
                <w:spacing w:val="-22"/>
                <w:highlight w:val="none"/>
              </w:rPr>
              <w:t xml:space="preserve"> </w:t>
            </w:r>
            <w:r>
              <w:rPr>
                <w:color w:val="auto"/>
                <w:spacing w:val="-2"/>
                <w:highlight w:val="none"/>
              </w:rPr>
              <w:t>陶瓷砖</w:t>
            </w:r>
          </w:p>
        </w:tc>
      </w:tr>
      <w:tr w14:paraId="74C7D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530" w:type="dxa"/>
            <w:vMerge w:val="continue"/>
            <w:tcBorders>
              <w:top w:val="nil"/>
              <w:bottom w:val="nil"/>
            </w:tcBorders>
            <w:vAlign w:val="top"/>
          </w:tcPr>
          <w:p w14:paraId="186E17C7">
            <w:pPr>
              <w:rPr>
                <w:rFonts w:ascii="Arial"/>
                <w:color w:val="auto"/>
                <w:sz w:val="21"/>
                <w:highlight w:val="none"/>
              </w:rPr>
            </w:pPr>
          </w:p>
        </w:tc>
        <w:tc>
          <w:tcPr>
            <w:tcW w:w="1403" w:type="dxa"/>
            <w:vMerge w:val="continue"/>
            <w:tcBorders>
              <w:top w:val="nil"/>
              <w:bottom w:val="nil"/>
            </w:tcBorders>
            <w:vAlign w:val="top"/>
          </w:tcPr>
          <w:p w14:paraId="1E0D30AE">
            <w:pPr>
              <w:rPr>
                <w:rFonts w:ascii="Arial"/>
                <w:color w:val="auto"/>
                <w:sz w:val="21"/>
                <w:highlight w:val="none"/>
              </w:rPr>
            </w:pPr>
          </w:p>
        </w:tc>
        <w:tc>
          <w:tcPr>
            <w:tcW w:w="2432" w:type="dxa"/>
            <w:vAlign w:val="top"/>
          </w:tcPr>
          <w:p w14:paraId="4056E63E">
            <w:pPr>
              <w:pStyle w:val="186"/>
              <w:spacing w:before="66" w:line="221" w:lineRule="auto"/>
              <w:ind w:left="103"/>
              <w:rPr>
                <w:color w:val="auto"/>
                <w:highlight w:val="none"/>
              </w:rPr>
            </w:pPr>
            <w:r>
              <w:rPr>
                <w:color w:val="auto"/>
                <w:highlight w:val="none"/>
              </w:rPr>
              <w:t>A10030704 炻质砖</w:t>
            </w:r>
          </w:p>
        </w:tc>
        <w:tc>
          <w:tcPr>
            <w:tcW w:w="2046" w:type="dxa"/>
            <w:vAlign w:val="top"/>
          </w:tcPr>
          <w:p w14:paraId="7AB8B45C">
            <w:pPr>
              <w:rPr>
                <w:rFonts w:ascii="Arial"/>
                <w:color w:val="auto"/>
                <w:sz w:val="21"/>
                <w:highlight w:val="none"/>
              </w:rPr>
            </w:pPr>
          </w:p>
        </w:tc>
        <w:tc>
          <w:tcPr>
            <w:tcW w:w="3225" w:type="dxa"/>
            <w:vAlign w:val="top"/>
          </w:tcPr>
          <w:p w14:paraId="28211500">
            <w:pPr>
              <w:pStyle w:val="186"/>
              <w:spacing w:before="66" w:line="219" w:lineRule="auto"/>
              <w:ind w:left="109"/>
              <w:rPr>
                <w:color w:val="auto"/>
                <w:highlight w:val="none"/>
              </w:rPr>
            </w:pPr>
            <w:r>
              <w:rPr>
                <w:color w:val="auto"/>
                <w:spacing w:val="-2"/>
                <w:highlight w:val="none"/>
              </w:rPr>
              <w:t>HJ/T297</w:t>
            </w:r>
            <w:r>
              <w:rPr>
                <w:color w:val="auto"/>
                <w:spacing w:val="-22"/>
                <w:highlight w:val="none"/>
              </w:rPr>
              <w:t xml:space="preserve"> </w:t>
            </w:r>
            <w:r>
              <w:rPr>
                <w:color w:val="auto"/>
                <w:spacing w:val="-2"/>
                <w:highlight w:val="none"/>
              </w:rPr>
              <w:t>陶瓷砖</w:t>
            </w:r>
          </w:p>
        </w:tc>
      </w:tr>
      <w:tr w14:paraId="50B85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530" w:type="dxa"/>
            <w:vMerge w:val="continue"/>
            <w:tcBorders>
              <w:top w:val="nil"/>
              <w:bottom w:val="nil"/>
            </w:tcBorders>
            <w:vAlign w:val="top"/>
          </w:tcPr>
          <w:p w14:paraId="7ECC1864">
            <w:pPr>
              <w:rPr>
                <w:rFonts w:ascii="Arial"/>
                <w:color w:val="auto"/>
                <w:sz w:val="21"/>
                <w:highlight w:val="none"/>
              </w:rPr>
            </w:pPr>
          </w:p>
        </w:tc>
        <w:tc>
          <w:tcPr>
            <w:tcW w:w="1403" w:type="dxa"/>
            <w:vMerge w:val="continue"/>
            <w:tcBorders>
              <w:top w:val="nil"/>
              <w:bottom w:val="nil"/>
            </w:tcBorders>
            <w:vAlign w:val="top"/>
          </w:tcPr>
          <w:p w14:paraId="4BA87113">
            <w:pPr>
              <w:rPr>
                <w:rFonts w:ascii="Arial"/>
                <w:color w:val="auto"/>
                <w:sz w:val="21"/>
                <w:highlight w:val="none"/>
              </w:rPr>
            </w:pPr>
          </w:p>
        </w:tc>
        <w:tc>
          <w:tcPr>
            <w:tcW w:w="2432" w:type="dxa"/>
            <w:vAlign w:val="top"/>
          </w:tcPr>
          <w:p w14:paraId="637A25AF">
            <w:pPr>
              <w:pStyle w:val="186"/>
              <w:spacing w:before="66" w:line="221" w:lineRule="auto"/>
              <w:ind w:left="103"/>
              <w:rPr>
                <w:color w:val="auto"/>
                <w:highlight w:val="none"/>
              </w:rPr>
            </w:pPr>
            <w:r>
              <w:rPr>
                <w:color w:val="auto"/>
                <w:spacing w:val="-2"/>
                <w:highlight w:val="none"/>
              </w:rPr>
              <w:t>A10030705</w:t>
            </w:r>
            <w:r>
              <w:rPr>
                <w:color w:val="auto"/>
                <w:spacing w:val="-17"/>
                <w:highlight w:val="none"/>
              </w:rPr>
              <w:t xml:space="preserve"> </w:t>
            </w:r>
            <w:r>
              <w:rPr>
                <w:color w:val="auto"/>
                <w:spacing w:val="-2"/>
                <w:highlight w:val="none"/>
              </w:rPr>
              <w:t>陶质砖</w:t>
            </w:r>
          </w:p>
        </w:tc>
        <w:tc>
          <w:tcPr>
            <w:tcW w:w="2046" w:type="dxa"/>
            <w:vAlign w:val="top"/>
          </w:tcPr>
          <w:p w14:paraId="67611F7C">
            <w:pPr>
              <w:rPr>
                <w:rFonts w:ascii="Arial"/>
                <w:color w:val="auto"/>
                <w:sz w:val="21"/>
                <w:highlight w:val="none"/>
              </w:rPr>
            </w:pPr>
          </w:p>
        </w:tc>
        <w:tc>
          <w:tcPr>
            <w:tcW w:w="3225" w:type="dxa"/>
            <w:vAlign w:val="top"/>
          </w:tcPr>
          <w:p w14:paraId="69B09137">
            <w:pPr>
              <w:pStyle w:val="186"/>
              <w:spacing w:before="66" w:line="219" w:lineRule="auto"/>
              <w:ind w:left="109"/>
              <w:rPr>
                <w:color w:val="auto"/>
                <w:highlight w:val="none"/>
              </w:rPr>
            </w:pPr>
            <w:r>
              <w:rPr>
                <w:color w:val="auto"/>
                <w:spacing w:val="-2"/>
                <w:highlight w:val="none"/>
              </w:rPr>
              <w:t>HJ/T297</w:t>
            </w:r>
            <w:r>
              <w:rPr>
                <w:color w:val="auto"/>
                <w:spacing w:val="-22"/>
                <w:highlight w:val="none"/>
              </w:rPr>
              <w:t xml:space="preserve"> </w:t>
            </w:r>
            <w:r>
              <w:rPr>
                <w:color w:val="auto"/>
                <w:spacing w:val="-2"/>
                <w:highlight w:val="none"/>
              </w:rPr>
              <w:t>陶瓷砖</w:t>
            </w:r>
          </w:p>
        </w:tc>
      </w:tr>
      <w:tr w14:paraId="58A61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30" w:type="dxa"/>
            <w:vMerge w:val="continue"/>
            <w:tcBorders>
              <w:top w:val="nil"/>
            </w:tcBorders>
            <w:vAlign w:val="top"/>
          </w:tcPr>
          <w:p w14:paraId="2DA62C1B">
            <w:pPr>
              <w:rPr>
                <w:rFonts w:ascii="Arial"/>
                <w:color w:val="auto"/>
                <w:sz w:val="21"/>
                <w:highlight w:val="none"/>
              </w:rPr>
            </w:pPr>
          </w:p>
        </w:tc>
        <w:tc>
          <w:tcPr>
            <w:tcW w:w="1403" w:type="dxa"/>
            <w:vMerge w:val="continue"/>
            <w:tcBorders>
              <w:top w:val="nil"/>
            </w:tcBorders>
            <w:vAlign w:val="top"/>
          </w:tcPr>
          <w:p w14:paraId="4D805FE0">
            <w:pPr>
              <w:rPr>
                <w:rFonts w:ascii="Arial"/>
                <w:color w:val="auto"/>
                <w:sz w:val="21"/>
                <w:highlight w:val="none"/>
              </w:rPr>
            </w:pPr>
          </w:p>
        </w:tc>
        <w:tc>
          <w:tcPr>
            <w:tcW w:w="2432" w:type="dxa"/>
            <w:vAlign w:val="top"/>
          </w:tcPr>
          <w:p w14:paraId="54FB08E6">
            <w:pPr>
              <w:pStyle w:val="186"/>
              <w:spacing w:before="66" w:line="221" w:lineRule="auto"/>
              <w:ind w:left="103"/>
              <w:rPr>
                <w:color w:val="auto"/>
                <w:highlight w:val="none"/>
              </w:rPr>
            </w:pPr>
            <w:r>
              <w:rPr>
                <w:color w:val="auto"/>
                <w:highlight w:val="none"/>
              </w:rPr>
              <w:t>A10030799 其他建筑陶瓷制品</w:t>
            </w:r>
          </w:p>
        </w:tc>
        <w:tc>
          <w:tcPr>
            <w:tcW w:w="2046" w:type="dxa"/>
            <w:vAlign w:val="top"/>
          </w:tcPr>
          <w:p w14:paraId="6BCC7205">
            <w:pPr>
              <w:rPr>
                <w:rFonts w:ascii="Arial"/>
                <w:color w:val="auto"/>
                <w:sz w:val="21"/>
                <w:highlight w:val="none"/>
              </w:rPr>
            </w:pPr>
          </w:p>
        </w:tc>
        <w:tc>
          <w:tcPr>
            <w:tcW w:w="3225" w:type="dxa"/>
            <w:vAlign w:val="top"/>
          </w:tcPr>
          <w:p w14:paraId="142A091B">
            <w:pPr>
              <w:pStyle w:val="186"/>
              <w:spacing w:before="66" w:line="219" w:lineRule="auto"/>
              <w:ind w:left="109"/>
              <w:rPr>
                <w:color w:val="auto"/>
                <w:highlight w:val="none"/>
              </w:rPr>
            </w:pPr>
            <w:r>
              <w:rPr>
                <w:color w:val="auto"/>
                <w:spacing w:val="-2"/>
                <w:highlight w:val="none"/>
              </w:rPr>
              <w:t>HJ/T297</w:t>
            </w:r>
            <w:r>
              <w:rPr>
                <w:color w:val="auto"/>
                <w:spacing w:val="-22"/>
                <w:highlight w:val="none"/>
              </w:rPr>
              <w:t xml:space="preserve"> </w:t>
            </w:r>
            <w:r>
              <w:rPr>
                <w:color w:val="auto"/>
                <w:spacing w:val="-2"/>
                <w:highlight w:val="none"/>
              </w:rPr>
              <w:t>陶瓷砖</w:t>
            </w:r>
          </w:p>
        </w:tc>
      </w:tr>
      <w:tr w14:paraId="6211B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30" w:type="dxa"/>
            <w:vMerge w:val="restart"/>
            <w:tcBorders>
              <w:bottom w:val="nil"/>
            </w:tcBorders>
            <w:vAlign w:val="top"/>
          </w:tcPr>
          <w:p w14:paraId="1233F0F9">
            <w:pPr>
              <w:pStyle w:val="186"/>
              <w:spacing w:before="66"/>
              <w:ind w:left="118"/>
              <w:rPr>
                <w:color w:val="auto"/>
                <w:highlight w:val="none"/>
              </w:rPr>
            </w:pPr>
            <w:r>
              <w:rPr>
                <w:color w:val="auto"/>
                <w:spacing w:val="-5"/>
                <w:highlight w:val="none"/>
              </w:rPr>
              <w:t>39</w:t>
            </w:r>
          </w:p>
        </w:tc>
        <w:tc>
          <w:tcPr>
            <w:tcW w:w="1403" w:type="dxa"/>
            <w:vMerge w:val="restart"/>
            <w:tcBorders>
              <w:bottom w:val="nil"/>
            </w:tcBorders>
            <w:vAlign w:val="top"/>
          </w:tcPr>
          <w:p w14:paraId="457DEA9C">
            <w:pPr>
              <w:pStyle w:val="186"/>
              <w:spacing w:before="65" w:line="322" w:lineRule="auto"/>
              <w:ind w:left="109" w:right="108" w:hanging="7"/>
              <w:rPr>
                <w:color w:val="auto"/>
                <w:highlight w:val="none"/>
              </w:rPr>
            </w:pPr>
            <w:r>
              <w:rPr>
                <w:color w:val="auto"/>
                <w:spacing w:val="-1"/>
                <w:highlight w:val="none"/>
              </w:rPr>
              <w:t>A100309</w:t>
            </w:r>
            <w:r>
              <w:rPr>
                <w:color w:val="auto"/>
                <w:spacing w:val="34"/>
                <w:w w:val="101"/>
                <w:highlight w:val="none"/>
              </w:rPr>
              <w:t xml:space="preserve"> </w:t>
            </w:r>
            <w:r>
              <w:rPr>
                <w:color w:val="auto"/>
                <w:spacing w:val="-1"/>
                <w:highlight w:val="none"/>
              </w:rPr>
              <w:t>建筑</w:t>
            </w:r>
            <w:r>
              <w:rPr>
                <w:color w:val="auto"/>
                <w:spacing w:val="-51"/>
                <w:highlight w:val="none"/>
              </w:rPr>
              <w:t xml:space="preserve"> </w:t>
            </w:r>
            <w:r>
              <w:rPr>
                <w:color w:val="auto"/>
                <w:spacing w:val="-1"/>
                <w:highlight w:val="none"/>
              </w:rPr>
              <w:t>防</w:t>
            </w:r>
            <w:r>
              <w:rPr>
                <w:color w:val="auto"/>
                <w:highlight w:val="none"/>
              </w:rPr>
              <w:t xml:space="preserve"> </w:t>
            </w:r>
            <w:r>
              <w:rPr>
                <w:color w:val="auto"/>
                <w:spacing w:val="-2"/>
                <w:highlight w:val="none"/>
              </w:rPr>
              <w:t>水卷材及制品</w:t>
            </w:r>
          </w:p>
        </w:tc>
        <w:tc>
          <w:tcPr>
            <w:tcW w:w="2432" w:type="dxa"/>
            <w:vAlign w:val="top"/>
          </w:tcPr>
          <w:p w14:paraId="18D270EB">
            <w:pPr>
              <w:pStyle w:val="186"/>
              <w:spacing w:before="66" w:line="283" w:lineRule="auto"/>
              <w:ind w:left="110" w:right="107" w:hanging="7"/>
              <w:rPr>
                <w:color w:val="auto"/>
                <w:highlight w:val="none"/>
              </w:rPr>
            </w:pPr>
            <w:r>
              <w:rPr>
                <w:color w:val="auto"/>
                <w:spacing w:val="-1"/>
                <w:highlight w:val="none"/>
              </w:rPr>
              <w:t>A10030901</w:t>
            </w:r>
            <w:r>
              <w:rPr>
                <w:color w:val="auto"/>
                <w:spacing w:val="-47"/>
                <w:highlight w:val="none"/>
              </w:rPr>
              <w:t xml:space="preserve"> </w:t>
            </w:r>
            <w:r>
              <w:rPr>
                <w:color w:val="auto"/>
                <w:spacing w:val="-1"/>
                <w:highlight w:val="none"/>
              </w:rPr>
              <w:t>沥青和改性沥青防水</w:t>
            </w:r>
            <w:r>
              <w:rPr>
                <w:color w:val="auto"/>
                <w:highlight w:val="none"/>
              </w:rPr>
              <w:t xml:space="preserve"> </w:t>
            </w:r>
            <w:r>
              <w:rPr>
                <w:color w:val="auto"/>
                <w:spacing w:val="-3"/>
                <w:highlight w:val="none"/>
              </w:rPr>
              <w:t>卷材</w:t>
            </w:r>
          </w:p>
        </w:tc>
        <w:tc>
          <w:tcPr>
            <w:tcW w:w="2046" w:type="dxa"/>
            <w:vAlign w:val="top"/>
          </w:tcPr>
          <w:p w14:paraId="6821B0A3">
            <w:pPr>
              <w:rPr>
                <w:rFonts w:ascii="Arial"/>
                <w:color w:val="auto"/>
                <w:sz w:val="21"/>
                <w:highlight w:val="none"/>
              </w:rPr>
            </w:pPr>
          </w:p>
        </w:tc>
        <w:tc>
          <w:tcPr>
            <w:tcW w:w="3225" w:type="dxa"/>
            <w:vAlign w:val="top"/>
          </w:tcPr>
          <w:p w14:paraId="2F97D9A5">
            <w:pPr>
              <w:pStyle w:val="186"/>
              <w:spacing w:before="66" w:line="219" w:lineRule="auto"/>
              <w:ind w:left="109"/>
              <w:rPr>
                <w:color w:val="auto"/>
                <w:highlight w:val="none"/>
              </w:rPr>
            </w:pPr>
            <w:r>
              <w:rPr>
                <w:color w:val="auto"/>
                <w:spacing w:val="-2"/>
                <w:highlight w:val="none"/>
              </w:rPr>
              <w:t>HJ455</w:t>
            </w:r>
            <w:r>
              <w:rPr>
                <w:color w:val="auto"/>
                <w:spacing w:val="-25"/>
                <w:highlight w:val="none"/>
              </w:rPr>
              <w:t xml:space="preserve"> </w:t>
            </w:r>
            <w:r>
              <w:rPr>
                <w:color w:val="auto"/>
                <w:spacing w:val="-2"/>
                <w:highlight w:val="none"/>
              </w:rPr>
              <w:t>防水卷材</w:t>
            </w:r>
          </w:p>
        </w:tc>
      </w:tr>
      <w:tr w14:paraId="40A2A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530" w:type="dxa"/>
            <w:vMerge w:val="continue"/>
            <w:tcBorders>
              <w:top w:val="nil"/>
              <w:bottom w:val="nil"/>
            </w:tcBorders>
            <w:vAlign w:val="top"/>
          </w:tcPr>
          <w:p w14:paraId="49953A84">
            <w:pPr>
              <w:rPr>
                <w:rFonts w:ascii="Arial"/>
                <w:color w:val="auto"/>
                <w:sz w:val="21"/>
                <w:highlight w:val="none"/>
              </w:rPr>
            </w:pPr>
          </w:p>
        </w:tc>
        <w:tc>
          <w:tcPr>
            <w:tcW w:w="1403" w:type="dxa"/>
            <w:vMerge w:val="continue"/>
            <w:tcBorders>
              <w:top w:val="nil"/>
              <w:bottom w:val="nil"/>
            </w:tcBorders>
            <w:vAlign w:val="top"/>
          </w:tcPr>
          <w:p w14:paraId="060EAB08">
            <w:pPr>
              <w:rPr>
                <w:rFonts w:ascii="Arial"/>
                <w:color w:val="auto"/>
                <w:sz w:val="21"/>
                <w:highlight w:val="none"/>
              </w:rPr>
            </w:pPr>
          </w:p>
        </w:tc>
        <w:tc>
          <w:tcPr>
            <w:tcW w:w="2432" w:type="dxa"/>
            <w:vAlign w:val="top"/>
          </w:tcPr>
          <w:p w14:paraId="316BC1B3">
            <w:pPr>
              <w:pStyle w:val="186"/>
              <w:spacing w:before="67" w:line="219" w:lineRule="auto"/>
              <w:ind w:left="103"/>
              <w:rPr>
                <w:color w:val="auto"/>
                <w:highlight w:val="none"/>
              </w:rPr>
            </w:pPr>
            <w:r>
              <w:rPr>
                <w:color w:val="auto"/>
                <w:spacing w:val="-2"/>
                <w:highlight w:val="none"/>
              </w:rPr>
              <w:t>A10030903</w:t>
            </w:r>
            <w:r>
              <w:rPr>
                <w:color w:val="auto"/>
                <w:spacing w:val="36"/>
                <w:highlight w:val="none"/>
              </w:rPr>
              <w:t xml:space="preserve"> </w:t>
            </w:r>
            <w:r>
              <w:rPr>
                <w:color w:val="auto"/>
                <w:spacing w:val="-2"/>
                <w:highlight w:val="none"/>
              </w:rPr>
              <w:t>自粘防水卷材</w:t>
            </w:r>
          </w:p>
        </w:tc>
        <w:tc>
          <w:tcPr>
            <w:tcW w:w="2046" w:type="dxa"/>
            <w:vAlign w:val="top"/>
          </w:tcPr>
          <w:p w14:paraId="6637253F">
            <w:pPr>
              <w:rPr>
                <w:rFonts w:ascii="Arial"/>
                <w:color w:val="auto"/>
                <w:sz w:val="21"/>
                <w:highlight w:val="none"/>
              </w:rPr>
            </w:pPr>
          </w:p>
        </w:tc>
        <w:tc>
          <w:tcPr>
            <w:tcW w:w="3225" w:type="dxa"/>
            <w:vAlign w:val="top"/>
          </w:tcPr>
          <w:p w14:paraId="09C67438">
            <w:pPr>
              <w:pStyle w:val="186"/>
              <w:spacing w:before="66" w:line="219" w:lineRule="auto"/>
              <w:ind w:left="109"/>
              <w:rPr>
                <w:color w:val="auto"/>
                <w:highlight w:val="none"/>
              </w:rPr>
            </w:pPr>
            <w:r>
              <w:rPr>
                <w:color w:val="auto"/>
                <w:spacing w:val="-2"/>
                <w:highlight w:val="none"/>
              </w:rPr>
              <w:t>HJ455</w:t>
            </w:r>
            <w:r>
              <w:rPr>
                <w:color w:val="auto"/>
                <w:spacing w:val="-25"/>
                <w:highlight w:val="none"/>
              </w:rPr>
              <w:t xml:space="preserve"> </w:t>
            </w:r>
            <w:r>
              <w:rPr>
                <w:color w:val="auto"/>
                <w:spacing w:val="-2"/>
                <w:highlight w:val="none"/>
              </w:rPr>
              <w:t>防水卷材</w:t>
            </w:r>
          </w:p>
        </w:tc>
      </w:tr>
      <w:tr w14:paraId="01088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30" w:type="dxa"/>
            <w:vMerge w:val="continue"/>
            <w:tcBorders>
              <w:top w:val="nil"/>
            </w:tcBorders>
            <w:vAlign w:val="top"/>
          </w:tcPr>
          <w:p w14:paraId="421247CC">
            <w:pPr>
              <w:rPr>
                <w:rFonts w:ascii="Arial"/>
                <w:color w:val="auto"/>
                <w:sz w:val="21"/>
                <w:highlight w:val="none"/>
              </w:rPr>
            </w:pPr>
          </w:p>
        </w:tc>
        <w:tc>
          <w:tcPr>
            <w:tcW w:w="1403" w:type="dxa"/>
            <w:vMerge w:val="continue"/>
            <w:tcBorders>
              <w:top w:val="nil"/>
            </w:tcBorders>
            <w:vAlign w:val="top"/>
          </w:tcPr>
          <w:p w14:paraId="1A99339E">
            <w:pPr>
              <w:rPr>
                <w:rFonts w:ascii="Arial"/>
                <w:color w:val="auto"/>
                <w:sz w:val="21"/>
                <w:highlight w:val="none"/>
              </w:rPr>
            </w:pPr>
          </w:p>
        </w:tc>
        <w:tc>
          <w:tcPr>
            <w:tcW w:w="2432" w:type="dxa"/>
            <w:vAlign w:val="top"/>
          </w:tcPr>
          <w:p w14:paraId="5E54FF80">
            <w:pPr>
              <w:pStyle w:val="186"/>
              <w:spacing w:before="66" w:line="283" w:lineRule="auto"/>
              <w:ind w:left="108" w:right="102" w:hanging="5"/>
              <w:rPr>
                <w:color w:val="auto"/>
                <w:highlight w:val="none"/>
              </w:rPr>
            </w:pPr>
            <w:r>
              <w:rPr>
                <w:color w:val="auto"/>
                <w:spacing w:val="-2"/>
                <w:highlight w:val="none"/>
              </w:rPr>
              <w:t>A10030906</w:t>
            </w:r>
            <w:r>
              <w:rPr>
                <w:color w:val="auto"/>
                <w:spacing w:val="-24"/>
                <w:highlight w:val="none"/>
              </w:rPr>
              <w:t xml:space="preserve"> </w:t>
            </w:r>
            <w:r>
              <w:rPr>
                <w:color w:val="auto"/>
                <w:spacing w:val="-2"/>
                <w:highlight w:val="none"/>
              </w:rPr>
              <w:t>高分子防水卷（片）</w:t>
            </w:r>
            <w:r>
              <w:rPr>
                <w:color w:val="auto"/>
                <w:highlight w:val="none"/>
              </w:rPr>
              <w:t xml:space="preserve"> 材</w:t>
            </w:r>
          </w:p>
        </w:tc>
        <w:tc>
          <w:tcPr>
            <w:tcW w:w="2046" w:type="dxa"/>
            <w:vAlign w:val="top"/>
          </w:tcPr>
          <w:p w14:paraId="1064B414">
            <w:pPr>
              <w:rPr>
                <w:rFonts w:ascii="Arial"/>
                <w:color w:val="auto"/>
                <w:sz w:val="21"/>
                <w:highlight w:val="none"/>
              </w:rPr>
            </w:pPr>
          </w:p>
        </w:tc>
        <w:tc>
          <w:tcPr>
            <w:tcW w:w="3225" w:type="dxa"/>
            <w:vAlign w:val="top"/>
          </w:tcPr>
          <w:p w14:paraId="512FADB0">
            <w:pPr>
              <w:pStyle w:val="186"/>
              <w:spacing w:before="66" w:line="219" w:lineRule="auto"/>
              <w:ind w:left="109"/>
              <w:rPr>
                <w:color w:val="auto"/>
                <w:highlight w:val="none"/>
              </w:rPr>
            </w:pPr>
            <w:r>
              <w:rPr>
                <w:color w:val="auto"/>
                <w:spacing w:val="-2"/>
                <w:highlight w:val="none"/>
              </w:rPr>
              <w:t>HJ455</w:t>
            </w:r>
            <w:r>
              <w:rPr>
                <w:color w:val="auto"/>
                <w:spacing w:val="-25"/>
                <w:highlight w:val="none"/>
              </w:rPr>
              <w:t xml:space="preserve"> </w:t>
            </w:r>
            <w:r>
              <w:rPr>
                <w:color w:val="auto"/>
                <w:spacing w:val="-2"/>
                <w:highlight w:val="none"/>
              </w:rPr>
              <w:t>防水卷材</w:t>
            </w:r>
          </w:p>
        </w:tc>
      </w:tr>
      <w:tr w14:paraId="3B655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30" w:type="dxa"/>
            <w:vMerge w:val="restart"/>
            <w:tcBorders>
              <w:bottom w:val="nil"/>
            </w:tcBorders>
            <w:vAlign w:val="top"/>
          </w:tcPr>
          <w:p w14:paraId="6715B07A">
            <w:pPr>
              <w:pStyle w:val="186"/>
              <w:spacing w:before="67"/>
              <w:ind w:left="114"/>
              <w:rPr>
                <w:color w:val="auto"/>
                <w:highlight w:val="none"/>
              </w:rPr>
            </w:pPr>
            <w:r>
              <w:rPr>
                <w:color w:val="auto"/>
                <w:spacing w:val="-3"/>
                <w:highlight w:val="none"/>
              </w:rPr>
              <w:t>40</w:t>
            </w:r>
          </w:p>
        </w:tc>
        <w:tc>
          <w:tcPr>
            <w:tcW w:w="1403" w:type="dxa"/>
            <w:vMerge w:val="restart"/>
            <w:tcBorders>
              <w:bottom w:val="nil"/>
            </w:tcBorders>
            <w:vAlign w:val="top"/>
          </w:tcPr>
          <w:p w14:paraId="3F73233A">
            <w:pPr>
              <w:pStyle w:val="186"/>
              <w:spacing w:before="66" w:line="322" w:lineRule="auto"/>
              <w:ind w:left="106" w:right="106" w:hanging="4"/>
              <w:jc w:val="both"/>
              <w:rPr>
                <w:color w:val="auto"/>
                <w:highlight w:val="none"/>
              </w:rPr>
            </w:pPr>
            <w:r>
              <w:rPr>
                <w:color w:val="auto"/>
                <w:spacing w:val="-8"/>
                <w:highlight w:val="none"/>
              </w:rPr>
              <w:t>A100310</w:t>
            </w:r>
            <w:r>
              <w:rPr>
                <w:color w:val="auto"/>
                <w:spacing w:val="-25"/>
                <w:highlight w:val="none"/>
              </w:rPr>
              <w:t xml:space="preserve"> </w:t>
            </w:r>
            <w:r>
              <w:rPr>
                <w:color w:val="auto"/>
                <w:spacing w:val="-8"/>
                <w:highlight w:val="none"/>
              </w:rPr>
              <w:t>隔热、隔</w:t>
            </w:r>
            <w:r>
              <w:rPr>
                <w:color w:val="auto"/>
                <w:highlight w:val="none"/>
              </w:rPr>
              <w:t xml:space="preserve"> </w:t>
            </w:r>
            <w:r>
              <w:rPr>
                <w:color w:val="auto"/>
                <w:spacing w:val="9"/>
                <w:highlight w:val="none"/>
              </w:rPr>
              <w:t>音人造矿物材料</w:t>
            </w:r>
            <w:r>
              <w:rPr>
                <w:color w:val="auto"/>
                <w:highlight w:val="none"/>
              </w:rPr>
              <w:t xml:space="preserve"> </w:t>
            </w:r>
            <w:r>
              <w:rPr>
                <w:color w:val="auto"/>
                <w:spacing w:val="-2"/>
                <w:highlight w:val="none"/>
              </w:rPr>
              <w:t>及其制品</w:t>
            </w:r>
          </w:p>
        </w:tc>
        <w:tc>
          <w:tcPr>
            <w:tcW w:w="2432" w:type="dxa"/>
            <w:vAlign w:val="top"/>
          </w:tcPr>
          <w:p w14:paraId="0EEAD0F6">
            <w:pPr>
              <w:pStyle w:val="186"/>
              <w:spacing w:before="68" w:line="282" w:lineRule="auto"/>
              <w:ind w:left="108" w:right="107" w:hanging="5"/>
              <w:rPr>
                <w:color w:val="auto"/>
                <w:highlight w:val="none"/>
              </w:rPr>
            </w:pPr>
            <w:r>
              <w:rPr>
                <w:color w:val="auto"/>
                <w:spacing w:val="6"/>
                <w:highlight w:val="none"/>
              </w:rPr>
              <w:t>A10031001 矿物绝热和吸声材</w:t>
            </w:r>
            <w:r>
              <w:rPr>
                <w:color w:val="auto"/>
                <w:spacing w:val="7"/>
                <w:highlight w:val="none"/>
              </w:rPr>
              <w:t xml:space="preserve"> </w:t>
            </w:r>
            <w:r>
              <w:rPr>
                <w:color w:val="auto"/>
                <w:highlight w:val="none"/>
              </w:rPr>
              <w:t>料</w:t>
            </w:r>
          </w:p>
        </w:tc>
        <w:tc>
          <w:tcPr>
            <w:tcW w:w="2046" w:type="dxa"/>
            <w:vAlign w:val="top"/>
          </w:tcPr>
          <w:p w14:paraId="5D0F3146">
            <w:pPr>
              <w:rPr>
                <w:rFonts w:ascii="Arial"/>
                <w:color w:val="auto"/>
                <w:sz w:val="21"/>
                <w:highlight w:val="none"/>
              </w:rPr>
            </w:pPr>
          </w:p>
        </w:tc>
        <w:tc>
          <w:tcPr>
            <w:tcW w:w="3225" w:type="dxa"/>
            <w:vAlign w:val="top"/>
          </w:tcPr>
          <w:p w14:paraId="1A8E743E">
            <w:pPr>
              <w:pStyle w:val="186"/>
              <w:spacing w:before="67" w:line="219" w:lineRule="auto"/>
              <w:ind w:left="109"/>
              <w:rPr>
                <w:color w:val="auto"/>
                <w:highlight w:val="none"/>
              </w:rPr>
            </w:pPr>
            <w:r>
              <w:rPr>
                <w:color w:val="auto"/>
                <w:spacing w:val="-1"/>
                <w:highlight w:val="none"/>
              </w:rPr>
              <w:t>HJ/T223</w:t>
            </w:r>
            <w:r>
              <w:rPr>
                <w:color w:val="auto"/>
                <w:spacing w:val="-33"/>
                <w:highlight w:val="none"/>
              </w:rPr>
              <w:t xml:space="preserve"> </w:t>
            </w:r>
            <w:r>
              <w:rPr>
                <w:color w:val="auto"/>
                <w:spacing w:val="-1"/>
                <w:highlight w:val="none"/>
              </w:rPr>
              <w:t>轻质墙体板材</w:t>
            </w:r>
          </w:p>
        </w:tc>
      </w:tr>
      <w:tr w14:paraId="098F8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30" w:type="dxa"/>
            <w:vMerge w:val="continue"/>
            <w:tcBorders>
              <w:top w:val="nil"/>
            </w:tcBorders>
            <w:vAlign w:val="top"/>
          </w:tcPr>
          <w:p w14:paraId="625E5EA6">
            <w:pPr>
              <w:rPr>
                <w:rFonts w:ascii="Arial"/>
                <w:color w:val="auto"/>
                <w:sz w:val="21"/>
                <w:highlight w:val="none"/>
              </w:rPr>
            </w:pPr>
          </w:p>
        </w:tc>
        <w:tc>
          <w:tcPr>
            <w:tcW w:w="1403" w:type="dxa"/>
            <w:vMerge w:val="continue"/>
            <w:tcBorders>
              <w:top w:val="nil"/>
            </w:tcBorders>
            <w:vAlign w:val="top"/>
          </w:tcPr>
          <w:p w14:paraId="2ED10CA6">
            <w:pPr>
              <w:rPr>
                <w:rFonts w:ascii="Arial"/>
                <w:color w:val="auto"/>
                <w:sz w:val="21"/>
                <w:highlight w:val="none"/>
              </w:rPr>
            </w:pPr>
          </w:p>
        </w:tc>
        <w:tc>
          <w:tcPr>
            <w:tcW w:w="2432" w:type="dxa"/>
            <w:vAlign w:val="top"/>
          </w:tcPr>
          <w:p w14:paraId="03C19087">
            <w:pPr>
              <w:pStyle w:val="186"/>
              <w:spacing w:before="68" w:line="219" w:lineRule="auto"/>
              <w:ind w:left="103"/>
              <w:rPr>
                <w:color w:val="auto"/>
                <w:highlight w:val="none"/>
              </w:rPr>
            </w:pPr>
            <w:r>
              <w:rPr>
                <w:color w:val="auto"/>
                <w:spacing w:val="-1"/>
                <w:highlight w:val="none"/>
              </w:rPr>
              <w:t>A10031002</w:t>
            </w:r>
            <w:r>
              <w:rPr>
                <w:color w:val="auto"/>
                <w:spacing w:val="-30"/>
                <w:highlight w:val="none"/>
              </w:rPr>
              <w:t xml:space="preserve"> </w:t>
            </w:r>
            <w:r>
              <w:rPr>
                <w:color w:val="auto"/>
                <w:spacing w:val="-1"/>
                <w:highlight w:val="none"/>
              </w:rPr>
              <w:t>矿物材料制品</w:t>
            </w:r>
          </w:p>
        </w:tc>
        <w:tc>
          <w:tcPr>
            <w:tcW w:w="2046" w:type="dxa"/>
            <w:vAlign w:val="top"/>
          </w:tcPr>
          <w:p w14:paraId="2F93EF98">
            <w:pPr>
              <w:rPr>
                <w:rFonts w:ascii="Arial"/>
                <w:color w:val="auto"/>
                <w:sz w:val="21"/>
                <w:highlight w:val="none"/>
              </w:rPr>
            </w:pPr>
          </w:p>
        </w:tc>
        <w:tc>
          <w:tcPr>
            <w:tcW w:w="3225" w:type="dxa"/>
            <w:vAlign w:val="top"/>
          </w:tcPr>
          <w:p w14:paraId="2CC2016A">
            <w:pPr>
              <w:pStyle w:val="186"/>
              <w:spacing w:before="67" w:line="219" w:lineRule="auto"/>
              <w:ind w:left="109"/>
              <w:rPr>
                <w:color w:val="auto"/>
                <w:highlight w:val="none"/>
              </w:rPr>
            </w:pPr>
            <w:r>
              <w:rPr>
                <w:color w:val="auto"/>
                <w:spacing w:val="-1"/>
                <w:highlight w:val="none"/>
              </w:rPr>
              <w:t>HJ/T223</w:t>
            </w:r>
            <w:r>
              <w:rPr>
                <w:color w:val="auto"/>
                <w:spacing w:val="-33"/>
                <w:highlight w:val="none"/>
              </w:rPr>
              <w:t xml:space="preserve"> </w:t>
            </w:r>
            <w:r>
              <w:rPr>
                <w:color w:val="auto"/>
                <w:spacing w:val="-1"/>
                <w:highlight w:val="none"/>
              </w:rPr>
              <w:t>轻质墙体板材</w:t>
            </w:r>
          </w:p>
        </w:tc>
      </w:tr>
      <w:tr w14:paraId="5F1E8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30" w:type="dxa"/>
            <w:vAlign w:val="top"/>
          </w:tcPr>
          <w:p w14:paraId="1203D7DC">
            <w:pPr>
              <w:pStyle w:val="186"/>
              <w:spacing w:before="67" w:line="242" w:lineRule="auto"/>
              <w:ind w:left="114"/>
              <w:rPr>
                <w:color w:val="auto"/>
                <w:highlight w:val="none"/>
              </w:rPr>
            </w:pPr>
            <w:r>
              <w:rPr>
                <w:color w:val="auto"/>
                <w:spacing w:val="-3"/>
                <w:highlight w:val="none"/>
              </w:rPr>
              <w:t>41</w:t>
            </w:r>
          </w:p>
        </w:tc>
        <w:tc>
          <w:tcPr>
            <w:tcW w:w="1403" w:type="dxa"/>
            <w:vAlign w:val="top"/>
          </w:tcPr>
          <w:p w14:paraId="08025CE4">
            <w:pPr>
              <w:pStyle w:val="186"/>
              <w:spacing w:before="68" w:line="282" w:lineRule="auto"/>
              <w:ind w:left="109" w:right="108" w:hanging="7"/>
              <w:rPr>
                <w:color w:val="auto"/>
                <w:highlight w:val="none"/>
              </w:rPr>
            </w:pPr>
            <w:r>
              <w:rPr>
                <w:color w:val="auto"/>
                <w:spacing w:val="3"/>
                <w:highlight w:val="none"/>
              </w:rPr>
              <w:t>A100601</w:t>
            </w:r>
            <w:r>
              <w:rPr>
                <w:color w:val="auto"/>
                <w:spacing w:val="34"/>
                <w:highlight w:val="none"/>
              </w:rPr>
              <w:t xml:space="preserve"> </w:t>
            </w:r>
            <w:r>
              <w:rPr>
                <w:color w:val="auto"/>
                <w:spacing w:val="3"/>
                <w:highlight w:val="none"/>
              </w:rPr>
              <w:t>功能性</w:t>
            </w:r>
            <w:r>
              <w:rPr>
                <w:color w:val="auto"/>
                <w:highlight w:val="none"/>
              </w:rPr>
              <w:t xml:space="preserve"> </w:t>
            </w:r>
            <w:r>
              <w:rPr>
                <w:color w:val="auto"/>
                <w:spacing w:val="-2"/>
                <w:highlight w:val="none"/>
              </w:rPr>
              <w:t>建筑涂料</w:t>
            </w:r>
          </w:p>
        </w:tc>
        <w:tc>
          <w:tcPr>
            <w:tcW w:w="2432" w:type="dxa"/>
            <w:vAlign w:val="top"/>
          </w:tcPr>
          <w:p w14:paraId="50C4EF4B">
            <w:pPr>
              <w:rPr>
                <w:rFonts w:ascii="Arial"/>
                <w:color w:val="auto"/>
                <w:sz w:val="21"/>
                <w:highlight w:val="none"/>
              </w:rPr>
            </w:pPr>
          </w:p>
        </w:tc>
        <w:tc>
          <w:tcPr>
            <w:tcW w:w="2046" w:type="dxa"/>
            <w:vAlign w:val="top"/>
          </w:tcPr>
          <w:p w14:paraId="7423307A">
            <w:pPr>
              <w:rPr>
                <w:rFonts w:ascii="Arial"/>
                <w:color w:val="auto"/>
                <w:sz w:val="21"/>
                <w:highlight w:val="none"/>
              </w:rPr>
            </w:pPr>
          </w:p>
        </w:tc>
        <w:tc>
          <w:tcPr>
            <w:tcW w:w="3225" w:type="dxa"/>
            <w:vAlign w:val="top"/>
          </w:tcPr>
          <w:p w14:paraId="54156DF6">
            <w:pPr>
              <w:pStyle w:val="186"/>
              <w:spacing w:before="67" w:line="219" w:lineRule="auto"/>
              <w:ind w:left="109"/>
              <w:rPr>
                <w:color w:val="auto"/>
                <w:highlight w:val="none"/>
              </w:rPr>
            </w:pPr>
            <w:r>
              <w:rPr>
                <w:color w:val="auto"/>
                <w:spacing w:val="-1"/>
                <w:highlight w:val="none"/>
              </w:rPr>
              <w:t>HJ2537</w:t>
            </w:r>
            <w:r>
              <w:rPr>
                <w:color w:val="auto"/>
                <w:spacing w:val="-34"/>
                <w:highlight w:val="none"/>
              </w:rPr>
              <w:t xml:space="preserve"> </w:t>
            </w:r>
            <w:r>
              <w:rPr>
                <w:color w:val="auto"/>
                <w:spacing w:val="-1"/>
                <w:highlight w:val="none"/>
              </w:rPr>
              <w:t>水性涂料</w:t>
            </w:r>
          </w:p>
        </w:tc>
      </w:tr>
      <w:tr w14:paraId="516FF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30" w:type="dxa"/>
            <w:vAlign w:val="top"/>
          </w:tcPr>
          <w:p w14:paraId="29BA93BE">
            <w:pPr>
              <w:pStyle w:val="186"/>
              <w:spacing w:before="68" w:line="242" w:lineRule="auto"/>
              <w:ind w:left="114"/>
              <w:rPr>
                <w:color w:val="auto"/>
                <w:highlight w:val="none"/>
              </w:rPr>
            </w:pPr>
            <w:r>
              <w:rPr>
                <w:color w:val="auto"/>
                <w:spacing w:val="-3"/>
                <w:highlight w:val="none"/>
              </w:rPr>
              <w:t>42</w:t>
            </w:r>
          </w:p>
        </w:tc>
        <w:tc>
          <w:tcPr>
            <w:tcW w:w="1403" w:type="dxa"/>
            <w:vAlign w:val="top"/>
          </w:tcPr>
          <w:p w14:paraId="17390FFF">
            <w:pPr>
              <w:pStyle w:val="186"/>
              <w:spacing w:before="69" w:line="284" w:lineRule="auto"/>
              <w:ind w:left="109" w:right="106" w:firstLine="84"/>
              <w:rPr>
                <w:color w:val="auto"/>
                <w:highlight w:val="none"/>
              </w:rPr>
            </w:pPr>
            <w:r>
              <w:rPr>
                <w:color w:val="auto"/>
                <w:spacing w:val="-1"/>
                <w:highlight w:val="none"/>
              </w:rPr>
              <w:t>A100399</w:t>
            </w:r>
            <w:r>
              <w:rPr>
                <w:color w:val="auto"/>
                <w:spacing w:val="-15"/>
                <w:highlight w:val="none"/>
              </w:rPr>
              <w:t xml:space="preserve"> </w:t>
            </w:r>
            <w:r>
              <w:rPr>
                <w:color w:val="auto"/>
                <w:spacing w:val="-1"/>
                <w:highlight w:val="none"/>
              </w:rPr>
              <w:t>其他非</w:t>
            </w:r>
            <w:r>
              <w:rPr>
                <w:color w:val="auto"/>
                <w:highlight w:val="none"/>
              </w:rPr>
              <w:t xml:space="preserve"> </w:t>
            </w:r>
            <w:r>
              <w:rPr>
                <w:color w:val="auto"/>
                <w:spacing w:val="-2"/>
                <w:highlight w:val="none"/>
              </w:rPr>
              <w:t>金属矿物制品</w:t>
            </w:r>
          </w:p>
        </w:tc>
        <w:tc>
          <w:tcPr>
            <w:tcW w:w="2432" w:type="dxa"/>
            <w:vAlign w:val="top"/>
          </w:tcPr>
          <w:p w14:paraId="0DFD268F">
            <w:pPr>
              <w:pStyle w:val="186"/>
              <w:spacing w:before="68" w:line="219" w:lineRule="auto"/>
              <w:ind w:left="103"/>
              <w:rPr>
                <w:color w:val="auto"/>
                <w:highlight w:val="none"/>
              </w:rPr>
            </w:pPr>
            <w:r>
              <w:rPr>
                <w:color w:val="auto"/>
                <w:spacing w:val="-1"/>
                <w:highlight w:val="none"/>
              </w:rPr>
              <w:t>A10039901</w:t>
            </w:r>
            <w:r>
              <w:rPr>
                <w:color w:val="auto"/>
                <w:spacing w:val="-45"/>
                <w:highlight w:val="none"/>
              </w:rPr>
              <w:t xml:space="preserve"> </w:t>
            </w:r>
            <w:r>
              <w:rPr>
                <w:color w:val="auto"/>
                <w:spacing w:val="-1"/>
                <w:highlight w:val="none"/>
              </w:rPr>
              <w:t>其他非金属建筑材料</w:t>
            </w:r>
          </w:p>
        </w:tc>
        <w:tc>
          <w:tcPr>
            <w:tcW w:w="2046" w:type="dxa"/>
            <w:vAlign w:val="top"/>
          </w:tcPr>
          <w:p w14:paraId="6D3B40D6">
            <w:pPr>
              <w:rPr>
                <w:rFonts w:ascii="Arial"/>
                <w:color w:val="auto"/>
                <w:sz w:val="21"/>
                <w:highlight w:val="none"/>
              </w:rPr>
            </w:pPr>
          </w:p>
        </w:tc>
        <w:tc>
          <w:tcPr>
            <w:tcW w:w="3225" w:type="dxa"/>
            <w:vAlign w:val="top"/>
          </w:tcPr>
          <w:p w14:paraId="6DD8CE39">
            <w:pPr>
              <w:pStyle w:val="186"/>
              <w:spacing w:before="68" w:line="219" w:lineRule="auto"/>
              <w:ind w:left="109"/>
              <w:rPr>
                <w:color w:val="auto"/>
                <w:highlight w:val="none"/>
              </w:rPr>
            </w:pPr>
            <w:r>
              <w:rPr>
                <w:color w:val="auto"/>
                <w:spacing w:val="-2"/>
                <w:highlight w:val="none"/>
              </w:rPr>
              <w:t>HJ456</w:t>
            </w:r>
            <w:r>
              <w:rPr>
                <w:color w:val="auto"/>
                <w:spacing w:val="-23"/>
                <w:highlight w:val="none"/>
              </w:rPr>
              <w:t xml:space="preserve"> </w:t>
            </w:r>
            <w:r>
              <w:rPr>
                <w:color w:val="auto"/>
                <w:spacing w:val="-2"/>
                <w:highlight w:val="none"/>
              </w:rPr>
              <w:t>刚性防水材料</w:t>
            </w:r>
          </w:p>
        </w:tc>
      </w:tr>
    </w:tbl>
    <w:p w14:paraId="7A6F7011">
      <w:pPr>
        <w:rPr>
          <w:rFonts w:ascii="Arial" w:hAnsi="Arial" w:eastAsia="Arial" w:cs="Arial"/>
          <w:color w:val="auto"/>
          <w:sz w:val="21"/>
          <w:szCs w:val="21"/>
          <w:highlight w:val="none"/>
        </w:rPr>
        <w:sectPr>
          <w:pgSz w:w="11906" w:h="16838"/>
          <w:pgMar w:top="1431" w:right="644" w:bottom="0" w:left="667" w:header="0" w:footer="0" w:gutter="0"/>
          <w:cols w:space="720" w:num="1"/>
        </w:sectPr>
      </w:pPr>
    </w:p>
    <w:tbl>
      <w:tblPr>
        <w:tblStyle w:val="183"/>
        <w:tblW w:w="89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1310"/>
        <w:gridCol w:w="2271"/>
        <w:gridCol w:w="1910"/>
        <w:gridCol w:w="3011"/>
      </w:tblGrid>
      <w:tr w14:paraId="5CD77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95" w:type="dxa"/>
            <w:vMerge w:val="restart"/>
            <w:tcBorders>
              <w:bottom w:val="nil"/>
            </w:tcBorders>
            <w:vAlign w:val="top"/>
          </w:tcPr>
          <w:p w14:paraId="6DB56CD3">
            <w:pPr>
              <w:pStyle w:val="186"/>
              <w:spacing w:before="68"/>
              <w:ind w:left="114"/>
              <w:rPr>
                <w:color w:val="auto"/>
                <w:highlight w:val="none"/>
              </w:rPr>
            </w:pPr>
            <w:r>
              <w:rPr>
                <w:color w:val="auto"/>
                <w:spacing w:val="-3"/>
                <w:highlight w:val="none"/>
              </w:rPr>
              <w:t>43</w:t>
            </w:r>
          </w:p>
        </w:tc>
        <w:tc>
          <w:tcPr>
            <w:tcW w:w="1310" w:type="dxa"/>
            <w:vMerge w:val="restart"/>
            <w:tcBorders>
              <w:bottom w:val="nil"/>
            </w:tcBorders>
            <w:vAlign w:val="top"/>
          </w:tcPr>
          <w:p w14:paraId="34ECE949">
            <w:pPr>
              <w:pStyle w:val="186"/>
              <w:spacing w:before="67" w:line="323" w:lineRule="auto"/>
              <w:ind w:left="107" w:right="108" w:hanging="5"/>
              <w:rPr>
                <w:color w:val="auto"/>
                <w:highlight w:val="none"/>
              </w:rPr>
            </w:pPr>
            <w:r>
              <w:rPr>
                <w:color w:val="auto"/>
                <w:spacing w:val="3"/>
                <w:highlight w:val="none"/>
              </w:rPr>
              <w:t>A100602</w:t>
            </w:r>
            <w:r>
              <w:rPr>
                <w:color w:val="auto"/>
                <w:spacing w:val="34"/>
                <w:highlight w:val="none"/>
              </w:rPr>
              <w:t xml:space="preserve"> </w:t>
            </w:r>
            <w:r>
              <w:rPr>
                <w:color w:val="auto"/>
                <w:spacing w:val="3"/>
                <w:highlight w:val="none"/>
              </w:rPr>
              <w:t>墙面涂</w:t>
            </w:r>
            <w:r>
              <w:rPr>
                <w:color w:val="auto"/>
                <w:highlight w:val="none"/>
              </w:rPr>
              <w:t xml:space="preserve"> 料</w:t>
            </w:r>
          </w:p>
        </w:tc>
        <w:tc>
          <w:tcPr>
            <w:tcW w:w="2271" w:type="dxa"/>
            <w:vAlign w:val="top"/>
          </w:tcPr>
          <w:p w14:paraId="35AE0CD9">
            <w:pPr>
              <w:pStyle w:val="186"/>
              <w:spacing w:before="69" w:line="284" w:lineRule="auto"/>
              <w:ind w:left="108" w:right="107" w:hanging="5"/>
              <w:rPr>
                <w:color w:val="auto"/>
                <w:highlight w:val="none"/>
              </w:rPr>
            </w:pPr>
            <w:r>
              <w:rPr>
                <w:color w:val="auto"/>
                <w:spacing w:val="-1"/>
                <w:highlight w:val="none"/>
              </w:rPr>
              <w:t>A10060202</w:t>
            </w:r>
            <w:r>
              <w:rPr>
                <w:color w:val="auto"/>
                <w:spacing w:val="-47"/>
                <w:highlight w:val="none"/>
              </w:rPr>
              <w:t xml:space="preserve"> </w:t>
            </w:r>
            <w:r>
              <w:rPr>
                <w:color w:val="auto"/>
                <w:spacing w:val="-1"/>
                <w:highlight w:val="none"/>
              </w:rPr>
              <w:t>合成树脂乳液内墙涂</w:t>
            </w:r>
            <w:r>
              <w:rPr>
                <w:color w:val="auto"/>
                <w:highlight w:val="none"/>
              </w:rPr>
              <w:t xml:space="preserve"> 料</w:t>
            </w:r>
          </w:p>
        </w:tc>
        <w:tc>
          <w:tcPr>
            <w:tcW w:w="1910" w:type="dxa"/>
            <w:vAlign w:val="top"/>
          </w:tcPr>
          <w:p w14:paraId="6ADB31D3">
            <w:pPr>
              <w:rPr>
                <w:rFonts w:ascii="Arial"/>
                <w:color w:val="auto"/>
                <w:sz w:val="21"/>
                <w:highlight w:val="none"/>
              </w:rPr>
            </w:pPr>
          </w:p>
        </w:tc>
        <w:tc>
          <w:tcPr>
            <w:tcW w:w="3011" w:type="dxa"/>
            <w:vAlign w:val="top"/>
          </w:tcPr>
          <w:p w14:paraId="65E6414D">
            <w:pPr>
              <w:pStyle w:val="186"/>
              <w:spacing w:before="67" w:line="219" w:lineRule="auto"/>
              <w:ind w:left="109"/>
              <w:rPr>
                <w:color w:val="auto"/>
                <w:highlight w:val="none"/>
              </w:rPr>
            </w:pPr>
            <w:r>
              <w:rPr>
                <w:color w:val="auto"/>
                <w:spacing w:val="-1"/>
                <w:highlight w:val="none"/>
              </w:rPr>
              <w:t>HJ2537</w:t>
            </w:r>
            <w:r>
              <w:rPr>
                <w:color w:val="auto"/>
                <w:spacing w:val="-34"/>
                <w:highlight w:val="none"/>
              </w:rPr>
              <w:t xml:space="preserve"> </w:t>
            </w:r>
            <w:r>
              <w:rPr>
                <w:color w:val="auto"/>
                <w:spacing w:val="-1"/>
                <w:highlight w:val="none"/>
              </w:rPr>
              <w:t>水性涂料</w:t>
            </w:r>
          </w:p>
        </w:tc>
      </w:tr>
      <w:tr w14:paraId="445DF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495" w:type="dxa"/>
            <w:vMerge w:val="continue"/>
            <w:tcBorders>
              <w:top w:val="nil"/>
              <w:bottom w:val="nil"/>
            </w:tcBorders>
            <w:vAlign w:val="top"/>
          </w:tcPr>
          <w:p w14:paraId="14EA3E96">
            <w:pPr>
              <w:rPr>
                <w:rFonts w:ascii="Arial"/>
                <w:color w:val="auto"/>
                <w:sz w:val="21"/>
                <w:highlight w:val="none"/>
              </w:rPr>
            </w:pPr>
          </w:p>
        </w:tc>
        <w:tc>
          <w:tcPr>
            <w:tcW w:w="1310" w:type="dxa"/>
            <w:vMerge w:val="continue"/>
            <w:tcBorders>
              <w:top w:val="nil"/>
              <w:bottom w:val="nil"/>
            </w:tcBorders>
            <w:vAlign w:val="top"/>
          </w:tcPr>
          <w:p w14:paraId="53739B5F">
            <w:pPr>
              <w:rPr>
                <w:rFonts w:ascii="Arial"/>
                <w:color w:val="auto"/>
                <w:sz w:val="21"/>
                <w:highlight w:val="none"/>
              </w:rPr>
            </w:pPr>
          </w:p>
        </w:tc>
        <w:tc>
          <w:tcPr>
            <w:tcW w:w="2271" w:type="dxa"/>
            <w:vAlign w:val="top"/>
          </w:tcPr>
          <w:p w14:paraId="4DEF65F8">
            <w:pPr>
              <w:pStyle w:val="186"/>
              <w:spacing w:before="64" w:line="284" w:lineRule="auto"/>
              <w:ind w:left="108" w:right="107" w:hanging="5"/>
              <w:rPr>
                <w:color w:val="auto"/>
                <w:highlight w:val="none"/>
              </w:rPr>
            </w:pPr>
            <w:r>
              <w:rPr>
                <w:color w:val="auto"/>
                <w:spacing w:val="-1"/>
                <w:highlight w:val="none"/>
              </w:rPr>
              <w:t>A10060203</w:t>
            </w:r>
            <w:r>
              <w:rPr>
                <w:color w:val="auto"/>
                <w:spacing w:val="-47"/>
                <w:highlight w:val="none"/>
              </w:rPr>
              <w:t xml:space="preserve"> </w:t>
            </w:r>
            <w:r>
              <w:rPr>
                <w:color w:val="auto"/>
                <w:spacing w:val="-1"/>
                <w:highlight w:val="none"/>
              </w:rPr>
              <w:t>合成树脂乳液外墙涂</w:t>
            </w:r>
            <w:r>
              <w:rPr>
                <w:color w:val="auto"/>
                <w:highlight w:val="none"/>
              </w:rPr>
              <w:t xml:space="preserve"> 料</w:t>
            </w:r>
          </w:p>
        </w:tc>
        <w:tc>
          <w:tcPr>
            <w:tcW w:w="1910" w:type="dxa"/>
            <w:vAlign w:val="top"/>
          </w:tcPr>
          <w:p w14:paraId="477FAFA0">
            <w:pPr>
              <w:rPr>
                <w:rFonts w:ascii="Arial"/>
                <w:color w:val="auto"/>
                <w:sz w:val="21"/>
                <w:highlight w:val="none"/>
              </w:rPr>
            </w:pPr>
          </w:p>
        </w:tc>
        <w:tc>
          <w:tcPr>
            <w:tcW w:w="3011" w:type="dxa"/>
            <w:vAlign w:val="top"/>
          </w:tcPr>
          <w:p w14:paraId="106D4D3B">
            <w:pPr>
              <w:pStyle w:val="186"/>
              <w:spacing w:before="63" w:line="219" w:lineRule="auto"/>
              <w:ind w:left="109"/>
              <w:rPr>
                <w:color w:val="auto"/>
                <w:highlight w:val="none"/>
              </w:rPr>
            </w:pPr>
            <w:r>
              <w:rPr>
                <w:color w:val="auto"/>
                <w:spacing w:val="-1"/>
                <w:highlight w:val="none"/>
              </w:rPr>
              <w:t>HJ2537</w:t>
            </w:r>
            <w:r>
              <w:rPr>
                <w:color w:val="auto"/>
                <w:spacing w:val="-34"/>
                <w:highlight w:val="none"/>
              </w:rPr>
              <w:t xml:space="preserve"> </w:t>
            </w:r>
            <w:r>
              <w:rPr>
                <w:color w:val="auto"/>
                <w:spacing w:val="-1"/>
                <w:highlight w:val="none"/>
              </w:rPr>
              <w:t>水性涂料</w:t>
            </w:r>
          </w:p>
        </w:tc>
      </w:tr>
      <w:tr w14:paraId="0B15C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95" w:type="dxa"/>
            <w:vMerge w:val="continue"/>
            <w:tcBorders>
              <w:top w:val="nil"/>
            </w:tcBorders>
            <w:vAlign w:val="top"/>
          </w:tcPr>
          <w:p w14:paraId="65AEB9BC">
            <w:pPr>
              <w:rPr>
                <w:rFonts w:ascii="Arial"/>
                <w:color w:val="auto"/>
                <w:sz w:val="21"/>
                <w:highlight w:val="none"/>
              </w:rPr>
            </w:pPr>
          </w:p>
        </w:tc>
        <w:tc>
          <w:tcPr>
            <w:tcW w:w="1310" w:type="dxa"/>
            <w:vMerge w:val="continue"/>
            <w:tcBorders>
              <w:top w:val="nil"/>
            </w:tcBorders>
            <w:vAlign w:val="top"/>
          </w:tcPr>
          <w:p w14:paraId="1D2E722A">
            <w:pPr>
              <w:rPr>
                <w:rFonts w:ascii="Arial"/>
                <w:color w:val="auto"/>
                <w:sz w:val="21"/>
                <w:highlight w:val="none"/>
              </w:rPr>
            </w:pPr>
          </w:p>
        </w:tc>
        <w:tc>
          <w:tcPr>
            <w:tcW w:w="2271" w:type="dxa"/>
            <w:vAlign w:val="top"/>
          </w:tcPr>
          <w:p w14:paraId="0E0FBCA6">
            <w:pPr>
              <w:pStyle w:val="186"/>
              <w:spacing w:before="64" w:line="221" w:lineRule="auto"/>
              <w:ind w:left="103"/>
              <w:rPr>
                <w:color w:val="auto"/>
                <w:highlight w:val="none"/>
              </w:rPr>
            </w:pPr>
            <w:r>
              <w:rPr>
                <w:color w:val="auto"/>
                <w:spacing w:val="-1"/>
                <w:highlight w:val="none"/>
              </w:rPr>
              <w:t>A10060299</w:t>
            </w:r>
            <w:r>
              <w:rPr>
                <w:color w:val="auto"/>
                <w:spacing w:val="-30"/>
                <w:highlight w:val="none"/>
              </w:rPr>
              <w:t xml:space="preserve"> </w:t>
            </w:r>
            <w:r>
              <w:rPr>
                <w:color w:val="auto"/>
                <w:spacing w:val="-1"/>
                <w:highlight w:val="none"/>
              </w:rPr>
              <w:t>其他墙面涂料</w:t>
            </w:r>
          </w:p>
        </w:tc>
        <w:tc>
          <w:tcPr>
            <w:tcW w:w="1910" w:type="dxa"/>
            <w:vAlign w:val="top"/>
          </w:tcPr>
          <w:p w14:paraId="2E32EF70">
            <w:pPr>
              <w:rPr>
                <w:rFonts w:ascii="Arial"/>
                <w:color w:val="auto"/>
                <w:sz w:val="21"/>
                <w:highlight w:val="none"/>
              </w:rPr>
            </w:pPr>
          </w:p>
        </w:tc>
        <w:tc>
          <w:tcPr>
            <w:tcW w:w="3011" w:type="dxa"/>
            <w:vAlign w:val="top"/>
          </w:tcPr>
          <w:p w14:paraId="05E9E28F">
            <w:pPr>
              <w:pStyle w:val="186"/>
              <w:spacing w:before="64" w:line="219" w:lineRule="auto"/>
              <w:ind w:left="109"/>
              <w:rPr>
                <w:color w:val="auto"/>
                <w:highlight w:val="none"/>
              </w:rPr>
            </w:pPr>
            <w:r>
              <w:rPr>
                <w:color w:val="auto"/>
                <w:spacing w:val="-1"/>
                <w:highlight w:val="none"/>
              </w:rPr>
              <w:t>HJ2537</w:t>
            </w:r>
            <w:r>
              <w:rPr>
                <w:color w:val="auto"/>
                <w:spacing w:val="-34"/>
                <w:highlight w:val="none"/>
              </w:rPr>
              <w:t xml:space="preserve"> </w:t>
            </w:r>
            <w:r>
              <w:rPr>
                <w:color w:val="auto"/>
                <w:spacing w:val="-1"/>
                <w:highlight w:val="none"/>
              </w:rPr>
              <w:t>水性涂料</w:t>
            </w:r>
          </w:p>
        </w:tc>
      </w:tr>
      <w:tr w14:paraId="71E9D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495" w:type="dxa"/>
            <w:vAlign w:val="top"/>
          </w:tcPr>
          <w:p w14:paraId="347389F5">
            <w:pPr>
              <w:pStyle w:val="186"/>
              <w:spacing w:before="65" w:line="242" w:lineRule="auto"/>
              <w:ind w:left="114"/>
              <w:rPr>
                <w:color w:val="auto"/>
                <w:highlight w:val="none"/>
              </w:rPr>
            </w:pPr>
            <w:r>
              <w:rPr>
                <w:color w:val="auto"/>
                <w:spacing w:val="-3"/>
                <w:highlight w:val="none"/>
              </w:rPr>
              <w:t>44</w:t>
            </w:r>
          </w:p>
        </w:tc>
        <w:tc>
          <w:tcPr>
            <w:tcW w:w="1310" w:type="dxa"/>
            <w:vAlign w:val="top"/>
          </w:tcPr>
          <w:p w14:paraId="72D4C9D4">
            <w:pPr>
              <w:pStyle w:val="186"/>
              <w:spacing w:before="66" w:line="283" w:lineRule="auto"/>
              <w:ind w:left="107" w:right="108" w:hanging="5"/>
              <w:rPr>
                <w:color w:val="auto"/>
                <w:highlight w:val="none"/>
              </w:rPr>
            </w:pPr>
            <w:r>
              <w:rPr>
                <w:color w:val="auto"/>
                <w:spacing w:val="2"/>
                <w:highlight w:val="none"/>
              </w:rPr>
              <w:t>A100604</w:t>
            </w:r>
            <w:r>
              <w:rPr>
                <w:color w:val="auto"/>
                <w:spacing w:val="44"/>
                <w:highlight w:val="none"/>
              </w:rPr>
              <w:t xml:space="preserve"> </w:t>
            </w:r>
            <w:r>
              <w:rPr>
                <w:color w:val="auto"/>
                <w:spacing w:val="2"/>
                <w:highlight w:val="none"/>
              </w:rPr>
              <w:t>防水涂</w:t>
            </w:r>
            <w:r>
              <w:rPr>
                <w:color w:val="auto"/>
                <w:highlight w:val="none"/>
              </w:rPr>
              <w:t xml:space="preserve"> 料</w:t>
            </w:r>
          </w:p>
        </w:tc>
        <w:tc>
          <w:tcPr>
            <w:tcW w:w="2271" w:type="dxa"/>
            <w:vAlign w:val="top"/>
          </w:tcPr>
          <w:p w14:paraId="0374A857">
            <w:pPr>
              <w:pStyle w:val="186"/>
              <w:spacing w:before="65" w:line="220" w:lineRule="auto"/>
              <w:ind w:left="103"/>
              <w:rPr>
                <w:color w:val="auto"/>
                <w:highlight w:val="none"/>
              </w:rPr>
            </w:pPr>
            <w:r>
              <w:rPr>
                <w:color w:val="auto"/>
                <w:spacing w:val="-1"/>
                <w:highlight w:val="none"/>
              </w:rPr>
              <w:t>A10060499</w:t>
            </w:r>
            <w:r>
              <w:rPr>
                <w:color w:val="auto"/>
                <w:spacing w:val="-30"/>
                <w:highlight w:val="none"/>
              </w:rPr>
              <w:t xml:space="preserve"> </w:t>
            </w:r>
            <w:r>
              <w:rPr>
                <w:color w:val="auto"/>
                <w:spacing w:val="-1"/>
                <w:highlight w:val="none"/>
              </w:rPr>
              <w:t>其他防水涂料</w:t>
            </w:r>
          </w:p>
        </w:tc>
        <w:tc>
          <w:tcPr>
            <w:tcW w:w="1910" w:type="dxa"/>
            <w:vAlign w:val="top"/>
          </w:tcPr>
          <w:p w14:paraId="6C5DA93E">
            <w:pPr>
              <w:rPr>
                <w:rFonts w:ascii="Arial"/>
                <w:color w:val="auto"/>
                <w:sz w:val="21"/>
                <w:highlight w:val="none"/>
              </w:rPr>
            </w:pPr>
          </w:p>
        </w:tc>
        <w:tc>
          <w:tcPr>
            <w:tcW w:w="3011" w:type="dxa"/>
            <w:vAlign w:val="top"/>
          </w:tcPr>
          <w:p w14:paraId="5E1E845D">
            <w:pPr>
              <w:pStyle w:val="186"/>
              <w:spacing w:before="65" w:line="219" w:lineRule="auto"/>
              <w:ind w:left="109"/>
              <w:rPr>
                <w:color w:val="auto"/>
                <w:highlight w:val="none"/>
              </w:rPr>
            </w:pPr>
            <w:r>
              <w:rPr>
                <w:color w:val="auto"/>
                <w:spacing w:val="-1"/>
                <w:highlight w:val="none"/>
              </w:rPr>
              <w:t>HJ2537</w:t>
            </w:r>
            <w:r>
              <w:rPr>
                <w:color w:val="auto"/>
                <w:spacing w:val="-34"/>
                <w:highlight w:val="none"/>
              </w:rPr>
              <w:t xml:space="preserve"> </w:t>
            </w:r>
            <w:r>
              <w:rPr>
                <w:color w:val="auto"/>
                <w:spacing w:val="-1"/>
                <w:highlight w:val="none"/>
              </w:rPr>
              <w:t>水性涂料</w:t>
            </w:r>
          </w:p>
        </w:tc>
      </w:tr>
      <w:tr w14:paraId="00417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495" w:type="dxa"/>
            <w:vAlign w:val="top"/>
          </w:tcPr>
          <w:p w14:paraId="1C22EDF5">
            <w:pPr>
              <w:pStyle w:val="186"/>
              <w:spacing w:before="66"/>
              <w:ind w:left="114"/>
              <w:rPr>
                <w:color w:val="auto"/>
                <w:highlight w:val="none"/>
              </w:rPr>
            </w:pPr>
            <w:r>
              <w:rPr>
                <w:color w:val="auto"/>
                <w:spacing w:val="-3"/>
                <w:highlight w:val="none"/>
              </w:rPr>
              <w:t>45</w:t>
            </w:r>
          </w:p>
        </w:tc>
        <w:tc>
          <w:tcPr>
            <w:tcW w:w="1310" w:type="dxa"/>
            <w:vAlign w:val="top"/>
          </w:tcPr>
          <w:p w14:paraId="44C28BCD">
            <w:pPr>
              <w:pStyle w:val="186"/>
              <w:spacing w:before="66" w:line="283" w:lineRule="auto"/>
              <w:ind w:left="109" w:right="108" w:hanging="7"/>
              <w:rPr>
                <w:color w:val="auto"/>
                <w:highlight w:val="none"/>
              </w:rPr>
            </w:pPr>
            <w:r>
              <w:rPr>
                <w:color w:val="auto"/>
                <w:spacing w:val="3"/>
                <w:highlight w:val="none"/>
              </w:rPr>
              <w:t>A100699</w:t>
            </w:r>
            <w:r>
              <w:rPr>
                <w:color w:val="auto"/>
                <w:spacing w:val="34"/>
                <w:highlight w:val="none"/>
              </w:rPr>
              <w:t xml:space="preserve"> </w:t>
            </w:r>
            <w:r>
              <w:rPr>
                <w:color w:val="auto"/>
                <w:spacing w:val="3"/>
                <w:highlight w:val="none"/>
              </w:rPr>
              <w:t>其他建</w:t>
            </w:r>
            <w:r>
              <w:rPr>
                <w:color w:val="auto"/>
                <w:highlight w:val="none"/>
              </w:rPr>
              <w:t xml:space="preserve"> </w:t>
            </w:r>
            <w:r>
              <w:rPr>
                <w:color w:val="auto"/>
                <w:spacing w:val="-2"/>
                <w:highlight w:val="none"/>
              </w:rPr>
              <w:t>筑涂料</w:t>
            </w:r>
          </w:p>
        </w:tc>
        <w:tc>
          <w:tcPr>
            <w:tcW w:w="2271" w:type="dxa"/>
            <w:vAlign w:val="top"/>
          </w:tcPr>
          <w:p w14:paraId="48AABAB3">
            <w:pPr>
              <w:rPr>
                <w:rFonts w:ascii="Arial"/>
                <w:color w:val="auto"/>
                <w:sz w:val="21"/>
                <w:highlight w:val="none"/>
              </w:rPr>
            </w:pPr>
          </w:p>
        </w:tc>
        <w:tc>
          <w:tcPr>
            <w:tcW w:w="1910" w:type="dxa"/>
            <w:vAlign w:val="top"/>
          </w:tcPr>
          <w:p w14:paraId="1B66DA8A">
            <w:pPr>
              <w:rPr>
                <w:rFonts w:ascii="Arial"/>
                <w:color w:val="auto"/>
                <w:sz w:val="21"/>
                <w:highlight w:val="none"/>
              </w:rPr>
            </w:pPr>
          </w:p>
        </w:tc>
        <w:tc>
          <w:tcPr>
            <w:tcW w:w="3011" w:type="dxa"/>
            <w:vAlign w:val="top"/>
          </w:tcPr>
          <w:p w14:paraId="4956524E">
            <w:pPr>
              <w:pStyle w:val="186"/>
              <w:spacing w:before="65" w:line="219" w:lineRule="auto"/>
              <w:ind w:left="109"/>
              <w:rPr>
                <w:color w:val="auto"/>
                <w:highlight w:val="none"/>
              </w:rPr>
            </w:pPr>
            <w:r>
              <w:rPr>
                <w:color w:val="auto"/>
                <w:spacing w:val="-1"/>
                <w:highlight w:val="none"/>
              </w:rPr>
              <w:t>HJ2537</w:t>
            </w:r>
            <w:r>
              <w:rPr>
                <w:color w:val="auto"/>
                <w:spacing w:val="-34"/>
                <w:highlight w:val="none"/>
              </w:rPr>
              <w:t xml:space="preserve"> </w:t>
            </w:r>
            <w:r>
              <w:rPr>
                <w:color w:val="auto"/>
                <w:spacing w:val="-1"/>
                <w:highlight w:val="none"/>
              </w:rPr>
              <w:t>水性涂料</w:t>
            </w:r>
          </w:p>
        </w:tc>
      </w:tr>
      <w:tr w14:paraId="478F6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95" w:type="dxa"/>
            <w:vAlign w:val="top"/>
          </w:tcPr>
          <w:p w14:paraId="0C13B170">
            <w:pPr>
              <w:pStyle w:val="186"/>
              <w:spacing w:before="66"/>
              <w:ind w:left="114"/>
              <w:rPr>
                <w:color w:val="auto"/>
                <w:highlight w:val="none"/>
              </w:rPr>
            </w:pPr>
            <w:r>
              <w:rPr>
                <w:color w:val="auto"/>
                <w:spacing w:val="-3"/>
                <w:highlight w:val="none"/>
              </w:rPr>
              <w:t>46</w:t>
            </w:r>
          </w:p>
        </w:tc>
        <w:tc>
          <w:tcPr>
            <w:tcW w:w="1310" w:type="dxa"/>
            <w:vAlign w:val="top"/>
          </w:tcPr>
          <w:p w14:paraId="474F29AB">
            <w:pPr>
              <w:pStyle w:val="186"/>
              <w:spacing w:before="66" w:line="222" w:lineRule="auto"/>
              <w:ind w:left="102"/>
              <w:rPr>
                <w:color w:val="auto"/>
                <w:highlight w:val="none"/>
              </w:rPr>
            </w:pPr>
            <w:r>
              <w:rPr>
                <w:color w:val="auto"/>
                <w:spacing w:val="-8"/>
                <w:highlight w:val="none"/>
              </w:rPr>
              <w:t>A100701</w:t>
            </w:r>
            <w:r>
              <w:rPr>
                <w:color w:val="auto"/>
                <w:spacing w:val="-12"/>
                <w:highlight w:val="none"/>
              </w:rPr>
              <w:t xml:space="preserve"> </w:t>
            </w:r>
            <w:r>
              <w:rPr>
                <w:color w:val="auto"/>
                <w:spacing w:val="-8"/>
                <w:highlight w:val="none"/>
              </w:rPr>
              <w:t>门、门槛</w:t>
            </w:r>
          </w:p>
        </w:tc>
        <w:tc>
          <w:tcPr>
            <w:tcW w:w="2271" w:type="dxa"/>
            <w:vAlign w:val="top"/>
          </w:tcPr>
          <w:p w14:paraId="0C081CEC">
            <w:pPr>
              <w:rPr>
                <w:rFonts w:ascii="Arial"/>
                <w:color w:val="auto"/>
                <w:sz w:val="21"/>
                <w:highlight w:val="none"/>
              </w:rPr>
            </w:pPr>
          </w:p>
        </w:tc>
        <w:tc>
          <w:tcPr>
            <w:tcW w:w="1910" w:type="dxa"/>
            <w:vAlign w:val="top"/>
          </w:tcPr>
          <w:p w14:paraId="7F36BD30">
            <w:pPr>
              <w:rPr>
                <w:rFonts w:ascii="Arial"/>
                <w:color w:val="auto"/>
                <w:sz w:val="21"/>
                <w:highlight w:val="none"/>
              </w:rPr>
            </w:pPr>
          </w:p>
        </w:tc>
        <w:tc>
          <w:tcPr>
            <w:tcW w:w="3011" w:type="dxa"/>
            <w:vAlign w:val="top"/>
          </w:tcPr>
          <w:p w14:paraId="6FE42648">
            <w:pPr>
              <w:pStyle w:val="186"/>
              <w:spacing w:before="66" w:line="219" w:lineRule="auto"/>
              <w:ind w:left="109"/>
              <w:rPr>
                <w:color w:val="auto"/>
                <w:highlight w:val="none"/>
              </w:rPr>
            </w:pPr>
            <w:r>
              <w:rPr>
                <w:color w:val="auto"/>
                <w:spacing w:val="-1"/>
                <w:highlight w:val="none"/>
              </w:rPr>
              <w:t>HJ/T 237</w:t>
            </w:r>
            <w:r>
              <w:rPr>
                <w:color w:val="auto"/>
                <w:spacing w:val="-32"/>
                <w:highlight w:val="none"/>
              </w:rPr>
              <w:t xml:space="preserve"> </w:t>
            </w:r>
            <w:r>
              <w:rPr>
                <w:color w:val="auto"/>
                <w:spacing w:val="-1"/>
                <w:highlight w:val="none"/>
              </w:rPr>
              <w:t>塑料门窗/HJ459</w:t>
            </w:r>
            <w:r>
              <w:rPr>
                <w:color w:val="auto"/>
                <w:spacing w:val="-37"/>
                <w:highlight w:val="none"/>
              </w:rPr>
              <w:t xml:space="preserve"> </w:t>
            </w:r>
            <w:r>
              <w:rPr>
                <w:color w:val="auto"/>
                <w:spacing w:val="-1"/>
                <w:highlight w:val="none"/>
              </w:rPr>
              <w:t>木</w:t>
            </w:r>
            <w:r>
              <w:rPr>
                <w:color w:val="auto"/>
                <w:spacing w:val="-2"/>
                <w:highlight w:val="none"/>
              </w:rPr>
              <w:t>质门和钢质门</w:t>
            </w:r>
          </w:p>
        </w:tc>
      </w:tr>
      <w:tr w14:paraId="485FB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95" w:type="dxa"/>
            <w:vAlign w:val="top"/>
          </w:tcPr>
          <w:p w14:paraId="7B954A8A">
            <w:pPr>
              <w:pStyle w:val="186"/>
              <w:spacing w:before="66"/>
              <w:ind w:left="114"/>
              <w:rPr>
                <w:color w:val="auto"/>
                <w:highlight w:val="none"/>
              </w:rPr>
            </w:pPr>
            <w:r>
              <w:rPr>
                <w:color w:val="auto"/>
                <w:spacing w:val="-3"/>
                <w:highlight w:val="none"/>
              </w:rPr>
              <w:t>47</w:t>
            </w:r>
          </w:p>
        </w:tc>
        <w:tc>
          <w:tcPr>
            <w:tcW w:w="1310" w:type="dxa"/>
            <w:vAlign w:val="top"/>
          </w:tcPr>
          <w:p w14:paraId="645D43D1">
            <w:pPr>
              <w:pStyle w:val="186"/>
              <w:spacing w:before="66" w:line="221" w:lineRule="auto"/>
              <w:ind w:left="102"/>
              <w:rPr>
                <w:color w:val="auto"/>
                <w:highlight w:val="none"/>
              </w:rPr>
            </w:pPr>
            <w:r>
              <w:rPr>
                <w:color w:val="auto"/>
                <w:spacing w:val="-1"/>
                <w:highlight w:val="none"/>
              </w:rPr>
              <w:t>A100702</w:t>
            </w:r>
            <w:r>
              <w:rPr>
                <w:color w:val="auto"/>
                <w:spacing w:val="-24"/>
                <w:highlight w:val="none"/>
              </w:rPr>
              <w:t xml:space="preserve"> </w:t>
            </w:r>
            <w:r>
              <w:rPr>
                <w:color w:val="auto"/>
                <w:spacing w:val="-1"/>
                <w:highlight w:val="none"/>
              </w:rPr>
              <w:t>窗</w:t>
            </w:r>
          </w:p>
        </w:tc>
        <w:tc>
          <w:tcPr>
            <w:tcW w:w="2271" w:type="dxa"/>
            <w:vAlign w:val="top"/>
          </w:tcPr>
          <w:p w14:paraId="5948BDAF">
            <w:pPr>
              <w:rPr>
                <w:rFonts w:ascii="Arial"/>
                <w:color w:val="auto"/>
                <w:sz w:val="21"/>
                <w:highlight w:val="none"/>
              </w:rPr>
            </w:pPr>
          </w:p>
        </w:tc>
        <w:tc>
          <w:tcPr>
            <w:tcW w:w="1910" w:type="dxa"/>
            <w:vAlign w:val="top"/>
          </w:tcPr>
          <w:p w14:paraId="20406D56">
            <w:pPr>
              <w:rPr>
                <w:rFonts w:ascii="Arial"/>
                <w:color w:val="auto"/>
                <w:sz w:val="21"/>
                <w:highlight w:val="none"/>
              </w:rPr>
            </w:pPr>
          </w:p>
        </w:tc>
        <w:tc>
          <w:tcPr>
            <w:tcW w:w="3011" w:type="dxa"/>
            <w:vAlign w:val="top"/>
          </w:tcPr>
          <w:p w14:paraId="70C0D320">
            <w:pPr>
              <w:pStyle w:val="186"/>
              <w:spacing w:before="66" w:line="219" w:lineRule="auto"/>
              <w:ind w:left="109"/>
              <w:rPr>
                <w:color w:val="auto"/>
                <w:highlight w:val="none"/>
              </w:rPr>
            </w:pPr>
            <w:r>
              <w:rPr>
                <w:color w:val="auto"/>
                <w:spacing w:val="-1"/>
                <w:highlight w:val="none"/>
              </w:rPr>
              <w:t>HJ/T237</w:t>
            </w:r>
            <w:r>
              <w:rPr>
                <w:color w:val="auto"/>
                <w:spacing w:val="-33"/>
                <w:highlight w:val="none"/>
              </w:rPr>
              <w:t xml:space="preserve"> </w:t>
            </w:r>
            <w:r>
              <w:rPr>
                <w:color w:val="auto"/>
                <w:spacing w:val="-1"/>
                <w:highlight w:val="none"/>
              </w:rPr>
              <w:t>塑料门窗</w:t>
            </w:r>
          </w:p>
        </w:tc>
      </w:tr>
      <w:tr w14:paraId="2D46E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495" w:type="dxa"/>
            <w:vAlign w:val="top"/>
          </w:tcPr>
          <w:p w14:paraId="0EF93AA3">
            <w:pPr>
              <w:pStyle w:val="186"/>
              <w:spacing w:before="69"/>
              <w:ind w:left="114"/>
              <w:rPr>
                <w:color w:val="auto"/>
                <w:highlight w:val="none"/>
              </w:rPr>
            </w:pPr>
            <w:r>
              <w:rPr>
                <w:color w:val="auto"/>
                <w:spacing w:val="-3"/>
                <w:highlight w:val="none"/>
              </w:rPr>
              <w:t>48</w:t>
            </w:r>
          </w:p>
        </w:tc>
        <w:tc>
          <w:tcPr>
            <w:tcW w:w="1310" w:type="dxa"/>
            <w:vAlign w:val="top"/>
          </w:tcPr>
          <w:p w14:paraId="3814EA98">
            <w:pPr>
              <w:pStyle w:val="186"/>
              <w:spacing w:before="70" w:line="282" w:lineRule="auto"/>
              <w:ind w:left="109" w:right="106" w:hanging="7"/>
              <w:rPr>
                <w:color w:val="auto"/>
                <w:highlight w:val="none"/>
              </w:rPr>
            </w:pPr>
            <w:r>
              <w:rPr>
                <w:color w:val="auto"/>
                <w:spacing w:val="-8"/>
                <w:highlight w:val="none"/>
              </w:rPr>
              <w:t>A170108</w:t>
            </w:r>
            <w:r>
              <w:rPr>
                <w:color w:val="auto"/>
                <w:spacing w:val="-25"/>
                <w:highlight w:val="none"/>
              </w:rPr>
              <w:t xml:space="preserve"> </w:t>
            </w:r>
            <w:r>
              <w:rPr>
                <w:color w:val="auto"/>
                <w:spacing w:val="-8"/>
                <w:highlight w:val="none"/>
              </w:rPr>
              <w:t>涂料（建</w:t>
            </w:r>
            <w:r>
              <w:rPr>
                <w:color w:val="auto"/>
                <w:highlight w:val="none"/>
              </w:rPr>
              <w:t xml:space="preserve"> </w:t>
            </w:r>
            <w:r>
              <w:rPr>
                <w:color w:val="auto"/>
                <w:spacing w:val="-2"/>
                <w:highlight w:val="none"/>
              </w:rPr>
              <w:t>筑涂料除外）</w:t>
            </w:r>
          </w:p>
        </w:tc>
        <w:tc>
          <w:tcPr>
            <w:tcW w:w="2271" w:type="dxa"/>
            <w:vAlign w:val="top"/>
          </w:tcPr>
          <w:p w14:paraId="6B4EFC13">
            <w:pPr>
              <w:rPr>
                <w:rFonts w:ascii="Arial"/>
                <w:color w:val="auto"/>
                <w:sz w:val="21"/>
                <w:highlight w:val="none"/>
              </w:rPr>
            </w:pPr>
          </w:p>
        </w:tc>
        <w:tc>
          <w:tcPr>
            <w:tcW w:w="1910" w:type="dxa"/>
            <w:vAlign w:val="top"/>
          </w:tcPr>
          <w:p w14:paraId="190B1EE2">
            <w:pPr>
              <w:rPr>
                <w:rFonts w:ascii="Arial"/>
                <w:color w:val="auto"/>
                <w:sz w:val="21"/>
                <w:highlight w:val="none"/>
              </w:rPr>
            </w:pPr>
          </w:p>
        </w:tc>
        <w:tc>
          <w:tcPr>
            <w:tcW w:w="3011" w:type="dxa"/>
            <w:vAlign w:val="top"/>
          </w:tcPr>
          <w:p w14:paraId="2A6E8BF9">
            <w:pPr>
              <w:pStyle w:val="186"/>
              <w:spacing w:before="69" w:line="219" w:lineRule="auto"/>
              <w:ind w:left="109"/>
              <w:rPr>
                <w:color w:val="auto"/>
                <w:highlight w:val="none"/>
              </w:rPr>
            </w:pPr>
            <w:r>
              <w:rPr>
                <w:color w:val="auto"/>
                <w:spacing w:val="-1"/>
                <w:highlight w:val="none"/>
              </w:rPr>
              <w:t>HJ2537</w:t>
            </w:r>
            <w:r>
              <w:rPr>
                <w:color w:val="auto"/>
                <w:spacing w:val="-34"/>
                <w:highlight w:val="none"/>
              </w:rPr>
              <w:t xml:space="preserve"> </w:t>
            </w:r>
            <w:r>
              <w:rPr>
                <w:color w:val="auto"/>
                <w:spacing w:val="-1"/>
                <w:highlight w:val="none"/>
              </w:rPr>
              <w:t>水性涂料</w:t>
            </w:r>
          </w:p>
        </w:tc>
      </w:tr>
      <w:tr w14:paraId="4776F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495" w:type="dxa"/>
            <w:vAlign w:val="top"/>
          </w:tcPr>
          <w:p w14:paraId="1693D757">
            <w:pPr>
              <w:pStyle w:val="186"/>
              <w:spacing w:before="68"/>
              <w:ind w:left="114"/>
              <w:rPr>
                <w:color w:val="auto"/>
                <w:highlight w:val="none"/>
              </w:rPr>
            </w:pPr>
            <w:r>
              <w:rPr>
                <w:color w:val="auto"/>
                <w:spacing w:val="-3"/>
                <w:highlight w:val="none"/>
              </w:rPr>
              <w:t>49</w:t>
            </w:r>
          </w:p>
        </w:tc>
        <w:tc>
          <w:tcPr>
            <w:tcW w:w="1310" w:type="dxa"/>
            <w:vAlign w:val="top"/>
          </w:tcPr>
          <w:p w14:paraId="5833BA1D">
            <w:pPr>
              <w:pStyle w:val="186"/>
              <w:spacing w:before="68" w:line="282" w:lineRule="auto"/>
              <w:ind w:left="109" w:right="108" w:hanging="7"/>
              <w:rPr>
                <w:color w:val="auto"/>
                <w:highlight w:val="none"/>
              </w:rPr>
            </w:pPr>
            <w:r>
              <w:rPr>
                <w:color w:val="auto"/>
                <w:spacing w:val="3"/>
                <w:highlight w:val="none"/>
              </w:rPr>
              <w:t>A170112</w:t>
            </w:r>
            <w:r>
              <w:rPr>
                <w:color w:val="auto"/>
                <w:spacing w:val="34"/>
                <w:highlight w:val="none"/>
              </w:rPr>
              <w:t xml:space="preserve"> </w:t>
            </w:r>
            <w:r>
              <w:rPr>
                <w:color w:val="auto"/>
                <w:spacing w:val="3"/>
                <w:highlight w:val="none"/>
              </w:rPr>
              <w:t>密封用</w:t>
            </w:r>
            <w:r>
              <w:rPr>
                <w:color w:val="auto"/>
                <w:highlight w:val="none"/>
              </w:rPr>
              <w:t xml:space="preserve"> </w:t>
            </w:r>
            <w:r>
              <w:rPr>
                <w:color w:val="auto"/>
                <w:spacing w:val="-2"/>
                <w:highlight w:val="none"/>
              </w:rPr>
              <w:t>填料及类似品</w:t>
            </w:r>
          </w:p>
        </w:tc>
        <w:tc>
          <w:tcPr>
            <w:tcW w:w="2271" w:type="dxa"/>
            <w:vAlign w:val="top"/>
          </w:tcPr>
          <w:p w14:paraId="03A4E12A">
            <w:pPr>
              <w:rPr>
                <w:rFonts w:ascii="Arial"/>
                <w:color w:val="auto"/>
                <w:sz w:val="21"/>
                <w:highlight w:val="none"/>
              </w:rPr>
            </w:pPr>
          </w:p>
        </w:tc>
        <w:tc>
          <w:tcPr>
            <w:tcW w:w="1910" w:type="dxa"/>
            <w:vAlign w:val="top"/>
          </w:tcPr>
          <w:p w14:paraId="585AA6C8">
            <w:pPr>
              <w:rPr>
                <w:rFonts w:ascii="Arial"/>
                <w:color w:val="auto"/>
                <w:sz w:val="21"/>
                <w:highlight w:val="none"/>
              </w:rPr>
            </w:pPr>
          </w:p>
        </w:tc>
        <w:tc>
          <w:tcPr>
            <w:tcW w:w="3011" w:type="dxa"/>
            <w:vAlign w:val="top"/>
          </w:tcPr>
          <w:p w14:paraId="59F07A82">
            <w:pPr>
              <w:pStyle w:val="186"/>
              <w:spacing w:before="67" w:line="219" w:lineRule="auto"/>
              <w:ind w:left="109"/>
              <w:rPr>
                <w:color w:val="auto"/>
                <w:highlight w:val="none"/>
              </w:rPr>
            </w:pPr>
            <w:r>
              <w:rPr>
                <w:color w:val="auto"/>
                <w:spacing w:val="-1"/>
                <w:highlight w:val="none"/>
              </w:rPr>
              <w:t>HJ2541</w:t>
            </w:r>
            <w:r>
              <w:rPr>
                <w:color w:val="auto"/>
                <w:spacing w:val="-35"/>
                <w:highlight w:val="none"/>
              </w:rPr>
              <w:t xml:space="preserve"> </w:t>
            </w:r>
            <w:r>
              <w:rPr>
                <w:color w:val="auto"/>
                <w:spacing w:val="-1"/>
                <w:highlight w:val="none"/>
              </w:rPr>
              <w:t>胶粘剂</w:t>
            </w:r>
          </w:p>
        </w:tc>
      </w:tr>
      <w:tr w14:paraId="1C38C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495" w:type="dxa"/>
            <w:vAlign w:val="top"/>
          </w:tcPr>
          <w:p w14:paraId="62BF0410">
            <w:pPr>
              <w:pStyle w:val="186"/>
              <w:spacing w:before="69"/>
              <w:ind w:left="118"/>
              <w:rPr>
                <w:color w:val="auto"/>
                <w:highlight w:val="none"/>
              </w:rPr>
            </w:pPr>
            <w:r>
              <w:rPr>
                <w:color w:val="auto"/>
                <w:spacing w:val="-5"/>
                <w:highlight w:val="none"/>
              </w:rPr>
              <w:t>50</w:t>
            </w:r>
          </w:p>
        </w:tc>
        <w:tc>
          <w:tcPr>
            <w:tcW w:w="1310" w:type="dxa"/>
            <w:vAlign w:val="top"/>
          </w:tcPr>
          <w:p w14:paraId="79CE5557">
            <w:pPr>
              <w:pStyle w:val="186"/>
              <w:spacing w:before="69" w:line="284" w:lineRule="auto"/>
              <w:ind w:left="122" w:right="108" w:hanging="20"/>
              <w:rPr>
                <w:color w:val="auto"/>
                <w:highlight w:val="none"/>
              </w:rPr>
            </w:pPr>
            <w:r>
              <w:rPr>
                <w:color w:val="auto"/>
                <w:spacing w:val="3"/>
                <w:highlight w:val="none"/>
              </w:rPr>
              <w:t>A180201</w:t>
            </w:r>
            <w:r>
              <w:rPr>
                <w:color w:val="auto"/>
                <w:spacing w:val="34"/>
                <w:highlight w:val="none"/>
              </w:rPr>
              <w:t xml:space="preserve"> </w:t>
            </w:r>
            <w:r>
              <w:rPr>
                <w:color w:val="auto"/>
                <w:spacing w:val="3"/>
                <w:highlight w:val="none"/>
              </w:rPr>
              <w:t>塑料制</w:t>
            </w:r>
            <w:r>
              <w:rPr>
                <w:color w:val="auto"/>
                <w:highlight w:val="none"/>
              </w:rPr>
              <w:t xml:space="preserve"> 品</w:t>
            </w:r>
          </w:p>
        </w:tc>
        <w:tc>
          <w:tcPr>
            <w:tcW w:w="2271" w:type="dxa"/>
            <w:vAlign w:val="top"/>
          </w:tcPr>
          <w:p w14:paraId="68AA44E4">
            <w:pPr>
              <w:rPr>
                <w:rFonts w:ascii="Arial"/>
                <w:color w:val="auto"/>
                <w:sz w:val="21"/>
                <w:highlight w:val="none"/>
              </w:rPr>
            </w:pPr>
          </w:p>
        </w:tc>
        <w:tc>
          <w:tcPr>
            <w:tcW w:w="1910" w:type="dxa"/>
            <w:vAlign w:val="top"/>
          </w:tcPr>
          <w:p w14:paraId="4E58688E">
            <w:pPr>
              <w:rPr>
                <w:rFonts w:ascii="Arial"/>
                <w:color w:val="auto"/>
                <w:sz w:val="21"/>
                <w:highlight w:val="none"/>
              </w:rPr>
            </w:pPr>
          </w:p>
        </w:tc>
        <w:tc>
          <w:tcPr>
            <w:tcW w:w="3011" w:type="dxa"/>
            <w:vAlign w:val="top"/>
          </w:tcPr>
          <w:p w14:paraId="084AEB19">
            <w:pPr>
              <w:pStyle w:val="186"/>
              <w:spacing w:before="69" w:line="284" w:lineRule="auto"/>
              <w:ind w:left="113" w:right="104" w:hanging="4"/>
              <w:rPr>
                <w:color w:val="auto"/>
                <w:highlight w:val="none"/>
              </w:rPr>
            </w:pPr>
            <w:r>
              <w:rPr>
                <w:color w:val="auto"/>
                <w:highlight w:val="none"/>
              </w:rPr>
              <w:t>HJ/T226 建筑用塑料管材/HJ/</w:t>
            </w:r>
            <w:r>
              <w:rPr>
                <w:color w:val="auto"/>
                <w:spacing w:val="-1"/>
                <w:highlight w:val="none"/>
              </w:rPr>
              <w:t>T231 再生塑</w:t>
            </w:r>
            <w:r>
              <w:rPr>
                <w:color w:val="auto"/>
                <w:highlight w:val="none"/>
              </w:rPr>
              <w:t xml:space="preserve"> </w:t>
            </w:r>
            <w:r>
              <w:rPr>
                <w:color w:val="auto"/>
                <w:spacing w:val="-2"/>
                <w:highlight w:val="none"/>
              </w:rPr>
              <w:t>料制品</w:t>
            </w:r>
          </w:p>
        </w:tc>
      </w:tr>
    </w:tbl>
    <w:p w14:paraId="4940108D">
      <w:pPr>
        <w:spacing w:after="120" w:line="360" w:lineRule="auto"/>
        <w:rPr>
          <w:rFonts w:hint="eastAsia"/>
          <w:color w:val="auto"/>
          <w:szCs w:val="21"/>
          <w:highlight w:val="none"/>
        </w:rPr>
        <w:sectPr>
          <w:pgSz w:w="11906" w:h="16838"/>
          <w:pgMar w:top="851" w:right="1133" w:bottom="1246" w:left="1418" w:header="851" w:footer="901" w:gutter="0"/>
          <w:pgNumType w:fmt="decimal"/>
          <w:cols w:space="720" w:num="1"/>
          <w:docGrid w:linePitch="312" w:charSpace="0"/>
        </w:sectPr>
      </w:pPr>
      <w:r>
        <w:rPr>
          <w:rFonts w:hint="eastAsia" w:ascii="宋体" w:hAnsi="宋体" w:eastAsia="宋体" w:cs="Times New Roman"/>
          <w:color w:val="auto"/>
          <w:spacing w:val="-3"/>
          <w:szCs w:val="21"/>
          <w:highlight w:val="none"/>
        </w:rPr>
        <w:t>注：环境标志产品认证应依据相关标准的最新</w:t>
      </w:r>
      <w:r>
        <w:rPr>
          <w:rFonts w:hint="eastAsia" w:ascii="宋体" w:hAnsi="宋体" w:eastAsia="宋体" w:cs="Times New Roman"/>
          <w:color w:val="auto"/>
          <w:spacing w:val="-3"/>
          <w:szCs w:val="21"/>
          <w:highlight w:val="none"/>
          <w:lang w:val="en-US" w:eastAsia="zh-CN"/>
        </w:rPr>
        <w:t>版本。</w:t>
      </w:r>
    </w:p>
    <w:bookmarkEnd w:id="10"/>
    <w:bookmarkEnd w:id="11"/>
    <w:p w14:paraId="4ADA1E14">
      <w:pPr>
        <w:pStyle w:val="28"/>
        <w:snapToGrid w:val="0"/>
        <w:spacing w:before="120" w:after="120" w:line="320" w:lineRule="exact"/>
        <w:jc w:val="center"/>
        <w:outlineLvl w:val="0"/>
        <w:rPr>
          <w:rFonts w:ascii="Times New Roman" w:hAnsi="Times New Roman" w:cs="Times New Roman"/>
          <w:color w:val="auto"/>
          <w:sz w:val="32"/>
          <w:szCs w:val="32"/>
          <w:highlight w:val="none"/>
        </w:rPr>
      </w:pPr>
      <w:bookmarkStart w:id="27" w:name="_Toc31014"/>
      <w:bookmarkStart w:id="28" w:name="_Toc9714"/>
      <w:r>
        <w:rPr>
          <w:rFonts w:ascii="Times New Roman" w:hAnsi="Times New Roman" w:cs="Times New Roman"/>
          <w:color w:val="auto"/>
          <w:sz w:val="32"/>
          <w:szCs w:val="32"/>
          <w:highlight w:val="none"/>
        </w:rPr>
        <w:t>第三章  供应商须知</w:t>
      </w:r>
      <w:bookmarkEnd w:id="27"/>
      <w:bookmarkEnd w:id="28"/>
      <w:bookmarkStart w:id="29" w:name="_Toc254970667"/>
      <w:bookmarkStart w:id="30" w:name="_Toc254970526"/>
    </w:p>
    <w:p w14:paraId="043203FE">
      <w:pPr>
        <w:pStyle w:val="3"/>
        <w:spacing w:before="40" w:after="40"/>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供应商须知前附表</w:t>
      </w:r>
      <w:bookmarkEnd w:id="29"/>
      <w:bookmarkEnd w:id="30"/>
      <w:bookmarkStart w:id="31" w:name="_投标人须知前附表"/>
      <w:bookmarkEnd w:id="31"/>
      <w:bookmarkStart w:id="32" w:name="_Hlk19088833"/>
    </w:p>
    <w:tbl>
      <w:tblPr>
        <w:tblStyle w:val="53"/>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1DD4E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7396B98">
            <w:pPr>
              <w:jc w:val="center"/>
              <w:rPr>
                <w:b/>
                <w:color w:val="auto"/>
                <w:szCs w:val="21"/>
                <w:highlight w:val="none"/>
              </w:rPr>
            </w:pPr>
            <w:r>
              <w:rPr>
                <w:b/>
                <w:color w:val="auto"/>
                <w:szCs w:val="21"/>
                <w:highlight w:val="none"/>
              </w:rPr>
              <w:t>条款号</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96D146A">
            <w:pPr>
              <w:jc w:val="center"/>
              <w:rPr>
                <w:b/>
                <w:color w:val="auto"/>
                <w:szCs w:val="21"/>
                <w:highlight w:val="none"/>
              </w:rPr>
            </w:pPr>
            <w:r>
              <w:rPr>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A69C402">
            <w:pPr>
              <w:jc w:val="center"/>
              <w:rPr>
                <w:b/>
                <w:color w:val="auto"/>
                <w:szCs w:val="21"/>
                <w:highlight w:val="none"/>
              </w:rPr>
            </w:pPr>
            <w:r>
              <w:rPr>
                <w:b/>
                <w:color w:val="auto"/>
                <w:szCs w:val="21"/>
                <w:highlight w:val="none"/>
              </w:rPr>
              <w:t>内容、要求</w:t>
            </w:r>
          </w:p>
        </w:tc>
      </w:tr>
      <w:tr w14:paraId="2D8D0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F22B02E">
            <w:pPr>
              <w:spacing w:line="300" w:lineRule="exact"/>
              <w:jc w:val="center"/>
              <w:rPr>
                <w:b/>
                <w:color w:val="auto"/>
                <w:szCs w:val="21"/>
                <w:highlight w:val="none"/>
              </w:rPr>
            </w:pPr>
            <w:r>
              <w:rPr>
                <w:b/>
                <w:color w:val="auto"/>
                <w:szCs w:val="21"/>
                <w:highlight w:val="none"/>
              </w:rPr>
              <w:t>1.3.1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6E490F9">
            <w:pPr>
              <w:spacing w:line="300" w:lineRule="exact"/>
              <w:jc w:val="center"/>
              <w:rPr>
                <w:color w:val="auto"/>
                <w:szCs w:val="21"/>
                <w:highlight w:val="none"/>
              </w:rPr>
            </w:pPr>
            <w:r>
              <w:rPr>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D4F1409">
            <w:pPr>
              <w:spacing w:line="300" w:lineRule="exact"/>
              <w:jc w:val="left"/>
              <w:rPr>
                <w:rFonts w:hint="eastAsia" w:eastAsia="宋体"/>
                <w:b/>
                <w:color w:val="auto"/>
                <w:sz w:val="32"/>
                <w:szCs w:val="32"/>
                <w:highlight w:val="none"/>
                <w:lang w:eastAsia="zh-CN"/>
              </w:rPr>
            </w:pPr>
            <w:r>
              <w:rPr>
                <w:color w:val="auto"/>
                <w:szCs w:val="21"/>
                <w:highlight w:val="none"/>
              </w:rPr>
              <w:t>项目名称：</w:t>
            </w:r>
            <w:r>
              <w:rPr>
                <w:rFonts w:hint="eastAsia" w:cs="Times New Roman"/>
                <w:color w:val="auto"/>
                <w:szCs w:val="21"/>
                <w:highlight w:val="none"/>
                <w:lang w:eastAsia="zh-CN"/>
              </w:rPr>
              <w:t>2025年达标项目建设</w:t>
            </w:r>
          </w:p>
          <w:p w14:paraId="171A92C2">
            <w:pPr>
              <w:spacing w:line="300" w:lineRule="exact"/>
              <w:jc w:val="left"/>
              <w:rPr>
                <w:rFonts w:hint="eastAsia" w:eastAsia="宋体"/>
                <w:color w:val="auto"/>
                <w:szCs w:val="21"/>
                <w:highlight w:val="none"/>
                <w:lang w:eastAsia="zh-CN"/>
              </w:rPr>
            </w:pPr>
            <w:r>
              <w:rPr>
                <w:color w:val="auto"/>
                <w:szCs w:val="21"/>
                <w:highlight w:val="none"/>
              </w:rPr>
              <w:t>项目编号：</w:t>
            </w:r>
            <w:r>
              <w:rPr>
                <w:rFonts w:hint="eastAsia"/>
                <w:color w:val="auto"/>
                <w:szCs w:val="21"/>
                <w:highlight w:val="none"/>
                <w:lang w:eastAsia="zh-CN"/>
              </w:rPr>
              <w:t>GGZC2025-C3-990207-GXLZ</w:t>
            </w:r>
          </w:p>
          <w:p w14:paraId="16312B31">
            <w:pPr>
              <w:spacing w:line="300" w:lineRule="exact"/>
              <w:jc w:val="left"/>
              <w:rPr>
                <w:color w:val="auto"/>
                <w:szCs w:val="21"/>
                <w:highlight w:val="none"/>
              </w:rPr>
            </w:pPr>
            <w:r>
              <w:rPr>
                <w:rFonts w:hint="eastAsia"/>
                <w:color w:val="auto"/>
                <w:szCs w:val="21"/>
                <w:highlight w:val="none"/>
              </w:rPr>
              <w:t>采购计划号：GGZC[2025]1864号</w:t>
            </w:r>
          </w:p>
        </w:tc>
      </w:tr>
      <w:tr w14:paraId="38838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6180B0B">
            <w:pPr>
              <w:spacing w:line="300" w:lineRule="exact"/>
              <w:jc w:val="center"/>
              <w:rPr>
                <w:b/>
                <w:color w:val="auto"/>
                <w:szCs w:val="21"/>
                <w:highlight w:val="none"/>
              </w:rPr>
            </w:pPr>
            <w:r>
              <w:rPr>
                <w:b/>
                <w:color w:val="auto"/>
                <w:szCs w:val="21"/>
                <w:highlight w:val="none"/>
              </w:rPr>
              <w:t>1.3.2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384CE33">
            <w:pPr>
              <w:spacing w:line="300" w:lineRule="exact"/>
              <w:jc w:val="center"/>
              <w:rPr>
                <w:color w:val="auto"/>
                <w:szCs w:val="21"/>
                <w:highlight w:val="none"/>
                <w:lang w:val="zh-CN"/>
              </w:rPr>
            </w:pPr>
            <w:r>
              <w:rPr>
                <w:rFonts w:hint="eastAsia"/>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E89E51C">
            <w:pPr>
              <w:spacing w:line="300" w:lineRule="exact"/>
              <w:jc w:val="left"/>
              <w:rPr>
                <w:color w:val="auto"/>
                <w:szCs w:val="21"/>
                <w:highlight w:val="none"/>
              </w:rPr>
            </w:pPr>
            <w:r>
              <w:rPr>
                <w:rFonts w:hint="eastAsia"/>
                <w:color w:val="auto"/>
                <w:szCs w:val="21"/>
                <w:highlight w:val="none"/>
              </w:rPr>
              <w:t>竞争性磋商。</w:t>
            </w:r>
          </w:p>
        </w:tc>
      </w:tr>
      <w:tr w14:paraId="0BF5A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3630786">
            <w:pPr>
              <w:spacing w:line="300" w:lineRule="exact"/>
              <w:jc w:val="center"/>
              <w:rPr>
                <w:b/>
                <w:color w:val="auto"/>
                <w:szCs w:val="21"/>
                <w:highlight w:val="none"/>
              </w:rPr>
            </w:pPr>
            <w:r>
              <w:rPr>
                <w:b/>
                <w:color w:val="auto"/>
                <w:szCs w:val="21"/>
                <w:highlight w:val="none"/>
              </w:rPr>
              <w:t>1.4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A150D78">
            <w:pPr>
              <w:spacing w:line="300" w:lineRule="exact"/>
              <w:jc w:val="center"/>
              <w:rPr>
                <w:rFonts w:hint="eastAsia"/>
                <w:color w:val="auto"/>
                <w:szCs w:val="21"/>
                <w:highlight w:val="none"/>
                <w:lang w:val="zh-CN"/>
              </w:rPr>
            </w:pPr>
            <w:r>
              <w:rPr>
                <w:rFonts w:hint="eastAsia"/>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E302972">
            <w:pPr>
              <w:spacing w:line="300" w:lineRule="exact"/>
              <w:jc w:val="left"/>
              <w:rPr>
                <w:color w:val="auto"/>
                <w:szCs w:val="21"/>
                <w:highlight w:val="none"/>
              </w:rPr>
            </w:pPr>
            <w:r>
              <w:rPr>
                <w:rFonts w:hint="eastAsia"/>
                <w:color w:val="auto"/>
                <w:szCs w:val="21"/>
                <w:highlight w:val="none"/>
              </w:rPr>
              <w:t>本项目</w:t>
            </w:r>
            <w:r>
              <w:rPr>
                <w:rFonts w:hint="eastAsia"/>
                <w:color w:val="auto"/>
                <w:szCs w:val="21"/>
                <w:highlight w:val="none"/>
                <w:lang w:eastAsia="zh-CN"/>
              </w:rPr>
              <w:t>专门面向小微企业采购</w:t>
            </w:r>
            <w:r>
              <w:rPr>
                <w:rFonts w:hint="eastAsia"/>
                <w:color w:val="auto"/>
                <w:szCs w:val="21"/>
                <w:highlight w:val="none"/>
              </w:rPr>
              <w:t>。</w:t>
            </w:r>
          </w:p>
          <w:p w14:paraId="69B61258">
            <w:pPr>
              <w:spacing w:line="300" w:lineRule="exact"/>
              <w:jc w:val="left"/>
              <w:rPr>
                <w:rFonts w:hint="eastAsia"/>
                <w:color w:val="auto"/>
                <w:szCs w:val="21"/>
                <w:highlight w:val="none"/>
              </w:rPr>
            </w:pPr>
            <w:r>
              <w:rPr>
                <w:rFonts w:hint="eastAsia"/>
                <w:color w:val="auto"/>
                <w:szCs w:val="21"/>
                <w:highlight w:val="none"/>
              </w:rPr>
              <w:t>供应商提供《中小企业声明函》中填报采购文件标明所属行业的标的物应均为小型或微型企业</w:t>
            </w:r>
            <w:r>
              <w:rPr>
                <w:rFonts w:hint="eastAsia"/>
                <w:color w:val="auto"/>
                <w:szCs w:val="21"/>
                <w:highlight w:val="none"/>
                <w:lang w:val="en-US" w:eastAsia="zh-CN"/>
              </w:rPr>
              <w:t>的条件</w:t>
            </w:r>
            <w:r>
              <w:rPr>
                <w:rFonts w:hint="eastAsia"/>
                <w:color w:val="auto"/>
                <w:szCs w:val="21"/>
                <w:highlight w:val="none"/>
              </w:rPr>
              <w:t>。</w:t>
            </w:r>
          </w:p>
        </w:tc>
      </w:tr>
      <w:tr w14:paraId="35BC0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589D9DA1">
            <w:pPr>
              <w:spacing w:line="300" w:lineRule="exact"/>
              <w:jc w:val="center"/>
              <w:rPr>
                <w:b/>
                <w:color w:val="auto"/>
                <w:szCs w:val="21"/>
                <w:highlight w:val="none"/>
              </w:rPr>
            </w:pPr>
            <w:r>
              <w:rPr>
                <w:b/>
                <w:color w:val="auto"/>
                <w:szCs w:val="21"/>
                <w:highlight w:val="none"/>
              </w:rPr>
              <w:t>1.5.1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4C7B573">
            <w:pPr>
              <w:spacing w:line="300" w:lineRule="exact"/>
              <w:jc w:val="center"/>
              <w:rPr>
                <w:color w:val="auto"/>
                <w:szCs w:val="21"/>
                <w:highlight w:val="none"/>
              </w:rPr>
            </w:pPr>
            <w:r>
              <w:rPr>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0203E8B">
            <w:pPr>
              <w:spacing w:line="300" w:lineRule="exact"/>
              <w:jc w:val="left"/>
              <w:rPr>
                <w:color w:val="auto"/>
                <w:szCs w:val="21"/>
                <w:highlight w:val="none"/>
              </w:rPr>
            </w:pPr>
            <w:r>
              <w:rPr>
                <w:rFonts w:hint="eastAsia"/>
                <w:color w:val="auto"/>
                <w:szCs w:val="21"/>
                <w:highlight w:val="none"/>
              </w:rPr>
              <w:t>详</w:t>
            </w:r>
            <w:r>
              <w:rPr>
                <w:color w:val="auto"/>
                <w:szCs w:val="21"/>
                <w:highlight w:val="none"/>
              </w:rPr>
              <w:t>见</w:t>
            </w:r>
            <w:r>
              <w:rPr>
                <w:rFonts w:hint="eastAsia"/>
                <w:color w:val="auto"/>
                <w:szCs w:val="21"/>
                <w:highlight w:val="none"/>
              </w:rPr>
              <w:t>磋商</w:t>
            </w:r>
            <w:r>
              <w:rPr>
                <w:color w:val="auto"/>
                <w:szCs w:val="21"/>
                <w:highlight w:val="none"/>
              </w:rPr>
              <w:t>公告</w:t>
            </w:r>
            <w:r>
              <w:rPr>
                <w:rFonts w:hint="eastAsia"/>
                <w:color w:val="auto"/>
                <w:szCs w:val="21"/>
                <w:highlight w:val="none"/>
              </w:rPr>
              <w:t>。</w:t>
            </w:r>
          </w:p>
        </w:tc>
      </w:tr>
      <w:tr w14:paraId="225ED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noWrap w:val="0"/>
            <w:vAlign w:val="center"/>
          </w:tcPr>
          <w:p w14:paraId="3C6CF915">
            <w:pPr>
              <w:spacing w:line="300" w:lineRule="exact"/>
              <w:jc w:val="center"/>
              <w:rPr>
                <w:b/>
                <w:color w:val="auto"/>
                <w:szCs w:val="21"/>
                <w:highlight w:val="none"/>
              </w:rPr>
            </w:pPr>
            <w:bookmarkStart w:id="33" w:name="_Hlk85555568"/>
            <w:r>
              <w:rPr>
                <w:b/>
                <w:color w:val="auto"/>
                <w:szCs w:val="21"/>
                <w:highlight w:val="none"/>
              </w:rPr>
              <w:t>1.5.3</w:t>
            </w:r>
          </w:p>
        </w:tc>
        <w:tc>
          <w:tcPr>
            <w:tcW w:w="1248" w:type="dxa"/>
            <w:tcBorders>
              <w:top w:val="single" w:color="auto" w:sz="4" w:space="0"/>
              <w:left w:val="single" w:color="auto" w:sz="4" w:space="0"/>
              <w:right w:val="single" w:color="auto" w:sz="4" w:space="0"/>
            </w:tcBorders>
            <w:noWrap w:val="0"/>
            <w:vAlign w:val="center"/>
          </w:tcPr>
          <w:p w14:paraId="42F83132">
            <w:pPr>
              <w:spacing w:line="300" w:lineRule="exact"/>
              <w:jc w:val="center"/>
              <w:rPr>
                <w:color w:val="auto"/>
                <w:szCs w:val="21"/>
                <w:highlight w:val="none"/>
              </w:rPr>
            </w:pPr>
            <w:r>
              <w:rPr>
                <w:rFonts w:hint="eastAsia"/>
                <w:color w:val="auto"/>
                <w:szCs w:val="21"/>
                <w:highlight w:val="none"/>
              </w:rPr>
              <w:t>联合体</w:t>
            </w:r>
          </w:p>
        </w:tc>
        <w:tc>
          <w:tcPr>
            <w:tcW w:w="7229" w:type="dxa"/>
            <w:tcBorders>
              <w:top w:val="single" w:color="auto" w:sz="4" w:space="0"/>
              <w:left w:val="single" w:color="auto" w:sz="4" w:space="0"/>
              <w:right w:val="single" w:color="auto" w:sz="4" w:space="0"/>
            </w:tcBorders>
            <w:noWrap w:val="0"/>
            <w:vAlign w:val="center"/>
          </w:tcPr>
          <w:p w14:paraId="79B11BB6">
            <w:pPr>
              <w:spacing w:line="300" w:lineRule="exact"/>
              <w:jc w:val="left"/>
              <w:rPr>
                <w:color w:val="auto"/>
                <w:szCs w:val="21"/>
                <w:highlight w:val="none"/>
              </w:rPr>
            </w:pPr>
            <w:r>
              <w:rPr>
                <w:rFonts w:hint="eastAsia"/>
                <w:color w:val="auto"/>
                <w:szCs w:val="21"/>
                <w:highlight w:val="none"/>
              </w:rPr>
              <w:t>是否接受联合体详见磋商公告</w:t>
            </w:r>
          </w:p>
        </w:tc>
      </w:tr>
      <w:bookmarkEnd w:id="33"/>
      <w:tr w14:paraId="64F93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46908454">
            <w:pPr>
              <w:spacing w:line="300" w:lineRule="exact"/>
              <w:jc w:val="center"/>
              <w:rPr>
                <w:b/>
                <w:color w:val="auto"/>
                <w:szCs w:val="21"/>
                <w:highlight w:val="none"/>
              </w:rPr>
            </w:pPr>
            <w:r>
              <w:rPr>
                <w:b/>
                <w:color w:val="auto"/>
                <w:szCs w:val="21"/>
                <w:highlight w:val="none"/>
              </w:rPr>
              <w:t>1.6</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44E7F66">
            <w:pPr>
              <w:spacing w:line="300" w:lineRule="exact"/>
              <w:jc w:val="center"/>
              <w:rPr>
                <w:color w:val="auto"/>
                <w:szCs w:val="21"/>
                <w:highlight w:val="none"/>
              </w:rPr>
            </w:pPr>
            <w:r>
              <w:rPr>
                <w:rFonts w:hint="eastAsia"/>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92EEBDE">
            <w:pPr>
              <w:pStyle w:val="18"/>
              <w:rPr>
                <w:rFonts w:hint="eastAsia"/>
                <w:color w:val="auto"/>
                <w:szCs w:val="21"/>
                <w:highlight w:val="none"/>
              </w:rPr>
            </w:pPr>
            <w:r>
              <w:rPr>
                <w:color w:val="auto"/>
                <w:szCs w:val="21"/>
                <w:highlight w:val="none"/>
              </w:rPr>
              <w:sym w:font="Wingdings 2" w:char="0052"/>
            </w:r>
            <w:r>
              <w:rPr>
                <w:rFonts w:hint="eastAsia"/>
                <w:color w:val="auto"/>
                <w:szCs w:val="21"/>
                <w:highlight w:val="none"/>
                <w:lang w:val="en-US" w:eastAsia="zh-CN"/>
              </w:rPr>
              <w:t>不组织</w:t>
            </w:r>
            <w:r>
              <w:rPr>
                <w:rFonts w:hint="eastAsia"/>
                <w:color w:val="auto"/>
                <w:szCs w:val="21"/>
                <w:highlight w:val="none"/>
              </w:rPr>
              <w:t xml:space="preserve"> </w:t>
            </w:r>
          </w:p>
          <w:p w14:paraId="40149715">
            <w:pPr>
              <w:pStyle w:val="18"/>
              <w:rPr>
                <w:rFonts w:hint="eastAsia" w:eastAsia="宋体"/>
                <w:color w:val="auto"/>
                <w:szCs w:val="21"/>
                <w:highlight w:val="none"/>
                <w:lang w:val="en-US" w:eastAsia="zh-CN"/>
              </w:rPr>
            </w:pPr>
            <w:r>
              <w:rPr>
                <w:rFonts w:hint="eastAsia"/>
                <w:color w:val="auto"/>
                <w:szCs w:val="21"/>
                <w:highlight w:val="none"/>
              </w:rPr>
              <w:t>□</w:t>
            </w:r>
            <w:r>
              <w:rPr>
                <w:rFonts w:hint="eastAsia"/>
                <w:color w:val="auto"/>
                <w:szCs w:val="21"/>
                <w:highlight w:val="none"/>
                <w:lang w:val="en-US" w:eastAsia="zh-CN"/>
              </w:rPr>
              <w:t>组织</w:t>
            </w:r>
          </w:p>
          <w:p w14:paraId="5B7F744D">
            <w:pP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踏勘时间：              </w:t>
            </w:r>
          </w:p>
          <w:p w14:paraId="423FFCCE">
            <w:pP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踏勘</w:t>
            </w:r>
            <w:r>
              <w:rPr>
                <w:rFonts w:hint="eastAsia" w:cs="Times New Roman"/>
                <w:color w:val="auto"/>
                <w:kern w:val="2"/>
                <w:sz w:val="21"/>
                <w:szCs w:val="21"/>
                <w:highlight w:val="none"/>
                <w:lang w:val="en-US" w:eastAsia="zh-CN" w:bidi="ar-SA"/>
              </w:rPr>
              <w:t>集中</w:t>
            </w:r>
            <w:r>
              <w:rPr>
                <w:rFonts w:hint="eastAsia" w:ascii="Times New Roman" w:hAnsi="Times New Roman" w:eastAsia="宋体" w:cs="Times New Roman"/>
                <w:color w:val="auto"/>
                <w:kern w:val="2"/>
                <w:sz w:val="21"/>
                <w:szCs w:val="21"/>
                <w:highlight w:val="none"/>
                <w:lang w:val="en-US" w:eastAsia="zh-CN" w:bidi="ar-SA"/>
              </w:rPr>
              <w:t xml:space="preserve">地点：           </w:t>
            </w:r>
          </w:p>
          <w:p w14:paraId="242E1833">
            <w:pPr>
              <w:pStyle w:val="18"/>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联系人及电话</w:t>
            </w:r>
            <w:r>
              <w:rPr>
                <w:rFonts w:hint="eastAsia" w:ascii="Times New Roman" w:hAnsi="Times New Roman" w:eastAsia="宋体" w:cs="Times New Roman"/>
                <w:color w:val="auto"/>
                <w:kern w:val="2"/>
                <w:sz w:val="21"/>
                <w:szCs w:val="21"/>
                <w:highlight w:val="none"/>
                <w:lang w:val="en-US" w:eastAsia="zh-CN" w:bidi="ar-SA"/>
              </w:rPr>
              <w:t>：</w:t>
            </w:r>
          </w:p>
          <w:p w14:paraId="02838363">
            <w:pPr>
              <w:pStyle w:val="18"/>
              <w:rPr>
                <w:color w:val="auto"/>
                <w:szCs w:val="21"/>
                <w:highlight w:val="none"/>
              </w:rPr>
            </w:pPr>
            <w:r>
              <w:rPr>
                <w:rFonts w:hint="eastAsia"/>
                <w:color w:val="auto"/>
                <w:szCs w:val="21"/>
                <w:highlight w:val="none"/>
              </w:rPr>
              <w:t xml:space="preserve">如有需要供应商自行踏勘   </w:t>
            </w:r>
          </w:p>
        </w:tc>
      </w:tr>
      <w:tr w14:paraId="33C37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0511EC2">
            <w:pPr>
              <w:spacing w:line="300" w:lineRule="exact"/>
              <w:jc w:val="center"/>
              <w:rPr>
                <w:b/>
                <w:color w:val="auto"/>
                <w:szCs w:val="21"/>
                <w:highlight w:val="none"/>
              </w:rPr>
            </w:pPr>
            <w:r>
              <w:rPr>
                <w:b/>
                <w:color w:val="auto"/>
                <w:szCs w:val="21"/>
                <w:highlight w:val="none"/>
              </w:rPr>
              <w:t>1.7.2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B66E61B">
            <w:pPr>
              <w:spacing w:line="300" w:lineRule="exact"/>
              <w:jc w:val="center"/>
              <w:rPr>
                <w:color w:val="auto"/>
                <w:szCs w:val="21"/>
                <w:highlight w:val="none"/>
              </w:rPr>
            </w:pPr>
            <w:r>
              <w:rPr>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0DF7C56">
            <w:pPr>
              <w:spacing w:line="300" w:lineRule="exact"/>
              <w:jc w:val="left"/>
              <w:rPr>
                <w:color w:val="auto"/>
                <w:szCs w:val="21"/>
                <w:highlight w:val="none"/>
              </w:rPr>
            </w:pPr>
            <w:r>
              <w:rPr>
                <w:rFonts w:hint="eastAsia"/>
                <w:color w:val="auto"/>
                <w:szCs w:val="21"/>
                <w:highlight w:val="none"/>
              </w:rPr>
              <w:t>是否接受分包详见磋商公告</w:t>
            </w:r>
          </w:p>
        </w:tc>
      </w:tr>
      <w:tr w14:paraId="39BBE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23C224F2">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F043085">
            <w:pPr>
              <w:spacing w:line="300" w:lineRule="exact"/>
              <w:jc w:val="center"/>
              <w:rPr>
                <w:color w:val="auto"/>
                <w:szCs w:val="21"/>
                <w:highlight w:val="none"/>
              </w:rPr>
            </w:pPr>
            <w:r>
              <w:rPr>
                <w:rFonts w:hint="eastAsia"/>
                <w:color w:val="auto"/>
                <w:szCs w:val="21"/>
                <w:highlight w:val="none"/>
              </w:rPr>
              <w:t>采购文件</w:t>
            </w:r>
            <w:r>
              <w:rPr>
                <w:color w:val="auto"/>
                <w:szCs w:val="21"/>
                <w:highlight w:val="none"/>
              </w:rPr>
              <w:t>澄清、修改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F8F03A8">
            <w:pPr>
              <w:spacing w:line="300" w:lineRule="exact"/>
              <w:jc w:val="left"/>
              <w:rPr>
                <w:color w:val="auto"/>
                <w:szCs w:val="21"/>
                <w:highlight w:val="none"/>
              </w:rPr>
            </w:pPr>
            <w:r>
              <w:rPr>
                <w:color w:val="auto"/>
                <w:szCs w:val="21"/>
                <w:highlight w:val="none"/>
              </w:rPr>
              <w:t>在</w:t>
            </w:r>
            <w:r>
              <w:rPr>
                <w:rFonts w:hint="eastAsia"/>
                <w:color w:val="auto"/>
                <w:szCs w:val="21"/>
                <w:highlight w:val="none"/>
              </w:rPr>
              <w:t>磋商</w:t>
            </w:r>
            <w:r>
              <w:rPr>
                <w:color w:val="auto"/>
                <w:szCs w:val="21"/>
                <w:highlight w:val="none"/>
              </w:rPr>
              <w:t>公告发布媒介发布</w:t>
            </w:r>
            <w:r>
              <w:rPr>
                <w:rFonts w:hint="eastAsia"/>
                <w:color w:val="auto"/>
                <w:szCs w:val="21"/>
                <w:highlight w:val="none"/>
              </w:rPr>
              <w:t>。</w:t>
            </w:r>
          </w:p>
        </w:tc>
      </w:tr>
      <w:tr w14:paraId="3C660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114618D">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F216838">
            <w:pPr>
              <w:spacing w:line="300" w:lineRule="exact"/>
              <w:jc w:val="center"/>
              <w:rPr>
                <w:color w:val="auto"/>
                <w:szCs w:val="21"/>
                <w:highlight w:val="none"/>
              </w:rPr>
            </w:pPr>
            <w:r>
              <w:rPr>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9CE11A7">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自磋商</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磋商</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14:paraId="040A3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F537BC7">
            <w:pPr>
              <w:spacing w:line="300" w:lineRule="exact"/>
              <w:jc w:val="center"/>
              <w:rPr>
                <w:b/>
                <w:color w:val="auto"/>
                <w:szCs w:val="21"/>
                <w:highlight w:val="none"/>
              </w:rPr>
            </w:pPr>
            <w:r>
              <w:rPr>
                <w:b/>
                <w:color w:val="auto"/>
                <w:szCs w:val="21"/>
                <w:highlight w:val="none"/>
              </w:rPr>
              <w:t>3.4.1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12E39DF">
            <w:pPr>
              <w:spacing w:line="300" w:lineRule="exact"/>
              <w:jc w:val="center"/>
              <w:rPr>
                <w:color w:val="auto"/>
                <w:szCs w:val="21"/>
                <w:highlight w:val="none"/>
              </w:rPr>
            </w:pPr>
            <w:r>
              <w:rPr>
                <w:rFonts w:hint="eastAsia"/>
                <w:color w:val="auto"/>
                <w:szCs w:val="21"/>
                <w:highlight w:val="none"/>
              </w:rPr>
              <w:t>响应</w:t>
            </w:r>
            <w:r>
              <w:rPr>
                <w:color w:val="auto"/>
                <w:szCs w:val="21"/>
                <w:highlight w:val="none"/>
              </w:rPr>
              <w:t>有效期</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E70156A">
            <w:pPr>
              <w:spacing w:line="300" w:lineRule="exact"/>
              <w:jc w:val="left"/>
              <w:rPr>
                <w:color w:val="auto"/>
                <w:szCs w:val="21"/>
                <w:highlight w:val="none"/>
              </w:rPr>
            </w:pPr>
            <w:r>
              <w:rPr>
                <w:color w:val="auto"/>
                <w:szCs w:val="21"/>
                <w:highlight w:val="none"/>
              </w:rPr>
              <w:t>响应截止之日起90天。</w:t>
            </w:r>
          </w:p>
        </w:tc>
      </w:tr>
      <w:tr w14:paraId="0A442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7A45DF53">
            <w:pPr>
              <w:spacing w:line="300" w:lineRule="exact"/>
              <w:jc w:val="center"/>
              <w:rPr>
                <w:b/>
                <w:color w:val="auto"/>
                <w:szCs w:val="21"/>
                <w:highlight w:val="none"/>
              </w:rPr>
            </w:pPr>
            <w:r>
              <w:rPr>
                <w:b/>
                <w:color w:val="auto"/>
                <w:szCs w:val="21"/>
                <w:highlight w:val="none"/>
              </w:rPr>
              <w:t>3.5</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B0AF3B9">
            <w:pPr>
              <w:spacing w:line="300" w:lineRule="exact"/>
              <w:jc w:val="center"/>
              <w:rPr>
                <w:color w:val="auto"/>
                <w:szCs w:val="21"/>
                <w:highlight w:val="none"/>
              </w:rPr>
            </w:pPr>
            <w:r>
              <w:rPr>
                <w:rFonts w:hint="eastAsia"/>
                <w:color w:val="auto"/>
                <w:szCs w:val="21"/>
                <w:highlight w:val="none"/>
              </w:rPr>
              <w:t>磋商</w:t>
            </w:r>
            <w:r>
              <w:rPr>
                <w:color w:val="auto"/>
                <w:szCs w:val="21"/>
                <w:highlight w:val="none"/>
              </w:rPr>
              <w:t>保证金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8CFABB6">
            <w:pPr>
              <w:spacing w:line="300" w:lineRule="exact"/>
              <w:jc w:val="left"/>
              <w:rPr>
                <w:b/>
                <w:bCs/>
                <w:color w:val="auto"/>
                <w:szCs w:val="21"/>
                <w:highlight w:val="none"/>
              </w:rPr>
            </w:pPr>
            <w:r>
              <w:rPr>
                <w:rFonts w:hint="eastAsia"/>
                <w:b/>
                <w:bCs/>
                <w:color w:val="auto"/>
                <w:szCs w:val="21"/>
                <w:highlight w:val="none"/>
              </w:rPr>
              <w:t>本项目不要求缴纳磋商保证金；正文中关于磋商保证金的约定均可忽略。</w:t>
            </w:r>
          </w:p>
        </w:tc>
      </w:tr>
      <w:tr w14:paraId="6825B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noWrap w:val="0"/>
            <w:vAlign w:val="center"/>
          </w:tcPr>
          <w:p w14:paraId="50243923">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248" w:type="dxa"/>
            <w:tcBorders>
              <w:top w:val="single" w:color="auto" w:sz="4" w:space="0"/>
              <w:left w:val="single" w:color="auto" w:sz="4" w:space="0"/>
              <w:right w:val="single" w:color="auto" w:sz="4" w:space="0"/>
            </w:tcBorders>
            <w:noWrap w:val="0"/>
            <w:vAlign w:val="center"/>
          </w:tcPr>
          <w:p w14:paraId="0F8448CF">
            <w:pPr>
              <w:spacing w:line="300" w:lineRule="exact"/>
              <w:jc w:val="center"/>
              <w:rPr>
                <w:color w:val="auto"/>
                <w:szCs w:val="21"/>
                <w:highlight w:val="none"/>
              </w:rPr>
            </w:pPr>
            <w:r>
              <w:rPr>
                <w:rFonts w:hint="eastAsia"/>
                <w:color w:val="auto"/>
                <w:szCs w:val="21"/>
                <w:highlight w:val="none"/>
              </w:rPr>
              <w:t>响应文件的编制</w:t>
            </w:r>
          </w:p>
        </w:tc>
        <w:tc>
          <w:tcPr>
            <w:tcW w:w="7229" w:type="dxa"/>
            <w:tcBorders>
              <w:top w:val="single" w:color="auto" w:sz="4" w:space="0"/>
              <w:left w:val="single" w:color="auto" w:sz="4" w:space="0"/>
              <w:right w:val="single" w:color="auto" w:sz="4" w:space="0"/>
            </w:tcBorders>
            <w:noWrap w:val="0"/>
            <w:vAlign w:val="center"/>
          </w:tcPr>
          <w:p w14:paraId="1D0D6439">
            <w:pPr>
              <w:spacing w:line="300" w:lineRule="exact"/>
              <w:jc w:val="left"/>
              <w:rPr>
                <w:color w:val="auto"/>
                <w:szCs w:val="21"/>
                <w:highlight w:val="none"/>
              </w:rPr>
            </w:pPr>
            <w:r>
              <w:rPr>
                <w:rFonts w:hint="eastAsia" w:hAnsi="宋体"/>
                <w:color w:val="auto"/>
                <w:szCs w:val="21"/>
                <w:highlight w:val="none"/>
              </w:rPr>
              <w:t>响应文件应按第六章响应文件格式分别编制并使用下载的广西政府采购云平台新版客户端制作并上传。</w:t>
            </w:r>
          </w:p>
        </w:tc>
      </w:tr>
      <w:tr w14:paraId="18C94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4745240">
            <w:pPr>
              <w:spacing w:line="300" w:lineRule="exact"/>
              <w:jc w:val="center"/>
              <w:rPr>
                <w:b/>
                <w:color w:val="auto"/>
                <w:szCs w:val="21"/>
                <w:highlight w:val="none"/>
              </w:rPr>
            </w:pPr>
            <w:r>
              <w:rPr>
                <w:b/>
                <w:color w:val="auto"/>
                <w:szCs w:val="21"/>
                <w:highlight w:val="none"/>
              </w:rPr>
              <w:t>3.7</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9BB3D8A">
            <w:pPr>
              <w:spacing w:line="300" w:lineRule="exact"/>
              <w:jc w:val="center"/>
              <w:rPr>
                <w:color w:val="auto"/>
                <w:szCs w:val="21"/>
                <w:highlight w:val="none"/>
              </w:rPr>
            </w:pPr>
            <w:r>
              <w:rPr>
                <w:color w:val="auto"/>
                <w:szCs w:val="21"/>
                <w:highlight w:val="none"/>
              </w:rPr>
              <w:t>响应文件递交</w:t>
            </w:r>
            <w:r>
              <w:rPr>
                <w:rFonts w:hint="eastAsia"/>
                <w:color w:val="auto"/>
                <w:szCs w:val="21"/>
                <w:highlight w:val="none"/>
              </w:rPr>
              <w:t>截止时间及截标时间</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BDE3AF4">
            <w:pPr>
              <w:spacing w:line="300" w:lineRule="exact"/>
              <w:jc w:val="left"/>
              <w:rPr>
                <w:color w:val="auto"/>
                <w:szCs w:val="21"/>
                <w:highlight w:val="none"/>
              </w:rPr>
            </w:pPr>
            <w:r>
              <w:rPr>
                <w:rFonts w:hint="eastAsia"/>
                <w:color w:val="auto"/>
                <w:kern w:val="0"/>
                <w:szCs w:val="21"/>
                <w:highlight w:val="none"/>
              </w:rPr>
              <w:t>见磋商公告要求</w:t>
            </w:r>
            <w:r>
              <w:rPr>
                <w:rFonts w:hint="eastAsia"/>
                <w:color w:val="auto"/>
                <w:szCs w:val="21"/>
                <w:highlight w:val="none"/>
              </w:rPr>
              <w:t>。</w:t>
            </w:r>
          </w:p>
        </w:tc>
      </w:tr>
      <w:tr w14:paraId="75193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3C3D1EF">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4D9AF27">
            <w:pPr>
              <w:spacing w:line="300" w:lineRule="exact"/>
              <w:jc w:val="center"/>
              <w:rPr>
                <w:color w:val="auto"/>
                <w:szCs w:val="20"/>
                <w:highlight w:val="none"/>
              </w:rPr>
            </w:pPr>
            <w:r>
              <w:rPr>
                <w:rFonts w:hint="eastAsia"/>
                <w:color w:val="auto"/>
                <w:szCs w:val="21"/>
                <w:highlight w:val="none"/>
              </w:rPr>
              <w:t>备份响应文件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3D82590">
            <w:pPr>
              <w:spacing w:line="276" w:lineRule="auto"/>
              <w:rPr>
                <w:rFonts w:ascii="宋体" w:hAnsi="宋体"/>
                <w:color w:val="auto"/>
                <w:szCs w:val="21"/>
                <w:highlight w:val="none"/>
              </w:rPr>
            </w:pPr>
            <w:r>
              <w:rPr>
                <w:rFonts w:hint="eastAsia" w:ascii="宋体" w:hAnsi="宋体"/>
                <w:color w:val="auto"/>
                <w:szCs w:val="21"/>
                <w:highlight w:val="none"/>
              </w:rPr>
              <w:t>本项目</w:t>
            </w:r>
            <w:r>
              <w:rPr>
                <w:color w:val="auto"/>
                <w:sz w:val="22"/>
                <w:szCs w:val="22"/>
                <w:highlight w:val="none"/>
              </w:rPr>
              <w:sym w:font="Wingdings 2" w:char="00A3"/>
            </w:r>
            <w:r>
              <w:rPr>
                <w:rFonts w:hint="eastAsia"/>
                <w:color w:val="auto"/>
                <w:szCs w:val="21"/>
                <w:highlight w:val="none"/>
              </w:rPr>
              <w:t xml:space="preserve">接受   </w:t>
            </w:r>
            <w:r>
              <w:rPr>
                <w:rFonts w:hint="eastAsia"/>
                <w:color w:val="auto"/>
                <w:szCs w:val="21"/>
                <w:highlight w:val="none"/>
                <w:lang w:eastAsia="zh-CN"/>
              </w:rPr>
              <w:t>☑</w:t>
            </w:r>
            <w:r>
              <w:rPr>
                <w:rFonts w:hint="eastAsia"/>
                <w:color w:val="auto"/>
                <w:szCs w:val="21"/>
                <w:highlight w:val="none"/>
              </w:rPr>
              <w:t>不接受</w:t>
            </w:r>
            <w:r>
              <w:rPr>
                <w:rFonts w:hint="eastAsia" w:ascii="宋体" w:hAnsi="宋体"/>
                <w:color w:val="auto"/>
                <w:szCs w:val="21"/>
                <w:highlight w:val="none"/>
              </w:rPr>
              <w:t>备份响应文件</w:t>
            </w:r>
          </w:p>
          <w:p w14:paraId="58D946A3">
            <w:pPr>
              <w:spacing w:line="276" w:lineRule="auto"/>
              <w:rPr>
                <w:rFonts w:hint="eastAsia"/>
                <w:color w:val="auto"/>
                <w:sz w:val="22"/>
                <w:szCs w:val="22"/>
                <w:highlight w:val="none"/>
              </w:rPr>
            </w:pPr>
            <w:r>
              <w:rPr>
                <w:rFonts w:hint="eastAsia" w:ascii="宋体" w:hAnsi="宋体"/>
                <w:color w:val="auto"/>
                <w:szCs w:val="21"/>
                <w:highlight w:val="none"/>
              </w:rPr>
              <w:t>以广西政府采购云平台自动生成的备份文件为依据，当项目允许接受备份响应文件时，供应商才可以按规定上传备份响应文件。</w:t>
            </w:r>
          </w:p>
        </w:tc>
      </w:tr>
      <w:tr w14:paraId="5EBF3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963B771">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ACE7254">
            <w:pPr>
              <w:spacing w:line="300" w:lineRule="exact"/>
              <w:jc w:val="center"/>
              <w:rPr>
                <w:color w:val="auto"/>
                <w:szCs w:val="21"/>
                <w:highlight w:val="none"/>
              </w:rPr>
            </w:pPr>
            <w:r>
              <w:rPr>
                <w:rFonts w:hint="eastAsia"/>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FE662DE">
            <w:pPr>
              <w:spacing w:line="276" w:lineRule="auto"/>
              <w:rPr>
                <w:color w:val="auto"/>
                <w:szCs w:val="21"/>
                <w:highlight w:val="none"/>
              </w:rPr>
            </w:pPr>
            <w:r>
              <w:rPr>
                <w:color w:val="auto"/>
                <w:sz w:val="22"/>
                <w:szCs w:val="22"/>
                <w:highlight w:val="none"/>
              </w:rPr>
              <w:sym w:font="Wingdings 2" w:char="00A3"/>
            </w:r>
            <w:r>
              <w:rPr>
                <w:rFonts w:hint="eastAsia"/>
                <w:color w:val="auto"/>
                <w:szCs w:val="21"/>
                <w:highlight w:val="none"/>
              </w:rPr>
              <w:t xml:space="preserve">否   </w:t>
            </w:r>
            <w:r>
              <w:rPr>
                <w:rFonts w:hint="eastAsia"/>
                <w:color w:val="auto"/>
                <w:szCs w:val="21"/>
                <w:highlight w:val="none"/>
                <w:lang w:eastAsia="zh-CN"/>
              </w:rPr>
              <w:t>☑</w:t>
            </w:r>
            <w:r>
              <w:rPr>
                <w:rFonts w:hint="eastAsia"/>
                <w:color w:val="auto"/>
                <w:szCs w:val="21"/>
                <w:highlight w:val="none"/>
              </w:rPr>
              <w:t>是</w:t>
            </w:r>
          </w:p>
          <w:p w14:paraId="301A5474">
            <w:pPr>
              <w:spacing w:line="276" w:lineRule="auto"/>
              <w:rPr>
                <w:rFonts w:hint="eastAsia" w:eastAsia="宋体"/>
                <w:color w:val="auto"/>
                <w:szCs w:val="21"/>
                <w:highlight w:val="none"/>
                <w:u w:val="single"/>
                <w:lang w:eastAsia="zh-CN"/>
              </w:rPr>
            </w:pPr>
            <w:r>
              <w:rPr>
                <w:rFonts w:hint="eastAsia"/>
                <w:color w:val="auto"/>
                <w:szCs w:val="21"/>
                <w:highlight w:val="none"/>
              </w:rPr>
              <w:t>演示内容：</w:t>
            </w:r>
            <w:r>
              <w:rPr>
                <w:rFonts w:hint="eastAsia"/>
                <w:color w:val="auto"/>
                <w:szCs w:val="21"/>
                <w:highlight w:val="none"/>
                <w:u w:val="single"/>
              </w:rPr>
              <w:t xml:space="preserve"> </w:t>
            </w:r>
            <w:r>
              <w:rPr>
                <w:rFonts w:hint="eastAsia"/>
                <w:color w:val="auto"/>
                <w:szCs w:val="21"/>
                <w:highlight w:val="none"/>
                <w:u w:val="single"/>
                <w:lang w:eastAsia="zh-CN"/>
              </w:rPr>
              <w:t>标项一，</w:t>
            </w:r>
            <w:r>
              <w:rPr>
                <w:rFonts w:hint="eastAsia"/>
                <w:color w:val="auto"/>
                <w:szCs w:val="21"/>
                <w:highlight w:val="none"/>
                <w:u w:val="single"/>
                <w:lang w:val="en-US" w:eastAsia="zh-CN"/>
              </w:rPr>
              <w:t>对服务需求中标注“</w:t>
            </w:r>
            <w:r>
              <w:rPr>
                <w:rFonts w:hint="eastAsia" w:ascii="宋体" w:hAnsi="宋体" w:cs="宋体"/>
                <w:color w:val="auto"/>
                <w:kern w:val="0"/>
                <w:szCs w:val="21"/>
                <w:highlight w:val="none"/>
              </w:rPr>
              <w:t>#</w:t>
            </w:r>
            <w:r>
              <w:rPr>
                <w:rFonts w:hint="eastAsia"/>
                <w:color w:val="auto"/>
                <w:szCs w:val="21"/>
                <w:highlight w:val="none"/>
                <w:u w:val="single"/>
                <w:lang w:val="en-US" w:eastAsia="zh-CN"/>
              </w:rPr>
              <w:t>”的技术参数进行功能演示</w:t>
            </w:r>
            <w:r>
              <w:rPr>
                <w:rFonts w:hint="eastAsia"/>
                <w:color w:val="auto"/>
                <w:szCs w:val="21"/>
                <w:highlight w:val="none"/>
                <w:u w:val="single"/>
                <w:lang w:eastAsia="zh-CN"/>
              </w:rPr>
              <w:t>。</w:t>
            </w:r>
          </w:p>
          <w:p w14:paraId="62CE0EFD">
            <w:pPr>
              <w:spacing w:line="276" w:lineRule="auto"/>
              <w:rPr>
                <w:rFonts w:hint="eastAsia" w:eastAsia="宋体"/>
                <w:color w:val="auto"/>
                <w:szCs w:val="21"/>
                <w:highlight w:val="none"/>
                <w:lang w:eastAsia="zh-CN"/>
              </w:rPr>
            </w:pPr>
            <w:r>
              <w:rPr>
                <w:rFonts w:hint="eastAsia"/>
                <w:color w:val="auto"/>
                <w:szCs w:val="21"/>
                <w:highlight w:val="none"/>
              </w:rPr>
              <w:t>演示形式：</w:t>
            </w:r>
            <w:r>
              <w:rPr>
                <w:color w:val="auto"/>
                <w:szCs w:val="21"/>
                <w:highlight w:val="none"/>
              </w:rPr>
              <w:t xml:space="preserve"> </w:t>
            </w:r>
            <w:r>
              <w:rPr>
                <w:rFonts w:hint="eastAsia"/>
                <w:color w:val="auto"/>
                <w:szCs w:val="21"/>
                <w:highlight w:val="none"/>
                <w:u w:val="single"/>
                <w:lang w:eastAsia="zh-CN"/>
              </w:rPr>
              <w:t>通过广西政府采购云平台视频会议进行演示，演示设备及网络由供应商自行准备，未按照规定演示或因设备及网络原因等，由供应商自行承担。</w:t>
            </w:r>
          </w:p>
        </w:tc>
      </w:tr>
      <w:tr w14:paraId="16A94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B37F2F8">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5C85226">
            <w:pPr>
              <w:spacing w:line="300" w:lineRule="exact"/>
              <w:jc w:val="center"/>
              <w:rPr>
                <w:color w:val="auto"/>
                <w:szCs w:val="21"/>
                <w:highlight w:val="none"/>
              </w:rPr>
            </w:pPr>
            <w:r>
              <w:rPr>
                <w:rFonts w:hint="eastAsia"/>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A9D41BA">
            <w:pPr>
              <w:spacing w:line="276" w:lineRule="auto"/>
              <w:rPr>
                <w:color w:val="auto"/>
                <w:szCs w:val="21"/>
                <w:highlight w:val="none"/>
              </w:rPr>
            </w:pPr>
            <w:r>
              <w:rPr>
                <w:color w:val="auto"/>
                <w:sz w:val="24"/>
                <w:highlight w:val="none"/>
              </w:rPr>
              <w:sym w:font="Wingdings 2" w:char="F052"/>
            </w:r>
            <w:r>
              <w:rPr>
                <w:rFonts w:hint="eastAsia"/>
                <w:color w:val="auto"/>
                <w:szCs w:val="21"/>
                <w:highlight w:val="none"/>
              </w:rPr>
              <w:t>否   □是</w:t>
            </w:r>
          </w:p>
          <w:p w14:paraId="59B8717D">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14:paraId="23CF6F3D">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14:paraId="54D68B4D">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14:paraId="16F6CF42">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14:paraId="0D3C4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22E8D5">
            <w:pPr>
              <w:spacing w:line="300" w:lineRule="exact"/>
              <w:jc w:val="center"/>
              <w:rPr>
                <w:rFonts w:hint="eastAsia" w:ascii="Times New Roman" w:hAnsi="Times New Roman" w:eastAsia="宋体" w:cs="Times New Roman"/>
                <w:b/>
                <w:color w:val="auto"/>
                <w:kern w:val="2"/>
                <w:sz w:val="21"/>
                <w:szCs w:val="21"/>
                <w:highlight w:val="none"/>
                <w:lang w:val="en-US" w:eastAsia="zh-CN" w:bidi="ar-SA"/>
              </w:rPr>
            </w:pPr>
            <w:r>
              <w:rPr>
                <w:rFonts w:hint="eastAsia"/>
                <w:b/>
                <w:color w:val="auto"/>
                <w:szCs w:val="21"/>
                <w:highlight w:val="none"/>
              </w:rPr>
              <w:t>6.</w:t>
            </w:r>
            <w:r>
              <w:rPr>
                <w:b/>
                <w:color w:val="auto"/>
                <w:szCs w:val="21"/>
                <w:highlight w:val="none"/>
              </w:rPr>
              <w:t>3</w:t>
            </w:r>
            <w:r>
              <w:rPr>
                <w:rFonts w:hint="eastAsia"/>
                <w:b/>
                <w:color w:val="auto"/>
                <w:szCs w:val="21"/>
                <w:highlight w:val="none"/>
              </w:rPr>
              <w:t>.</w:t>
            </w:r>
            <w:r>
              <w:rPr>
                <w:b/>
                <w:color w:val="auto"/>
                <w:szCs w:val="21"/>
                <w:highlight w:val="none"/>
              </w:rPr>
              <w:t>5</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E56CD4">
            <w:pPr>
              <w:spacing w:line="300" w:lineRule="exact"/>
              <w:jc w:val="center"/>
              <w:rPr>
                <w:rFonts w:hint="eastAsia"/>
                <w:color w:val="auto"/>
                <w:szCs w:val="21"/>
                <w:highlight w:val="none"/>
                <w:lang w:val="en-US" w:eastAsia="zh-CN"/>
              </w:rPr>
            </w:pPr>
            <w:r>
              <w:rPr>
                <w:rFonts w:hint="eastAsia"/>
                <w:color w:val="auto"/>
                <w:szCs w:val="21"/>
                <w:highlight w:val="none"/>
                <w:lang w:val="en-US" w:eastAsia="zh-CN"/>
              </w:rPr>
              <w:t>异常低价审查</w:t>
            </w:r>
          </w:p>
          <w:p w14:paraId="3B634E2F">
            <w:pPr>
              <w:spacing w:line="300" w:lineRule="exact"/>
              <w:jc w:val="center"/>
              <w:rPr>
                <w:rFonts w:hint="eastAsia" w:ascii="Times New Roman" w:hAnsi="Times New Roman" w:eastAsia="宋体" w:cs="Times New Roman"/>
                <w:color w:val="auto"/>
                <w:kern w:val="2"/>
                <w:sz w:val="21"/>
                <w:szCs w:val="21"/>
                <w:highlight w:val="none"/>
                <w:lang w:val="en-US" w:eastAsia="zh-CN" w:bidi="ar-SA"/>
              </w:rPr>
            </w:pPr>
          </w:p>
        </w:tc>
        <w:tc>
          <w:tcPr>
            <w:tcW w:w="72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9CF258">
            <w:pPr>
              <w:spacing w:before="120" w:line="320" w:lineRule="atLeast"/>
              <w:rPr>
                <w:rFonts w:hint="eastAsia"/>
                <w:color w:val="auto"/>
                <w:szCs w:val="21"/>
                <w:highlight w:val="none"/>
                <w:lang w:val="en-US" w:eastAsia="zh-CN"/>
              </w:rPr>
            </w:pPr>
            <w:r>
              <w:rPr>
                <w:color w:val="auto"/>
                <w:sz w:val="22"/>
                <w:szCs w:val="22"/>
                <w:highlight w:val="none"/>
              </w:rPr>
              <w:sym w:font="Wingdings 2" w:char="F052"/>
            </w:r>
            <w:r>
              <w:rPr>
                <w:rFonts w:hint="eastAsia"/>
                <w:color w:val="auto"/>
                <w:szCs w:val="21"/>
                <w:highlight w:val="none"/>
              </w:rPr>
              <w:t>评审委员会认为</w:t>
            </w:r>
            <w:r>
              <w:rPr>
                <w:rFonts w:hint="eastAsia"/>
                <w:color w:val="auto"/>
                <w:szCs w:val="21"/>
                <w:highlight w:val="none"/>
                <w:lang w:eastAsia="zh-CN"/>
              </w:rPr>
              <w:t>投标人</w:t>
            </w:r>
            <w:r>
              <w:rPr>
                <w:rFonts w:hint="eastAsia"/>
                <w:color w:val="auto"/>
                <w:szCs w:val="21"/>
                <w:highlight w:val="none"/>
              </w:rPr>
              <w:t>的报价明显低于其他通过符合性审查</w:t>
            </w:r>
            <w:r>
              <w:rPr>
                <w:rFonts w:hint="eastAsia"/>
                <w:color w:val="auto"/>
                <w:szCs w:val="21"/>
                <w:highlight w:val="none"/>
                <w:lang w:eastAsia="zh-CN"/>
              </w:rPr>
              <w:t>投标人</w:t>
            </w:r>
            <w:r>
              <w:rPr>
                <w:rFonts w:hint="eastAsia"/>
                <w:color w:val="auto"/>
                <w:szCs w:val="21"/>
                <w:highlight w:val="none"/>
              </w:rPr>
              <w:t>的报价，有可能影响产品</w:t>
            </w:r>
            <w:r>
              <w:rPr>
                <w:rFonts w:hint="eastAsia"/>
                <w:color w:val="auto"/>
                <w:szCs w:val="21"/>
                <w:highlight w:val="none"/>
                <w:lang w:eastAsia="zh-CN"/>
              </w:rPr>
              <w:t>（</w:t>
            </w:r>
            <w:r>
              <w:rPr>
                <w:rFonts w:hint="eastAsia"/>
                <w:color w:val="auto"/>
                <w:szCs w:val="21"/>
                <w:highlight w:val="none"/>
                <w:lang w:val="en-US" w:eastAsia="zh-CN"/>
              </w:rPr>
              <w:t>服务</w:t>
            </w:r>
            <w:r>
              <w:rPr>
                <w:rFonts w:hint="eastAsia"/>
                <w:color w:val="auto"/>
                <w:szCs w:val="21"/>
                <w:highlight w:val="none"/>
                <w:lang w:eastAsia="zh-CN"/>
              </w:rPr>
              <w:t>）</w:t>
            </w:r>
            <w:r>
              <w:rPr>
                <w:rFonts w:hint="eastAsia"/>
                <w:color w:val="auto"/>
                <w:szCs w:val="21"/>
                <w:highlight w:val="none"/>
              </w:rPr>
              <w:t>质量或者不能诚信履约的；</w:t>
            </w:r>
          </w:p>
          <w:p w14:paraId="00B62143">
            <w:pPr>
              <w:spacing w:line="300" w:lineRule="exact"/>
              <w:jc w:val="left"/>
              <w:rPr>
                <w:rFonts w:hint="eastAsia"/>
                <w:color w:val="auto"/>
                <w:szCs w:val="21"/>
                <w:highlight w:val="none"/>
                <w:lang w:val="en-US" w:eastAsia="zh-CN"/>
              </w:rPr>
            </w:pPr>
            <w:r>
              <w:rPr>
                <w:rFonts w:hint="eastAsia"/>
                <w:color w:val="auto"/>
                <w:szCs w:val="21"/>
                <w:highlight w:val="none"/>
              </w:rPr>
              <w:t>□</w:t>
            </w:r>
            <w:r>
              <w:rPr>
                <w:rFonts w:hint="eastAsia"/>
                <w:color w:val="auto"/>
                <w:szCs w:val="21"/>
                <w:highlight w:val="none"/>
                <w:lang w:val="en-US" w:eastAsia="zh-CN"/>
              </w:rPr>
              <w:t>评审中出现下列情形之一的，评审委员会应当启动异常低价响应审查程序：</w:t>
            </w:r>
          </w:p>
          <w:p w14:paraId="12678A51">
            <w:pPr>
              <w:spacing w:line="300" w:lineRule="exact"/>
              <w:jc w:val="left"/>
              <w:rPr>
                <w:rFonts w:hint="eastAsia"/>
                <w:color w:val="auto"/>
                <w:szCs w:val="21"/>
                <w:highlight w:val="none"/>
                <w:lang w:val="en-US" w:eastAsia="zh-CN"/>
              </w:rPr>
            </w:pPr>
            <w:r>
              <w:rPr>
                <w:rFonts w:hint="eastAsia"/>
                <w:color w:val="auto"/>
                <w:szCs w:val="21"/>
                <w:highlight w:val="none"/>
                <w:lang w:val="en-US" w:eastAsia="zh-CN"/>
              </w:rPr>
              <w:t xml:space="preserve"> （1）响应报价低于全部通过符合性审查供应商响应报价平均值50%的，即响应报价&lt;全部通过符合性审查供应商响应报价平均值×50%；</w:t>
            </w:r>
          </w:p>
          <w:p w14:paraId="0B63B537">
            <w:pPr>
              <w:spacing w:line="300" w:lineRule="exact"/>
              <w:jc w:val="left"/>
              <w:rPr>
                <w:rFonts w:hint="eastAsia"/>
                <w:color w:val="auto"/>
                <w:szCs w:val="21"/>
                <w:highlight w:val="none"/>
                <w:lang w:val="en-US" w:eastAsia="zh-CN"/>
              </w:rPr>
            </w:pPr>
            <w:r>
              <w:rPr>
                <w:rFonts w:hint="eastAsia"/>
                <w:color w:val="auto"/>
                <w:szCs w:val="21"/>
                <w:highlight w:val="none"/>
                <w:lang w:val="en-US" w:eastAsia="zh-CN"/>
              </w:rPr>
              <w:t>（2）响应报价低于通过符合性审查且报价次低供应商响应报价50%的，即响应报价&lt;通过符合性审查且报价次低供应商响应报价×50%；</w:t>
            </w:r>
          </w:p>
          <w:p w14:paraId="0E6290DB">
            <w:pPr>
              <w:spacing w:line="300" w:lineRule="exact"/>
              <w:jc w:val="left"/>
              <w:rPr>
                <w:rFonts w:hint="eastAsia"/>
                <w:color w:val="auto"/>
                <w:szCs w:val="21"/>
                <w:highlight w:val="none"/>
                <w:lang w:val="en-US" w:eastAsia="zh-CN"/>
              </w:rPr>
            </w:pPr>
            <w:r>
              <w:rPr>
                <w:rFonts w:hint="eastAsia"/>
                <w:color w:val="auto"/>
                <w:szCs w:val="21"/>
                <w:highlight w:val="none"/>
                <w:lang w:val="en-US" w:eastAsia="zh-CN"/>
              </w:rPr>
              <w:t>（3）响应报价低于采购项目最高限价45%的，即响应报价&lt;采购项目最高限价×45%；</w:t>
            </w:r>
          </w:p>
          <w:p w14:paraId="073F41B2">
            <w:pPr>
              <w:spacing w:line="276" w:lineRule="auto"/>
              <w:rPr>
                <w:color w:val="auto"/>
                <w:kern w:val="2"/>
                <w:sz w:val="22"/>
                <w:szCs w:val="22"/>
                <w:highlight w:val="none"/>
                <w:lang w:val="en-US" w:eastAsia="zh-CN" w:bidi="ar-SA"/>
              </w:rPr>
            </w:pPr>
            <w:r>
              <w:rPr>
                <w:rFonts w:hint="eastAsia"/>
                <w:color w:val="auto"/>
                <w:szCs w:val="21"/>
                <w:highlight w:val="none"/>
                <w:lang w:val="en-US" w:eastAsia="zh-CN"/>
              </w:rPr>
              <w:t>（4）其他评审委员会认为供应商报价过低，有可能影响产品质量或者不能诚信履约的情形。</w:t>
            </w:r>
          </w:p>
        </w:tc>
      </w:tr>
      <w:tr w14:paraId="0087D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60C55E7">
            <w:pPr>
              <w:spacing w:line="300" w:lineRule="exact"/>
              <w:jc w:val="center"/>
              <w:rPr>
                <w:b/>
                <w:color w:val="auto"/>
                <w:szCs w:val="21"/>
                <w:highlight w:val="none"/>
              </w:rPr>
            </w:pPr>
            <w:r>
              <w:rPr>
                <w:b/>
                <w:color w:val="auto"/>
                <w:szCs w:val="21"/>
                <w:highlight w:val="none"/>
              </w:rPr>
              <w:t>6.5</w:t>
            </w:r>
            <w:r>
              <w:rPr>
                <w:rFonts w:hint="eastAsia"/>
                <w:b/>
                <w:color w:val="auto"/>
                <w:szCs w:val="21"/>
                <w:highlight w:val="none"/>
              </w:rPr>
              <w:t>.1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7D1B65B">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0082070">
            <w:pPr>
              <w:spacing w:line="300" w:lineRule="exact"/>
              <w:jc w:val="left"/>
              <w:rPr>
                <w:color w:val="auto"/>
                <w:szCs w:val="21"/>
                <w:highlight w:val="none"/>
              </w:rPr>
            </w:pPr>
            <w:r>
              <w:rPr>
                <w:color w:val="auto"/>
                <w:szCs w:val="21"/>
                <w:highlight w:val="none"/>
              </w:rPr>
              <w:t>采购代理机构在采购人依法确认成交供应商后2个工作日内在磋商公告发布的媒体上发布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220AD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AE15964">
            <w:pPr>
              <w:spacing w:line="300" w:lineRule="exact"/>
              <w:jc w:val="center"/>
              <w:rPr>
                <w:b/>
                <w:color w:val="auto"/>
                <w:szCs w:val="21"/>
                <w:highlight w:val="none"/>
              </w:rPr>
            </w:pPr>
            <w:r>
              <w:rPr>
                <w:b/>
                <w:color w:val="auto"/>
                <w:szCs w:val="21"/>
                <w:highlight w:val="none"/>
              </w:rPr>
              <w:t>6.5.2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D50E589">
            <w:pPr>
              <w:spacing w:line="300" w:lineRule="exact"/>
              <w:jc w:val="center"/>
              <w:rPr>
                <w:color w:val="auto"/>
                <w:szCs w:val="21"/>
                <w:highlight w:val="none"/>
              </w:rPr>
            </w:pPr>
            <w:r>
              <w:rPr>
                <w:rFonts w:hint="eastAsia"/>
                <w:color w:val="auto"/>
                <w:szCs w:val="21"/>
                <w:highlight w:val="none"/>
              </w:rPr>
              <w:t>成交通知书</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8B0BBBD">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成交通知书。</w:t>
            </w:r>
          </w:p>
          <w:p w14:paraId="2B83F004">
            <w:pPr>
              <w:spacing w:line="300" w:lineRule="exact"/>
              <w:jc w:val="left"/>
              <w:rPr>
                <w:color w:val="auto"/>
                <w:szCs w:val="21"/>
                <w:highlight w:val="none"/>
              </w:rPr>
            </w:pPr>
            <w:r>
              <w:rPr>
                <w:rFonts w:hint="eastAsia"/>
                <w:color w:val="auto"/>
                <w:szCs w:val="21"/>
                <w:highlight w:val="none"/>
              </w:rPr>
              <w:t>成交通知书在广西政府采购云平台推送之日起，视为成交供应商已收到，成交供应商自行承担未及时查收的后果。</w:t>
            </w:r>
          </w:p>
        </w:tc>
      </w:tr>
      <w:tr w14:paraId="4EFA5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8C451A9">
            <w:pPr>
              <w:spacing w:line="300" w:lineRule="exact"/>
              <w:jc w:val="center"/>
              <w:rPr>
                <w:b/>
                <w:color w:val="auto"/>
                <w:szCs w:val="21"/>
                <w:highlight w:val="none"/>
              </w:rPr>
            </w:pPr>
            <w:r>
              <w:rPr>
                <w:b/>
                <w:color w:val="auto"/>
                <w:szCs w:val="21"/>
                <w:highlight w:val="none"/>
              </w:rPr>
              <w:t>8.1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A264341">
            <w:pPr>
              <w:spacing w:line="300" w:lineRule="exact"/>
              <w:jc w:val="center"/>
              <w:rPr>
                <w:color w:val="auto"/>
                <w:szCs w:val="21"/>
                <w:highlight w:val="none"/>
              </w:rPr>
            </w:pPr>
            <w:r>
              <w:rPr>
                <w:rFonts w:hint="eastAsia"/>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CA10822">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w:t>
            </w:r>
            <w:r>
              <w:rPr>
                <w:rFonts w:hint="eastAsia"/>
                <w:color w:val="auto"/>
                <w:szCs w:val="21"/>
                <w:highlight w:val="none"/>
              </w:rPr>
              <w:t>中标或者成交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1C1E1907">
            <w:pPr>
              <w:spacing w:line="300" w:lineRule="exact"/>
              <w:jc w:val="left"/>
              <w:rPr>
                <w:rFonts w:hint="eastAsia"/>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、广西政府采购云平台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，供应商可通过现场或邮寄方式递交书面质疑材料。供应商应于质疑有效期内将质疑函原件递交或邮寄至磋商公告中采购代理机构信息中的联系人。</w:t>
            </w:r>
          </w:p>
        </w:tc>
      </w:tr>
      <w:tr w14:paraId="75CB0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A20A93F">
            <w:pPr>
              <w:spacing w:line="300" w:lineRule="exact"/>
              <w:jc w:val="center"/>
              <w:rPr>
                <w:b/>
                <w:color w:val="auto"/>
                <w:szCs w:val="21"/>
                <w:highlight w:val="none"/>
              </w:rPr>
            </w:pPr>
            <w:r>
              <w:rPr>
                <w:b/>
                <w:color w:val="auto"/>
                <w:szCs w:val="21"/>
                <w:highlight w:val="none"/>
              </w:rPr>
              <w:t>9.1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29D9E4D">
            <w:pPr>
              <w:spacing w:line="300" w:lineRule="exact"/>
              <w:jc w:val="center"/>
              <w:rPr>
                <w:color w:val="auto"/>
                <w:szCs w:val="21"/>
                <w:highlight w:val="none"/>
              </w:rPr>
            </w:pPr>
            <w:r>
              <w:rPr>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BC9CBEF">
            <w:pPr>
              <w:rPr>
                <w:color w:val="auto"/>
                <w:szCs w:val="21"/>
                <w:highlight w:val="none"/>
              </w:rPr>
            </w:pPr>
            <w:r>
              <w:rPr>
                <w:color w:val="auto"/>
                <w:szCs w:val="21"/>
                <w:highlight w:val="none"/>
              </w:rPr>
              <w:t>（1）</w:t>
            </w:r>
            <w:r>
              <w:rPr>
                <w:color w:val="auto"/>
                <w:szCs w:val="20"/>
                <w:highlight w:val="none"/>
              </w:rPr>
              <w:t>代理服务费</w:t>
            </w:r>
          </w:p>
          <w:p w14:paraId="79360631">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采购代理机构向成交供应商收取代理服务费。本项目代理服务费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color w:val="auto"/>
                <w:szCs w:val="21"/>
                <w:highlight w:val="none"/>
              </w:rPr>
              <w:t>具体费率</w:t>
            </w:r>
            <w:r>
              <w:rPr>
                <w:rFonts w:hint="eastAsia"/>
                <w:color w:val="auto"/>
                <w:szCs w:val="21"/>
                <w:highlight w:val="none"/>
              </w:rPr>
              <w:t>如下：</w:t>
            </w:r>
          </w:p>
          <w:p w14:paraId="2421DCA7">
            <w:pPr>
              <w:spacing w:line="300" w:lineRule="exact"/>
              <w:jc w:val="left"/>
              <w:rPr>
                <w:color w:val="auto"/>
                <w:szCs w:val="21"/>
                <w:highlight w:val="none"/>
              </w:rPr>
            </w:pPr>
            <w:r>
              <w:rPr>
                <w:rFonts w:hint="eastAsia"/>
                <w:color w:val="auto"/>
                <w:szCs w:val="21"/>
                <w:highlight w:val="none"/>
              </w:rPr>
              <w:t>①成交金额在1</w:t>
            </w:r>
            <w:r>
              <w:rPr>
                <w:color w:val="auto"/>
                <w:szCs w:val="21"/>
                <w:highlight w:val="none"/>
              </w:rPr>
              <w:t>00</w:t>
            </w:r>
            <w:r>
              <w:rPr>
                <w:rFonts w:hint="eastAsia"/>
                <w:color w:val="auto"/>
                <w:szCs w:val="21"/>
                <w:highlight w:val="none"/>
              </w:rPr>
              <w:t>万元以下的：</w:t>
            </w:r>
          </w:p>
          <w:p w14:paraId="73499B63">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08E08702">
            <w:pPr>
              <w:spacing w:line="300" w:lineRule="exact"/>
              <w:jc w:val="left"/>
              <w:rPr>
                <w:color w:val="auto"/>
                <w:szCs w:val="21"/>
                <w:highlight w:val="none"/>
              </w:rPr>
            </w:pPr>
            <w:r>
              <w:rPr>
                <w:rFonts w:hint="eastAsia"/>
                <w:color w:val="auto"/>
                <w:szCs w:val="21"/>
                <w:highlight w:val="none"/>
              </w:rPr>
              <w:t>②成交金额在</w:t>
            </w:r>
            <w:r>
              <w:rPr>
                <w:color w:val="auto"/>
                <w:szCs w:val="21"/>
                <w:highlight w:val="none"/>
              </w:rPr>
              <w:t>100-500</w:t>
            </w:r>
            <w:r>
              <w:rPr>
                <w:rFonts w:hint="eastAsia"/>
                <w:color w:val="auto"/>
                <w:szCs w:val="21"/>
                <w:highlight w:val="none"/>
              </w:rPr>
              <w:t>万元之间：</w:t>
            </w:r>
          </w:p>
          <w:p w14:paraId="1FB80A87">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5746C03D">
            <w:pPr>
              <w:spacing w:line="300" w:lineRule="exact"/>
              <w:jc w:val="left"/>
              <w:rPr>
                <w:color w:val="auto"/>
                <w:szCs w:val="21"/>
                <w:highlight w:val="none"/>
              </w:rPr>
            </w:pPr>
            <w:r>
              <w:rPr>
                <w:rFonts w:hint="eastAsia"/>
                <w:color w:val="auto"/>
                <w:szCs w:val="21"/>
                <w:highlight w:val="none"/>
              </w:rPr>
              <w:t>③成交金额在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12EF95C0">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32F870E5">
            <w:pPr>
              <w:spacing w:line="300" w:lineRule="exact"/>
              <w:jc w:val="left"/>
              <w:rPr>
                <w:color w:val="auto"/>
                <w:szCs w:val="21"/>
                <w:highlight w:val="none"/>
              </w:rPr>
            </w:pPr>
            <w:r>
              <w:rPr>
                <w:rFonts w:hint="eastAsia"/>
                <w:color w:val="auto"/>
                <w:szCs w:val="21"/>
                <w:highlight w:val="none"/>
              </w:rPr>
              <w:t>④成交金额在</w:t>
            </w:r>
            <w:r>
              <w:rPr>
                <w:color w:val="auto"/>
                <w:szCs w:val="21"/>
                <w:highlight w:val="none"/>
              </w:rPr>
              <w:t>1000-5000</w:t>
            </w:r>
            <w:r>
              <w:rPr>
                <w:rFonts w:hint="eastAsia"/>
                <w:color w:val="auto"/>
                <w:szCs w:val="21"/>
                <w:highlight w:val="none"/>
              </w:rPr>
              <w:t>万元之间：</w:t>
            </w:r>
          </w:p>
          <w:p w14:paraId="38145330">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5A71CF0D">
            <w:pPr>
              <w:spacing w:line="300" w:lineRule="exact"/>
              <w:jc w:val="left"/>
              <w:rPr>
                <w:color w:val="auto"/>
                <w:szCs w:val="21"/>
                <w:highlight w:val="none"/>
              </w:rPr>
            </w:pPr>
            <w:r>
              <w:rPr>
                <w:rFonts w:hint="eastAsia"/>
                <w:color w:val="auto"/>
                <w:szCs w:val="21"/>
                <w:highlight w:val="none"/>
              </w:rPr>
              <w:t>……</w:t>
            </w:r>
          </w:p>
          <w:p w14:paraId="2AF23ECE">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0CCF0EC4">
            <w:pPr>
              <w:spacing w:line="300" w:lineRule="exact"/>
              <w:jc w:val="left"/>
              <w:rPr>
                <w:color w:val="auto"/>
                <w:szCs w:val="21"/>
                <w:highlight w:val="none"/>
              </w:rPr>
            </w:pPr>
            <w:r>
              <w:rPr>
                <w:color w:val="auto"/>
                <w:szCs w:val="21"/>
                <w:highlight w:val="none"/>
              </w:rPr>
              <w:t>例如：某货物招标代理业务成交金额为300万元，招标代理服务费金额按如下计算：</w:t>
            </w:r>
          </w:p>
          <w:p w14:paraId="0613FC5F">
            <w:pPr>
              <w:spacing w:line="300" w:lineRule="exact"/>
              <w:jc w:val="left"/>
              <w:rPr>
                <w:color w:val="auto"/>
                <w:szCs w:val="21"/>
                <w:highlight w:val="none"/>
              </w:rPr>
            </w:pPr>
            <w:r>
              <w:rPr>
                <w:color w:val="auto"/>
                <w:szCs w:val="21"/>
                <w:highlight w:val="none"/>
              </w:rPr>
              <w:t>100万元×1.5%＝1.5万元</w:t>
            </w:r>
          </w:p>
          <w:p w14:paraId="0543C495">
            <w:pPr>
              <w:spacing w:line="300" w:lineRule="exact"/>
              <w:jc w:val="left"/>
              <w:rPr>
                <w:color w:val="auto"/>
                <w:szCs w:val="21"/>
                <w:highlight w:val="none"/>
              </w:rPr>
            </w:pPr>
            <w:r>
              <w:rPr>
                <w:color w:val="auto"/>
                <w:szCs w:val="21"/>
                <w:highlight w:val="none"/>
              </w:rPr>
              <w:t>（300－100）万元×1.1%＝2.2万元</w:t>
            </w:r>
          </w:p>
          <w:p w14:paraId="14B803B6">
            <w:pPr>
              <w:spacing w:line="300" w:lineRule="exact"/>
              <w:jc w:val="left"/>
              <w:rPr>
                <w:color w:val="auto"/>
                <w:szCs w:val="21"/>
                <w:highlight w:val="none"/>
              </w:rPr>
            </w:pPr>
            <w:r>
              <w:rPr>
                <w:color w:val="auto"/>
                <w:szCs w:val="21"/>
                <w:highlight w:val="none"/>
              </w:rPr>
              <w:t>合计收费＝1.5＋2.2=3.7万元</w:t>
            </w:r>
          </w:p>
          <w:p w14:paraId="131514C7">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w:t>
            </w:r>
            <w:r>
              <w:rPr>
                <w:color w:val="auto"/>
                <w:szCs w:val="20"/>
                <w:highlight w:val="none"/>
              </w:rPr>
              <w:t>向成交供应商收取代理服务费</w:t>
            </w:r>
            <w:r>
              <w:rPr>
                <w:rFonts w:hint="eastAsia"/>
                <w:color w:val="auto"/>
                <w:szCs w:val="20"/>
                <w:highlight w:val="none"/>
              </w:rPr>
              <w:t>，</w:t>
            </w:r>
            <w:r>
              <w:rPr>
                <w:color w:val="auto"/>
                <w:szCs w:val="20"/>
                <w:highlight w:val="none"/>
              </w:rPr>
              <w:t>具体金额为</w:t>
            </w:r>
            <w:r>
              <w:rPr>
                <w:rFonts w:hint="eastAsia"/>
                <w:color w:val="auto"/>
                <w:szCs w:val="20"/>
                <w:highlight w:val="none"/>
                <w:u w:val="single"/>
              </w:rPr>
              <w:t xml:space="preserve">             </w:t>
            </w:r>
            <w:r>
              <w:rPr>
                <w:rFonts w:hint="eastAsia"/>
                <w:color w:val="auto"/>
                <w:szCs w:val="20"/>
                <w:highlight w:val="none"/>
              </w:rPr>
              <w:t>。</w:t>
            </w:r>
          </w:p>
          <w:p w14:paraId="49F4C933">
            <w:pPr>
              <w:numPr>
                <w:ilvl w:val="0"/>
                <w:numId w:val="2"/>
              </w:numPr>
              <w:snapToGrid w:val="0"/>
              <w:spacing w:line="360" w:lineRule="auto"/>
              <w:jc w:val="left"/>
              <w:rPr>
                <w:color w:val="auto"/>
                <w:szCs w:val="21"/>
                <w:highlight w:val="none"/>
              </w:rPr>
            </w:pPr>
            <w:r>
              <w:rPr>
                <w:color w:val="auto"/>
                <w:szCs w:val="21"/>
                <w:highlight w:val="none"/>
              </w:rPr>
              <w:t>成交供应商在</w:t>
            </w:r>
            <w:r>
              <w:rPr>
                <w:rFonts w:hint="eastAsia"/>
                <w:color w:val="auto"/>
                <w:szCs w:val="21"/>
                <w:highlight w:val="none"/>
                <w:lang w:val="en-US" w:eastAsia="zh-CN"/>
              </w:rPr>
              <w:t>签订合同</w:t>
            </w:r>
            <w:r>
              <w:rPr>
                <w:color w:val="auto"/>
                <w:szCs w:val="21"/>
                <w:highlight w:val="none"/>
              </w:rPr>
              <w:t>前以银行转账或现金形式支付代理服务费；</w:t>
            </w:r>
          </w:p>
          <w:p w14:paraId="079CEDA7">
            <w:pPr>
              <w:numPr>
                <w:ilvl w:val="0"/>
                <w:numId w:val="0"/>
              </w:numPr>
              <w:snapToGrid w:val="0"/>
              <w:spacing w:line="360" w:lineRule="auto"/>
              <w:jc w:val="left"/>
              <w:rPr>
                <w:rFonts w:hint="eastAsia"/>
                <w:color w:val="auto"/>
                <w:szCs w:val="21"/>
                <w:highlight w:val="none"/>
              </w:rPr>
            </w:pPr>
            <w:r>
              <w:rPr>
                <w:rFonts w:hint="eastAsia"/>
                <w:color w:val="auto"/>
                <w:szCs w:val="21"/>
                <w:highlight w:val="none"/>
              </w:rPr>
              <w:t>（3）服务费账号信息：</w:t>
            </w:r>
          </w:p>
          <w:p w14:paraId="463DAFA8">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开户银行：建行贵港江南支行</w:t>
            </w:r>
          </w:p>
          <w:p w14:paraId="418F9A74">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开户名称：广西乐正工程项目管理有限公司</w:t>
            </w:r>
          </w:p>
          <w:p w14:paraId="30761914">
            <w:pPr>
              <w:spacing w:line="300" w:lineRule="exact"/>
              <w:jc w:val="left"/>
              <w:rPr>
                <w:rFonts w:hint="eastAsia"/>
                <w:color w:val="auto"/>
                <w:kern w:val="0"/>
                <w:szCs w:val="21"/>
                <w:highlight w:val="none"/>
              </w:rPr>
            </w:pPr>
            <w:r>
              <w:rPr>
                <w:rFonts w:hint="eastAsia" w:ascii="宋体" w:hAnsi="宋体" w:eastAsia="宋体" w:cs="宋体"/>
                <w:color w:val="auto"/>
                <w:kern w:val="0"/>
                <w:sz w:val="21"/>
                <w:szCs w:val="21"/>
                <w:highlight w:val="none"/>
              </w:rPr>
              <w:t>银行账号：4505 0175 3749 0988 8888</w:t>
            </w:r>
          </w:p>
        </w:tc>
      </w:tr>
      <w:tr w14:paraId="3E2FD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075A1B7">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C9EE750">
            <w:pPr>
              <w:spacing w:line="300" w:lineRule="exact"/>
              <w:jc w:val="center"/>
              <w:rPr>
                <w:color w:val="auto"/>
                <w:szCs w:val="20"/>
                <w:highlight w:val="none"/>
              </w:rPr>
            </w:pPr>
            <w:r>
              <w:rPr>
                <w:rFonts w:hint="eastAsia"/>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084F5C8">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093C97FD">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136A2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35FB442">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3A57BDD">
            <w:pPr>
              <w:spacing w:line="300" w:lineRule="exact"/>
              <w:jc w:val="center"/>
              <w:rPr>
                <w:color w:val="auto"/>
                <w:szCs w:val="20"/>
                <w:highlight w:val="none"/>
              </w:rPr>
            </w:pPr>
            <w:r>
              <w:rPr>
                <w:rFonts w:hint="eastAsia"/>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F50926C">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5616494F">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1B1BC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7" w:hRule="atLeast"/>
        </w:trPr>
        <w:tc>
          <w:tcPr>
            <w:tcW w:w="737" w:type="dxa"/>
            <w:tcBorders>
              <w:top w:val="single" w:color="auto" w:sz="4" w:space="0"/>
              <w:left w:val="single" w:color="auto" w:sz="4" w:space="0"/>
              <w:right w:val="single" w:color="auto" w:sz="4" w:space="0"/>
            </w:tcBorders>
            <w:noWrap w:val="0"/>
            <w:vAlign w:val="center"/>
          </w:tcPr>
          <w:p w14:paraId="5A801D7D">
            <w:pPr>
              <w:spacing w:line="300" w:lineRule="exact"/>
              <w:jc w:val="center"/>
              <w:rPr>
                <w:b/>
                <w:color w:val="auto"/>
                <w:szCs w:val="21"/>
                <w:highlight w:val="none"/>
              </w:rPr>
            </w:pPr>
            <w:r>
              <w:rPr>
                <w:b/>
                <w:color w:val="auto"/>
                <w:szCs w:val="21"/>
                <w:highlight w:val="none"/>
              </w:rPr>
              <w:t>9.4</w:t>
            </w:r>
          </w:p>
        </w:tc>
        <w:tc>
          <w:tcPr>
            <w:tcW w:w="1248" w:type="dxa"/>
            <w:tcBorders>
              <w:top w:val="single" w:color="auto" w:sz="4" w:space="0"/>
              <w:left w:val="single" w:color="auto" w:sz="4" w:space="0"/>
              <w:right w:val="single" w:color="auto" w:sz="4" w:space="0"/>
            </w:tcBorders>
            <w:noWrap w:val="0"/>
            <w:vAlign w:val="center"/>
          </w:tcPr>
          <w:p w14:paraId="55E9D491">
            <w:pPr>
              <w:spacing w:line="300" w:lineRule="exact"/>
              <w:jc w:val="center"/>
              <w:rPr>
                <w:color w:val="auto"/>
                <w:szCs w:val="20"/>
                <w:highlight w:val="none"/>
              </w:rPr>
            </w:pPr>
            <w:r>
              <w:rPr>
                <w:rFonts w:hint="eastAsia"/>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FDBE0CF">
            <w:pPr>
              <w:spacing w:line="276" w:lineRule="auto"/>
              <w:rPr>
                <w:rFonts w:hint="eastAsia"/>
                <w:color w:val="auto"/>
                <w:szCs w:val="21"/>
                <w:highlight w:val="none"/>
              </w:rPr>
            </w:pPr>
            <w:r>
              <w:rPr>
                <w:rFonts w:hint="eastAsia"/>
                <w:color w:val="auto"/>
                <w:szCs w:val="21"/>
                <w:highlight w:val="none"/>
              </w:rPr>
              <w:t>构成本采购文件的各个组成文件应互为解释，互为说明：</w:t>
            </w:r>
          </w:p>
          <w:p w14:paraId="709BE1AD">
            <w:pPr>
              <w:spacing w:line="276" w:lineRule="auto"/>
              <w:rPr>
                <w:color w:val="auto"/>
                <w:sz w:val="24"/>
                <w:highlight w:val="none"/>
              </w:rPr>
            </w:pPr>
            <w:r>
              <w:rPr>
                <w:rFonts w:hint="eastAsia"/>
                <w:color w:val="auto"/>
                <w:szCs w:val="21"/>
                <w:highlight w:val="none"/>
              </w:rPr>
              <w:t>除采购文件中有特别规定外，仅适用于招标投标阶段的规定，按更正公告（澄清公告）、磋商公告、采购需求、供应商须知、评审方法及标准、合同条款格式、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2D9B7C3B">
      <w:pPr>
        <w:rPr>
          <w:rFonts w:hint="eastAsia"/>
          <w:color w:val="auto"/>
          <w:highlight w:val="none"/>
        </w:rPr>
      </w:pPr>
    </w:p>
    <w:bookmarkEnd w:id="32"/>
    <w:p w14:paraId="033D9726">
      <w:pPr>
        <w:spacing w:before="120" w:line="320" w:lineRule="atLeast"/>
        <w:outlineLvl w:val="1"/>
        <w:rPr>
          <w:b/>
          <w:bCs/>
          <w:color w:val="auto"/>
          <w:kern w:val="0"/>
          <w:szCs w:val="21"/>
          <w:highlight w:val="none"/>
        </w:rPr>
      </w:pPr>
      <w:r>
        <w:rPr>
          <w:color w:val="auto"/>
          <w:szCs w:val="21"/>
          <w:highlight w:val="none"/>
        </w:rPr>
        <w:br w:type="page"/>
      </w:r>
      <w:r>
        <w:rPr>
          <w:b/>
          <w:bCs/>
          <w:color w:val="auto"/>
          <w:kern w:val="0"/>
          <w:szCs w:val="21"/>
          <w:highlight w:val="none"/>
        </w:rPr>
        <w:t>1．总则</w:t>
      </w:r>
    </w:p>
    <w:p w14:paraId="31891C82">
      <w:pPr>
        <w:spacing w:before="120" w:line="320" w:lineRule="atLeast"/>
        <w:ind w:firstLine="422" w:firstLineChars="200"/>
        <w:outlineLvl w:val="2"/>
        <w:rPr>
          <w:b/>
          <w:bCs/>
          <w:color w:val="auto"/>
          <w:kern w:val="0"/>
          <w:szCs w:val="21"/>
          <w:highlight w:val="none"/>
        </w:rPr>
      </w:pPr>
      <w:bookmarkStart w:id="34" w:name="_Toc254970668"/>
      <w:bookmarkStart w:id="35" w:name="_Toc254970527"/>
      <w:r>
        <w:rPr>
          <w:b/>
          <w:bCs/>
          <w:color w:val="auto"/>
          <w:kern w:val="0"/>
          <w:szCs w:val="21"/>
          <w:highlight w:val="none"/>
        </w:rPr>
        <w:t>1.1适用范围</w:t>
      </w:r>
      <w:bookmarkEnd w:id="34"/>
      <w:bookmarkEnd w:id="35"/>
    </w:p>
    <w:p w14:paraId="5BEE876B">
      <w:pPr>
        <w:spacing w:before="120" w:line="320" w:lineRule="atLeast"/>
        <w:ind w:firstLine="420" w:firstLineChars="200"/>
        <w:rPr>
          <w:color w:val="auto"/>
          <w:szCs w:val="21"/>
          <w:highlight w:val="none"/>
        </w:rPr>
      </w:pPr>
      <w:r>
        <w:rPr>
          <w:color w:val="auto"/>
          <w:szCs w:val="21"/>
          <w:highlight w:val="none"/>
        </w:rPr>
        <w:t>本采购文件适用于供应商须知前附表所述项目的</w:t>
      </w:r>
      <w:r>
        <w:rPr>
          <w:rFonts w:hint="eastAsia"/>
          <w:color w:val="auto"/>
          <w:szCs w:val="21"/>
          <w:highlight w:val="none"/>
        </w:rPr>
        <w:t>政府采购活动。</w:t>
      </w:r>
    </w:p>
    <w:p w14:paraId="1324098E">
      <w:pPr>
        <w:spacing w:before="120" w:line="320" w:lineRule="atLeast"/>
        <w:ind w:firstLine="422" w:firstLineChars="200"/>
        <w:outlineLvl w:val="2"/>
        <w:rPr>
          <w:b/>
          <w:bCs/>
          <w:color w:val="auto"/>
          <w:kern w:val="0"/>
          <w:szCs w:val="21"/>
          <w:highlight w:val="none"/>
        </w:rPr>
      </w:pPr>
      <w:bookmarkStart w:id="36" w:name="_Toc254970528"/>
      <w:bookmarkStart w:id="37" w:name="_Toc254970669"/>
      <w:r>
        <w:rPr>
          <w:b/>
          <w:bCs/>
          <w:color w:val="auto"/>
          <w:kern w:val="0"/>
          <w:szCs w:val="21"/>
          <w:highlight w:val="none"/>
        </w:rPr>
        <w:t>1.2定义</w:t>
      </w:r>
      <w:bookmarkEnd w:id="36"/>
      <w:bookmarkEnd w:id="37"/>
    </w:p>
    <w:p w14:paraId="60914E69">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04FFA0A9">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指响应招标、参加投标竞争的法人、其他组织或者自然人</w:t>
      </w:r>
      <w:r>
        <w:rPr>
          <w:color w:val="auto"/>
          <w:szCs w:val="21"/>
          <w:highlight w:val="none"/>
        </w:rPr>
        <w:t>。</w:t>
      </w:r>
    </w:p>
    <w:p w14:paraId="55A999A7">
      <w:pPr>
        <w:spacing w:before="120" w:line="360" w:lineRule="auto"/>
        <w:ind w:firstLine="420" w:firstLineChars="200"/>
        <w:rPr>
          <w:rFonts w:hint="eastAsia"/>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r>
        <w:rPr>
          <w:color w:val="auto"/>
          <w:highlight w:val="none"/>
        </w:rPr>
        <w:br w:type="textWrapping"/>
      </w:r>
      <w:r>
        <w:rPr>
          <w:color w:val="auto"/>
          <w:highlight w:val="none"/>
        </w:rPr>
        <w:t xml:space="preserve">    </w:t>
      </w: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0523F2B6">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采购文件如有特殊规定，以采购文件规定为准。 </w:t>
      </w:r>
    </w:p>
    <w:p w14:paraId="0FCEFBB9">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不满足该指标项将导致响应被否决</w:t>
      </w:r>
      <w:r>
        <w:rPr>
          <w:rFonts w:hint="eastAsia"/>
          <w:color w:val="auto"/>
          <w:szCs w:val="21"/>
          <w:highlight w:val="none"/>
        </w:rPr>
        <w:t>，#代表重要指标，无标识则表示一般指标项。</w:t>
      </w:r>
    </w:p>
    <w:p w14:paraId="79B56E73">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采购文件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5892BBD6">
      <w:pPr>
        <w:spacing w:before="120" w:line="320" w:lineRule="atLeast"/>
        <w:ind w:firstLine="420" w:firstLineChars="200"/>
        <w:rPr>
          <w:rFonts w:hint="eastAsia"/>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是指以数据电文形式在线完成采购活动的信息平台，本采购文件中也称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4F90C754">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219A1CEA">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6ADC5877">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2CF817E7">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.4</w:t>
      </w:r>
      <w:r>
        <w:rPr>
          <w:rFonts w:hint="eastAsia"/>
          <w:b/>
          <w:bCs/>
          <w:color w:val="auto"/>
          <w:kern w:val="0"/>
          <w:szCs w:val="21"/>
          <w:highlight w:val="none"/>
        </w:rPr>
        <w:t>促进中小企业发展政策</w:t>
      </w:r>
    </w:p>
    <w:p w14:paraId="3613D7D9">
      <w:pPr>
        <w:spacing w:before="120" w:line="320" w:lineRule="atLeast"/>
        <w:ind w:left="2" w:leftChars="1" w:firstLine="420" w:firstLineChars="200"/>
        <w:rPr>
          <w:color w:val="auto"/>
          <w:szCs w:val="21"/>
          <w:highlight w:val="none"/>
        </w:rPr>
      </w:pPr>
      <w:r>
        <w:rPr>
          <w:color w:val="auto"/>
          <w:szCs w:val="21"/>
          <w:highlight w:val="none"/>
        </w:rPr>
        <w:t>1.4.1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59E224BF">
      <w:pPr>
        <w:spacing w:before="120" w:line="320" w:lineRule="atLeast"/>
        <w:ind w:left="2" w:leftChars="1" w:firstLine="420" w:firstLineChars="200"/>
        <w:rPr>
          <w:color w:val="auto"/>
          <w:szCs w:val="21"/>
          <w:highlight w:val="none"/>
        </w:rPr>
      </w:pPr>
      <w:bookmarkStart w:id="38" w:name="_Hlk92205820"/>
      <w:r>
        <w:rPr>
          <w:rFonts w:hint="eastAsia"/>
          <w:color w:val="auto"/>
          <w:szCs w:val="21"/>
          <w:highlight w:val="none"/>
        </w:rPr>
        <w:t>根 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3280771A">
      <w:pPr>
        <w:spacing w:before="120" w:line="320" w:lineRule="atLeast"/>
        <w:ind w:left="2" w:leftChars="1" w:firstLine="420" w:firstLineChars="200"/>
        <w:rPr>
          <w:color w:val="auto"/>
          <w:szCs w:val="21"/>
          <w:highlight w:val="none"/>
        </w:rPr>
      </w:pPr>
      <w:r>
        <w:rPr>
          <w:color w:val="auto"/>
          <w:szCs w:val="21"/>
          <w:highlight w:val="none"/>
        </w:rPr>
        <w:t>1.4.2</w:t>
      </w:r>
      <w:r>
        <w:rPr>
          <w:rFonts w:hint="eastAsia"/>
          <w:color w:val="auto"/>
          <w:szCs w:val="21"/>
          <w:highlight w:val="none"/>
        </w:rPr>
        <w:t>中小企业定义</w:t>
      </w:r>
    </w:p>
    <w:p w14:paraId="7B8F8509">
      <w:pPr>
        <w:spacing w:before="120" w:line="320" w:lineRule="atLeast"/>
        <w:ind w:firstLine="420" w:firstLineChars="200"/>
        <w:rPr>
          <w:color w:val="auto"/>
          <w:szCs w:val="21"/>
          <w:highlight w:val="none"/>
        </w:rPr>
      </w:pPr>
      <w:r>
        <w:rPr>
          <w:color w:val="auto"/>
          <w:szCs w:val="21"/>
          <w:highlight w:val="none"/>
        </w:rPr>
        <w:t>1.4.2.1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CCAE8F9">
      <w:pPr>
        <w:spacing w:before="120" w:line="320" w:lineRule="atLeast"/>
        <w:ind w:left="2" w:leftChars="1" w:firstLine="420" w:firstLineChars="200"/>
        <w:rPr>
          <w:color w:val="auto"/>
          <w:szCs w:val="21"/>
          <w:highlight w:val="none"/>
        </w:rPr>
      </w:pPr>
      <w:r>
        <w:rPr>
          <w:color w:val="auto"/>
          <w:szCs w:val="21"/>
          <w:highlight w:val="none"/>
        </w:rPr>
        <w:t>1.4.2.2</w:t>
      </w:r>
      <w:r>
        <w:rPr>
          <w:rFonts w:hint="eastAsia"/>
          <w:color w:val="auto"/>
          <w:szCs w:val="21"/>
          <w:highlight w:val="none"/>
        </w:rPr>
        <w:t>供应商提供的货物、工程或者服务符合下列情形的，享受本款规定的促进中小企业发展政策：</w:t>
      </w:r>
    </w:p>
    <w:p w14:paraId="203F6B60">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66911C66">
      <w:pPr>
        <w:spacing w:before="120" w:line="320" w:lineRule="atLeast"/>
        <w:ind w:left="2" w:leftChars="1"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51A4821E">
      <w:pPr>
        <w:spacing w:before="120" w:line="320" w:lineRule="atLeast"/>
        <w:ind w:left="2" w:leftChars="1"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4979A2E7">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7F06C9C1">
      <w:pPr>
        <w:spacing w:before="120" w:line="320" w:lineRule="atLeast"/>
        <w:ind w:firstLine="420" w:firstLineChars="200"/>
        <w:rPr>
          <w:color w:val="auto"/>
          <w:szCs w:val="21"/>
          <w:highlight w:val="none"/>
        </w:rPr>
      </w:pPr>
      <w:r>
        <w:rPr>
          <w:color w:val="auto"/>
          <w:szCs w:val="21"/>
          <w:highlight w:val="none"/>
        </w:rPr>
        <w:t>1.4.2</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本项目标的所属行业在第二章采购需求中规定。供应商根据中小企业划分标准（《关于印发中小企业划型标准规定的通知》（工信部联企业〔2011〕300号）判断是否为中小企业。（见附件）</w:t>
      </w:r>
    </w:p>
    <w:p w14:paraId="0047DC0A">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符合条件的货物制造商、工程施工单位、服务承接单位为中小企业的，应按采购文件规定在响应文件中提供声明函。</w:t>
      </w:r>
    </w:p>
    <w:p w14:paraId="6D0DA74A">
      <w:pPr>
        <w:spacing w:before="120" w:line="320" w:lineRule="atLeast"/>
        <w:ind w:firstLine="420" w:firstLineChars="200"/>
        <w:rPr>
          <w:color w:val="auto"/>
          <w:szCs w:val="21"/>
          <w:highlight w:val="none"/>
        </w:rPr>
      </w:pPr>
      <w:r>
        <w:rPr>
          <w:color w:val="auto"/>
          <w:szCs w:val="21"/>
          <w:highlight w:val="none"/>
        </w:rPr>
        <w:t>1.4</w:t>
      </w: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75CA8596">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30347A0E">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2B092BDE">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115B2CCE">
      <w:pPr>
        <w:spacing w:before="120" w:line="320" w:lineRule="atLeast"/>
        <w:ind w:left="2" w:leftChars="1" w:firstLine="420" w:firstLineChars="200"/>
        <w:rPr>
          <w:rFonts w:hint="eastAsia"/>
          <w:color w:val="auto"/>
          <w:szCs w:val="21"/>
          <w:highlight w:val="none"/>
        </w:rPr>
      </w:pPr>
      <w:r>
        <w:rPr>
          <w:rFonts w:hint="eastAsia"/>
          <w:color w:val="auto"/>
          <w:szCs w:val="21"/>
          <w:highlight w:val="none"/>
        </w:rPr>
        <w:t>符合条件的货物制造商、工程施工单位、服务承接单位为监狱企业或残疾人福利性单位的，应按采购文件规定在响应文件中提供相关证明文件。</w:t>
      </w:r>
      <w:bookmarkEnd w:id="38"/>
    </w:p>
    <w:p w14:paraId="6510F904">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7BEA4472">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09FE97FF">
      <w:pPr>
        <w:spacing w:before="120" w:line="320" w:lineRule="atLeast"/>
        <w:ind w:firstLine="420" w:firstLineChars="200"/>
        <w:rPr>
          <w:color w:val="auto"/>
          <w:szCs w:val="21"/>
          <w:highlight w:val="none"/>
        </w:rPr>
      </w:pPr>
      <w:r>
        <w:rPr>
          <w:color w:val="auto"/>
          <w:szCs w:val="21"/>
          <w:highlight w:val="none"/>
        </w:rPr>
        <w:t>1.5.2按照磋商公告的规定获得采购文件。</w:t>
      </w:r>
    </w:p>
    <w:p w14:paraId="554E4088">
      <w:pPr>
        <w:spacing w:before="120" w:line="320" w:lineRule="atLeast"/>
        <w:ind w:firstLine="420" w:firstLineChars="200"/>
        <w:rPr>
          <w:color w:val="auto"/>
          <w:szCs w:val="21"/>
          <w:highlight w:val="none"/>
        </w:rPr>
      </w:pPr>
      <w:r>
        <w:rPr>
          <w:color w:val="auto"/>
          <w:szCs w:val="21"/>
          <w:highlight w:val="none"/>
        </w:rPr>
        <w:t>1.5.3本项目是否接受联合体响应，见“供应商须知前附表”规定。</w:t>
      </w:r>
    </w:p>
    <w:p w14:paraId="403DD7FC">
      <w:pPr>
        <w:spacing w:before="120" w:line="320" w:lineRule="atLeast"/>
        <w:ind w:firstLine="420" w:firstLineChars="200"/>
        <w:rPr>
          <w:color w:val="auto"/>
          <w:szCs w:val="21"/>
          <w:highlight w:val="none"/>
        </w:rPr>
      </w:pPr>
      <w:r>
        <w:rPr>
          <w:rFonts w:hint="eastAsia"/>
          <w:color w:val="auto"/>
          <w:szCs w:val="21"/>
          <w:highlight w:val="none"/>
        </w:rPr>
        <w:t xml:space="preserve">如接受联合体响应，联合体响应要求如下： </w:t>
      </w:r>
    </w:p>
    <w:p w14:paraId="56F17D7C">
      <w:pPr>
        <w:spacing w:before="120" w:line="320" w:lineRule="atLeast"/>
        <w:ind w:firstLine="420" w:firstLineChars="200"/>
        <w:rPr>
          <w:color w:val="auto"/>
          <w:szCs w:val="21"/>
          <w:highlight w:val="none"/>
        </w:rPr>
      </w:pPr>
      <w:r>
        <w:rPr>
          <w:rFonts w:hint="eastAsia"/>
          <w:color w:val="auto"/>
          <w:szCs w:val="21"/>
          <w:highlight w:val="none"/>
        </w:rPr>
        <w:t>（1）供应商可以组成一个响应联合体，以一个供应商的身份共同参加响应。联合体响应的，须提供《联合体协议书》（格式后附）</w:t>
      </w:r>
    </w:p>
    <w:p w14:paraId="0C1506EB">
      <w:pPr>
        <w:spacing w:before="120" w:line="320" w:lineRule="atLeast"/>
        <w:ind w:firstLine="420" w:firstLineChars="200"/>
        <w:rPr>
          <w:color w:val="auto"/>
          <w:szCs w:val="21"/>
          <w:highlight w:val="none"/>
        </w:rPr>
      </w:pPr>
      <w:r>
        <w:rPr>
          <w:rFonts w:hint="eastAsia"/>
          <w:color w:val="auto"/>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697A315D">
      <w:pPr>
        <w:spacing w:before="120" w:line="320" w:lineRule="atLeast"/>
        <w:ind w:firstLine="420" w:firstLineChars="200"/>
        <w:rPr>
          <w:color w:val="auto"/>
          <w:szCs w:val="21"/>
          <w:highlight w:val="none"/>
        </w:rPr>
      </w:pPr>
      <w:r>
        <w:rPr>
          <w:rFonts w:hint="eastAsia"/>
          <w:color w:val="auto"/>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6CD17A91">
      <w:pPr>
        <w:spacing w:before="120" w:line="320" w:lineRule="atLeast"/>
        <w:ind w:firstLine="420" w:firstLineChars="200"/>
        <w:rPr>
          <w:color w:val="auto"/>
          <w:szCs w:val="21"/>
          <w:highlight w:val="none"/>
        </w:rPr>
      </w:pPr>
      <w:r>
        <w:rPr>
          <w:rFonts w:hint="eastAsia"/>
          <w:color w:val="auto"/>
          <w:szCs w:val="21"/>
          <w:highlight w:val="none"/>
        </w:rPr>
        <w:t>（4）以联合体形式参加政府采购活动的，联合体各方不得再单独参加或者与其他供应商另外组成联合体参加同一合同项下的政府采购活动。</w:t>
      </w:r>
    </w:p>
    <w:p w14:paraId="547AB87D">
      <w:pPr>
        <w:spacing w:before="120" w:line="320" w:lineRule="atLeast"/>
        <w:ind w:firstLine="420" w:firstLineChars="200"/>
        <w:rPr>
          <w:color w:val="auto"/>
          <w:szCs w:val="21"/>
          <w:highlight w:val="none"/>
        </w:rPr>
      </w:pPr>
      <w:r>
        <w:rPr>
          <w:rFonts w:hint="eastAsia"/>
          <w:color w:val="auto"/>
          <w:szCs w:val="21"/>
          <w:highlight w:val="none"/>
        </w:rPr>
        <w:t>（5）联合体中有同类资质的供应商按照联合体分工承担相同工作的，应当按照资质等级较低的供应商确定资质等级。</w:t>
      </w:r>
    </w:p>
    <w:p w14:paraId="602E1A11">
      <w:pPr>
        <w:spacing w:before="120" w:line="320" w:lineRule="atLeast"/>
        <w:ind w:firstLine="420" w:firstLineChars="200"/>
        <w:rPr>
          <w:color w:val="auto"/>
          <w:szCs w:val="21"/>
          <w:highlight w:val="none"/>
        </w:rPr>
      </w:pPr>
      <w:r>
        <w:rPr>
          <w:rFonts w:hint="eastAsia"/>
          <w:color w:val="auto"/>
          <w:szCs w:val="21"/>
          <w:highlight w:val="none"/>
        </w:rPr>
        <w:t>（6）联合体响应业绩、履约能力按照联合体各方其中较高的一方认定并计算（采购文件其他章节另有规定的除外）。</w:t>
      </w:r>
    </w:p>
    <w:p w14:paraId="60B84B6C">
      <w:pPr>
        <w:spacing w:before="120" w:line="320" w:lineRule="atLeast"/>
        <w:ind w:firstLine="420" w:firstLineChars="200"/>
        <w:rPr>
          <w:color w:val="auto"/>
          <w:szCs w:val="21"/>
          <w:highlight w:val="none"/>
        </w:rPr>
      </w:pPr>
      <w:r>
        <w:rPr>
          <w:rFonts w:hint="eastAsia"/>
          <w:color w:val="auto"/>
          <w:szCs w:val="21"/>
          <w:highlight w:val="none"/>
        </w:rPr>
        <w:t>（7）供应商为联合体的，可以由联合体中的一方或者多方共同交纳磋商保证金，其交纳的保证金对联合体各方均具有约束力。</w:t>
      </w:r>
    </w:p>
    <w:p w14:paraId="42F49932">
      <w:pPr>
        <w:spacing w:before="120" w:line="320" w:lineRule="atLeast"/>
        <w:ind w:firstLine="420" w:firstLineChars="200"/>
        <w:rPr>
          <w:color w:val="auto"/>
          <w:szCs w:val="21"/>
          <w:highlight w:val="none"/>
        </w:rPr>
      </w:pPr>
      <w:r>
        <w:rPr>
          <w:rFonts w:hint="eastAsia"/>
          <w:color w:val="auto"/>
          <w:szCs w:val="21"/>
          <w:highlight w:val="none"/>
        </w:rPr>
        <w:t>（8）联合体各方均应按照采购文件的规定提交资格证明文件。</w:t>
      </w:r>
    </w:p>
    <w:p w14:paraId="6B33D3A3">
      <w:pPr>
        <w:spacing w:before="120" w:line="320" w:lineRule="atLeast"/>
        <w:ind w:firstLine="422" w:firstLineChars="200"/>
        <w:outlineLvl w:val="2"/>
        <w:rPr>
          <w:b/>
          <w:bCs/>
          <w:color w:val="auto"/>
          <w:kern w:val="0"/>
          <w:szCs w:val="21"/>
          <w:highlight w:val="none"/>
        </w:rPr>
      </w:pPr>
      <w:bookmarkStart w:id="39" w:name="_Toc254970531"/>
      <w:bookmarkStart w:id="40" w:name="_Toc254970672"/>
      <w:r>
        <w:rPr>
          <w:b/>
          <w:bCs/>
          <w:color w:val="auto"/>
          <w:kern w:val="0"/>
          <w:szCs w:val="21"/>
          <w:highlight w:val="none"/>
        </w:rPr>
        <w:t>1.6现场踏勘及响应费用</w:t>
      </w:r>
      <w:bookmarkEnd w:id="39"/>
      <w:bookmarkEnd w:id="40"/>
    </w:p>
    <w:p w14:paraId="708A979F">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05480B27">
      <w:pPr>
        <w:spacing w:before="120" w:line="320" w:lineRule="atLeast"/>
        <w:ind w:firstLine="420" w:firstLineChars="200"/>
        <w:rPr>
          <w:color w:val="auto"/>
          <w:szCs w:val="21"/>
          <w:highlight w:val="none"/>
        </w:rPr>
      </w:pPr>
      <w:r>
        <w:rPr>
          <w:color w:val="auto"/>
          <w:szCs w:val="21"/>
          <w:highlight w:val="none"/>
        </w:rPr>
        <w:t>1.6.2供应商均应自行承担所有与响应有关的全部费用（采购文件有相关的规定除外）。</w:t>
      </w:r>
    </w:p>
    <w:p w14:paraId="2A3106C1">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29484501">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采购文件</w:t>
      </w:r>
      <w:r>
        <w:rPr>
          <w:color w:val="auto"/>
          <w:szCs w:val="21"/>
          <w:highlight w:val="none"/>
        </w:rPr>
        <w:t>其他地方无特别规定</w:t>
      </w:r>
      <w:r>
        <w:rPr>
          <w:rFonts w:hint="eastAsia"/>
          <w:color w:val="auto"/>
          <w:szCs w:val="21"/>
          <w:highlight w:val="none"/>
        </w:rPr>
        <w:t>，</w:t>
      </w:r>
      <w:r>
        <w:rPr>
          <w:color w:val="auto"/>
          <w:szCs w:val="21"/>
          <w:highlight w:val="none"/>
        </w:rPr>
        <w:t>本项目不允许转包。</w:t>
      </w:r>
    </w:p>
    <w:p w14:paraId="3CBC8BD6">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2474858F">
      <w:pPr>
        <w:spacing w:before="120" w:line="276" w:lineRule="auto"/>
        <w:ind w:firstLine="422" w:firstLineChars="200"/>
        <w:outlineLvl w:val="2"/>
        <w:rPr>
          <w:b/>
          <w:bCs/>
          <w:color w:val="auto"/>
          <w:kern w:val="0"/>
          <w:szCs w:val="21"/>
          <w:highlight w:val="none"/>
        </w:rPr>
      </w:pPr>
      <w:bookmarkStart w:id="41" w:name="_Toc254970532"/>
      <w:bookmarkStart w:id="42" w:name="_Toc254970673"/>
      <w:r>
        <w:rPr>
          <w:b/>
          <w:bCs/>
          <w:color w:val="auto"/>
          <w:kern w:val="0"/>
          <w:szCs w:val="21"/>
          <w:highlight w:val="none"/>
        </w:rPr>
        <w:t>1.8特别说明</w:t>
      </w:r>
      <w:bookmarkEnd w:id="41"/>
      <w:bookmarkEnd w:id="42"/>
    </w:p>
    <w:p w14:paraId="0862C263">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2629E1B2">
      <w:pPr>
        <w:spacing w:before="120" w:line="320" w:lineRule="atLeast"/>
        <w:ind w:firstLine="420" w:firstLineChars="200"/>
        <w:rPr>
          <w:color w:val="auto"/>
          <w:szCs w:val="21"/>
          <w:highlight w:val="none"/>
        </w:rPr>
      </w:pPr>
      <w:r>
        <w:rPr>
          <w:color w:val="auto"/>
          <w:szCs w:val="21"/>
          <w:highlight w:val="none"/>
        </w:rPr>
        <w:t>1.8.2供应商应仔细阅读采购文件的所有内容，按照采购文件的要求提交响应文件，并对所提供的全部资料的真实性承担法律责任。</w:t>
      </w:r>
    </w:p>
    <w:p w14:paraId="0D032434">
      <w:pPr>
        <w:spacing w:before="120" w:line="360" w:lineRule="auto"/>
        <w:ind w:firstLine="420" w:firstLineChars="200"/>
        <w:rPr>
          <w:color w:val="auto"/>
          <w:szCs w:val="21"/>
          <w:highlight w:val="none"/>
        </w:rPr>
      </w:pPr>
      <w:r>
        <w:rPr>
          <w:color w:val="auto"/>
          <w:szCs w:val="21"/>
          <w:highlight w:val="none"/>
        </w:rPr>
        <w:t>1.8.3供应商在响应活动中提供任何虚假材料，</w:t>
      </w:r>
      <w:r>
        <w:rPr>
          <w:rFonts w:hint="eastAsia"/>
          <w:color w:val="auto"/>
          <w:szCs w:val="21"/>
          <w:highlight w:val="none"/>
        </w:rPr>
        <w:t>将</w:t>
      </w:r>
      <w:r>
        <w:rPr>
          <w:color w:val="auto"/>
          <w:szCs w:val="21"/>
          <w:highlight w:val="none"/>
        </w:rPr>
        <w:t xml:space="preserve">报监管部门查处； </w:t>
      </w:r>
    </w:p>
    <w:p w14:paraId="7A3DE1B9">
      <w:pPr>
        <w:spacing w:before="120" w:line="320" w:lineRule="atLeast"/>
        <w:ind w:left="2" w:leftChars="1" w:firstLine="422" w:firstLineChars="200"/>
        <w:outlineLvl w:val="1"/>
        <w:rPr>
          <w:b/>
          <w:bCs/>
          <w:color w:val="auto"/>
          <w:kern w:val="0"/>
          <w:szCs w:val="21"/>
          <w:highlight w:val="none"/>
        </w:rPr>
      </w:pPr>
      <w:bookmarkStart w:id="43" w:name="_Toc254970675"/>
      <w:bookmarkStart w:id="44" w:name="_Toc254970534"/>
      <w:r>
        <w:rPr>
          <w:b/>
          <w:bCs/>
          <w:color w:val="auto"/>
          <w:kern w:val="0"/>
          <w:szCs w:val="21"/>
          <w:highlight w:val="none"/>
        </w:rPr>
        <w:t>2．采购文件</w:t>
      </w:r>
      <w:bookmarkEnd w:id="43"/>
      <w:bookmarkEnd w:id="44"/>
    </w:p>
    <w:p w14:paraId="56D7A6D6">
      <w:pPr>
        <w:spacing w:before="120" w:line="320" w:lineRule="atLeast"/>
        <w:ind w:firstLine="422" w:firstLineChars="200"/>
        <w:outlineLvl w:val="2"/>
        <w:rPr>
          <w:b/>
          <w:bCs/>
          <w:color w:val="auto"/>
          <w:kern w:val="0"/>
          <w:szCs w:val="21"/>
          <w:highlight w:val="none"/>
        </w:rPr>
      </w:pPr>
      <w:r>
        <w:rPr>
          <w:b/>
          <w:bCs/>
          <w:color w:val="auto"/>
          <w:kern w:val="0"/>
          <w:szCs w:val="21"/>
          <w:highlight w:val="none"/>
        </w:rPr>
        <w:t>2.1采购文件的构成</w:t>
      </w:r>
    </w:p>
    <w:p w14:paraId="5E340189">
      <w:pPr>
        <w:spacing w:before="120" w:line="320" w:lineRule="atLeast"/>
        <w:ind w:firstLine="420" w:firstLineChars="200"/>
        <w:rPr>
          <w:color w:val="auto"/>
          <w:szCs w:val="21"/>
          <w:highlight w:val="none"/>
        </w:rPr>
      </w:pPr>
      <w:r>
        <w:rPr>
          <w:color w:val="auto"/>
          <w:szCs w:val="21"/>
          <w:highlight w:val="none"/>
        </w:rPr>
        <w:t>第一章 磋商公告</w:t>
      </w:r>
    </w:p>
    <w:p w14:paraId="603B673B">
      <w:pPr>
        <w:spacing w:before="120" w:line="320" w:lineRule="atLeast"/>
        <w:ind w:firstLine="420" w:firstLineChars="200"/>
        <w:rPr>
          <w:color w:val="auto"/>
          <w:szCs w:val="21"/>
          <w:highlight w:val="none"/>
        </w:rPr>
      </w:pPr>
      <w:r>
        <w:rPr>
          <w:color w:val="auto"/>
          <w:szCs w:val="21"/>
          <w:highlight w:val="none"/>
        </w:rPr>
        <w:t>第二章 采购需求</w:t>
      </w:r>
    </w:p>
    <w:p w14:paraId="73E754B5">
      <w:pPr>
        <w:spacing w:before="120" w:line="320" w:lineRule="atLeast"/>
        <w:ind w:firstLine="420" w:firstLineChars="200"/>
        <w:rPr>
          <w:color w:val="auto"/>
          <w:szCs w:val="21"/>
          <w:highlight w:val="none"/>
        </w:rPr>
      </w:pPr>
      <w:r>
        <w:rPr>
          <w:color w:val="auto"/>
          <w:szCs w:val="21"/>
          <w:highlight w:val="none"/>
        </w:rPr>
        <w:t>第三章 供应商须知</w:t>
      </w:r>
    </w:p>
    <w:p w14:paraId="1FD7A905">
      <w:pPr>
        <w:spacing w:before="120" w:line="320" w:lineRule="atLeast"/>
        <w:ind w:firstLine="420" w:firstLineChars="200"/>
        <w:rPr>
          <w:color w:val="auto"/>
          <w:szCs w:val="21"/>
          <w:highlight w:val="none"/>
        </w:rPr>
      </w:pPr>
      <w:r>
        <w:rPr>
          <w:color w:val="auto"/>
          <w:szCs w:val="21"/>
          <w:highlight w:val="none"/>
        </w:rPr>
        <w:t>第四章 评审方法及标准</w:t>
      </w:r>
    </w:p>
    <w:p w14:paraId="71DDF041">
      <w:pPr>
        <w:spacing w:before="120" w:line="320" w:lineRule="atLeast"/>
        <w:ind w:firstLine="420" w:firstLineChars="200"/>
        <w:rPr>
          <w:color w:val="auto"/>
          <w:szCs w:val="21"/>
          <w:highlight w:val="none"/>
        </w:rPr>
      </w:pPr>
      <w:r>
        <w:rPr>
          <w:color w:val="auto"/>
          <w:szCs w:val="21"/>
          <w:highlight w:val="none"/>
        </w:rPr>
        <w:t>第五章 合同主要条款格式</w:t>
      </w:r>
    </w:p>
    <w:p w14:paraId="5492420C">
      <w:pPr>
        <w:spacing w:before="120" w:line="320" w:lineRule="atLeast"/>
        <w:ind w:firstLine="420" w:firstLineChars="200"/>
        <w:rPr>
          <w:color w:val="auto"/>
          <w:szCs w:val="21"/>
          <w:highlight w:val="none"/>
        </w:rPr>
      </w:pPr>
      <w:r>
        <w:rPr>
          <w:color w:val="auto"/>
          <w:szCs w:val="21"/>
          <w:highlight w:val="none"/>
        </w:rPr>
        <w:t>第六章 响应文件格式</w:t>
      </w:r>
    </w:p>
    <w:p w14:paraId="3BD39CA8">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24D32595">
      <w:pPr>
        <w:spacing w:before="120" w:line="320" w:lineRule="atLeast"/>
        <w:ind w:firstLine="420" w:firstLineChars="200"/>
        <w:rPr>
          <w:color w:val="auto"/>
          <w:szCs w:val="21"/>
          <w:highlight w:val="none"/>
        </w:rPr>
      </w:pPr>
      <w:r>
        <w:rPr>
          <w:color w:val="auto"/>
          <w:szCs w:val="21"/>
          <w:highlight w:val="none"/>
        </w:rPr>
        <w:t>供应商没有按照采购文件要求提供全部资料，或者供应商没有对采购文件在各方面作出实质性响应是供应商的风险，并可能导致其响应被否决。</w:t>
      </w:r>
    </w:p>
    <w:p w14:paraId="6382B41A">
      <w:pPr>
        <w:spacing w:before="120" w:line="320" w:lineRule="atLeast"/>
        <w:ind w:firstLine="422" w:firstLineChars="200"/>
        <w:outlineLvl w:val="2"/>
        <w:rPr>
          <w:b/>
          <w:color w:val="auto"/>
          <w:szCs w:val="21"/>
          <w:highlight w:val="none"/>
        </w:rPr>
      </w:pPr>
      <w:r>
        <w:rPr>
          <w:b/>
          <w:bCs/>
          <w:color w:val="auto"/>
          <w:kern w:val="0"/>
          <w:szCs w:val="21"/>
          <w:highlight w:val="none"/>
        </w:rPr>
        <w:t>2.3采购文件的澄清与修改</w:t>
      </w:r>
    </w:p>
    <w:p w14:paraId="3D2F2A05">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任何已获得采购文件的潜在供应商，均可</w:t>
      </w:r>
      <w:r>
        <w:rPr>
          <w:color w:val="auto"/>
          <w:szCs w:val="21"/>
          <w:highlight w:val="none"/>
        </w:rPr>
        <w:t>以书面形式要求采购代理机构作出书面解释、澄清</w:t>
      </w:r>
      <w:r>
        <w:rPr>
          <w:rFonts w:hint="eastAsia"/>
          <w:color w:val="auto"/>
          <w:szCs w:val="21"/>
          <w:highlight w:val="none"/>
        </w:rPr>
        <w:t>。</w:t>
      </w:r>
    </w:p>
    <w:p w14:paraId="27DED9A6">
      <w:pPr>
        <w:spacing w:before="120" w:line="320" w:lineRule="atLeast"/>
        <w:ind w:firstLine="420" w:firstLineChars="200"/>
        <w:rPr>
          <w:rFonts w:hint="eastAsia"/>
          <w:color w:val="auto"/>
          <w:szCs w:val="21"/>
          <w:highlight w:val="none"/>
        </w:rPr>
      </w:pPr>
      <w:r>
        <w:rPr>
          <w:color w:val="auto"/>
          <w:szCs w:val="21"/>
          <w:highlight w:val="none"/>
        </w:rPr>
        <w:t>2.3.2</w:t>
      </w:r>
      <w:r>
        <w:rPr>
          <w:rFonts w:hint="eastAsia"/>
          <w:color w:val="auto"/>
          <w:szCs w:val="21"/>
          <w:highlight w:val="none"/>
        </w:rPr>
        <w:t>采购人、采购代理机构可以对已发出的采购文件进行必要的澄清或者修改，澄清或者修改的内容可能影响响应文件编制的，采购人、采购代理机构应当在提交首次响应文件截止之日3个工作日前，在供应商须知前附表规定的方式通知所有获取采购文件的潜在供应商，不足3个工作日的，采购人、采购代理机构应当顺延提交首次响应文件截止时间。</w:t>
      </w:r>
      <w:r>
        <w:rPr>
          <w:color w:val="auto"/>
          <w:szCs w:val="21"/>
          <w:highlight w:val="none"/>
        </w:rPr>
        <w:t xml:space="preserve"> </w:t>
      </w:r>
    </w:p>
    <w:p w14:paraId="4C139BC4">
      <w:pPr>
        <w:spacing w:before="120" w:line="320" w:lineRule="atLeast"/>
        <w:ind w:firstLine="420" w:firstLineChars="200"/>
        <w:rPr>
          <w:color w:val="auto"/>
          <w:szCs w:val="21"/>
          <w:highlight w:val="none"/>
        </w:rPr>
      </w:pPr>
      <w:r>
        <w:rPr>
          <w:color w:val="auto"/>
          <w:szCs w:val="21"/>
          <w:highlight w:val="none"/>
        </w:rPr>
        <w:t>2.3.3采购文件澄清、答复、修改、补充的内容为采购文件的组成部分。当采购文件与采购文件的答复、澄清、修改、补充通知就同一内容的表述不一致时，以最后发出的公告或书面文件为准。</w:t>
      </w:r>
    </w:p>
    <w:p w14:paraId="452B6395">
      <w:pPr>
        <w:spacing w:before="120" w:line="320" w:lineRule="atLeast"/>
        <w:ind w:left="2" w:leftChars="1" w:firstLine="422" w:firstLineChars="200"/>
        <w:outlineLvl w:val="1"/>
        <w:rPr>
          <w:b/>
          <w:bCs/>
          <w:color w:val="auto"/>
          <w:kern w:val="0"/>
          <w:szCs w:val="21"/>
          <w:highlight w:val="none"/>
        </w:rPr>
      </w:pPr>
      <w:bookmarkStart w:id="45" w:name="_Toc254970535"/>
      <w:bookmarkStart w:id="46" w:name="_Toc254970676"/>
      <w:r>
        <w:rPr>
          <w:b/>
          <w:bCs/>
          <w:color w:val="auto"/>
          <w:kern w:val="0"/>
          <w:szCs w:val="21"/>
          <w:highlight w:val="none"/>
        </w:rPr>
        <w:t>3．响应文件</w:t>
      </w:r>
      <w:bookmarkEnd w:id="45"/>
      <w:bookmarkEnd w:id="46"/>
    </w:p>
    <w:p w14:paraId="424FFAEA">
      <w:pPr>
        <w:spacing w:before="120" w:line="320" w:lineRule="atLeast"/>
        <w:ind w:firstLine="422" w:firstLineChars="200"/>
        <w:outlineLvl w:val="2"/>
        <w:rPr>
          <w:b/>
          <w:bCs/>
          <w:color w:val="auto"/>
          <w:kern w:val="0"/>
          <w:szCs w:val="21"/>
          <w:highlight w:val="none"/>
        </w:rPr>
      </w:pPr>
      <w:bookmarkStart w:id="47" w:name="_Toc254970536"/>
      <w:bookmarkStart w:id="48" w:name="_Toc254970677"/>
      <w:r>
        <w:rPr>
          <w:b/>
          <w:bCs/>
          <w:color w:val="auto"/>
          <w:kern w:val="0"/>
          <w:szCs w:val="21"/>
          <w:highlight w:val="none"/>
        </w:rPr>
        <w:t>3.1响应文件的组成</w:t>
      </w:r>
      <w:bookmarkEnd w:id="47"/>
      <w:bookmarkEnd w:id="48"/>
    </w:p>
    <w:p w14:paraId="5006F00C">
      <w:pPr>
        <w:spacing w:before="120" w:line="320" w:lineRule="atLeast"/>
        <w:ind w:firstLine="420" w:firstLineChars="200"/>
        <w:rPr>
          <w:color w:val="auto"/>
          <w:szCs w:val="21"/>
          <w:highlight w:val="none"/>
        </w:rPr>
      </w:pPr>
      <w:r>
        <w:rPr>
          <w:color w:val="auto"/>
          <w:szCs w:val="21"/>
          <w:highlight w:val="none"/>
        </w:rPr>
        <w:t>响应文件由第六章“响应文件格式”规定的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3A2FC4C0">
      <w:pPr>
        <w:spacing w:before="120" w:line="320" w:lineRule="atLeast"/>
        <w:ind w:firstLine="422" w:firstLineChars="200"/>
        <w:outlineLvl w:val="2"/>
        <w:rPr>
          <w:b/>
          <w:bCs/>
          <w:color w:val="auto"/>
          <w:kern w:val="0"/>
          <w:szCs w:val="21"/>
          <w:highlight w:val="none"/>
        </w:rPr>
      </w:pPr>
      <w:bookmarkStart w:id="49" w:name="_Toc254970537"/>
      <w:bookmarkStart w:id="50" w:name="_Toc254970678"/>
      <w:r>
        <w:rPr>
          <w:b/>
          <w:color w:val="auto"/>
          <w:szCs w:val="21"/>
          <w:highlight w:val="none"/>
        </w:rPr>
        <w:t>3.2</w:t>
      </w:r>
      <w:r>
        <w:rPr>
          <w:b/>
          <w:bCs/>
          <w:color w:val="auto"/>
          <w:kern w:val="0"/>
          <w:szCs w:val="21"/>
          <w:highlight w:val="none"/>
        </w:rPr>
        <w:t>响应文件的语言及计量</w:t>
      </w:r>
      <w:bookmarkEnd w:id="49"/>
      <w:bookmarkEnd w:id="50"/>
    </w:p>
    <w:p w14:paraId="60061A74">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1422ADD3">
      <w:pPr>
        <w:spacing w:before="120" w:line="320" w:lineRule="atLeast"/>
        <w:ind w:firstLine="420" w:firstLineChars="200"/>
        <w:rPr>
          <w:color w:val="auto"/>
          <w:szCs w:val="21"/>
          <w:highlight w:val="none"/>
        </w:rPr>
      </w:pPr>
      <w:r>
        <w:rPr>
          <w:color w:val="auto"/>
          <w:szCs w:val="21"/>
          <w:highlight w:val="none"/>
        </w:rPr>
        <w:t>3.2.2计量单位采购文件已有明确规定的，响应使用采购文件规定的计量单位；采购文件没有规定的，应采用中华人民共和国法定计量单位。</w:t>
      </w:r>
    </w:p>
    <w:p w14:paraId="330ED220">
      <w:pPr>
        <w:spacing w:before="120" w:line="320" w:lineRule="atLeast"/>
        <w:ind w:firstLine="422" w:firstLineChars="200"/>
        <w:outlineLvl w:val="2"/>
        <w:rPr>
          <w:b/>
          <w:bCs/>
          <w:color w:val="auto"/>
          <w:kern w:val="0"/>
          <w:szCs w:val="21"/>
          <w:highlight w:val="none"/>
        </w:rPr>
      </w:pPr>
      <w:bookmarkStart w:id="51" w:name="_Toc254970538"/>
      <w:bookmarkStart w:id="52" w:name="_Toc254970679"/>
      <w:r>
        <w:rPr>
          <w:b/>
          <w:bCs/>
          <w:color w:val="auto"/>
          <w:kern w:val="0"/>
          <w:szCs w:val="21"/>
          <w:highlight w:val="none"/>
        </w:rPr>
        <w:t>3.3响应报价</w:t>
      </w:r>
      <w:bookmarkEnd w:id="51"/>
      <w:bookmarkEnd w:id="52"/>
    </w:p>
    <w:p w14:paraId="243313A2">
      <w:pPr>
        <w:spacing w:before="120" w:line="320" w:lineRule="atLeast"/>
        <w:ind w:firstLine="420" w:firstLineChars="200"/>
        <w:rPr>
          <w:color w:val="auto"/>
          <w:szCs w:val="21"/>
          <w:highlight w:val="none"/>
        </w:rPr>
      </w:pPr>
      <w:r>
        <w:rPr>
          <w:color w:val="auto"/>
          <w:szCs w:val="21"/>
          <w:highlight w:val="none"/>
        </w:rPr>
        <w:t>3.3.1响应报价应按采购文件中相关附表格式填写。</w:t>
      </w:r>
    </w:p>
    <w:p w14:paraId="5D94AFC9">
      <w:pPr>
        <w:spacing w:before="120" w:line="320" w:lineRule="atLeast"/>
        <w:ind w:firstLine="420" w:firstLineChars="200"/>
        <w:rPr>
          <w:color w:val="auto"/>
          <w:szCs w:val="21"/>
          <w:highlight w:val="none"/>
        </w:rPr>
      </w:pPr>
      <w:r>
        <w:rPr>
          <w:color w:val="auto"/>
          <w:szCs w:val="21"/>
          <w:highlight w:val="none"/>
        </w:rPr>
        <w:t>3.3.2响应文件只允许有一个报价，有选择的或有条件的报价将不予接受。</w:t>
      </w:r>
    </w:p>
    <w:p w14:paraId="20980138">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响应报价</w:t>
      </w:r>
      <w:r>
        <w:rPr>
          <w:color w:val="auto"/>
          <w:kern w:val="1"/>
          <w:szCs w:val="21"/>
          <w:highlight w:val="none"/>
        </w:rPr>
        <w:t>。在合同实施时，采购人将不予支付成交供应商没有列入的项目费用，并认为此项目的费用已包括在</w:t>
      </w:r>
      <w:r>
        <w:rPr>
          <w:rFonts w:hint="eastAsia"/>
          <w:color w:val="auto"/>
          <w:kern w:val="1"/>
          <w:szCs w:val="21"/>
          <w:highlight w:val="none"/>
        </w:rPr>
        <w:t>响应报价</w:t>
      </w:r>
      <w:r>
        <w:rPr>
          <w:color w:val="auto"/>
          <w:kern w:val="1"/>
          <w:szCs w:val="21"/>
          <w:highlight w:val="none"/>
        </w:rPr>
        <w:t>中。</w:t>
      </w:r>
    </w:p>
    <w:p w14:paraId="5C6AE565">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1FB63132">
      <w:pPr>
        <w:spacing w:before="120" w:line="320" w:lineRule="atLeast"/>
        <w:ind w:firstLine="422" w:firstLineChars="200"/>
        <w:outlineLvl w:val="2"/>
        <w:rPr>
          <w:b/>
          <w:bCs/>
          <w:color w:val="auto"/>
          <w:kern w:val="0"/>
          <w:szCs w:val="21"/>
          <w:highlight w:val="none"/>
        </w:rPr>
      </w:pPr>
      <w:r>
        <w:rPr>
          <w:b/>
          <w:bCs/>
          <w:color w:val="auto"/>
          <w:kern w:val="0"/>
          <w:szCs w:val="21"/>
          <w:highlight w:val="none"/>
        </w:rPr>
        <w:t>3.4响应有效期</w:t>
      </w:r>
    </w:p>
    <w:p w14:paraId="04B2D407">
      <w:pPr>
        <w:spacing w:before="120" w:line="320" w:lineRule="atLeast"/>
        <w:ind w:firstLine="420" w:firstLineChars="200"/>
        <w:rPr>
          <w:color w:val="auto"/>
          <w:szCs w:val="21"/>
          <w:highlight w:val="none"/>
        </w:rPr>
      </w:pPr>
      <w:r>
        <w:rPr>
          <w:color w:val="auto"/>
          <w:szCs w:val="21"/>
          <w:highlight w:val="none"/>
        </w:rPr>
        <w:t>3.4.1如采购文件其他地方无特别规定</w:t>
      </w:r>
      <w:r>
        <w:rPr>
          <w:rFonts w:hint="eastAsia"/>
          <w:color w:val="auto"/>
          <w:szCs w:val="21"/>
          <w:highlight w:val="none"/>
        </w:rPr>
        <w:t>，</w:t>
      </w:r>
      <w:r>
        <w:rPr>
          <w:color w:val="auto"/>
          <w:szCs w:val="21"/>
          <w:highlight w:val="none"/>
        </w:rPr>
        <w:t>响应有效期则为响应截止之日起90天</w:t>
      </w:r>
      <w:r>
        <w:rPr>
          <w:rFonts w:hint="eastAsia"/>
          <w:color w:val="auto"/>
          <w:szCs w:val="21"/>
          <w:highlight w:val="none"/>
        </w:rPr>
        <w:t>。</w:t>
      </w:r>
      <w:r>
        <w:rPr>
          <w:color w:val="auto"/>
          <w:szCs w:val="21"/>
          <w:highlight w:val="none"/>
        </w:rPr>
        <w:t>在响应有效期内响应文件应保持有效。</w:t>
      </w:r>
      <w:r>
        <w:rPr>
          <w:b/>
          <w:bCs/>
          <w:color w:val="auto"/>
          <w:szCs w:val="21"/>
          <w:highlight w:val="none"/>
        </w:rPr>
        <w:t>有效期不足的响应文件将被否决</w:t>
      </w:r>
      <w:r>
        <w:rPr>
          <w:color w:val="auto"/>
          <w:szCs w:val="21"/>
          <w:highlight w:val="none"/>
        </w:rPr>
        <w:t>。</w:t>
      </w:r>
    </w:p>
    <w:p w14:paraId="09241475">
      <w:pPr>
        <w:spacing w:before="120" w:line="320" w:lineRule="atLeast"/>
        <w:ind w:firstLine="420" w:firstLineChars="200"/>
        <w:rPr>
          <w:color w:val="auto"/>
          <w:szCs w:val="21"/>
          <w:highlight w:val="none"/>
        </w:rPr>
      </w:pPr>
      <w:r>
        <w:rPr>
          <w:color w:val="auto"/>
          <w:szCs w:val="21"/>
          <w:highlight w:val="none"/>
        </w:rPr>
        <w:t>3.4.2在特殊情况下，采购人可与供应商协商延长响应文件的有效期，这种要求和答复均以书面形式进行。</w:t>
      </w:r>
    </w:p>
    <w:p w14:paraId="5B4AB222">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044AD5D0">
      <w:pPr>
        <w:spacing w:before="120" w:line="320" w:lineRule="atLeast"/>
        <w:ind w:firstLine="422" w:firstLineChars="200"/>
        <w:outlineLvl w:val="2"/>
        <w:rPr>
          <w:b/>
          <w:bCs/>
          <w:color w:val="auto"/>
          <w:kern w:val="0"/>
          <w:szCs w:val="21"/>
          <w:highlight w:val="none"/>
        </w:rPr>
      </w:pPr>
      <w:bookmarkStart w:id="53" w:name="_Toc254970541"/>
      <w:bookmarkStart w:id="54" w:name="_Toc254970682"/>
      <w:r>
        <w:rPr>
          <w:b/>
          <w:bCs/>
          <w:color w:val="auto"/>
          <w:kern w:val="0"/>
          <w:szCs w:val="21"/>
          <w:highlight w:val="none"/>
        </w:rPr>
        <w:t>3.5磋商保证金</w:t>
      </w:r>
      <w:bookmarkEnd w:id="53"/>
      <w:bookmarkEnd w:id="54"/>
    </w:p>
    <w:p w14:paraId="76A5BA61">
      <w:pPr>
        <w:spacing w:before="120" w:line="320" w:lineRule="atLeast"/>
        <w:ind w:firstLine="420" w:firstLineChars="200"/>
        <w:rPr>
          <w:color w:val="auto"/>
          <w:szCs w:val="21"/>
          <w:highlight w:val="none"/>
        </w:rPr>
      </w:pPr>
      <w:r>
        <w:rPr>
          <w:color w:val="auto"/>
          <w:szCs w:val="21"/>
          <w:highlight w:val="none"/>
        </w:rPr>
        <w:t>3.5.1供应商须按须知前附表规定提交磋商保证金，</w:t>
      </w:r>
      <w:r>
        <w:rPr>
          <w:b/>
          <w:bCs/>
          <w:color w:val="auto"/>
          <w:szCs w:val="21"/>
          <w:highlight w:val="none"/>
        </w:rPr>
        <w:t>否则其响应将被否决</w:t>
      </w:r>
      <w:r>
        <w:rPr>
          <w:color w:val="auto"/>
          <w:szCs w:val="21"/>
          <w:highlight w:val="none"/>
        </w:rPr>
        <w:t>。除采购文件规定不予退还保证金的情形外，代理机构在规定时间内退回供应商的磋商保证金（供应商自行承担因未按供应商须知前附表要求交纳导致磋商保证金无法及时退还的责任）。</w:t>
      </w:r>
    </w:p>
    <w:p w14:paraId="4BBE178A">
      <w:pPr>
        <w:spacing w:before="120" w:line="320" w:lineRule="atLeast"/>
        <w:ind w:firstLine="420" w:firstLineChars="200"/>
        <w:rPr>
          <w:color w:val="auto"/>
          <w:szCs w:val="21"/>
          <w:highlight w:val="none"/>
        </w:rPr>
      </w:pPr>
      <w:r>
        <w:rPr>
          <w:color w:val="auto"/>
          <w:szCs w:val="21"/>
          <w:highlight w:val="none"/>
        </w:rPr>
        <w:t>3.5.2磋商保证金币种应与响应报价币种相同。</w:t>
      </w:r>
    </w:p>
    <w:p w14:paraId="26850CE8">
      <w:pPr>
        <w:spacing w:before="120" w:line="320" w:lineRule="atLeast"/>
        <w:ind w:firstLine="420" w:firstLineChars="200"/>
        <w:rPr>
          <w:color w:val="auto"/>
          <w:szCs w:val="21"/>
          <w:highlight w:val="none"/>
        </w:rPr>
      </w:pPr>
      <w:r>
        <w:rPr>
          <w:color w:val="auto"/>
          <w:szCs w:val="21"/>
          <w:highlight w:val="none"/>
        </w:rPr>
        <w:t>3.5.3未成交供应商的磋商保证金在成交通知书发出后5个工作日内退还。成交供应商的磋商保证金在合同签订后5个工作日内退还（办理退还手续时需要向采购代理机构提供两份合同复印件）。</w:t>
      </w:r>
    </w:p>
    <w:p w14:paraId="59F4B3E1">
      <w:pPr>
        <w:spacing w:before="120" w:line="320" w:lineRule="atLeast"/>
        <w:ind w:firstLine="420" w:firstLineChars="200"/>
        <w:rPr>
          <w:color w:val="auto"/>
          <w:szCs w:val="21"/>
          <w:highlight w:val="none"/>
        </w:rPr>
      </w:pPr>
      <w:r>
        <w:rPr>
          <w:color w:val="auto"/>
          <w:szCs w:val="21"/>
          <w:highlight w:val="none"/>
        </w:rPr>
        <w:t>3.5.4供应商有下列情形之一的，磋商保证金将不予退还：</w:t>
      </w:r>
    </w:p>
    <w:p w14:paraId="1A0415F0">
      <w:pPr>
        <w:numPr>
          <w:ilvl w:val="0"/>
          <w:numId w:val="3"/>
        </w:numPr>
        <w:spacing w:before="120" w:line="320" w:lineRule="atLeast"/>
        <w:rPr>
          <w:color w:val="auto"/>
          <w:szCs w:val="21"/>
          <w:highlight w:val="none"/>
        </w:rPr>
      </w:pPr>
      <w:r>
        <w:rPr>
          <w:color w:val="auto"/>
          <w:szCs w:val="21"/>
          <w:highlight w:val="none"/>
        </w:rPr>
        <w:t>供应商在响应有效期内撤销响应文件的；</w:t>
      </w:r>
    </w:p>
    <w:p w14:paraId="3D984973">
      <w:pPr>
        <w:numPr>
          <w:ilvl w:val="0"/>
          <w:numId w:val="3"/>
        </w:numPr>
        <w:spacing w:before="120" w:line="320" w:lineRule="atLeast"/>
        <w:rPr>
          <w:color w:val="auto"/>
          <w:szCs w:val="21"/>
          <w:highlight w:val="none"/>
        </w:rPr>
      </w:pPr>
      <w:r>
        <w:rPr>
          <w:color w:val="auto"/>
          <w:szCs w:val="21"/>
          <w:highlight w:val="none"/>
        </w:rPr>
        <w:t>供应商在响应过程中弄虚作假，提供虚假材料的；</w:t>
      </w:r>
    </w:p>
    <w:p w14:paraId="6FA251B6">
      <w:pPr>
        <w:numPr>
          <w:ilvl w:val="0"/>
          <w:numId w:val="3"/>
        </w:numPr>
        <w:spacing w:before="120" w:line="320" w:lineRule="atLeast"/>
        <w:rPr>
          <w:color w:val="auto"/>
          <w:szCs w:val="21"/>
          <w:highlight w:val="none"/>
        </w:rPr>
      </w:pPr>
      <w:r>
        <w:rPr>
          <w:color w:val="auto"/>
          <w:szCs w:val="21"/>
          <w:highlight w:val="none"/>
        </w:rPr>
        <w:t>成交供应商无正当理由不与采购人签订合同的；</w:t>
      </w:r>
    </w:p>
    <w:p w14:paraId="546288E7">
      <w:pPr>
        <w:numPr>
          <w:ilvl w:val="0"/>
          <w:numId w:val="3"/>
        </w:numPr>
        <w:spacing w:before="120" w:line="320" w:lineRule="atLeast"/>
        <w:rPr>
          <w:color w:val="auto"/>
          <w:szCs w:val="21"/>
          <w:highlight w:val="none"/>
        </w:rPr>
      </w:pPr>
      <w:r>
        <w:rPr>
          <w:color w:val="auto"/>
          <w:szCs w:val="21"/>
          <w:highlight w:val="none"/>
        </w:rPr>
        <w:t>将成交项目转让给他人或者在响应文件中未说明且未经采购人同意，将成交项目分包给他人的；</w:t>
      </w:r>
    </w:p>
    <w:p w14:paraId="369DC5AB">
      <w:pPr>
        <w:numPr>
          <w:ilvl w:val="0"/>
          <w:numId w:val="3"/>
        </w:numPr>
        <w:spacing w:before="120" w:line="320" w:lineRule="atLeast"/>
        <w:rPr>
          <w:color w:val="auto"/>
          <w:szCs w:val="21"/>
          <w:highlight w:val="none"/>
        </w:rPr>
      </w:pPr>
      <w:r>
        <w:rPr>
          <w:rFonts w:hint="eastAsia"/>
          <w:color w:val="auto"/>
          <w:szCs w:val="21"/>
          <w:highlight w:val="none"/>
        </w:rPr>
        <w:t>供应商与采购人、其他供应商或者采购代理机构恶意串通的；</w:t>
      </w:r>
    </w:p>
    <w:p w14:paraId="08A0613F">
      <w:pPr>
        <w:numPr>
          <w:ilvl w:val="0"/>
          <w:numId w:val="3"/>
        </w:numPr>
        <w:spacing w:before="120" w:line="320" w:lineRule="atLeast"/>
        <w:rPr>
          <w:color w:val="auto"/>
          <w:szCs w:val="21"/>
          <w:highlight w:val="none"/>
        </w:rPr>
      </w:pPr>
      <w:r>
        <w:rPr>
          <w:color w:val="auto"/>
          <w:szCs w:val="21"/>
          <w:highlight w:val="none"/>
        </w:rPr>
        <w:t>拒绝履行合同义务的；</w:t>
      </w:r>
    </w:p>
    <w:p w14:paraId="286DCE11">
      <w:pPr>
        <w:numPr>
          <w:ilvl w:val="0"/>
          <w:numId w:val="3"/>
        </w:numPr>
        <w:spacing w:before="120" w:line="320" w:lineRule="atLeast"/>
        <w:rPr>
          <w:color w:val="auto"/>
          <w:szCs w:val="21"/>
          <w:highlight w:val="none"/>
        </w:rPr>
      </w:pPr>
      <w:r>
        <w:rPr>
          <w:color w:val="auto"/>
          <w:szCs w:val="21"/>
          <w:highlight w:val="none"/>
        </w:rPr>
        <w:t>其他严重扰乱招</w:t>
      </w:r>
      <w:r>
        <w:rPr>
          <w:rFonts w:hint="eastAsia"/>
          <w:color w:val="auto"/>
          <w:szCs w:val="21"/>
          <w:highlight w:val="none"/>
        </w:rPr>
        <w:t>投标</w:t>
      </w:r>
      <w:r>
        <w:rPr>
          <w:color w:val="auto"/>
          <w:szCs w:val="21"/>
          <w:highlight w:val="none"/>
        </w:rPr>
        <w:t>程序的</w:t>
      </w:r>
      <w:r>
        <w:rPr>
          <w:rFonts w:hint="eastAsia"/>
          <w:color w:val="auto"/>
          <w:szCs w:val="21"/>
          <w:highlight w:val="none"/>
        </w:rPr>
        <w:t>。</w:t>
      </w:r>
    </w:p>
    <w:p w14:paraId="15C03DDF">
      <w:pPr>
        <w:spacing w:before="120" w:line="320" w:lineRule="atLeast"/>
        <w:ind w:firstLine="422" w:firstLineChars="200"/>
        <w:outlineLvl w:val="2"/>
        <w:rPr>
          <w:b/>
          <w:bCs/>
          <w:color w:val="auto"/>
          <w:kern w:val="0"/>
          <w:szCs w:val="21"/>
          <w:highlight w:val="none"/>
        </w:rPr>
      </w:pPr>
      <w:bookmarkStart w:id="55" w:name="_Toc254970542"/>
      <w:bookmarkStart w:id="56" w:name="_Toc254970683"/>
      <w:r>
        <w:rPr>
          <w:b/>
          <w:bCs/>
          <w:color w:val="auto"/>
          <w:kern w:val="0"/>
          <w:szCs w:val="21"/>
          <w:highlight w:val="none"/>
        </w:rPr>
        <w:t>3.6响应文件的</w:t>
      </w:r>
      <w:bookmarkEnd w:id="55"/>
      <w:bookmarkEnd w:id="56"/>
      <w:r>
        <w:rPr>
          <w:b/>
          <w:bCs/>
          <w:color w:val="auto"/>
          <w:kern w:val="0"/>
          <w:szCs w:val="21"/>
          <w:highlight w:val="none"/>
        </w:rPr>
        <w:t>编制要求</w:t>
      </w:r>
    </w:p>
    <w:p w14:paraId="6CD325AE">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供应商应先安装广西政府采购云平台新版客户端，通过账号密码或C</w:t>
      </w:r>
      <w:r>
        <w:rPr>
          <w:color w:val="auto"/>
          <w:szCs w:val="21"/>
          <w:highlight w:val="none"/>
        </w:rPr>
        <w:t>A</w:t>
      </w:r>
      <w:r>
        <w:rPr>
          <w:rFonts w:hint="eastAsia"/>
          <w:color w:val="auto"/>
          <w:szCs w:val="21"/>
          <w:highlight w:val="none"/>
        </w:rPr>
        <w:t>登录客户端制作响应文件。</w:t>
      </w:r>
    </w:p>
    <w:p w14:paraId="795077F3">
      <w:pPr>
        <w:spacing w:before="120" w:line="320" w:lineRule="atLeast"/>
        <w:ind w:firstLine="420" w:firstLineChars="200"/>
        <w:rPr>
          <w:color w:val="auto"/>
          <w:szCs w:val="21"/>
          <w:highlight w:val="none"/>
        </w:rPr>
      </w:pPr>
      <w:r>
        <w:rPr>
          <w:color w:val="auto"/>
          <w:szCs w:val="21"/>
          <w:highlight w:val="none"/>
        </w:rPr>
        <w:t>3.6.2</w:t>
      </w:r>
      <w:r>
        <w:rPr>
          <w:rFonts w:hint="eastAsia"/>
          <w:color w:val="auto"/>
          <w:szCs w:val="21"/>
          <w:highlight w:val="none"/>
        </w:rPr>
        <w:t>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230E571E">
      <w:pPr>
        <w:spacing w:before="120" w:line="320" w:lineRule="atLeast"/>
        <w:ind w:firstLine="420" w:firstLineChars="200"/>
        <w:rPr>
          <w:color w:val="auto"/>
          <w:szCs w:val="21"/>
          <w:highlight w:val="none"/>
        </w:rPr>
      </w:pPr>
      <w:r>
        <w:rPr>
          <w:color w:val="auto"/>
          <w:szCs w:val="21"/>
          <w:highlight w:val="none"/>
        </w:rPr>
        <w:t xml:space="preserve">3.6.3 </w:t>
      </w:r>
      <w:r>
        <w:rPr>
          <w:rFonts w:hint="eastAsia"/>
          <w:color w:val="auto"/>
          <w:szCs w:val="21"/>
          <w:highlight w:val="none"/>
        </w:rPr>
        <w:t>供应商的响应文件未按照采购文件要求签署、盖章的，其响应无效。</w:t>
      </w:r>
    </w:p>
    <w:p w14:paraId="42541D26">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为确保网上操作合法、有效和安全，供应商应当在响应截止时间前完成在广西政府采购云平台的身份认证，确保在电子投标过程中能够对相关数据电文进行加密和使用电子签名。</w:t>
      </w:r>
    </w:p>
    <w:p w14:paraId="48450458">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响应文件中标注的供应商名称应与主体资格证明（如营业执照、事业单位法人证书、执业许可证、个体工商户营业执照、自然人身份证等）和公章/电子签章一致，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否则作无效响应处理。</w:t>
      </w:r>
    </w:p>
    <w:p w14:paraId="6B41A96B">
      <w:pPr>
        <w:spacing w:before="120" w:line="320" w:lineRule="atLeast"/>
        <w:ind w:firstLine="422" w:firstLineChars="200"/>
        <w:outlineLvl w:val="2"/>
        <w:rPr>
          <w:b/>
          <w:bCs/>
          <w:color w:val="auto"/>
          <w:kern w:val="0"/>
          <w:szCs w:val="21"/>
          <w:highlight w:val="none"/>
        </w:rPr>
      </w:pPr>
      <w:r>
        <w:rPr>
          <w:b/>
          <w:bCs/>
          <w:color w:val="auto"/>
          <w:kern w:val="0"/>
          <w:szCs w:val="21"/>
          <w:highlight w:val="none"/>
        </w:rPr>
        <w:t>3.7响应文件的递交、修改和撤回</w:t>
      </w:r>
    </w:p>
    <w:p w14:paraId="50B05760">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14:paraId="2EAC191E">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未在规定时间内提交或者未按照采购文件要求签章、加密的电子响应文件，广西政府采购云平台将拒收。 </w:t>
      </w:r>
    </w:p>
    <w:p w14:paraId="25324CE9">
      <w:pPr>
        <w:spacing w:before="120" w:line="320" w:lineRule="atLeast"/>
        <w:ind w:left="2" w:leftChars="1" w:firstLine="420" w:firstLineChars="200"/>
        <w:rPr>
          <w:color w:val="auto"/>
          <w:szCs w:val="21"/>
          <w:highlight w:val="none"/>
        </w:rPr>
      </w:pPr>
      <w:bookmarkStart w:id="57" w:name="_Toc254970544"/>
      <w:bookmarkStart w:id="58" w:name="_Toc254970685"/>
      <w:r>
        <w:rPr>
          <w:rFonts w:hint="eastAsia"/>
          <w:color w:val="auto"/>
          <w:szCs w:val="21"/>
          <w:highlight w:val="none"/>
        </w:rPr>
        <w:t>3</w:t>
      </w:r>
      <w:r>
        <w:rPr>
          <w:color w:val="auto"/>
          <w:szCs w:val="21"/>
          <w:highlight w:val="none"/>
        </w:rPr>
        <w:t>.7.3</w:t>
      </w:r>
      <w:r>
        <w:rPr>
          <w:rFonts w:hint="eastAsia"/>
          <w:color w:val="auto"/>
          <w:szCs w:val="21"/>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666450A5">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在响应截止时间前，除供应商补充、修改或者撤回响应文件外，任何单位和个人不得解密或提取响应文件。</w:t>
      </w:r>
    </w:p>
    <w:p w14:paraId="2546FF1E">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在响应截止时间止提交电子版响应文件的供应商不足3家时，电子版响应文件由代理机构在广西政府采购云平台操作退回，除此之外采购人和采购代理机构对已提交的响应文件概不退回。</w:t>
      </w:r>
    </w:p>
    <w:p w14:paraId="1F26F36E">
      <w:pPr>
        <w:spacing w:before="120" w:line="320" w:lineRule="atLeast"/>
        <w:ind w:left="2" w:leftChars="1" w:firstLine="420" w:firstLineChars="200"/>
        <w:rPr>
          <w:rFonts w:hint="eastAsia"/>
          <w:color w:val="auto"/>
          <w:szCs w:val="21"/>
          <w:highlight w:val="none"/>
        </w:rPr>
      </w:pPr>
      <w:bookmarkStart w:id="59" w:name="_Hlk93046827"/>
      <w:r>
        <w:rPr>
          <w:rFonts w:hint="eastAsia"/>
          <w:color w:val="auto"/>
          <w:szCs w:val="21"/>
          <w:highlight w:val="none"/>
        </w:rPr>
        <w:t>3</w:t>
      </w:r>
      <w:r>
        <w:rPr>
          <w:color w:val="auto"/>
          <w:szCs w:val="21"/>
          <w:highlight w:val="none"/>
        </w:rPr>
        <w:t>.7.6</w:t>
      </w:r>
      <w:r>
        <w:rPr>
          <w:rFonts w:hint="eastAsia"/>
          <w:color w:val="auto"/>
          <w:szCs w:val="21"/>
          <w:highlight w:val="none"/>
        </w:rPr>
        <w:t>采购文件</w:t>
      </w:r>
      <w:bookmarkStart w:id="60" w:name="_Hlk106638610"/>
      <w:r>
        <w:rPr>
          <w:rFonts w:hint="eastAsia"/>
          <w:color w:val="auto"/>
          <w:szCs w:val="21"/>
          <w:highlight w:val="none"/>
        </w:rPr>
        <w:t>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bookmarkEnd w:id="60"/>
      <w:r>
        <w:rPr>
          <w:rFonts w:hint="eastAsia"/>
          <w:color w:val="auto"/>
          <w:szCs w:val="21"/>
          <w:highlight w:val="none"/>
        </w:rPr>
        <w:t>，</w:t>
      </w:r>
      <w:r>
        <w:rPr>
          <w:rFonts w:hint="eastAsia"/>
          <w:b/>
          <w:bCs/>
          <w:color w:val="auto"/>
          <w:szCs w:val="21"/>
          <w:highlight w:val="none"/>
        </w:rPr>
        <w:t>其响应无效。</w:t>
      </w:r>
      <w:r>
        <w:rPr>
          <w:rFonts w:hint="eastAsia"/>
          <w:color w:val="auto"/>
          <w:szCs w:val="21"/>
          <w:highlight w:val="none"/>
        </w:rPr>
        <w:t>供应商在同一响应文件中对某项技术、商务要求提供有选择性的响应参数或方案等同于提交两个或以上不同的响应文件。</w:t>
      </w:r>
      <w:bookmarkEnd w:id="59"/>
    </w:p>
    <w:p w14:paraId="3F9545E3">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4．截标</w:t>
      </w:r>
      <w:bookmarkEnd w:id="57"/>
      <w:bookmarkEnd w:id="58"/>
    </w:p>
    <w:p w14:paraId="794C7061">
      <w:pPr>
        <w:spacing w:before="120" w:line="320" w:lineRule="atLeast"/>
        <w:ind w:firstLine="422" w:firstLineChars="200"/>
        <w:outlineLvl w:val="2"/>
        <w:rPr>
          <w:b/>
          <w:bCs/>
          <w:color w:val="auto"/>
          <w:kern w:val="0"/>
          <w:szCs w:val="21"/>
          <w:highlight w:val="none"/>
        </w:rPr>
      </w:pPr>
      <w:r>
        <w:rPr>
          <w:b/>
          <w:bCs/>
          <w:color w:val="auto"/>
          <w:kern w:val="0"/>
          <w:szCs w:val="21"/>
          <w:highlight w:val="none"/>
        </w:rPr>
        <w:t>4.1截标准备</w:t>
      </w:r>
    </w:p>
    <w:p w14:paraId="6BAA310E">
      <w:pPr>
        <w:spacing w:before="120" w:line="276" w:lineRule="auto"/>
        <w:ind w:firstLine="420" w:firstLineChars="200"/>
        <w:rPr>
          <w:color w:val="auto"/>
          <w:szCs w:val="21"/>
          <w:highlight w:val="none"/>
        </w:rPr>
      </w:pPr>
      <w:r>
        <w:rPr>
          <w:color w:val="auto"/>
          <w:szCs w:val="21"/>
          <w:highlight w:val="none"/>
        </w:rPr>
        <w:t>本项目响应截止时间及地点见“供应商须知前附表”规定。</w:t>
      </w:r>
    </w:p>
    <w:p w14:paraId="2222E543">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全流程电子化项目没有现场递交响应文件及现场截标环节。采购代理机构将按照采购文件规定的时间通过广西政府采购云平台组织线上截标活动、开启响应文件，所有供应商均应当准时在线参加。供应商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截标大会的，</w:t>
      </w:r>
      <w:r>
        <w:rPr>
          <w:rFonts w:hint="eastAsia"/>
          <w:color w:val="auto"/>
          <w:szCs w:val="21"/>
          <w:highlight w:val="none"/>
        </w:rPr>
        <w:t>视同认可截标结果，</w:t>
      </w:r>
      <w:r>
        <w:rPr>
          <w:color w:val="auto"/>
          <w:szCs w:val="21"/>
          <w:highlight w:val="none"/>
        </w:rPr>
        <w:t>事后不得对采购相关人员、截标过程和截标结果提出异议</w:t>
      </w:r>
      <w:r>
        <w:rPr>
          <w:rFonts w:hint="eastAsia"/>
          <w:color w:val="auto"/>
          <w:szCs w:val="21"/>
          <w:highlight w:val="none"/>
        </w:rPr>
        <w:t>，同时供应商因未在线参加截标而导致响应文件无法按时解密等一切后果由供应商自己承担。</w:t>
      </w:r>
    </w:p>
    <w:p w14:paraId="0CB9ABA7">
      <w:pPr>
        <w:spacing w:before="120" w:line="276" w:lineRule="auto"/>
        <w:ind w:firstLine="420" w:firstLineChars="200"/>
        <w:rPr>
          <w:color w:val="auto"/>
          <w:szCs w:val="21"/>
          <w:highlight w:val="none"/>
        </w:rPr>
      </w:pPr>
      <w:r>
        <w:rPr>
          <w:rFonts w:hint="eastAsia"/>
          <w:color w:val="auto"/>
          <w:szCs w:val="21"/>
          <w:highlight w:val="none"/>
        </w:rPr>
        <w:t xml:space="preserve">如供应商成功解密响应文件，但未在广西政府采购云平台电子开标大厅参加截标的，视同认可截标过程和结果，由此产生的后果由供应商自行负责。 </w:t>
      </w:r>
    </w:p>
    <w:p w14:paraId="2BF8A5A1">
      <w:pPr>
        <w:spacing w:before="120" w:line="320" w:lineRule="atLeast"/>
        <w:ind w:firstLine="422" w:firstLineChars="200"/>
        <w:outlineLvl w:val="2"/>
        <w:rPr>
          <w:b/>
          <w:bCs/>
          <w:color w:val="auto"/>
          <w:kern w:val="0"/>
          <w:szCs w:val="21"/>
          <w:highlight w:val="none"/>
        </w:rPr>
      </w:pPr>
      <w:r>
        <w:rPr>
          <w:b/>
          <w:bCs/>
          <w:color w:val="auto"/>
          <w:kern w:val="0"/>
          <w:szCs w:val="21"/>
          <w:highlight w:val="none"/>
        </w:rPr>
        <w:t>4.2截标程序</w:t>
      </w:r>
    </w:p>
    <w:p w14:paraId="47DB4B57">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0CF453F8">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CA锁准时登录到广西政府采购云平台电子开标大厅签到并对电子响应文件解密。截标后供应商未及时进行解密的，代理机构可通知供应商。</w:t>
      </w:r>
      <w:bookmarkStart w:id="61" w:name="_Hlk106639817"/>
      <w:r>
        <w:rPr>
          <w:rFonts w:hint="eastAsia"/>
          <w:color w:val="auto"/>
          <w:highlight w:val="none"/>
        </w:rPr>
        <w:t>通知后供应商仍未在上述规定时间内解密响应文件</w:t>
      </w:r>
      <w:bookmarkEnd w:id="61"/>
      <w:r>
        <w:rPr>
          <w:rFonts w:hint="eastAsia"/>
          <w:color w:val="auto"/>
          <w:szCs w:val="21"/>
          <w:highlight w:val="none"/>
        </w:rPr>
        <w:t>，或者供应商没预留联系方式或预留联系方式无效导致代理机构无法联系到供应商进行解密的，均视为无效响应。</w:t>
      </w:r>
    </w:p>
    <w:p w14:paraId="44F285BA">
      <w:pPr>
        <w:spacing w:before="120" w:line="320" w:lineRule="atLeast"/>
        <w:ind w:firstLine="420" w:firstLineChars="200"/>
        <w:rPr>
          <w:rFonts w:hint="eastAsia"/>
          <w:color w:val="auto"/>
          <w:szCs w:val="21"/>
          <w:highlight w:val="none"/>
        </w:rPr>
      </w:pPr>
      <w:r>
        <w:rPr>
          <w:rFonts w:hint="eastAsia"/>
          <w:color w:val="auto"/>
          <w:szCs w:val="21"/>
          <w:highlight w:val="none"/>
        </w:rPr>
        <w:t>4</w:t>
      </w:r>
      <w:r>
        <w:rPr>
          <w:color w:val="auto"/>
          <w:szCs w:val="21"/>
          <w:highlight w:val="none"/>
        </w:rPr>
        <w:t>.2.3</w:t>
      </w:r>
      <w:bookmarkStart w:id="62" w:name="_Hlk106637968"/>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62"/>
    <w:p w14:paraId="1CCF0378">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17BCFD4A">
      <w:pPr>
        <w:spacing w:before="120" w:line="320" w:lineRule="atLeast"/>
        <w:ind w:firstLine="420" w:firstLineChars="200"/>
        <w:rPr>
          <w:color w:val="auto"/>
          <w:szCs w:val="21"/>
          <w:highlight w:val="none"/>
        </w:rPr>
      </w:pPr>
      <w:r>
        <w:rPr>
          <w:color w:val="auto"/>
          <w:szCs w:val="21"/>
          <w:highlight w:val="none"/>
        </w:rPr>
        <w:t>4.2.5截标结束。</w:t>
      </w:r>
    </w:p>
    <w:p w14:paraId="6A906B65">
      <w:pPr>
        <w:pStyle w:val="28"/>
        <w:snapToGrid w:val="0"/>
        <w:spacing w:line="440" w:lineRule="exact"/>
        <w:ind w:firstLine="422" w:firstLineChars="200"/>
        <w:rPr>
          <w:rFonts w:hAnsi="宋体"/>
          <w:color w:val="auto"/>
          <w:highlight w:val="none"/>
        </w:rPr>
      </w:pPr>
      <w:r>
        <w:rPr>
          <w:rFonts w:hint="eastAsia" w:hAnsi="宋体"/>
          <w:b/>
          <w:bCs/>
          <w:color w:val="auto"/>
          <w:highlight w:val="none"/>
        </w:rPr>
        <w:t>特别说明：</w:t>
      </w:r>
      <w:r>
        <w:rPr>
          <w:rFonts w:hint="eastAsia" w:hAnsi="宋体"/>
          <w:color w:val="auto"/>
          <w:highlight w:val="none"/>
        </w:rPr>
        <w:t>如遇广西政府采购云平台电子化截标或评审程序调整的，按调整后的程序执行。</w:t>
      </w:r>
    </w:p>
    <w:p w14:paraId="55E9E3E8">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22BA3632">
      <w:pPr>
        <w:spacing w:before="120" w:line="320" w:lineRule="atLeast"/>
        <w:ind w:firstLine="420" w:firstLineChars="200"/>
        <w:rPr>
          <w:color w:val="auto"/>
          <w:szCs w:val="21"/>
          <w:highlight w:val="none"/>
        </w:rPr>
      </w:pPr>
      <w:r>
        <w:rPr>
          <w:color w:val="auto"/>
          <w:szCs w:val="21"/>
          <w:highlight w:val="none"/>
        </w:rPr>
        <w:t>4.3.1“供应商须知前附表”规定在截标会议结束后进行演示的，供应商应按规定进行演示。</w:t>
      </w:r>
    </w:p>
    <w:p w14:paraId="7C3ED0E3">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4.3.2未按规定时间进行演示可能引起的演示分数被计为0分或响应无效等后果由供应商自行承担。</w:t>
      </w:r>
    </w:p>
    <w:p w14:paraId="7071EA34">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65A26316">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5B1247B2">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4.4.2未按规定时间递交样品可能引起的样品分数被计为0分或响应无效等后果由供应商自行承担。</w:t>
      </w:r>
    </w:p>
    <w:p w14:paraId="266FF001">
      <w:pPr>
        <w:spacing w:before="120" w:line="320" w:lineRule="atLeast"/>
        <w:ind w:firstLine="420" w:firstLineChars="200"/>
        <w:rPr>
          <w:color w:val="auto"/>
          <w:szCs w:val="21"/>
          <w:highlight w:val="none"/>
        </w:rPr>
      </w:pPr>
      <w:bookmarkStart w:id="63" w:name="_Toc254970545"/>
      <w:bookmarkStart w:id="64" w:name="_Toc254970686"/>
      <w:r>
        <w:rPr>
          <w:color w:val="auto"/>
          <w:szCs w:val="21"/>
          <w:highlight w:val="none"/>
        </w:rPr>
        <w:t>4.4.3样品封存或退还的说明请见第六章响应文件格式所附样品递交表。</w:t>
      </w:r>
    </w:p>
    <w:p w14:paraId="4485B3B5">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5．</w:t>
      </w:r>
      <w:r>
        <w:rPr>
          <w:rFonts w:hint="eastAsia"/>
          <w:b/>
          <w:bCs/>
          <w:color w:val="auto"/>
          <w:kern w:val="0"/>
          <w:szCs w:val="21"/>
          <w:highlight w:val="none"/>
        </w:rPr>
        <w:t>资格审查</w:t>
      </w:r>
    </w:p>
    <w:p w14:paraId="25ACEB3E">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hint="eastAsia"/>
          <w:bCs/>
          <w:color w:val="auto"/>
          <w:kern w:val="0"/>
          <w:szCs w:val="21"/>
          <w:highlight w:val="none"/>
        </w:rPr>
        <w:t>截标</w:t>
      </w:r>
      <w:r>
        <w:rPr>
          <w:rFonts w:ascii="宋体" w:hAnsi="宋体"/>
          <w:bCs/>
          <w:color w:val="auto"/>
          <w:szCs w:val="21"/>
          <w:highlight w:val="none"/>
        </w:rPr>
        <w:t>后，</w:t>
      </w:r>
      <w:r>
        <w:rPr>
          <w:rFonts w:hint="eastAsia" w:ascii="宋体" w:hAnsi="宋体"/>
          <w:bCs/>
          <w:color w:val="auto"/>
          <w:szCs w:val="21"/>
          <w:highlight w:val="none"/>
        </w:rPr>
        <w:t>磋商小组通过电子交易平台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是根据法律法规和采购文件的规定，对供应商的基本资格条件、特定资格条件进行审查。</w:t>
      </w:r>
    </w:p>
    <w:p w14:paraId="1955725A">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5FE2A4BC">
      <w:pPr>
        <w:spacing w:before="120" w:line="276" w:lineRule="auto"/>
        <w:ind w:left="2" w:leftChars="1" w:firstLine="420" w:firstLineChars="200"/>
        <w:outlineLvl w:val="2"/>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供应商有下列情形之一的，资格审查不合格，作无效响应处理：</w:t>
      </w:r>
    </w:p>
    <w:p w14:paraId="7F02DF8A">
      <w:pPr>
        <w:spacing w:line="276" w:lineRule="auto"/>
        <w:ind w:firstLine="420" w:firstLineChars="200"/>
        <w:rPr>
          <w:rFonts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不具备采购文件中规定的资格要求或资格条件的；</w:t>
      </w:r>
      <w:r>
        <w:rPr>
          <w:color w:val="auto"/>
          <w:szCs w:val="21"/>
          <w:highlight w:val="none"/>
        </w:rPr>
        <w:t xml:space="preserve"> </w:t>
      </w:r>
      <w:r>
        <w:rPr>
          <w:rFonts w:hint="eastAsia" w:hAnsi="宋体"/>
          <w:color w:val="auto"/>
          <w:highlight w:val="none"/>
        </w:rPr>
        <w:t>（注：广西政府采购云平台已与“信用中国”平台做接口，可直接在线查询）</w:t>
      </w:r>
    </w:p>
    <w:p w14:paraId="226EA991">
      <w:pPr>
        <w:spacing w:before="120" w:line="276" w:lineRule="auto"/>
        <w:ind w:firstLine="420" w:firstLineChars="200"/>
        <w:rPr>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响应文件缺少任何一项资格证明文件或不符合第四章评审方法及标准中资格审查标准规定的评审内容的。</w:t>
      </w:r>
    </w:p>
    <w:p w14:paraId="306ECBD2">
      <w:pPr>
        <w:spacing w:before="120" w:line="320" w:lineRule="atLeast"/>
        <w:ind w:left="2" w:leftChars="1" w:firstLine="422" w:firstLineChars="200"/>
        <w:outlineLvl w:val="1"/>
        <w:rPr>
          <w:rFonts w:hint="eastAsia"/>
          <w:b/>
          <w:bCs/>
          <w:color w:val="auto"/>
          <w:kern w:val="0"/>
          <w:szCs w:val="21"/>
          <w:highlight w:val="none"/>
        </w:rPr>
      </w:pPr>
      <w:r>
        <w:rPr>
          <w:b/>
          <w:bCs/>
          <w:color w:val="auto"/>
          <w:kern w:val="0"/>
          <w:szCs w:val="21"/>
          <w:highlight w:val="none"/>
        </w:rPr>
        <w:t>6．评审</w:t>
      </w:r>
    </w:p>
    <w:bookmarkEnd w:id="63"/>
    <w:bookmarkEnd w:id="64"/>
    <w:p w14:paraId="2D0FF68B">
      <w:pPr>
        <w:spacing w:before="120" w:line="320" w:lineRule="atLeast"/>
        <w:ind w:firstLine="422" w:firstLineChars="200"/>
        <w:outlineLvl w:val="2"/>
        <w:rPr>
          <w:b/>
          <w:bCs/>
          <w:color w:val="auto"/>
          <w:kern w:val="0"/>
          <w:szCs w:val="21"/>
          <w:highlight w:val="none"/>
        </w:rPr>
      </w:pPr>
      <w:r>
        <w:rPr>
          <w:b/>
          <w:bCs/>
          <w:color w:val="auto"/>
          <w:kern w:val="0"/>
          <w:szCs w:val="21"/>
          <w:highlight w:val="none"/>
        </w:rPr>
        <w:t>6.1组建磋商小组</w:t>
      </w:r>
    </w:p>
    <w:p w14:paraId="37AF944C">
      <w:pPr>
        <w:spacing w:before="120" w:line="320" w:lineRule="atLeast"/>
        <w:ind w:firstLine="420" w:firstLineChars="200"/>
        <w:rPr>
          <w:color w:val="auto"/>
          <w:szCs w:val="21"/>
          <w:highlight w:val="none"/>
        </w:rPr>
      </w:pPr>
      <w:r>
        <w:rPr>
          <w:rFonts w:hint="eastAsia"/>
          <w:color w:val="auto"/>
          <w:szCs w:val="21"/>
          <w:highlight w:val="none"/>
        </w:rPr>
        <w:t>6.1.1</w:t>
      </w:r>
      <w:r>
        <w:rPr>
          <w:color w:val="auto"/>
          <w:szCs w:val="21"/>
          <w:highlight w:val="none"/>
        </w:rPr>
        <w:t>本项目</w:t>
      </w:r>
      <w:r>
        <w:rPr>
          <w:rFonts w:hint="eastAsia"/>
          <w:color w:val="auto"/>
          <w:szCs w:val="21"/>
          <w:highlight w:val="none"/>
        </w:rPr>
        <w:t>评审工作由</w:t>
      </w:r>
      <w:r>
        <w:rPr>
          <w:color w:val="auto"/>
          <w:szCs w:val="21"/>
          <w:highlight w:val="none"/>
        </w:rPr>
        <w:t>磋商小组</w:t>
      </w:r>
      <w:r>
        <w:rPr>
          <w:rFonts w:hint="eastAsia"/>
          <w:color w:val="auto"/>
          <w:szCs w:val="21"/>
          <w:highlight w:val="none"/>
        </w:rPr>
        <w:t>负责，磋商小组</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6F2AF47A">
      <w:pPr>
        <w:spacing w:before="120" w:line="320" w:lineRule="atLeast"/>
        <w:ind w:firstLine="420" w:firstLineChars="200"/>
        <w:rPr>
          <w:color w:val="auto"/>
          <w:szCs w:val="21"/>
          <w:highlight w:val="none"/>
        </w:rPr>
      </w:pPr>
      <w:r>
        <w:rPr>
          <w:rFonts w:hint="eastAsia"/>
          <w:color w:val="auto"/>
          <w:szCs w:val="21"/>
          <w:highlight w:val="none"/>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05CF5D02">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4901D669">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6.1.4本项目评审过程实行全程网上留痕及录音、录像监控，供应商在评审过程中所进行的试图影响评审结果的不公正活动，可能导致其响应按无效处理。</w:t>
      </w:r>
    </w:p>
    <w:p w14:paraId="570FDA41">
      <w:pPr>
        <w:spacing w:before="120" w:line="320" w:lineRule="atLeast"/>
        <w:ind w:firstLine="422" w:firstLineChars="200"/>
        <w:outlineLvl w:val="2"/>
        <w:rPr>
          <w:b/>
          <w:bCs/>
          <w:color w:val="auto"/>
          <w:kern w:val="0"/>
          <w:szCs w:val="21"/>
          <w:highlight w:val="none"/>
        </w:rPr>
      </w:pPr>
      <w:r>
        <w:rPr>
          <w:b/>
          <w:bCs/>
          <w:color w:val="auto"/>
          <w:kern w:val="0"/>
          <w:szCs w:val="21"/>
          <w:highlight w:val="none"/>
        </w:rPr>
        <w:t>6.2</w:t>
      </w:r>
      <w:r>
        <w:rPr>
          <w:rFonts w:hint="eastAsia"/>
          <w:b/>
          <w:bCs/>
          <w:color w:val="auto"/>
          <w:kern w:val="0"/>
          <w:szCs w:val="21"/>
          <w:highlight w:val="none"/>
        </w:rPr>
        <w:t>评审方法及依据</w:t>
      </w:r>
    </w:p>
    <w:p w14:paraId="7F1CBE66">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7A276E14">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bCs/>
          <w:color w:val="auto"/>
          <w:kern w:val="0"/>
          <w:szCs w:val="21"/>
          <w:highlight w:val="none"/>
        </w:rPr>
        <w:t>磋商小组</w:t>
      </w:r>
      <w:r>
        <w:rPr>
          <w:color w:val="auto"/>
          <w:highlight w:val="none"/>
        </w:rPr>
        <w:t>以</w:t>
      </w:r>
      <w:r>
        <w:rPr>
          <w:rFonts w:hint="eastAsia"/>
          <w:color w:val="auto"/>
          <w:highlight w:val="none"/>
        </w:rPr>
        <w:t>采购</w:t>
      </w:r>
      <w:r>
        <w:rPr>
          <w:color w:val="auto"/>
          <w:highlight w:val="none"/>
        </w:rPr>
        <w:t>文件、补充文件、</w:t>
      </w:r>
      <w:r>
        <w:rPr>
          <w:rFonts w:hint="eastAsia"/>
          <w:color w:val="auto"/>
          <w:highlight w:val="none"/>
        </w:rPr>
        <w:t>响应</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p w14:paraId="5FF51EFF">
      <w:pPr>
        <w:spacing w:before="120" w:line="320" w:lineRule="atLeast"/>
        <w:ind w:firstLine="422" w:firstLineChars="200"/>
        <w:outlineLvl w:val="2"/>
        <w:rPr>
          <w:b/>
          <w:bCs/>
          <w:color w:val="auto"/>
          <w:kern w:val="0"/>
          <w:szCs w:val="21"/>
          <w:highlight w:val="none"/>
        </w:rPr>
      </w:pPr>
      <w:r>
        <w:rPr>
          <w:b/>
          <w:bCs/>
          <w:color w:val="auto"/>
          <w:kern w:val="0"/>
          <w:szCs w:val="21"/>
          <w:highlight w:val="none"/>
        </w:rPr>
        <w:t>6.3评审</w:t>
      </w:r>
      <w:r>
        <w:rPr>
          <w:rFonts w:hint="eastAsia"/>
          <w:b/>
          <w:bCs/>
          <w:color w:val="auto"/>
          <w:kern w:val="0"/>
          <w:szCs w:val="21"/>
          <w:highlight w:val="none"/>
        </w:rPr>
        <w:t>程序</w:t>
      </w:r>
    </w:p>
    <w:p w14:paraId="7F1C0DF0">
      <w:pPr>
        <w:spacing w:before="120" w:line="320" w:lineRule="atLeast"/>
        <w:ind w:firstLine="420" w:firstLineChars="200"/>
        <w:rPr>
          <w:color w:val="auto"/>
          <w:highlight w:val="none"/>
        </w:rPr>
      </w:pPr>
      <w:r>
        <w:rPr>
          <w:color w:val="auto"/>
          <w:highlight w:val="none"/>
        </w:rPr>
        <w:t>6.</w:t>
      </w:r>
      <w:bookmarkStart w:id="65" w:name="_Hlk80956880"/>
      <w:bookmarkStart w:id="66" w:name="_Hlk19175507"/>
      <w:r>
        <w:rPr>
          <w:color w:val="auto"/>
          <w:highlight w:val="none"/>
        </w:rPr>
        <w:t>3.1</w:t>
      </w:r>
      <w:r>
        <w:rPr>
          <w:rFonts w:hint="eastAsia"/>
          <w:color w:val="auto"/>
          <w:highlight w:val="none"/>
        </w:rPr>
        <w:t>符合性审查</w:t>
      </w:r>
    </w:p>
    <w:p w14:paraId="22EE26DC">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磋商小组对</w:t>
      </w:r>
      <w:r>
        <w:rPr>
          <w:color w:val="auto"/>
          <w:highlight w:val="none"/>
        </w:rPr>
        <w:t>通过资格审查的供应商</w:t>
      </w:r>
      <w:r>
        <w:rPr>
          <w:rFonts w:hint="eastAsia" w:hAnsi="宋体"/>
          <w:color w:val="auto"/>
          <w:highlight w:val="none"/>
        </w:rPr>
        <w:t>的响应文件报价、商务资信、技术等方面实质性内容进行符合性审查，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65"/>
    <w:bookmarkEnd w:id="66"/>
    <w:p w14:paraId="7D51EEE1">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r>
        <w:rPr>
          <w:rFonts w:hint="eastAsia"/>
          <w:color w:val="auto"/>
          <w:szCs w:val="21"/>
          <w:highlight w:val="none"/>
        </w:rPr>
        <w:t>（仅适用于货物采购项目）</w:t>
      </w:r>
    </w:p>
    <w:p w14:paraId="2345C843">
      <w:pPr>
        <w:suppressAutoHyphens/>
        <w:spacing w:before="120" w:line="320" w:lineRule="atLeast"/>
        <w:ind w:firstLine="422" w:firstLineChars="201"/>
        <w:rPr>
          <w:color w:val="auto"/>
          <w:szCs w:val="21"/>
          <w:highlight w:val="none"/>
        </w:rPr>
      </w:pPr>
      <w:bookmarkStart w:id="67" w:name="_Hlk47714684"/>
      <w:r>
        <w:rPr>
          <w:rFonts w:hint="eastAsia"/>
          <w:color w:val="auto"/>
          <w:szCs w:val="21"/>
          <w:highlight w:val="none"/>
        </w:rPr>
        <w:t>（1）</w:t>
      </w:r>
      <w:bookmarkEnd w:id="67"/>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3B8FAEDB">
      <w:pPr>
        <w:spacing w:before="120" w:line="276" w:lineRule="auto"/>
        <w:ind w:firstLine="420" w:firstLineChars="200"/>
        <w:rPr>
          <w:color w:val="auto"/>
          <w:szCs w:val="21"/>
          <w:highlight w:val="none"/>
        </w:rPr>
      </w:pPr>
      <w:bookmarkStart w:id="68" w:name="_Hlk19176155"/>
      <w:r>
        <w:rPr>
          <w:rFonts w:hint="eastAsia"/>
          <w:color w:val="auto"/>
          <w:szCs w:val="21"/>
          <w:highlight w:val="none"/>
        </w:rPr>
        <w:t>（2）根据《关于调整网络安全专用产品安全管理有关事项的公告》（2023年1号）及关于调整《网络关键设备和网络安全专用产品目录》（2023年2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0AD28FC0">
      <w:pPr>
        <w:spacing w:before="120" w:line="276" w:lineRule="auto"/>
        <w:ind w:firstLine="420" w:firstLineChars="200"/>
        <w:rPr>
          <w:rFonts w:hint="eastAsia"/>
          <w:color w:val="auto"/>
          <w:szCs w:val="21"/>
          <w:highlight w:val="none"/>
        </w:rPr>
      </w:pPr>
      <w:r>
        <w:rPr>
          <w:rFonts w:hint="eastAsia"/>
          <w:color w:val="auto"/>
          <w:szCs w:val="21"/>
          <w:highlight w:val="none"/>
        </w:rPr>
        <w:t>注：网络安全专用产品在中共中央网络安全和信息化委员会办公室网站上发布的《网络关键设备和网络安全专用产品目录》中查询。</w:t>
      </w:r>
      <w:r>
        <w:rPr>
          <w:color w:val="auto"/>
          <w:szCs w:val="21"/>
          <w:highlight w:val="none"/>
        </w:rPr>
        <w:t xml:space="preserve"> </w:t>
      </w:r>
      <w:r>
        <w:rPr>
          <w:rFonts w:hint="eastAsia"/>
          <w:color w:val="auto"/>
          <w:szCs w:val="21"/>
          <w:highlight w:val="none"/>
          <w:lang w:eastAsia="zh-CN"/>
        </w:rPr>
        <w:t>“</w:t>
      </w:r>
      <w:r>
        <w:rPr>
          <w:rFonts w:hint="eastAsia"/>
          <w:color w:val="auto"/>
          <w:szCs w:val="21"/>
          <w:highlight w:val="none"/>
          <w:lang w:val="en-US" w:eastAsia="zh-CN"/>
        </w:rPr>
        <w:t>网络安全专用产品”内“产品类别”</w:t>
      </w:r>
      <w:r>
        <w:rPr>
          <w:rFonts w:hint="eastAsia"/>
          <w:color w:val="auto"/>
          <w:szCs w:val="21"/>
          <w:highlight w:val="none"/>
        </w:rPr>
        <w:t>共</w:t>
      </w:r>
      <w:r>
        <w:rPr>
          <w:rFonts w:hint="eastAsia"/>
          <w:color w:val="auto"/>
          <w:szCs w:val="21"/>
          <w:highlight w:val="none"/>
          <w:lang w:val="en-US" w:eastAsia="zh-CN"/>
        </w:rPr>
        <w:t>34</w:t>
      </w:r>
      <w:r>
        <w:rPr>
          <w:rFonts w:hint="eastAsia"/>
          <w:color w:val="auto"/>
          <w:szCs w:val="21"/>
          <w:highlight w:val="none"/>
        </w:rPr>
        <w:t>类：数据备份与恢复产品、防火墙、入侵检测系统（I</w:t>
      </w:r>
      <w:r>
        <w:rPr>
          <w:color w:val="auto"/>
          <w:szCs w:val="21"/>
          <w:highlight w:val="none"/>
        </w:rPr>
        <w:t>DS</w:t>
      </w:r>
      <w:r>
        <w:rPr>
          <w:rFonts w:hint="eastAsia"/>
          <w:color w:val="auto"/>
          <w:szCs w:val="21"/>
          <w:highlight w:val="none"/>
        </w:rPr>
        <w:t>）、入侵防御系统（</w:t>
      </w:r>
      <w:r>
        <w:rPr>
          <w:color w:val="auto"/>
          <w:szCs w:val="21"/>
          <w:highlight w:val="none"/>
        </w:rPr>
        <w:t>IPS</w:t>
      </w:r>
      <w:r>
        <w:rPr>
          <w:rFonts w:hint="eastAsia"/>
          <w:color w:val="auto"/>
          <w:szCs w:val="21"/>
          <w:highlight w:val="none"/>
        </w:rPr>
        <w:t>）、</w:t>
      </w:r>
      <w:r>
        <w:rPr>
          <w:rFonts w:hint="eastAsia"/>
          <w:color w:val="auto"/>
          <w:szCs w:val="21"/>
          <w:highlight w:val="none"/>
          <w:lang w:val="en-US" w:eastAsia="zh-CN"/>
        </w:rPr>
        <w:t>网络和终端隔离产品</w:t>
      </w:r>
      <w:r>
        <w:rPr>
          <w:rFonts w:hint="eastAsia"/>
          <w:color w:val="auto"/>
          <w:szCs w:val="21"/>
          <w:highlight w:val="none"/>
        </w:rPr>
        <w:t>、反垃圾邮件产品、网络综合审计</w:t>
      </w:r>
      <w:r>
        <w:rPr>
          <w:rFonts w:hint="eastAsia"/>
          <w:color w:val="auto"/>
          <w:szCs w:val="21"/>
          <w:highlight w:val="none"/>
          <w:lang w:val="en-US" w:eastAsia="zh-CN"/>
        </w:rPr>
        <w:t>产品</w:t>
      </w:r>
      <w:r>
        <w:rPr>
          <w:rFonts w:hint="eastAsia"/>
          <w:color w:val="auto"/>
          <w:szCs w:val="21"/>
          <w:highlight w:val="none"/>
        </w:rPr>
        <w:t>、网络脆弱性扫描产品、安全数据库系统、网站恢复产品</w:t>
      </w:r>
      <w:r>
        <w:rPr>
          <w:rFonts w:hint="eastAsia"/>
          <w:color w:val="auto"/>
          <w:szCs w:val="21"/>
          <w:highlight w:val="none"/>
          <w:lang w:eastAsia="zh-CN"/>
        </w:rPr>
        <w:t>、</w:t>
      </w:r>
      <w:r>
        <w:rPr>
          <w:rFonts w:hint="eastAsia"/>
          <w:color w:val="auto"/>
          <w:szCs w:val="21"/>
          <w:highlight w:val="none"/>
          <w:lang w:val="en-US" w:eastAsia="zh-CN"/>
        </w:rPr>
        <w:t>虚拟专用网产品、防病毒网关、统一威胁管理产品（UTM）、病毒防治产品、安全操作系统、安全网络存储、公钥基础设施、网络安全态势感知产品、信息系统安全管理平台、网络型流量控制产品、负载均衡产品、信息过滤产品、抗拒绝服务攻击产品、终端接入控制产品、USB移动存储介质管理系统、文件加密产品、数据泄露防护产品、数据销毁软件产品、安全配置检查产品、运维安全管理产品、日志分析产品、身份鉴别产品、终端安全监护产品、电子文档安全管理产品。</w:t>
      </w:r>
    </w:p>
    <w:p w14:paraId="7E0BB13F">
      <w:pPr>
        <w:spacing w:before="120" w:line="320" w:lineRule="atLeast"/>
        <w:ind w:firstLine="420" w:firstLineChars="200"/>
        <w:rPr>
          <w:color w:val="auto"/>
          <w:highlight w:val="none"/>
        </w:rPr>
      </w:pPr>
      <w:r>
        <w:rPr>
          <w:color w:val="auto"/>
          <w:highlight w:val="none"/>
        </w:rPr>
        <w:t>6.3.3澄清、说明或补正</w:t>
      </w:r>
    </w:p>
    <w:p w14:paraId="11A89751">
      <w:pPr>
        <w:spacing w:before="120" w:line="320" w:lineRule="atLeast"/>
        <w:ind w:firstLine="420" w:firstLineChars="200"/>
        <w:rPr>
          <w:color w:val="auto"/>
          <w:highlight w:val="none"/>
        </w:rPr>
      </w:pPr>
      <w:r>
        <w:rPr>
          <w:rFonts w:hint="eastAsia"/>
          <w:color w:val="auto"/>
          <w:highlight w:val="none"/>
        </w:rPr>
        <w:t>（1）对响应文件中含义不明确、同类问题表述不一致或者有明显文字和计算错误的内容，磋商小组应在广西政府采购云平台发布电子澄清函，要求供应商在平台设置的时间内作出必要的澄清、说明或者补正。供应商在广西政府采购云平台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50F0CE37">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0B9056E0">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408C4C6E">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26F65C62">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响应文件中开标一览表（报价表）内容与响应文件中相应内容不一致的，以开标一览表（报价表）为准；</w:t>
      </w:r>
    </w:p>
    <w:p w14:paraId="36CCA591">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3C2149EE">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2DB37C98">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357D4F44">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澄清、说明或补正”的规定经供应商确认后产生约束力，供应商不确认的，其响应无效。</w:t>
      </w:r>
    </w:p>
    <w:p w14:paraId="2EE59561">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）经供应商确认修正后的报价若超过采购预算金额或者最高限价，其响应文件作无效响应处理。</w:t>
      </w:r>
    </w:p>
    <w:p w14:paraId="67129933">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）经供应商确认修正后的报价作为签订合同的依据，并以此报价计算价格分。</w:t>
      </w:r>
    </w:p>
    <w:p w14:paraId="5258A885">
      <w:pPr>
        <w:spacing w:before="120" w:line="320" w:lineRule="atLeast"/>
        <w:ind w:firstLine="420" w:firstLineChars="200"/>
        <w:rPr>
          <w:rFonts w:hint="eastAsia"/>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）如磋商过程中有多轮报价的，磋商小组在每一轮报价均应按上述规则修正报价。</w:t>
      </w:r>
    </w:p>
    <w:p w14:paraId="5E7F82FF">
      <w:pPr>
        <w:spacing w:before="120" w:line="320" w:lineRule="atLeast"/>
        <w:ind w:firstLine="420" w:firstLineChars="200"/>
        <w:rPr>
          <w:rFonts w:hint="eastAsia"/>
          <w:color w:val="auto"/>
          <w:szCs w:val="21"/>
          <w:highlight w:val="none"/>
          <w:lang w:val="en-US" w:eastAsia="zh-CN"/>
        </w:rPr>
      </w:pPr>
      <w:r>
        <w:rPr>
          <w:rFonts w:hint="eastAsia"/>
          <w:color w:val="auto"/>
          <w:szCs w:val="21"/>
          <w:highlight w:val="none"/>
          <w:lang w:val="en-US" w:eastAsia="zh-CN"/>
        </w:rPr>
        <w:t>6.3.5异常低价审查</w:t>
      </w:r>
    </w:p>
    <w:p w14:paraId="1565AC64">
      <w:pPr>
        <w:spacing w:before="120" w:line="320" w:lineRule="atLeast"/>
        <w:ind w:firstLine="420" w:firstLineChars="200"/>
        <w:rPr>
          <w:color w:val="auto"/>
          <w:szCs w:val="21"/>
          <w:highlight w:val="none"/>
        </w:rPr>
      </w:pPr>
      <w:r>
        <w:rPr>
          <w:color w:val="auto"/>
          <w:szCs w:val="21"/>
          <w:highlight w:val="none"/>
        </w:rPr>
        <w:t>本项目</w:t>
      </w:r>
      <w:r>
        <w:rPr>
          <w:rFonts w:hint="eastAsia"/>
          <w:color w:val="auto"/>
          <w:szCs w:val="21"/>
          <w:highlight w:val="none"/>
          <w:lang w:val="en-US" w:eastAsia="zh-CN"/>
        </w:rPr>
        <w:t>异常低价审查情形见</w:t>
      </w:r>
      <w:r>
        <w:rPr>
          <w:color w:val="auto"/>
          <w:szCs w:val="21"/>
          <w:highlight w:val="none"/>
        </w:rPr>
        <w:t>“</w:t>
      </w:r>
      <w:r>
        <w:rPr>
          <w:rFonts w:hint="eastAsia"/>
          <w:color w:val="auto"/>
          <w:szCs w:val="21"/>
          <w:highlight w:val="none"/>
          <w:lang w:eastAsia="zh-CN"/>
        </w:rPr>
        <w:t>投标人须知</w:t>
      </w:r>
      <w:r>
        <w:rPr>
          <w:color w:val="auto"/>
          <w:szCs w:val="21"/>
          <w:highlight w:val="none"/>
        </w:rPr>
        <w:t>前附表”规定。</w:t>
      </w:r>
    </w:p>
    <w:p w14:paraId="417E249F">
      <w:pPr>
        <w:numPr>
          <w:ilvl w:val="0"/>
          <w:numId w:val="0"/>
        </w:numPr>
        <w:spacing w:before="120" w:line="320" w:lineRule="atLeast"/>
        <w:ind w:firstLine="420" w:firstLineChars="200"/>
        <w:rPr>
          <w:rFonts w:hint="eastAsia"/>
          <w:color w:val="auto"/>
          <w:szCs w:val="21"/>
          <w:highlight w:val="none"/>
          <w:lang w:val="en-US" w:eastAsia="zh-CN"/>
        </w:rPr>
      </w:pPr>
      <w:r>
        <w:rPr>
          <w:rFonts w:hint="eastAsia"/>
          <w:color w:val="auto"/>
          <w:szCs w:val="21"/>
          <w:highlight w:val="none"/>
          <w:lang w:val="en-US" w:eastAsia="zh-CN"/>
        </w:rPr>
        <w:t>评审委员会启动异常低价响应审查后，应当要求相关供应商在评审现场合理的时间内提供书面说明及必要的证明材料，对响应价格作出解释。书面说明、证明材料主要是项目具体成本测算等与报价合理性相关的说明、材料。评审委员会可以要求供应商就提供服务的主要成本、销售费用、管理费用、财务费用、履约费用、计划利润、税金及附加等成本构成事项进行详细陈述。书面说明应当经供应商确认后提交给评审委员会。评审委员会应当结合同类产品在主要电商平台的价格、该行业当地薪资水平等情况，依据专业经验对报价合理性进行判断。审查相关情况应当在评审报告中记录。</w:t>
      </w:r>
    </w:p>
    <w:p w14:paraId="166A5185">
      <w:pPr>
        <w:spacing w:before="120" w:line="320" w:lineRule="atLeast"/>
        <w:ind w:firstLine="420" w:firstLineChars="200"/>
        <w:rPr>
          <w:rFonts w:hint="eastAsia"/>
          <w:color w:val="auto"/>
          <w:szCs w:val="21"/>
          <w:highlight w:val="none"/>
        </w:rPr>
      </w:pPr>
      <w:r>
        <w:rPr>
          <w:rFonts w:hint="eastAsia"/>
          <w:color w:val="auto"/>
          <w:szCs w:val="21"/>
          <w:highlight w:val="none"/>
        </w:rPr>
        <w:t>书面证明应当按照上述“</w:t>
      </w:r>
      <w:r>
        <w:rPr>
          <w:color w:val="auto"/>
          <w:szCs w:val="21"/>
          <w:highlight w:val="none"/>
        </w:rPr>
        <w:t>6.3.3</w:t>
      </w:r>
      <w:r>
        <w:rPr>
          <w:rFonts w:hint="eastAsia"/>
          <w:color w:val="auto"/>
          <w:szCs w:val="21"/>
          <w:highlight w:val="none"/>
        </w:rPr>
        <w:t>澄清、说明或补正”的规定提交。</w:t>
      </w:r>
      <w:r>
        <w:rPr>
          <w:rFonts w:hint="eastAsia"/>
          <w:color w:val="auto"/>
          <w:szCs w:val="21"/>
          <w:highlight w:val="none"/>
          <w:lang w:val="en-US" w:eastAsia="zh-CN"/>
        </w:rPr>
        <w:t>如果响应供应商未按规定提供书面说明、证明材料，或者提供的书面说明、证明材料不能证明其报价合理性的</w:t>
      </w:r>
      <w:r>
        <w:rPr>
          <w:rFonts w:hint="eastAsia"/>
          <w:color w:val="auto"/>
          <w:szCs w:val="21"/>
          <w:highlight w:val="none"/>
        </w:rPr>
        <w:t>，评审委员会应当将其作为无效投标处理。</w:t>
      </w:r>
    </w:p>
    <w:p w14:paraId="27224172">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w:t>
      </w:r>
      <w:r>
        <w:rPr>
          <w:rFonts w:hint="eastAsia"/>
          <w:color w:val="auto"/>
          <w:szCs w:val="21"/>
          <w:highlight w:val="none"/>
          <w:lang w:val="en-US" w:eastAsia="zh-CN"/>
        </w:rPr>
        <w:t>6</w:t>
      </w:r>
      <w:r>
        <w:rPr>
          <w:rFonts w:hint="eastAsia"/>
          <w:color w:val="auto"/>
          <w:szCs w:val="21"/>
          <w:highlight w:val="none"/>
        </w:rPr>
        <w:t>相同品牌认定（仅适用于货物采购项目）</w:t>
      </w:r>
    </w:p>
    <w:p w14:paraId="5DBEB1E5">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相同品牌的响应有效性</w:t>
      </w:r>
      <w:r>
        <w:rPr>
          <w:color w:val="auto"/>
          <w:highlight w:val="none"/>
        </w:rPr>
        <w:t>。</w:t>
      </w:r>
    </w:p>
    <w:bookmarkEnd w:id="68"/>
    <w:p w14:paraId="7B6B595F">
      <w:pPr>
        <w:spacing w:before="120" w:line="320" w:lineRule="atLeast"/>
        <w:ind w:firstLine="420" w:firstLineChars="200"/>
        <w:rPr>
          <w:color w:val="auto"/>
          <w:szCs w:val="21"/>
          <w:highlight w:val="none"/>
        </w:rPr>
      </w:pPr>
      <w:r>
        <w:rPr>
          <w:rFonts w:hint="eastAsia"/>
          <w:color w:val="auto"/>
          <w:szCs w:val="21"/>
          <w:highlight w:val="none"/>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298C4EA7">
      <w:pPr>
        <w:spacing w:before="120" w:line="320" w:lineRule="atLeast"/>
        <w:ind w:firstLine="420" w:firstLineChars="200"/>
        <w:rPr>
          <w:color w:val="auto"/>
          <w:szCs w:val="21"/>
          <w:highlight w:val="none"/>
        </w:rPr>
      </w:pPr>
      <w:r>
        <w:rPr>
          <w:rFonts w:hint="eastAsia"/>
          <w:color w:val="auto"/>
          <w:szCs w:val="21"/>
          <w:highlight w:val="none"/>
        </w:rPr>
        <w:t>（2）非单一产品采购项目，</w:t>
      </w:r>
      <w:r>
        <w:rPr>
          <w:color w:val="auto"/>
          <w:szCs w:val="21"/>
          <w:highlight w:val="none"/>
        </w:rPr>
        <w:t>采购人应当确定核心产品，并在采购文件中载明。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p w14:paraId="35AAEF70">
      <w:pPr>
        <w:spacing w:before="120" w:line="320" w:lineRule="atLeast"/>
        <w:ind w:firstLine="420" w:firstLineChars="200"/>
        <w:rPr>
          <w:rFonts w:hint="eastAsia"/>
          <w:color w:val="auto"/>
          <w:highlight w:val="none"/>
        </w:rPr>
      </w:pPr>
      <w:r>
        <w:rPr>
          <w:color w:val="auto"/>
          <w:highlight w:val="none"/>
        </w:rPr>
        <w:t>6.3.</w:t>
      </w:r>
      <w:r>
        <w:rPr>
          <w:rFonts w:hint="eastAsia"/>
          <w:color w:val="auto"/>
          <w:highlight w:val="none"/>
          <w:lang w:val="en-US" w:eastAsia="zh-CN"/>
        </w:rPr>
        <w:t>7</w:t>
      </w:r>
      <w:r>
        <w:rPr>
          <w:rFonts w:hint="eastAsia"/>
          <w:color w:val="auto"/>
          <w:highlight w:val="none"/>
        </w:rPr>
        <w:t>磋商</w:t>
      </w:r>
    </w:p>
    <w:p w14:paraId="27204F00">
      <w:pPr>
        <w:spacing w:before="120" w:line="320" w:lineRule="atLeast"/>
        <w:ind w:firstLine="420" w:firstLineChars="200"/>
        <w:rPr>
          <w:rFonts w:hint="eastAsia"/>
          <w:color w:val="auto"/>
          <w:highlight w:val="none"/>
        </w:rPr>
      </w:pPr>
      <w:r>
        <w:rPr>
          <w:rFonts w:hint="eastAsia"/>
          <w:color w:val="auto"/>
          <w:highlight w:val="none"/>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4C52722">
      <w:pPr>
        <w:spacing w:before="120" w:line="320" w:lineRule="atLeast"/>
        <w:ind w:firstLine="420" w:firstLineChars="200"/>
        <w:rPr>
          <w:color w:val="auto"/>
          <w:highlight w:val="none"/>
        </w:rPr>
      </w:pPr>
      <w:r>
        <w:rPr>
          <w:rFonts w:hint="eastAsia"/>
          <w:color w:val="auto"/>
          <w:highlight w:val="none"/>
        </w:rPr>
        <w:t>（2）在磋商过程中，磋商小组可以根据采购文件和磋商情况实质性变动采购需求中的技术、服务要求以及合同草案条款，但不得变动采购文件中的其他内容。实质性变动的内容，须经采购人代表确认。</w:t>
      </w:r>
    </w:p>
    <w:p w14:paraId="26DEFE5B">
      <w:pPr>
        <w:spacing w:before="120" w:line="320" w:lineRule="atLeast"/>
        <w:ind w:firstLine="420" w:firstLineChars="200"/>
        <w:rPr>
          <w:color w:val="auto"/>
          <w:highlight w:val="none"/>
        </w:rPr>
      </w:pPr>
      <w:r>
        <w:rPr>
          <w:rFonts w:hint="eastAsia"/>
          <w:color w:val="auto"/>
          <w:highlight w:val="none"/>
        </w:rPr>
        <w:t>对采购文件作出的实质性变动是采购文件的有效组成部分，由磋商小组通过广西政府采购云平台以书面形式同时通知所有参加磋商的供应商。</w:t>
      </w:r>
    </w:p>
    <w:p w14:paraId="3DA463E1">
      <w:pPr>
        <w:spacing w:before="120" w:line="320" w:lineRule="atLeast"/>
        <w:ind w:firstLine="420" w:firstLineChars="200"/>
        <w:rPr>
          <w:rFonts w:hint="eastAsia"/>
          <w:color w:val="auto"/>
          <w:highlight w:val="none"/>
        </w:rPr>
      </w:pPr>
      <w:r>
        <w:rPr>
          <w:rFonts w:hint="eastAsia"/>
          <w:color w:val="auto"/>
          <w:highlight w:val="none"/>
        </w:rPr>
        <w:t>（3）供应商必须按照采购文件的变动情况和磋商小组的要求重新提交响应文件，并在广西政府采购云平台在线编辑或上传PDF格式，使用电子签章后提交至磋商小组。参加磋商的供应商未在规定时间内重新提交响应文件的，视同退出磋商。</w:t>
      </w:r>
    </w:p>
    <w:p w14:paraId="1D236381">
      <w:pPr>
        <w:spacing w:before="120" w:line="320" w:lineRule="atLeast"/>
        <w:ind w:firstLine="420" w:firstLineChars="200"/>
        <w:rPr>
          <w:color w:val="auto"/>
          <w:highlight w:val="none"/>
        </w:rPr>
      </w:pPr>
      <w:r>
        <w:rPr>
          <w:rFonts w:hint="eastAsia"/>
          <w:color w:val="auto"/>
          <w:highlight w:val="none"/>
        </w:rPr>
        <w:t>（4）供应商的法定代表人或其授权代表无须到现场参加磋商，提问及回答/响应均通过广西政府采购云平台进行。磋商过程中使用的电子签章应为供应商上传响应文件的同一签章。</w:t>
      </w:r>
    </w:p>
    <w:p w14:paraId="4060133C">
      <w:pPr>
        <w:spacing w:before="120" w:line="320" w:lineRule="atLeast"/>
        <w:ind w:firstLine="420" w:firstLineChars="200"/>
        <w:rPr>
          <w:color w:val="auto"/>
          <w:highlight w:val="none"/>
        </w:rPr>
      </w:pPr>
      <w:r>
        <w:rPr>
          <w:rFonts w:hint="eastAsia"/>
          <w:color w:val="auto"/>
          <w:highlight w:val="none"/>
        </w:rPr>
        <w:t>6</w:t>
      </w:r>
      <w:r>
        <w:rPr>
          <w:color w:val="auto"/>
          <w:highlight w:val="none"/>
        </w:rPr>
        <w:t>.3.</w:t>
      </w:r>
      <w:r>
        <w:rPr>
          <w:rFonts w:hint="eastAsia"/>
          <w:color w:val="auto"/>
          <w:highlight w:val="none"/>
          <w:lang w:val="en-US" w:eastAsia="zh-CN"/>
        </w:rPr>
        <w:t>8</w:t>
      </w:r>
      <w:r>
        <w:rPr>
          <w:rFonts w:hint="eastAsia"/>
          <w:color w:val="auto"/>
          <w:highlight w:val="none"/>
        </w:rPr>
        <w:t>最后报价</w:t>
      </w:r>
    </w:p>
    <w:p w14:paraId="4F9E48F2">
      <w:pPr>
        <w:spacing w:before="120" w:line="320" w:lineRule="atLeast"/>
        <w:ind w:firstLine="420" w:firstLineChars="200"/>
        <w:rPr>
          <w:rFonts w:hint="eastAsia"/>
          <w:color w:val="auto"/>
          <w:highlight w:val="none"/>
        </w:rPr>
      </w:pPr>
      <w:r>
        <w:rPr>
          <w:rFonts w:hint="eastAsia"/>
          <w:color w:val="auto"/>
          <w:highlight w:val="none"/>
        </w:rPr>
        <w:t xml:space="preserve">（1）采购文件能够详细列明采购标的的技术、服务要求的，磋商结束后，磋商小组应当要求所有实质性响应的供应商在规定时间内提交最后报价，提交最后报价的供应商不得少于3家。 </w:t>
      </w:r>
    </w:p>
    <w:p w14:paraId="790D240F">
      <w:pPr>
        <w:spacing w:before="120" w:line="320" w:lineRule="atLeast"/>
        <w:ind w:firstLine="420" w:firstLineChars="200"/>
        <w:rPr>
          <w:rFonts w:hint="eastAsia"/>
          <w:color w:val="auto"/>
          <w:highlight w:val="none"/>
        </w:rPr>
      </w:pPr>
      <w:r>
        <w:rPr>
          <w:rFonts w:hint="eastAsia"/>
          <w:color w:val="auto"/>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20BA24B">
      <w:pPr>
        <w:spacing w:before="120" w:line="320" w:lineRule="atLeast"/>
        <w:ind w:firstLine="420" w:firstLineChars="200"/>
        <w:rPr>
          <w:color w:val="auto"/>
          <w:highlight w:val="none"/>
        </w:rPr>
      </w:pPr>
      <w:r>
        <w:rPr>
          <w:rFonts w:hint="eastAsia"/>
          <w:color w:val="auto"/>
          <w:highlight w:val="none"/>
        </w:rPr>
        <w:t>最后报价是供应商响应文件的有效组成部分。</w:t>
      </w:r>
    </w:p>
    <w:p w14:paraId="2937C997">
      <w:pPr>
        <w:spacing w:before="120" w:line="320" w:lineRule="atLeast"/>
        <w:ind w:firstLine="420" w:firstLineChars="200"/>
        <w:rPr>
          <w:color w:val="auto"/>
          <w:highlight w:val="none"/>
        </w:rPr>
      </w:pPr>
      <w:r>
        <w:rPr>
          <w:rFonts w:hint="eastAsia"/>
          <w:color w:val="auto"/>
          <w:highlight w:val="none"/>
        </w:rPr>
        <w:t>（2）如符合“市场竞争不充分的科研项目、需要扶持的科技成果转化项目、政府购买服务项目（含政府和社会资本合作项目）的，提交最后报价的供应商可以为2家。</w:t>
      </w:r>
    </w:p>
    <w:p w14:paraId="0173AED0">
      <w:pPr>
        <w:spacing w:before="120" w:line="320" w:lineRule="atLeast"/>
        <w:ind w:firstLine="420" w:firstLineChars="200"/>
        <w:rPr>
          <w:rFonts w:hint="eastAsia"/>
          <w:color w:val="auto"/>
          <w:highlight w:val="none"/>
        </w:rPr>
      </w:pPr>
      <w:r>
        <w:rPr>
          <w:rFonts w:hint="eastAsia"/>
          <w:color w:val="auto"/>
          <w:highlight w:val="none"/>
        </w:rPr>
        <w:t>（3）最后报价要求通过广西政府采购云平台发出，供应商需在广西政府采购云平台设置的时间内报价，最后报价不得超过采购预算金额且具有唯一性，否则否决其响应。</w:t>
      </w:r>
    </w:p>
    <w:p w14:paraId="677EB522">
      <w:pPr>
        <w:spacing w:before="120" w:line="320" w:lineRule="atLeast"/>
        <w:ind w:firstLine="420" w:firstLineChars="200"/>
        <w:rPr>
          <w:rFonts w:hint="eastAsia"/>
          <w:color w:val="auto"/>
          <w:highlight w:val="none"/>
        </w:rPr>
      </w:pPr>
      <w:r>
        <w:rPr>
          <w:rFonts w:hint="eastAsia"/>
          <w:color w:val="auto"/>
          <w:highlight w:val="none"/>
        </w:rPr>
        <w:t>（4）已提交响应文件的供应商，在提交最后报价之前，可以根据磋商情况退出磋商，退出磋商的供应商的响应文件无效。磋商小组在评审报告中注明退出磋商的供应商名单。采购人、采购代理机构应当退还退出磋商的供应商的磋商保证金。</w:t>
      </w:r>
    </w:p>
    <w:p w14:paraId="3D96FE4E">
      <w:pPr>
        <w:spacing w:before="120" w:line="320" w:lineRule="atLeast"/>
        <w:ind w:firstLine="420" w:firstLineChars="200"/>
        <w:rPr>
          <w:rFonts w:hint="eastAsia"/>
          <w:color w:val="auto"/>
          <w:highlight w:val="none"/>
        </w:rPr>
      </w:pPr>
      <w:r>
        <w:rPr>
          <w:rFonts w:hint="eastAsia"/>
          <w:color w:val="auto"/>
          <w:highlight w:val="none"/>
        </w:rPr>
        <w:t>（5）供应商未在规定时间内提交最后报价的，视同退出磋商。</w:t>
      </w:r>
    </w:p>
    <w:p w14:paraId="00E6FE0C">
      <w:pPr>
        <w:spacing w:before="120" w:line="320" w:lineRule="atLeast"/>
        <w:ind w:firstLine="420" w:firstLineChars="200"/>
        <w:rPr>
          <w:color w:val="auto"/>
          <w:highlight w:val="none"/>
        </w:rPr>
      </w:pPr>
      <w:r>
        <w:rPr>
          <w:rFonts w:hint="eastAsia"/>
          <w:color w:val="auto"/>
          <w:highlight w:val="none"/>
        </w:rPr>
        <w:t>（6）最后报价结束后，磋商小组不得再与供应商进行任何形式的商谈。</w:t>
      </w:r>
    </w:p>
    <w:p w14:paraId="252C606F">
      <w:pPr>
        <w:spacing w:before="120" w:line="320" w:lineRule="atLeast"/>
        <w:ind w:firstLine="420" w:firstLineChars="200"/>
        <w:rPr>
          <w:color w:val="auto"/>
          <w:szCs w:val="21"/>
          <w:highlight w:val="none"/>
        </w:rPr>
      </w:pPr>
      <w:r>
        <w:rPr>
          <w:color w:val="auto"/>
          <w:szCs w:val="21"/>
          <w:highlight w:val="none"/>
        </w:rPr>
        <w:t>6.3.</w:t>
      </w:r>
      <w:r>
        <w:rPr>
          <w:rFonts w:hint="eastAsia"/>
          <w:color w:val="auto"/>
          <w:szCs w:val="21"/>
          <w:highlight w:val="none"/>
          <w:lang w:val="en-US" w:eastAsia="zh-CN"/>
        </w:rPr>
        <w:t>9</w:t>
      </w:r>
      <w:r>
        <w:rPr>
          <w:color w:val="auto"/>
          <w:szCs w:val="21"/>
          <w:highlight w:val="none"/>
        </w:rPr>
        <w:t>串通投标认定</w:t>
      </w:r>
    </w:p>
    <w:p w14:paraId="2990BDC6">
      <w:pPr>
        <w:spacing w:before="120" w:line="320" w:lineRule="atLeast"/>
        <w:ind w:firstLine="420" w:firstLineChars="200"/>
        <w:rPr>
          <w:color w:val="auto"/>
          <w:highlight w:val="none"/>
        </w:rPr>
      </w:pPr>
      <w:r>
        <w:rPr>
          <w:color w:val="auto"/>
          <w:szCs w:val="21"/>
          <w:highlight w:val="none"/>
        </w:rPr>
        <w:t>磋商小组须根据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47A8A8A9">
      <w:pPr>
        <w:spacing w:before="120" w:line="320" w:lineRule="atLeast"/>
        <w:ind w:firstLine="420" w:firstLineChars="200"/>
        <w:rPr>
          <w:color w:val="auto"/>
          <w:szCs w:val="21"/>
          <w:highlight w:val="none"/>
        </w:rPr>
      </w:pPr>
      <w:bookmarkStart w:id="69" w:name="_Hlk19122026"/>
      <w:r>
        <w:rPr>
          <w:rFonts w:hint="eastAsia"/>
          <w:color w:val="auto"/>
          <w:szCs w:val="21"/>
          <w:highlight w:val="none"/>
        </w:rPr>
        <w:t>（1）</w:t>
      </w:r>
      <w:bookmarkEnd w:id="69"/>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76DB5ADD">
      <w:pPr>
        <w:spacing w:before="120" w:line="320" w:lineRule="atLeast"/>
        <w:ind w:firstLine="420" w:firstLineChars="200"/>
        <w:rPr>
          <w:color w:val="auto"/>
          <w:szCs w:val="21"/>
          <w:highlight w:val="none"/>
        </w:rPr>
      </w:pPr>
      <w:bookmarkStart w:id="70"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1A2E93E9">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3E233425">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70"/>
    <w:p w14:paraId="432C751F">
      <w:pPr>
        <w:spacing w:before="120" w:line="320" w:lineRule="atLeast"/>
        <w:ind w:firstLine="420" w:firstLineChars="200"/>
        <w:rPr>
          <w:color w:val="auto"/>
          <w:szCs w:val="21"/>
          <w:highlight w:val="none"/>
        </w:rPr>
      </w:pPr>
      <w:bookmarkStart w:id="71" w:name="_Hlk19122058"/>
      <w:r>
        <w:rPr>
          <w:rFonts w:hint="eastAsia"/>
          <w:color w:val="auto"/>
          <w:szCs w:val="21"/>
          <w:highlight w:val="none"/>
        </w:rPr>
        <w:t>（2）</w:t>
      </w:r>
      <w:bookmarkEnd w:id="71"/>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规定，有下列情形之一的视为供应商相互串通投标，响应文件将被视为无效。</w:t>
      </w:r>
    </w:p>
    <w:p w14:paraId="7D21FA2E">
      <w:pPr>
        <w:spacing w:before="120" w:line="320" w:lineRule="atLeast"/>
        <w:ind w:firstLine="420" w:firstLineChars="200"/>
        <w:rPr>
          <w:color w:val="auto"/>
          <w:szCs w:val="21"/>
          <w:highlight w:val="none"/>
        </w:rPr>
      </w:pPr>
      <w:bookmarkStart w:id="72" w:name="_Hlk19122048"/>
      <w:r>
        <w:rPr>
          <w:rFonts w:hint="eastAsia" w:ascii="宋体" w:hAnsi="宋体" w:cs="宋体"/>
          <w:color w:val="auto"/>
          <w:szCs w:val="21"/>
          <w:highlight w:val="none"/>
        </w:rPr>
        <w:t>①</w:t>
      </w:r>
      <w:r>
        <w:rPr>
          <w:color w:val="auto"/>
          <w:szCs w:val="21"/>
          <w:highlight w:val="none"/>
        </w:rPr>
        <w:t>不同供应商的响应文件由同一单位或者个人编制；或不同供应商报名的IP地址一致的；</w:t>
      </w:r>
    </w:p>
    <w:p w14:paraId="1FE11733">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50549E99">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不同的供应商的响应文件载明的项目管理员为同一个人；</w:t>
      </w:r>
    </w:p>
    <w:p w14:paraId="5A7D5FA0">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不同供应商的响应文件异常一致或投标报价呈规律性差异；</w:t>
      </w:r>
    </w:p>
    <w:p w14:paraId="0F6749C6">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不同供应商的响应文件相互混装；</w:t>
      </w:r>
    </w:p>
    <w:p w14:paraId="02935C70">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72"/>
    <w:p w14:paraId="16632645">
      <w:pPr>
        <w:spacing w:before="120" w:line="320" w:lineRule="atLeast"/>
        <w:ind w:firstLine="420" w:firstLineChars="200"/>
        <w:rPr>
          <w:color w:val="auto"/>
          <w:szCs w:val="21"/>
          <w:highlight w:val="none"/>
        </w:rPr>
      </w:pPr>
      <w:bookmarkStart w:id="73" w:name="_Hlk19122102"/>
      <w:r>
        <w:rPr>
          <w:rFonts w:hint="eastAsia"/>
          <w:color w:val="auto"/>
          <w:szCs w:val="21"/>
          <w:highlight w:val="none"/>
        </w:rPr>
        <w:t>（3）</w:t>
      </w:r>
      <w:bookmarkEnd w:id="73"/>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规定，供应商有下列情形之一的，属于恶意串通行为，响应文件将被视为无效。</w:t>
      </w:r>
    </w:p>
    <w:p w14:paraId="44684C9B">
      <w:pPr>
        <w:spacing w:before="120" w:line="320" w:lineRule="atLeast"/>
        <w:ind w:firstLine="420" w:firstLineChars="200"/>
        <w:rPr>
          <w:color w:val="auto"/>
          <w:szCs w:val="21"/>
          <w:highlight w:val="none"/>
        </w:rPr>
      </w:pPr>
      <w:bookmarkStart w:id="74"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供应商直接或者间接从采购人或者采购代理机构处获得其他供应商的相关信息并修改其响应文件或者响应文件；</w:t>
      </w:r>
    </w:p>
    <w:p w14:paraId="02CE141D">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供应商按照采购人或者采购代理机构的授意撤换、修改响应文件或者响应文件;；</w:t>
      </w:r>
    </w:p>
    <w:p w14:paraId="2DBE63A3">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供应商之间协商报价、技术方案等响应文件或者响应文件的实质性内容；</w:t>
      </w:r>
    </w:p>
    <w:p w14:paraId="1943CB7E">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1DD70255">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30ABB20C">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3D1A3C46">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74"/>
    <w:p w14:paraId="20A09357">
      <w:pPr>
        <w:spacing w:before="120" w:line="320" w:lineRule="atLeast"/>
        <w:ind w:firstLine="420" w:firstLineChars="200"/>
        <w:rPr>
          <w:color w:val="auto"/>
          <w:szCs w:val="21"/>
          <w:highlight w:val="none"/>
        </w:rPr>
      </w:pPr>
      <w:r>
        <w:rPr>
          <w:color w:val="auto"/>
          <w:szCs w:val="21"/>
          <w:highlight w:val="none"/>
        </w:rPr>
        <w:t>6.3.</w:t>
      </w:r>
      <w:r>
        <w:rPr>
          <w:rFonts w:hint="eastAsia"/>
          <w:color w:val="auto"/>
          <w:szCs w:val="21"/>
          <w:highlight w:val="none"/>
          <w:lang w:val="en-US" w:eastAsia="zh-CN"/>
        </w:rPr>
        <w:t>10</w:t>
      </w:r>
      <w:r>
        <w:rPr>
          <w:color w:val="auto"/>
          <w:szCs w:val="21"/>
          <w:highlight w:val="none"/>
        </w:rPr>
        <w:t>响应</w:t>
      </w:r>
      <w:r>
        <w:rPr>
          <w:rFonts w:hint="eastAsia"/>
          <w:color w:val="auto"/>
          <w:szCs w:val="21"/>
          <w:highlight w:val="none"/>
        </w:rPr>
        <w:t>无效</w:t>
      </w:r>
      <w:r>
        <w:rPr>
          <w:color w:val="auto"/>
          <w:szCs w:val="21"/>
          <w:highlight w:val="none"/>
        </w:rPr>
        <w:t>认定</w:t>
      </w:r>
    </w:p>
    <w:p w14:paraId="105A21D3">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如发现下列情形之一的，响应文件将被视为无效：</w:t>
      </w:r>
    </w:p>
    <w:p w14:paraId="67C6A24F">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响应文件</w:t>
      </w:r>
      <w:r>
        <w:rPr>
          <w:rFonts w:hint="eastAsia"/>
          <w:color w:val="auto"/>
          <w:szCs w:val="21"/>
          <w:highlight w:val="none"/>
        </w:rPr>
        <w:t>存在法律、法规及监督部门有关文件规定的无效情形</w:t>
      </w:r>
      <w:r>
        <w:rPr>
          <w:color w:val="auto"/>
          <w:szCs w:val="21"/>
          <w:highlight w:val="none"/>
        </w:rPr>
        <w:t>。</w:t>
      </w:r>
    </w:p>
    <w:p w14:paraId="0BB2894C">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响应文件</w:t>
      </w:r>
      <w:r>
        <w:rPr>
          <w:rFonts w:hint="eastAsia"/>
          <w:color w:val="auto"/>
          <w:szCs w:val="21"/>
          <w:highlight w:val="none"/>
        </w:rPr>
        <w:t>存在采购文件规定的无效情形。</w:t>
      </w:r>
    </w:p>
    <w:p w14:paraId="27B6A3D0">
      <w:pPr>
        <w:spacing w:before="120" w:line="320" w:lineRule="atLeast"/>
        <w:ind w:firstLine="420" w:firstLineChars="200"/>
        <w:rPr>
          <w:color w:val="auto"/>
          <w:szCs w:val="21"/>
          <w:highlight w:val="none"/>
        </w:rPr>
      </w:pPr>
      <w:bookmarkStart w:id="75"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75"/>
    <w:p w14:paraId="463FA828">
      <w:pPr>
        <w:spacing w:before="120" w:line="320" w:lineRule="atLeast"/>
        <w:ind w:firstLine="420" w:firstLineChars="200"/>
        <w:rPr>
          <w:color w:val="auto"/>
          <w:szCs w:val="21"/>
          <w:highlight w:val="none"/>
        </w:rPr>
      </w:pPr>
      <w:bookmarkStart w:id="76" w:name="_Hlk19113363"/>
      <w:r>
        <w:rPr>
          <w:color w:val="auto"/>
          <w:szCs w:val="21"/>
          <w:highlight w:val="none"/>
        </w:rPr>
        <w:t>6.3.1</w:t>
      </w:r>
      <w:r>
        <w:rPr>
          <w:rFonts w:hint="eastAsia"/>
          <w:color w:val="auto"/>
          <w:szCs w:val="21"/>
          <w:highlight w:val="none"/>
          <w:lang w:val="en-US" w:eastAsia="zh-CN"/>
        </w:rPr>
        <w:t>1</w:t>
      </w:r>
      <w:r>
        <w:rPr>
          <w:color w:val="auto"/>
          <w:szCs w:val="21"/>
          <w:highlight w:val="none"/>
        </w:rPr>
        <w:t>比较与评价</w:t>
      </w:r>
    </w:p>
    <w:p w14:paraId="76A87349">
      <w:pPr>
        <w:spacing w:before="120" w:line="320" w:lineRule="atLeast"/>
        <w:ind w:firstLine="420" w:firstLineChars="200"/>
        <w:rPr>
          <w:color w:val="auto"/>
          <w:szCs w:val="21"/>
          <w:highlight w:val="none"/>
        </w:rPr>
      </w:pPr>
      <w:r>
        <w:rPr>
          <w:rFonts w:hint="eastAsia"/>
          <w:color w:val="auto"/>
          <w:szCs w:val="21"/>
          <w:highlight w:val="none"/>
        </w:rPr>
        <w:t>（1）磋商小组</w:t>
      </w:r>
      <w:r>
        <w:rPr>
          <w:color w:val="auto"/>
          <w:szCs w:val="21"/>
          <w:highlight w:val="none"/>
        </w:rPr>
        <w:t>按采购文件中规定的评审方法和标准，</w:t>
      </w:r>
      <w:r>
        <w:rPr>
          <w:rFonts w:hint="eastAsia"/>
          <w:color w:val="auto"/>
          <w:szCs w:val="21"/>
          <w:highlight w:val="none"/>
        </w:rPr>
        <w:t>对提交最后报价的供应商的响应文件和最后报价进行综合评分。</w:t>
      </w:r>
    </w:p>
    <w:p w14:paraId="1092593B">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磋商小组各成员独立对每个有效供应商的响应文件进行评价</w:t>
      </w:r>
      <w:r>
        <w:rPr>
          <w:rFonts w:hint="eastAsia"/>
          <w:color w:val="auto"/>
          <w:szCs w:val="21"/>
          <w:highlight w:val="none"/>
        </w:rPr>
        <w:t>、打分。评价打分</w:t>
      </w:r>
      <w:r>
        <w:rPr>
          <w:color w:val="auto"/>
          <w:szCs w:val="21"/>
          <w:highlight w:val="none"/>
        </w:rPr>
        <w:t>有误的应及时进行修正。</w:t>
      </w:r>
      <w:r>
        <w:rPr>
          <w:rFonts w:hint="eastAsia"/>
          <w:color w:val="auto"/>
          <w:szCs w:val="21"/>
          <w:highlight w:val="none"/>
        </w:rPr>
        <w:t>评分</w:t>
      </w:r>
      <w:r>
        <w:rPr>
          <w:color w:val="auto"/>
          <w:szCs w:val="21"/>
          <w:highlight w:val="none"/>
        </w:rPr>
        <w:t>标准如有客观分定义，磋商小组所有成员的客观分</w:t>
      </w:r>
      <w:r>
        <w:rPr>
          <w:rFonts w:hint="eastAsia"/>
          <w:color w:val="auto"/>
          <w:szCs w:val="21"/>
          <w:highlight w:val="none"/>
        </w:rPr>
        <w:t>评分分值</w:t>
      </w:r>
      <w:r>
        <w:rPr>
          <w:color w:val="auto"/>
          <w:szCs w:val="21"/>
          <w:highlight w:val="none"/>
        </w:rPr>
        <w:t>应当一致。</w:t>
      </w:r>
    </w:p>
    <w:p w14:paraId="6699CEA6">
      <w:pPr>
        <w:spacing w:before="120" w:line="320" w:lineRule="atLeast"/>
        <w:ind w:firstLine="420" w:firstLineChars="200"/>
        <w:rPr>
          <w:rFonts w:hint="eastAsia"/>
          <w:color w:val="auto"/>
          <w:szCs w:val="21"/>
          <w:highlight w:val="none"/>
        </w:rPr>
      </w:pPr>
      <w:r>
        <w:rPr>
          <w:rFonts w:hint="eastAsia"/>
          <w:color w:val="auto"/>
          <w:szCs w:val="21"/>
          <w:highlight w:val="none"/>
        </w:rPr>
        <w:t>（3）磋商小组按综合评分由高到低的排列顺序推荐</w:t>
      </w:r>
      <w:r>
        <w:rPr>
          <w:color w:val="auto"/>
          <w:szCs w:val="21"/>
          <w:highlight w:val="none"/>
        </w:rPr>
        <w:t>3</w:t>
      </w:r>
      <w:r>
        <w:rPr>
          <w:rFonts w:hint="eastAsia"/>
          <w:color w:val="auto"/>
          <w:szCs w:val="21"/>
          <w:highlight w:val="none"/>
        </w:rPr>
        <w:t>名成交候选供应商，排名第一的为第一成交候选供应商。</w:t>
      </w:r>
      <w:r>
        <w:rPr>
          <w:color w:val="auto"/>
          <w:szCs w:val="21"/>
          <w:highlight w:val="none"/>
        </w:rPr>
        <w:t>若</w:t>
      </w:r>
      <w:r>
        <w:rPr>
          <w:rFonts w:hint="eastAsia"/>
          <w:color w:val="auto"/>
          <w:szCs w:val="21"/>
          <w:highlight w:val="none"/>
        </w:rPr>
        <w:t>成交</w:t>
      </w:r>
      <w:r>
        <w:rPr>
          <w:color w:val="auto"/>
          <w:szCs w:val="21"/>
          <w:highlight w:val="none"/>
        </w:rPr>
        <w:t>候选人综合</w:t>
      </w:r>
      <w:r>
        <w:rPr>
          <w:rFonts w:hint="eastAsia"/>
          <w:color w:val="auto"/>
          <w:szCs w:val="21"/>
          <w:highlight w:val="none"/>
        </w:rPr>
        <w:t>评</w:t>
      </w:r>
      <w:r>
        <w:rPr>
          <w:color w:val="auto"/>
          <w:szCs w:val="21"/>
          <w:highlight w:val="none"/>
        </w:rPr>
        <w:t>分相同的，按</w:t>
      </w:r>
      <w:r>
        <w:rPr>
          <w:rFonts w:hint="eastAsia"/>
          <w:color w:val="auto"/>
          <w:szCs w:val="21"/>
          <w:highlight w:val="none"/>
        </w:rPr>
        <w:t>最后</w:t>
      </w:r>
      <w:r>
        <w:rPr>
          <w:color w:val="auto"/>
          <w:szCs w:val="21"/>
          <w:highlight w:val="none"/>
        </w:rPr>
        <w:t>报价由低到高顺序排列；综合</w:t>
      </w:r>
      <w:r>
        <w:rPr>
          <w:rFonts w:hint="eastAsia"/>
          <w:color w:val="auto"/>
          <w:szCs w:val="21"/>
          <w:highlight w:val="none"/>
        </w:rPr>
        <w:t>评</w:t>
      </w:r>
      <w:r>
        <w:rPr>
          <w:color w:val="auto"/>
          <w:szCs w:val="21"/>
          <w:highlight w:val="none"/>
        </w:rPr>
        <w:t>分且</w:t>
      </w:r>
      <w:r>
        <w:rPr>
          <w:rFonts w:hint="eastAsia"/>
          <w:color w:val="auto"/>
          <w:szCs w:val="21"/>
          <w:highlight w:val="none"/>
        </w:rPr>
        <w:t>最后</w:t>
      </w:r>
      <w:r>
        <w:rPr>
          <w:color w:val="auto"/>
          <w:szCs w:val="21"/>
          <w:highlight w:val="none"/>
        </w:rPr>
        <w:t>报价相同的</w:t>
      </w:r>
      <w:r>
        <w:rPr>
          <w:color w:val="auto"/>
          <w:highlight w:val="none"/>
        </w:rPr>
        <w:t>并列</w:t>
      </w:r>
      <w:r>
        <w:rPr>
          <w:color w:val="auto"/>
          <w:szCs w:val="21"/>
          <w:highlight w:val="none"/>
        </w:rPr>
        <w:t>；</w:t>
      </w:r>
      <w:r>
        <w:rPr>
          <w:rFonts w:hint="eastAsia"/>
          <w:color w:val="auto"/>
          <w:szCs w:val="21"/>
          <w:highlight w:val="none"/>
        </w:rPr>
        <w:t>成交</w:t>
      </w:r>
      <w:r>
        <w:rPr>
          <w:color w:val="auto"/>
          <w:szCs w:val="21"/>
          <w:highlight w:val="none"/>
        </w:rPr>
        <w:t>候选人并列的，按技术部分</w:t>
      </w:r>
      <w:r>
        <w:rPr>
          <w:rFonts w:hint="eastAsia"/>
          <w:color w:val="auto"/>
          <w:szCs w:val="21"/>
          <w:highlight w:val="none"/>
        </w:rPr>
        <w:t>评</w:t>
      </w:r>
      <w:r>
        <w:rPr>
          <w:color w:val="auto"/>
          <w:szCs w:val="21"/>
          <w:highlight w:val="none"/>
        </w:rPr>
        <w:t>分由高到低顺序排列，若综合评分、</w:t>
      </w:r>
      <w:r>
        <w:rPr>
          <w:rFonts w:hint="eastAsia"/>
          <w:color w:val="auto"/>
          <w:szCs w:val="21"/>
          <w:highlight w:val="none"/>
        </w:rPr>
        <w:t>最后</w:t>
      </w:r>
      <w:r>
        <w:rPr>
          <w:color w:val="auto"/>
          <w:szCs w:val="21"/>
          <w:highlight w:val="none"/>
        </w:rPr>
        <w:t>报价、技术部分</w:t>
      </w:r>
      <w:r>
        <w:rPr>
          <w:rFonts w:hint="eastAsia"/>
          <w:color w:val="auto"/>
          <w:szCs w:val="21"/>
          <w:highlight w:val="none"/>
        </w:rPr>
        <w:t>评分</w:t>
      </w:r>
      <w:r>
        <w:rPr>
          <w:color w:val="auto"/>
          <w:szCs w:val="21"/>
          <w:highlight w:val="none"/>
        </w:rPr>
        <w:t>均相同的，按商务</w:t>
      </w:r>
      <w:r>
        <w:rPr>
          <w:rFonts w:hint="eastAsia"/>
          <w:color w:val="auto"/>
          <w:szCs w:val="21"/>
          <w:highlight w:val="none"/>
        </w:rPr>
        <w:t>资信</w:t>
      </w:r>
      <w:r>
        <w:rPr>
          <w:color w:val="auto"/>
          <w:szCs w:val="21"/>
          <w:highlight w:val="none"/>
        </w:rPr>
        <w:t>部分</w:t>
      </w:r>
      <w:r>
        <w:rPr>
          <w:rFonts w:hint="eastAsia"/>
          <w:color w:val="auto"/>
          <w:szCs w:val="21"/>
          <w:highlight w:val="none"/>
        </w:rPr>
        <w:t>评</w:t>
      </w:r>
      <w:r>
        <w:rPr>
          <w:color w:val="auto"/>
          <w:szCs w:val="21"/>
          <w:highlight w:val="none"/>
        </w:rPr>
        <w:t>分由高到低顺序排列。</w:t>
      </w:r>
      <w:r>
        <w:rPr>
          <w:rFonts w:hint="eastAsia"/>
          <w:color w:val="auto"/>
          <w:szCs w:val="21"/>
          <w:highlight w:val="none"/>
        </w:rPr>
        <w:t>若综合评分、最后报价、技术部分评分、商务资信部分评分均相同的，由采购人自行决定。</w:t>
      </w:r>
    </w:p>
    <w:p w14:paraId="5CF18826">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）磋商小组根据评审记录及评审结果编写评审报告，磋商小组成员均应当在评审报告上签字，对自己的评审意见承担法律责任。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情形之一的，磋商小组应当当场修改评审结果，并在评审报告中记载；评审报告签署后，采购人或者采购代理机构发现存在以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情形之一的，应当组织原磋商小组进行重新评审。</w:t>
      </w:r>
    </w:p>
    <w:p w14:paraId="659D27EB">
      <w:pPr>
        <w:spacing w:before="120" w:line="320" w:lineRule="atLeast"/>
        <w:ind w:firstLine="420" w:firstLineChars="200"/>
        <w:rPr>
          <w:color w:val="auto"/>
          <w:highlight w:val="none"/>
        </w:rPr>
      </w:pPr>
      <w:r>
        <w:rPr>
          <w:rFonts w:hint="eastAsia"/>
          <w:color w:val="auto"/>
          <w:highlight w:val="none"/>
        </w:rPr>
        <w:t>资格性检查认定错误、分值汇总计算错误、分项评分超出评分标准范围、客观分评分不一致、经磋商小组一致认定评分畸高、畸低。</w:t>
      </w:r>
    </w:p>
    <w:bookmarkEnd w:id="76"/>
    <w:p w14:paraId="0EFC6D5D">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6.4确定成交供应商</w:t>
      </w:r>
    </w:p>
    <w:p w14:paraId="021AC714">
      <w:pPr>
        <w:spacing w:before="120" w:line="276" w:lineRule="auto"/>
        <w:ind w:firstLine="420" w:firstLineChars="200"/>
        <w:rPr>
          <w:color w:val="auto"/>
          <w:szCs w:val="21"/>
          <w:highlight w:val="none"/>
        </w:rPr>
      </w:pPr>
      <w:r>
        <w:rPr>
          <w:rFonts w:hint="eastAsia"/>
          <w:color w:val="auto"/>
          <w:szCs w:val="21"/>
          <w:highlight w:val="none"/>
        </w:rPr>
        <w:t>6.4</w:t>
      </w:r>
      <w:r>
        <w:rPr>
          <w:color w:val="auto"/>
          <w:szCs w:val="21"/>
          <w:highlight w:val="none"/>
        </w:rPr>
        <w:t>.1采购代理机构在评审结束后2个工作日内将评审报告送采购人，采购人在5个工作日内按照评审报告中推荐的成交候选供应商顺序确定成交供应商。</w:t>
      </w:r>
    </w:p>
    <w:p w14:paraId="7BE57F2F">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574B3BAA">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5536FBA0">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.5.1自成交供应商确定后2个工作日内，采购代理机构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成交结果。</w:t>
      </w:r>
    </w:p>
    <w:p w14:paraId="56150E47">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公告的同时，采购代理机构以供应商须知前附表规定的形式向成交供应商发出成交通知书。成交通知书发出后，采购人改变成交结果，或者成交供应商放弃成交，应当承担相应的法律责任。</w:t>
      </w:r>
    </w:p>
    <w:p w14:paraId="342B8876">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4AEAAE42">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326FA1CA">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）符合专业条件的供应商或者对采购文件做实质性响应的供应商不足三家；</w:t>
      </w:r>
    </w:p>
    <w:p w14:paraId="15916840">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0E6EE8CB">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71B4C1B3">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5BD1300F">
      <w:pPr>
        <w:spacing w:before="120" w:line="320" w:lineRule="atLeast"/>
        <w:ind w:firstLine="420" w:firstLineChars="200"/>
        <w:rPr>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p>
    <w:p w14:paraId="67EECBB6">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7．合同</w:t>
      </w:r>
    </w:p>
    <w:p w14:paraId="14442116">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6B8E9F06">
      <w:pPr>
        <w:spacing w:before="120" w:line="320" w:lineRule="atLeast"/>
        <w:ind w:firstLine="420" w:firstLineChars="200"/>
        <w:rPr>
          <w:color w:val="auto"/>
          <w:szCs w:val="21"/>
          <w:highlight w:val="none"/>
        </w:rPr>
      </w:pPr>
      <w:r>
        <w:rPr>
          <w:color w:val="auto"/>
          <w:szCs w:val="21"/>
          <w:highlight w:val="none"/>
        </w:rPr>
        <w:t>合同将授予被确定实质上响应采购文件要求，具备履行合同能力，综合评分排名第一的供应商。在</w:t>
      </w:r>
      <w:r>
        <w:rPr>
          <w:rFonts w:hint="eastAsia"/>
          <w:color w:val="auto"/>
          <w:szCs w:val="21"/>
          <w:highlight w:val="none"/>
        </w:rPr>
        <w:t>成交通知书</w:t>
      </w:r>
      <w:r>
        <w:rPr>
          <w:color w:val="auto"/>
          <w:szCs w:val="21"/>
          <w:highlight w:val="none"/>
        </w:rPr>
        <w:t>发出前或签订合同前，如果</w:t>
      </w:r>
      <w:r>
        <w:rPr>
          <w:rFonts w:hint="eastAsia"/>
          <w:color w:val="auto"/>
          <w:szCs w:val="21"/>
          <w:highlight w:val="none"/>
        </w:rPr>
        <w:t>成交供应商</w:t>
      </w:r>
      <w:r>
        <w:rPr>
          <w:color w:val="auto"/>
          <w:szCs w:val="21"/>
          <w:highlight w:val="none"/>
        </w:rPr>
        <w:t>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采购文件</w:t>
      </w:r>
      <w:r>
        <w:rPr>
          <w:color w:val="auto"/>
          <w:szCs w:val="21"/>
          <w:highlight w:val="none"/>
        </w:rPr>
        <w:t>要求提交履约保证金等情形，不符合成交条件或不满足供应商资格条件要求 ，应在</w:t>
      </w:r>
      <w:r>
        <w:rPr>
          <w:rFonts w:hint="eastAsia"/>
          <w:color w:val="auto"/>
          <w:szCs w:val="21"/>
          <w:highlight w:val="none"/>
        </w:rPr>
        <w:t>成交通知书</w:t>
      </w:r>
      <w:r>
        <w:rPr>
          <w:color w:val="auto"/>
          <w:szCs w:val="21"/>
          <w:highlight w:val="none"/>
        </w:rPr>
        <w:t>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取消其成交资格并</w:t>
      </w:r>
      <w:r>
        <w:rPr>
          <w:color w:val="auto"/>
          <w:szCs w:val="21"/>
          <w:highlight w:val="none"/>
        </w:rPr>
        <w:t>没收磋商保证金</w:t>
      </w:r>
      <w:r>
        <w:rPr>
          <w:rFonts w:hint="eastAsia"/>
          <w:color w:val="auto"/>
          <w:szCs w:val="21"/>
          <w:highlight w:val="none"/>
        </w:rPr>
        <w:t>。</w:t>
      </w:r>
    </w:p>
    <w:p w14:paraId="5508AB56">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2FC0F15D">
      <w:pPr>
        <w:spacing w:before="120" w:line="320" w:lineRule="atLeast"/>
        <w:ind w:firstLine="420" w:firstLineChars="200"/>
        <w:rPr>
          <w:color w:val="auto"/>
          <w:szCs w:val="21"/>
          <w:highlight w:val="none"/>
        </w:rPr>
      </w:pPr>
      <w:r>
        <w:rPr>
          <w:color w:val="auto"/>
          <w:szCs w:val="21"/>
          <w:highlight w:val="none"/>
        </w:rPr>
        <w:t>7.2.1如</w:t>
      </w:r>
      <w:r>
        <w:rPr>
          <w:rFonts w:hint="eastAsia"/>
          <w:color w:val="auto"/>
          <w:szCs w:val="21"/>
          <w:highlight w:val="none"/>
        </w:rPr>
        <w:t>采购文件</w:t>
      </w:r>
      <w:r>
        <w:rPr>
          <w:color w:val="auto"/>
          <w:szCs w:val="21"/>
          <w:highlight w:val="none"/>
        </w:rPr>
        <w:t>无</w:t>
      </w:r>
      <w:r>
        <w:rPr>
          <w:rFonts w:hint="eastAsia"/>
          <w:color w:val="auto"/>
          <w:szCs w:val="21"/>
          <w:highlight w:val="none"/>
        </w:rPr>
        <w:t>特别</w:t>
      </w:r>
      <w:r>
        <w:rPr>
          <w:color w:val="auto"/>
          <w:szCs w:val="21"/>
          <w:highlight w:val="none"/>
        </w:rPr>
        <w:t>规定，</w:t>
      </w:r>
      <w:r>
        <w:rPr>
          <w:rFonts w:hint="eastAsia"/>
          <w:color w:val="auto"/>
          <w:szCs w:val="21"/>
          <w:highlight w:val="none"/>
        </w:rPr>
        <w:t>成交供应商按采购文件确定的事项签订政府采购合同。</w:t>
      </w:r>
    </w:p>
    <w:p w14:paraId="60037D3B">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政府采购合同应当包括采购人与成交供应商的名称和住所、标的、数量、质量、价款或者报酬、履行期限及地点和方式、验收要求、违约责任、解决争议的方法等内容。</w:t>
      </w:r>
      <w:r>
        <w:rPr>
          <w:color w:val="auto"/>
          <w:szCs w:val="21"/>
          <w:highlight w:val="none"/>
        </w:rPr>
        <w:t>采购文件、成交供应商的响应文件及澄清文件等，均为签订政府采购合同的依据。</w:t>
      </w:r>
    </w:p>
    <w:p w14:paraId="26BE7434">
      <w:pPr>
        <w:spacing w:before="120" w:line="320" w:lineRule="atLeast"/>
        <w:ind w:firstLine="420" w:firstLineChars="200"/>
        <w:rPr>
          <w:color w:val="auto"/>
          <w:szCs w:val="21"/>
          <w:highlight w:val="none"/>
        </w:rPr>
      </w:pPr>
      <w:r>
        <w:rPr>
          <w:color w:val="auto"/>
          <w:szCs w:val="21"/>
          <w:highlight w:val="none"/>
        </w:rPr>
        <w:t>7.2.3如成交供应商不按成交通知书的规定签订合同，</w:t>
      </w:r>
      <w:r>
        <w:rPr>
          <w:rFonts w:hint="eastAsia"/>
          <w:color w:val="auto"/>
          <w:szCs w:val="21"/>
          <w:highlight w:val="none"/>
        </w:rPr>
        <w:t>其磋商保证金将不予退还，并报由同级政府采购监督管理部门处理。</w:t>
      </w:r>
    </w:p>
    <w:p w14:paraId="51FC6BC3">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成交供应商拒绝与采购人签订合同的，采购人可以按照评审报告推荐的成交候选人名单排序，确定下一候选人为成交供应商，也可以重新开展政府采购活动。</w:t>
      </w:r>
    </w:p>
    <w:p w14:paraId="3F81CF38">
      <w:pPr>
        <w:spacing w:before="120" w:line="320" w:lineRule="atLeast"/>
        <w:ind w:firstLine="420" w:firstLineChars="200"/>
        <w:rPr>
          <w:rFonts w:hint="eastAsia"/>
          <w:color w:val="auto"/>
          <w:szCs w:val="21"/>
          <w:highlight w:val="none"/>
        </w:rPr>
      </w:pPr>
      <w:bookmarkStart w:id="77"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采购人因不可抗力原因迟延签订合同的，应当自不可抗力事由消除之日起5个工作日内完成合同签订事宜。</w:t>
      </w:r>
      <w:bookmarkEnd w:id="77"/>
    </w:p>
    <w:p w14:paraId="7844BC33">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601CB944">
      <w:pPr>
        <w:spacing w:before="120" w:line="320" w:lineRule="atLeast"/>
        <w:ind w:firstLine="420" w:firstLineChars="200"/>
        <w:rPr>
          <w:color w:val="auto"/>
          <w:szCs w:val="21"/>
          <w:highlight w:val="none"/>
        </w:rPr>
      </w:pPr>
      <w:r>
        <w:rPr>
          <w:color w:val="auto"/>
          <w:szCs w:val="21"/>
          <w:highlight w:val="none"/>
        </w:rPr>
        <w:t>7.3.1如</w:t>
      </w:r>
      <w:r>
        <w:rPr>
          <w:rFonts w:hint="eastAsia"/>
          <w:color w:val="auto"/>
          <w:szCs w:val="21"/>
          <w:highlight w:val="none"/>
        </w:rPr>
        <w:t>采购文件</w:t>
      </w:r>
      <w:r>
        <w:rPr>
          <w:color w:val="auto"/>
          <w:szCs w:val="21"/>
          <w:highlight w:val="none"/>
        </w:rPr>
        <w:t>无特殊规定</w:t>
      </w:r>
      <w:r>
        <w:rPr>
          <w:rFonts w:hint="eastAsia"/>
          <w:color w:val="auto"/>
          <w:szCs w:val="21"/>
          <w:highlight w:val="none"/>
        </w:rPr>
        <w:t>，</w:t>
      </w:r>
      <w:r>
        <w:rPr>
          <w:color w:val="auto"/>
          <w:szCs w:val="21"/>
          <w:highlight w:val="none"/>
        </w:rPr>
        <w:t>成交供应商应在签订合同后1个工作日内，将政府采购合同副本送采购代理机构</w:t>
      </w:r>
      <w:r>
        <w:rPr>
          <w:rFonts w:hint="eastAsia"/>
          <w:color w:val="auto"/>
          <w:szCs w:val="21"/>
          <w:highlight w:val="none"/>
        </w:rPr>
        <w:t>存档</w:t>
      </w:r>
      <w:r>
        <w:rPr>
          <w:color w:val="auto"/>
          <w:szCs w:val="21"/>
          <w:highlight w:val="none"/>
        </w:rPr>
        <w:t>。</w:t>
      </w:r>
    </w:p>
    <w:p w14:paraId="34637FDA">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0588BD68">
      <w:pPr>
        <w:spacing w:before="120" w:line="320" w:lineRule="atLeast"/>
        <w:ind w:firstLine="420" w:firstLineChars="200"/>
        <w:rPr>
          <w:rFonts w:hint="eastAsia"/>
          <w:color w:val="auto"/>
          <w:szCs w:val="21"/>
          <w:highlight w:val="none"/>
        </w:rPr>
      </w:pPr>
      <w:bookmarkStart w:id="78"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78"/>
    </w:p>
    <w:p w14:paraId="5CB46D5F">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1DA2BDC1">
      <w:pPr>
        <w:spacing w:before="120" w:line="320" w:lineRule="atLeast"/>
        <w:ind w:firstLine="420" w:firstLineChars="200"/>
        <w:rPr>
          <w:color w:val="auto"/>
          <w:szCs w:val="21"/>
          <w:highlight w:val="none"/>
        </w:rPr>
      </w:pPr>
      <w:bookmarkStart w:id="79" w:name="_Toc217446070"/>
      <w:bookmarkStart w:id="80" w:name="_Toc308164814"/>
      <w:r>
        <w:rPr>
          <w:color w:val="auto"/>
          <w:szCs w:val="21"/>
          <w:highlight w:val="none"/>
        </w:rPr>
        <w:t>7.4.1</w:t>
      </w:r>
      <w:r>
        <w:rPr>
          <w:rFonts w:hint="eastAsia"/>
          <w:color w:val="auto"/>
          <w:szCs w:val="21"/>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797A1171">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79"/>
      <w:bookmarkEnd w:id="80"/>
    </w:p>
    <w:p w14:paraId="602F026E">
      <w:pPr>
        <w:spacing w:before="120" w:line="320" w:lineRule="atLeast"/>
        <w:ind w:firstLine="420" w:firstLineChars="200"/>
        <w:rPr>
          <w:color w:val="auto"/>
          <w:szCs w:val="21"/>
          <w:highlight w:val="none"/>
        </w:rPr>
      </w:pPr>
      <w:r>
        <w:rPr>
          <w:color w:val="auto"/>
          <w:szCs w:val="21"/>
          <w:highlight w:val="none"/>
        </w:rPr>
        <w:t>7.5.1采购人可以根据政府采购项目具体情况自行组织验收，或者委托政府采购代理机构、国家认可的质量检测机构开展采购项目履约验收工作。</w:t>
      </w:r>
    </w:p>
    <w:p w14:paraId="14FC2A23">
      <w:pPr>
        <w:spacing w:before="120" w:line="320" w:lineRule="atLeast"/>
        <w:ind w:firstLine="420" w:firstLineChars="200"/>
        <w:rPr>
          <w:color w:val="auto"/>
          <w:szCs w:val="21"/>
          <w:highlight w:val="none"/>
        </w:rPr>
      </w:pPr>
      <w:r>
        <w:rPr>
          <w:color w:val="auto"/>
          <w:szCs w:val="21"/>
          <w:highlight w:val="none"/>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986B077">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0784FA26">
      <w:pPr>
        <w:spacing w:before="120" w:line="320" w:lineRule="atLeast"/>
        <w:ind w:firstLine="420" w:firstLineChars="200"/>
        <w:rPr>
          <w:color w:val="auto"/>
          <w:szCs w:val="21"/>
          <w:highlight w:val="none"/>
        </w:rPr>
      </w:pPr>
      <w:r>
        <w:rPr>
          <w:color w:val="auto"/>
          <w:szCs w:val="21"/>
          <w:highlight w:val="none"/>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58604533">
      <w:pPr>
        <w:spacing w:before="120" w:line="320" w:lineRule="atLeast"/>
        <w:ind w:left="2" w:leftChars="1" w:firstLine="422" w:firstLineChars="200"/>
        <w:outlineLvl w:val="1"/>
        <w:rPr>
          <w:b/>
          <w:bCs/>
          <w:color w:val="auto"/>
          <w:kern w:val="0"/>
          <w:szCs w:val="21"/>
          <w:highlight w:val="none"/>
        </w:rPr>
      </w:pPr>
      <w:bookmarkStart w:id="81" w:name="_Toc254970674"/>
      <w:bookmarkStart w:id="82" w:name="_Toc254970533"/>
      <w:r>
        <w:rPr>
          <w:b/>
          <w:bCs/>
          <w:color w:val="auto"/>
          <w:kern w:val="0"/>
          <w:szCs w:val="21"/>
          <w:highlight w:val="none"/>
        </w:rPr>
        <w:t>8．质疑和投诉</w:t>
      </w:r>
      <w:bookmarkEnd w:id="81"/>
      <w:bookmarkEnd w:id="82"/>
    </w:p>
    <w:p w14:paraId="45A601E5">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4836E9CF">
      <w:pPr>
        <w:spacing w:before="120" w:line="320" w:lineRule="atLeast"/>
        <w:ind w:firstLine="420" w:firstLineChars="200"/>
        <w:rPr>
          <w:color w:val="auto"/>
          <w:szCs w:val="21"/>
          <w:highlight w:val="none"/>
        </w:rPr>
      </w:pPr>
      <w:r>
        <w:rPr>
          <w:color w:val="auto"/>
          <w:szCs w:val="21"/>
          <w:highlight w:val="none"/>
        </w:rPr>
        <w:t>8.1.1质疑内容、时限</w:t>
      </w:r>
    </w:p>
    <w:p w14:paraId="307B62C3">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2A5AFBB9">
      <w:pPr>
        <w:spacing w:before="120" w:line="320" w:lineRule="atLeast"/>
        <w:ind w:firstLine="420" w:firstLineChars="200"/>
        <w:rPr>
          <w:color w:val="auto"/>
          <w:szCs w:val="21"/>
          <w:highlight w:val="none"/>
        </w:rPr>
      </w:pPr>
      <w:r>
        <w:rPr>
          <w:rFonts w:hint="eastAsia"/>
          <w:color w:val="auto"/>
          <w:szCs w:val="21"/>
          <w:highlight w:val="none"/>
        </w:rPr>
        <w:t>（2）供应商为认为采购文件、采购过程、中标或者成交结果使自己的权益受到损害的，可以在知道或者应知其权益受到损害之日起7个工作日内向采购人或采购代理机构提出质疑。采购人或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73DF2D11">
      <w:pPr>
        <w:spacing w:before="120" w:line="320" w:lineRule="atLeast"/>
        <w:ind w:firstLine="420" w:firstLineChars="200"/>
        <w:rPr>
          <w:color w:val="auto"/>
          <w:szCs w:val="21"/>
          <w:highlight w:val="none"/>
        </w:rPr>
      </w:pPr>
      <w:r>
        <w:rPr>
          <w:color w:val="auto"/>
          <w:szCs w:val="21"/>
          <w:highlight w:val="none"/>
        </w:rPr>
        <w:t>8.1.2质疑形式</w:t>
      </w:r>
    </w:p>
    <w:p w14:paraId="6D9C10C4">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过程或成交结果中使自己合法权益受到损害的实质性内容，提供相关事实、依据和证据及其来源或线索，便于有关单位调查、答复和处理。</w:t>
      </w:r>
    </w:p>
    <w:p w14:paraId="3D8C6533">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0F075B8E">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5E95C660">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080B08FB">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2EC3BBAF">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6489AE9D">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1B856548">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60E419F9">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7734CC99">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4BB938E0">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484A9EC3">
      <w:pPr>
        <w:spacing w:before="120" w:line="320" w:lineRule="atLeast"/>
        <w:ind w:firstLine="420" w:firstLineChars="200"/>
        <w:rPr>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71814809">
      <w:pPr>
        <w:spacing w:before="120" w:line="320" w:lineRule="atLeast"/>
        <w:ind w:firstLine="422" w:firstLineChars="200"/>
        <w:outlineLvl w:val="1"/>
        <w:rPr>
          <w:b/>
          <w:bCs/>
          <w:color w:val="auto"/>
          <w:kern w:val="0"/>
          <w:szCs w:val="21"/>
          <w:highlight w:val="none"/>
        </w:rPr>
      </w:pPr>
      <w:r>
        <w:rPr>
          <w:b/>
          <w:bCs/>
          <w:color w:val="auto"/>
          <w:kern w:val="0"/>
          <w:szCs w:val="21"/>
          <w:highlight w:val="none"/>
        </w:rPr>
        <w:t>9．其他事项</w:t>
      </w:r>
    </w:p>
    <w:p w14:paraId="57DEA025">
      <w:pPr>
        <w:spacing w:before="120" w:line="320" w:lineRule="atLeast"/>
        <w:ind w:firstLine="420" w:firstLineChars="200"/>
        <w:rPr>
          <w:color w:val="auto"/>
          <w:szCs w:val="21"/>
          <w:highlight w:val="none"/>
        </w:rPr>
      </w:pPr>
      <w:r>
        <w:rPr>
          <w:color w:val="auto"/>
          <w:szCs w:val="21"/>
          <w:highlight w:val="none"/>
        </w:rPr>
        <w:t>9.1代理服务收费由采购代理机构向成交供应商收取。签订合同前，成交供应商应向采购代理机构一次付清代理服务费。</w:t>
      </w:r>
    </w:p>
    <w:p w14:paraId="20E860C4">
      <w:pPr>
        <w:spacing w:before="120" w:line="276" w:lineRule="auto"/>
        <w:ind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63CC3771">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726CE6EA">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4143F582">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1B53A358">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01E2FDC1">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6C7FE8E7">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19798282">
      <w:pPr>
        <w:spacing w:line="360" w:lineRule="auto"/>
        <w:ind w:firstLine="420"/>
        <w:rPr>
          <w:color w:val="auto"/>
          <w:szCs w:val="21"/>
          <w:highlight w:val="none"/>
        </w:rPr>
      </w:pPr>
      <w:r>
        <w:rPr>
          <w:color w:val="auto"/>
          <w:szCs w:val="21"/>
          <w:highlight w:val="none"/>
        </w:rPr>
        <w:t>9.3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7C9BA139">
      <w:pPr>
        <w:spacing w:line="360" w:lineRule="auto"/>
        <w:ind w:firstLine="420"/>
        <w:rPr>
          <w:color w:val="auto"/>
          <w:szCs w:val="21"/>
          <w:highlight w:val="none"/>
        </w:rPr>
      </w:pPr>
      <w:r>
        <w:rPr>
          <w:color w:val="auto"/>
          <w:szCs w:val="21"/>
          <w:highlight w:val="none"/>
        </w:rPr>
        <w:t>9.4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5FD96AA9">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10．</w:t>
      </w:r>
      <w:r>
        <w:rPr>
          <w:rFonts w:hint="eastAsia"/>
          <w:b/>
          <w:bCs/>
          <w:color w:val="auto"/>
          <w:kern w:val="0"/>
          <w:szCs w:val="21"/>
          <w:highlight w:val="none"/>
        </w:rPr>
        <w:t>其他说明</w:t>
      </w:r>
    </w:p>
    <w:p w14:paraId="432A5976">
      <w:pPr>
        <w:spacing w:before="120" w:line="320" w:lineRule="atLeast"/>
        <w:ind w:left="2" w:leftChars="1" w:firstLine="422" w:firstLineChars="200"/>
        <w:outlineLvl w:val="1"/>
        <w:rPr>
          <w:color w:val="auto"/>
          <w:kern w:val="0"/>
          <w:szCs w:val="21"/>
          <w:highlight w:val="none"/>
        </w:rPr>
      </w:pPr>
      <w:r>
        <w:rPr>
          <w:rFonts w:hint="eastAsia"/>
          <w:b/>
          <w:bCs/>
          <w:color w:val="auto"/>
          <w:kern w:val="0"/>
          <w:szCs w:val="21"/>
          <w:highlight w:val="none"/>
        </w:rPr>
        <w:t>1</w:t>
      </w:r>
      <w:r>
        <w:rPr>
          <w:b/>
          <w:bCs/>
          <w:color w:val="auto"/>
          <w:kern w:val="0"/>
          <w:szCs w:val="21"/>
          <w:highlight w:val="none"/>
        </w:rPr>
        <w:t>0.1</w:t>
      </w:r>
      <w:r>
        <w:rPr>
          <w:rFonts w:hint="eastAsia"/>
          <w:color w:val="auto"/>
          <w:kern w:val="0"/>
          <w:szCs w:val="21"/>
          <w:highlight w:val="none"/>
        </w:rPr>
        <w:t>其余未尽事宜按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1544DE43">
      <w:pPr>
        <w:spacing w:before="120" w:line="320" w:lineRule="atLeast"/>
        <w:ind w:left="2" w:leftChars="1" w:firstLine="422" w:firstLineChars="200"/>
        <w:outlineLvl w:val="1"/>
        <w:rPr>
          <w:rFonts w:hint="eastAsia"/>
          <w:color w:val="auto"/>
          <w:sz w:val="32"/>
          <w:szCs w:val="32"/>
          <w:highlight w:val="none"/>
        </w:rPr>
        <w:sectPr>
          <w:headerReference r:id="rId19" w:type="first"/>
          <w:headerReference r:id="rId18" w:type="default"/>
          <w:pgSz w:w="11906" w:h="16838"/>
          <w:pgMar w:top="993" w:right="1133" w:bottom="1246" w:left="1418" w:header="851" w:footer="901" w:gutter="0"/>
          <w:pgNumType w:fmt="decimal"/>
          <w:cols w:space="720" w:num="1"/>
          <w:titlePg/>
          <w:docGrid w:linePitch="312" w:charSpace="0"/>
        </w:sectPr>
      </w:pPr>
      <w:r>
        <w:rPr>
          <w:b/>
          <w:bCs/>
          <w:color w:val="auto"/>
          <w:kern w:val="0"/>
          <w:szCs w:val="21"/>
          <w:highlight w:val="none"/>
        </w:rPr>
        <w:t>10.2</w:t>
      </w:r>
      <w:r>
        <w:rPr>
          <w:rFonts w:hint="eastAsia"/>
          <w:color w:val="auto"/>
          <w:highlight w:val="none"/>
        </w:rPr>
        <w:t>本</w:t>
      </w:r>
      <w:r>
        <w:rPr>
          <w:color w:val="auto"/>
          <w:highlight w:val="none"/>
        </w:rPr>
        <w:t>采购文件是根据国家有关法律及有关政策、法规和参照国际惯例编制，解释权属采购代理机构</w:t>
      </w:r>
    </w:p>
    <w:p w14:paraId="1E4BFB14">
      <w:pPr>
        <w:pStyle w:val="28"/>
        <w:snapToGrid w:val="0"/>
        <w:spacing w:before="120" w:after="120" w:line="320" w:lineRule="exact"/>
        <w:jc w:val="center"/>
        <w:outlineLvl w:val="0"/>
        <w:rPr>
          <w:rFonts w:ascii="Times New Roman" w:hAnsi="Times New Roman" w:cs="Times New Roman"/>
          <w:color w:val="auto"/>
          <w:sz w:val="32"/>
          <w:szCs w:val="32"/>
          <w:highlight w:val="none"/>
        </w:rPr>
      </w:pPr>
      <w:bookmarkStart w:id="83" w:name="_Toc6498"/>
      <w:bookmarkStart w:id="84" w:name="_Toc13891"/>
      <w:bookmarkStart w:id="85" w:name="_Toc254970690"/>
      <w:bookmarkStart w:id="86" w:name="_Toc254970549"/>
      <w:r>
        <w:rPr>
          <w:rFonts w:ascii="Times New Roman" w:hAnsi="Times New Roman" w:cs="Times New Roman"/>
          <w:color w:val="auto"/>
          <w:sz w:val="32"/>
          <w:szCs w:val="32"/>
          <w:highlight w:val="none"/>
        </w:rPr>
        <w:t>第四章  评审方法及标准</w:t>
      </w:r>
      <w:bookmarkEnd w:id="83"/>
      <w:bookmarkEnd w:id="84"/>
    </w:p>
    <w:p w14:paraId="0D60927A">
      <w:pPr>
        <w:spacing w:before="120" w:line="320" w:lineRule="atLeast"/>
        <w:ind w:firstLine="413" w:firstLineChars="196"/>
        <w:outlineLvl w:val="1"/>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评审</w:t>
      </w:r>
      <w:r>
        <w:rPr>
          <w:rFonts w:hint="eastAsia"/>
          <w:b/>
          <w:bCs/>
          <w:color w:val="auto"/>
          <w:kern w:val="0"/>
          <w:szCs w:val="21"/>
          <w:highlight w:val="none"/>
        </w:rPr>
        <w:t>方法</w:t>
      </w:r>
    </w:p>
    <w:p w14:paraId="09FF64CF">
      <w:pPr>
        <w:suppressAutoHyphens/>
        <w:spacing w:before="120" w:line="320" w:lineRule="atLeast"/>
        <w:ind w:firstLine="420" w:firstLineChars="200"/>
        <w:rPr>
          <w:color w:val="auto"/>
          <w:kern w:val="1"/>
          <w:szCs w:val="21"/>
          <w:highlight w:val="none"/>
        </w:rPr>
      </w:pPr>
      <w:r>
        <w:rPr>
          <w:color w:val="auto"/>
          <w:szCs w:val="21"/>
          <w:highlight w:val="none"/>
        </w:rPr>
        <w:t>本项目采用</w:t>
      </w:r>
      <w:r>
        <w:rPr>
          <w:bCs/>
          <w:color w:val="auto"/>
          <w:kern w:val="1"/>
          <w:szCs w:val="21"/>
          <w:highlight w:val="none"/>
        </w:rPr>
        <w:t>综合评分法</w:t>
      </w:r>
      <w:r>
        <w:rPr>
          <w:color w:val="auto"/>
          <w:szCs w:val="21"/>
          <w:highlight w:val="none"/>
        </w:rPr>
        <w:t>进行评审</w:t>
      </w:r>
      <w:r>
        <w:rPr>
          <w:bCs/>
          <w:color w:val="auto"/>
          <w:kern w:val="1"/>
          <w:szCs w:val="21"/>
          <w:highlight w:val="none"/>
        </w:rPr>
        <w:t>。</w:t>
      </w:r>
      <w:r>
        <w:rPr>
          <w:color w:val="auto"/>
          <w:szCs w:val="21"/>
          <w:highlight w:val="none"/>
        </w:rPr>
        <w:t>综合评分法，是指响应文件满足采购文件全部实质性要求且按照评审因素的量化指标评审得分最高的</w:t>
      </w:r>
      <w:r>
        <w:rPr>
          <w:rFonts w:hint="eastAsia"/>
          <w:color w:val="auto"/>
          <w:szCs w:val="21"/>
          <w:highlight w:val="none"/>
        </w:rPr>
        <w:t>供应商</w:t>
      </w:r>
      <w:r>
        <w:rPr>
          <w:color w:val="auto"/>
          <w:szCs w:val="21"/>
          <w:highlight w:val="none"/>
        </w:rPr>
        <w:t>为</w:t>
      </w:r>
      <w:r>
        <w:rPr>
          <w:rFonts w:hint="eastAsia"/>
          <w:color w:val="auto"/>
          <w:szCs w:val="21"/>
          <w:highlight w:val="none"/>
        </w:rPr>
        <w:t>成交</w:t>
      </w:r>
      <w:r>
        <w:rPr>
          <w:color w:val="auto"/>
          <w:szCs w:val="21"/>
          <w:highlight w:val="none"/>
        </w:rPr>
        <w:t>候选人的评审方法。</w:t>
      </w:r>
    </w:p>
    <w:p w14:paraId="4163B413">
      <w:pPr>
        <w:suppressAutoHyphens/>
        <w:spacing w:before="120" w:line="320" w:lineRule="atLeast"/>
        <w:ind w:firstLine="420" w:firstLineChars="200"/>
        <w:rPr>
          <w:color w:val="auto"/>
          <w:kern w:val="1"/>
          <w:szCs w:val="21"/>
          <w:highlight w:val="none"/>
        </w:rPr>
      </w:pPr>
      <w:r>
        <w:rPr>
          <w:rFonts w:hint="eastAsia"/>
          <w:color w:val="auto"/>
          <w:kern w:val="1"/>
          <w:szCs w:val="21"/>
          <w:highlight w:val="none"/>
        </w:rPr>
        <w:t>本项目评审的其他详细规定在第三章供应商须知中规定。</w:t>
      </w:r>
    </w:p>
    <w:p w14:paraId="3921CEF4">
      <w:pPr>
        <w:spacing w:before="120" w:line="320" w:lineRule="atLeast"/>
        <w:ind w:firstLine="413" w:firstLineChars="196"/>
        <w:outlineLvl w:val="1"/>
        <w:rPr>
          <w:rFonts w:hint="eastAsia"/>
          <w:b/>
          <w:color w:val="auto"/>
          <w:kern w:val="0"/>
          <w:szCs w:val="21"/>
          <w:highlight w:val="none"/>
        </w:rPr>
      </w:pPr>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87" w:name="_Hlk160525103"/>
      <w:r>
        <w:rPr>
          <w:rFonts w:hint="eastAsia"/>
          <w:b/>
          <w:bCs/>
          <w:color w:val="auto"/>
          <w:kern w:val="0"/>
          <w:szCs w:val="21"/>
          <w:highlight w:val="none"/>
        </w:rPr>
        <w:t>联合体投标的，联合体各方均应提交第一项基本资格要求的资格证明文件）</w:t>
      </w:r>
      <w:bookmarkEnd w:id="87"/>
    </w:p>
    <w:tbl>
      <w:tblPr>
        <w:tblStyle w:val="53"/>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78B0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noWrap w:val="0"/>
            <w:vAlign w:val="center"/>
          </w:tcPr>
          <w:p w14:paraId="44DFDBFC">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因素</w:t>
            </w:r>
          </w:p>
        </w:tc>
        <w:tc>
          <w:tcPr>
            <w:tcW w:w="1843" w:type="dxa"/>
            <w:noWrap w:val="0"/>
            <w:vAlign w:val="center"/>
          </w:tcPr>
          <w:p w14:paraId="789102D9">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242" w:type="dxa"/>
            <w:noWrap w:val="0"/>
            <w:vAlign w:val="center"/>
          </w:tcPr>
          <w:p w14:paraId="7BE2E2FD">
            <w:pPr>
              <w:spacing w:line="240" w:lineRule="exact"/>
              <w:jc w:val="center"/>
              <w:rPr>
                <w:b/>
                <w:color w:val="auto"/>
                <w:kern w:val="0"/>
                <w:szCs w:val="21"/>
                <w:highlight w:val="none"/>
              </w:rPr>
            </w:pPr>
            <w:r>
              <w:rPr>
                <w:rFonts w:hint="eastAsia"/>
                <w:b/>
                <w:color w:val="auto"/>
                <w:kern w:val="0"/>
                <w:szCs w:val="21"/>
                <w:highlight w:val="none"/>
              </w:rPr>
              <w:t>说明</w:t>
            </w:r>
          </w:p>
        </w:tc>
      </w:tr>
      <w:tr w14:paraId="2855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noWrap w:val="0"/>
            <w:vAlign w:val="center"/>
          </w:tcPr>
          <w:p w14:paraId="38BFC097">
            <w:pPr>
              <w:spacing w:line="240" w:lineRule="exact"/>
              <w:rPr>
                <w:color w:val="auto"/>
                <w:szCs w:val="21"/>
                <w:highlight w:val="none"/>
                <w:lang w:val="zh-CN"/>
              </w:rPr>
            </w:pPr>
            <w:r>
              <w:rPr>
                <w:color w:val="auto"/>
                <w:szCs w:val="21"/>
                <w:highlight w:val="none"/>
                <w:lang w:val="zh-CN"/>
              </w:rPr>
              <w:t>供应商应符合的</w:t>
            </w:r>
            <w:r>
              <w:rPr>
                <w:rFonts w:hint="eastAsia"/>
                <w:color w:val="auto"/>
                <w:szCs w:val="21"/>
                <w:highlight w:val="none"/>
                <w:lang w:val="zh-CN"/>
              </w:rPr>
              <w:t>基本</w:t>
            </w:r>
            <w:r>
              <w:rPr>
                <w:color w:val="auto"/>
                <w:szCs w:val="21"/>
                <w:highlight w:val="none"/>
              </w:rPr>
              <w:t>资格</w:t>
            </w:r>
            <w:r>
              <w:rPr>
                <w:rFonts w:hint="eastAsia"/>
                <w:color w:val="auto"/>
                <w:szCs w:val="21"/>
                <w:highlight w:val="none"/>
              </w:rPr>
              <w:t>要求</w:t>
            </w:r>
          </w:p>
        </w:tc>
        <w:tc>
          <w:tcPr>
            <w:tcW w:w="1843" w:type="dxa"/>
            <w:noWrap w:val="0"/>
            <w:vAlign w:val="center"/>
          </w:tcPr>
          <w:p w14:paraId="7A17CEA5">
            <w:pPr>
              <w:spacing w:line="240" w:lineRule="exact"/>
              <w:jc w:val="left"/>
              <w:rPr>
                <w:color w:val="auto"/>
                <w:szCs w:val="21"/>
                <w:highlight w:val="none"/>
              </w:rPr>
            </w:pPr>
            <w:r>
              <w:rPr>
                <w:color w:val="auto"/>
                <w:szCs w:val="21"/>
                <w:highlight w:val="none"/>
              </w:rPr>
              <w:t>（1）具有独立承担民事责任的能力</w:t>
            </w:r>
          </w:p>
        </w:tc>
        <w:tc>
          <w:tcPr>
            <w:tcW w:w="6242" w:type="dxa"/>
            <w:noWrap w:val="0"/>
            <w:vAlign w:val="top"/>
          </w:tcPr>
          <w:p w14:paraId="7B689F7C">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404F78D2">
            <w:pPr>
              <w:spacing w:line="240" w:lineRule="exact"/>
              <w:rPr>
                <w:color w:val="auto"/>
                <w:szCs w:val="21"/>
                <w:highlight w:val="none"/>
              </w:rPr>
            </w:pPr>
            <w:r>
              <w:rPr>
                <w:rFonts w:hint="eastAsia"/>
                <w:color w:val="auto"/>
                <w:szCs w:val="21"/>
                <w:highlight w:val="none"/>
              </w:rPr>
              <w:t>注：不提供、不按内容提供或不按要求签字盖章，视为不合格。</w:t>
            </w:r>
          </w:p>
        </w:tc>
      </w:tr>
      <w:tr w14:paraId="4D15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5658C3ED">
            <w:pPr>
              <w:spacing w:line="240" w:lineRule="exact"/>
              <w:rPr>
                <w:color w:val="auto"/>
                <w:szCs w:val="21"/>
                <w:highlight w:val="none"/>
                <w:lang w:val="zh-CN"/>
              </w:rPr>
            </w:pPr>
          </w:p>
        </w:tc>
        <w:tc>
          <w:tcPr>
            <w:tcW w:w="1843" w:type="dxa"/>
            <w:noWrap w:val="0"/>
            <w:vAlign w:val="center"/>
          </w:tcPr>
          <w:p w14:paraId="3F007CA8">
            <w:pPr>
              <w:spacing w:line="240" w:lineRule="exact"/>
              <w:jc w:val="lef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6242" w:type="dxa"/>
            <w:noWrap w:val="0"/>
            <w:vAlign w:val="top"/>
          </w:tcPr>
          <w:p w14:paraId="2BC59212">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5AC0717B">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6988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42F94FCF">
            <w:pPr>
              <w:spacing w:line="240" w:lineRule="exact"/>
              <w:rPr>
                <w:color w:val="auto"/>
                <w:szCs w:val="21"/>
                <w:highlight w:val="none"/>
                <w:lang w:val="zh-CN"/>
              </w:rPr>
            </w:pPr>
          </w:p>
        </w:tc>
        <w:tc>
          <w:tcPr>
            <w:tcW w:w="1843" w:type="dxa"/>
            <w:noWrap w:val="0"/>
            <w:vAlign w:val="center"/>
          </w:tcPr>
          <w:p w14:paraId="219AE0C9">
            <w:pPr>
              <w:spacing w:line="240" w:lineRule="exact"/>
              <w:jc w:val="left"/>
              <w:rPr>
                <w:color w:val="auto"/>
                <w:szCs w:val="21"/>
                <w:highlight w:val="none"/>
              </w:rPr>
            </w:pPr>
            <w:r>
              <w:rPr>
                <w:color w:val="auto"/>
                <w:szCs w:val="21"/>
                <w:highlight w:val="none"/>
                <w:lang w:val="zh-CN"/>
              </w:rPr>
              <w:t>（3）具有履行合同所必需的设备和专业技术能力</w:t>
            </w:r>
          </w:p>
        </w:tc>
        <w:tc>
          <w:tcPr>
            <w:tcW w:w="6242" w:type="dxa"/>
            <w:noWrap w:val="0"/>
            <w:vAlign w:val="top"/>
          </w:tcPr>
          <w:p w14:paraId="52265E59">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5D917F68">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3618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2F0B493F">
            <w:pPr>
              <w:spacing w:line="240" w:lineRule="exact"/>
              <w:rPr>
                <w:color w:val="auto"/>
                <w:szCs w:val="21"/>
                <w:highlight w:val="none"/>
                <w:lang w:val="zh-CN"/>
              </w:rPr>
            </w:pPr>
          </w:p>
        </w:tc>
        <w:tc>
          <w:tcPr>
            <w:tcW w:w="1843" w:type="dxa"/>
            <w:noWrap w:val="0"/>
            <w:vAlign w:val="center"/>
          </w:tcPr>
          <w:p w14:paraId="3228FF97">
            <w:pPr>
              <w:spacing w:line="240" w:lineRule="exact"/>
              <w:jc w:val="left"/>
              <w:rPr>
                <w:color w:val="auto"/>
                <w:szCs w:val="21"/>
                <w:highlight w:val="none"/>
              </w:rPr>
            </w:pPr>
            <w:r>
              <w:rPr>
                <w:color w:val="auto"/>
                <w:szCs w:val="21"/>
                <w:highlight w:val="none"/>
                <w:lang w:val="zh-CN"/>
              </w:rPr>
              <w:t>（4）有依法缴纳税收和社会保障金的良好记录</w:t>
            </w:r>
          </w:p>
        </w:tc>
        <w:tc>
          <w:tcPr>
            <w:tcW w:w="6242" w:type="dxa"/>
            <w:noWrap w:val="0"/>
            <w:vAlign w:val="top"/>
          </w:tcPr>
          <w:p w14:paraId="3A12A1F3">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656F254C">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5184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5811D21B">
            <w:pPr>
              <w:spacing w:line="240" w:lineRule="exact"/>
              <w:rPr>
                <w:color w:val="auto"/>
                <w:szCs w:val="21"/>
                <w:highlight w:val="none"/>
                <w:lang w:val="zh-CN"/>
              </w:rPr>
            </w:pPr>
          </w:p>
        </w:tc>
        <w:tc>
          <w:tcPr>
            <w:tcW w:w="1843" w:type="dxa"/>
            <w:noWrap w:val="0"/>
            <w:vAlign w:val="center"/>
          </w:tcPr>
          <w:p w14:paraId="18D75CFA">
            <w:pPr>
              <w:spacing w:line="240" w:lineRule="exact"/>
              <w:jc w:val="left"/>
              <w:rPr>
                <w:rFonts w:hint="eastAsia"/>
                <w:color w:val="auto"/>
                <w:szCs w:val="21"/>
                <w:highlight w:val="none"/>
              </w:rPr>
            </w:pPr>
            <w:r>
              <w:rPr>
                <w:color w:val="auto"/>
                <w:szCs w:val="21"/>
                <w:highlight w:val="none"/>
              </w:rPr>
              <w:t>（5）参加政府采购活动前三年内，在经营活动中没有重大违法记录</w:t>
            </w:r>
          </w:p>
        </w:tc>
        <w:tc>
          <w:tcPr>
            <w:tcW w:w="6242" w:type="dxa"/>
            <w:noWrap w:val="0"/>
            <w:vAlign w:val="center"/>
          </w:tcPr>
          <w:p w14:paraId="7A0D638C">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14F2B2F2">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1177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591A00E8">
            <w:pPr>
              <w:spacing w:line="240" w:lineRule="exact"/>
              <w:rPr>
                <w:color w:val="auto"/>
                <w:szCs w:val="21"/>
                <w:highlight w:val="none"/>
                <w:lang w:val="zh-CN"/>
              </w:rPr>
            </w:pPr>
          </w:p>
        </w:tc>
        <w:tc>
          <w:tcPr>
            <w:tcW w:w="1843" w:type="dxa"/>
            <w:noWrap w:val="0"/>
            <w:vAlign w:val="center"/>
          </w:tcPr>
          <w:p w14:paraId="5EE015F2">
            <w:pPr>
              <w:spacing w:line="240" w:lineRule="exact"/>
              <w:jc w:val="left"/>
              <w:rPr>
                <w:color w:val="auto"/>
                <w:szCs w:val="21"/>
                <w:highlight w:val="none"/>
              </w:rPr>
            </w:pPr>
            <w:r>
              <w:rPr>
                <w:color w:val="auto"/>
                <w:szCs w:val="21"/>
                <w:highlight w:val="none"/>
              </w:rPr>
              <w:t>（6）具备法律、行政法规规定的其他要求</w:t>
            </w:r>
          </w:p>
        </w:tc>
        <w:tc>
          <w:tcPr>
            <w:tcW w:w="6242" w:type="dxa"/>
            <w:noWrap w:val="0"/>
            <w:vAlign w:val="center"/>
          </w:tcPr>
          <w:p w14:paraId="2FADEDEA">
            <w:pPr>
              <w:spacing w:line="240" w:lineRule="exact"/>
              <w:jc w:val="left"/>
              <w:rPr>
                <w:color w:val="auto"/>
                <w:szCs w:val="21"/>
                <w:highlight w:val="none"/>
              </w:rPr>
            </w:pPr>
            <w:r>
              <w:rPr>
                <w:color w:val="auto"/>
                <w:szCs w:val="21"/>
                <w:highlight w:val="none"/>
              </w:rPr>
              <w:t>无。</w:t>
            </w:r>
          </w:p>
        </w:tc>
      </w:tr>
      <w:tr w14:paraId="57C2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noWrap w:val="0"/>
            <w:vAlign w:val="center"/>
          </w:tcPr>
          <w:p w14:paraId="6485F237">
            <w:pPr>
              <w:spacing w:line="240" w:lineRule="exact"/>
              <w:rPr>
                <w:color w:val="auto"/>
                <w:szCs w:val="21"/>
                <w:highlight w:val="none"/>
                <w:lang w:val="zh-CN"/>
              </w:rPr>
            </w:pPr>
            <w:r>
              <w:rPr>
                <w:rFonts w:hint="eastAsia"/>
                <w:color w:val="auto"/>
                <w:kern w:val="0"/>
                <w:szCs w:val="21"/>
                <w:highlight w:val="none"/>
              </w:rPr>
              <w:t>采购政策</w:t>
            </w:r>
          </w:p>
        </w:tc>
        <w:tc>
          <w:tcPr>
            <w:tcW w:w="1843" w:type="dxa"/>
            <w:noWrap w:val="0"/>
            <w:vAlign w:val="center"/>
          </w:tcPr>
          <w:p w14:paraId="3DB6B075">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6242" w:type="dxa"/>
            <w:noWrap w:val="0"/>
            <w:vAlign w:val="center"/>
          </w:tcPr>
          <w:p w14:paraId="3B986141">
            <w:pPr>
              <w:spacing w:line="240" w:lineRule="exact"/>
              <w:rPr>
                <w:color w:val="auto"/>
                <w:szCs w:val="21"/>
                <w:highlight w:val="none"/>
              </w:rPr>
            </w:pPr>
            <w:r>
              <w:rPr>
                <w:rFonts w:hint="eastAsia" w:ascii="宋体" w:hAnsi="宋体" w:cs="宋体"/>
                <w:color w:val="auto"/>
                <w:szCs w:val="21"/>
                <w:highlight w:val="none"/>
              </w:rPr>
              <w:t>提供</w:t>
            </w:r>
            <w:r>
              <w:rPr>
                <w:rFonts w:hint="eastAsia"/>
                <w:color w:val="auto"/>
                <w:szCs w:val="21"/>
                <w:highlight w:val="none"/>
              </w:rPr>
              <w:t>《小</w:t>
            </w:r>
            <w:r>
              <w:rPr>
                <w:rFonts w:hint="eastAsia"/>
                <w:color w:val="auto"/>
                <w:szCs w:val="21"/>
                <w:highlight w:val="none"/>
                <w:lang w:eastAsia="zh-CN"/>
              </w:rPr>
              <w:t>微</w:t>
            </w:r>
            <w:r>
              <w:rPr>
                <w:rFonts w:hint="eastAsia"/>
                <w:color w:val="auto"/>
                <w:szCs w:val="21"/>
                <w:highlight w:val="none"/>
              </w:rPr>
              <w:t>企业声明函》</w:t>
            </w:r>
            <w:r>
              <w:rPr>
                <w:rFonts w:hint="eastAsia" w:ascii="宋体" w:hAnsi="宋体" w:cs="宋体"/>
                <w:color w:val="auto"/>
                <w:szCs w:val="21"/>
                <w:highlight w:val="none"/>
              </w:rPr>
              <w:t>，符合</w:t>
            </w:r>
            <w:r>
              <w:rPr>
                <w:rFonts w:hint="eastAsia"/>
                <w:color w:val="auto"/>
                <w:szCs w:val="21"/>
                <w:highlight w:val="none"/>
              </w:rPr>
              <w:t>提供采购文件标明所属行业的标的物应全部为小型或微型企业</w:t>
            </w:r>
            <w:r>
              <w:rPr>
                <w:rFonts w:hint="eastAsia" w:ascii="宋体" w:hAnsi="宋体" w:cs="宋体"/>
                <w:color w:val="auto"/>
                <w:szCs w:val="21"/>
                <w:highlight w:val="none"/>
              </w:rPr>
              <w:t>的条件</w:t>
            </w:r>
            <w:r>
              <w:rPr>
                <w:rFonts w:hint="eastAsia"/>
                <w:color w:val="auto"/>
                <w:szCs w:val="21"/>
                <w:highlight w:val="none"/>
              </w:rPr>
              <w:t>。</w:t>
            </w:r>
          </w:p>
          <w:p w14:paraId="237C4792">
            <w:pPr>
              <w:spacing w:line="240" w:lineRule="exact"/>
              <w:jc w:val="left"/>
              <w:rPr>
                <w:color w:val="auto"/>
                <w:szCs w:val="21"/>
                <w:highlight w:val="none"/>
              </w:rPr>
            </w:pPr>
          </w:p>
          <w:p w14:paraId="18ED6FFE">
            <w:pPr>
              <w:spacing w:line="240" w:lineRule="exact"/>
              <w:jc w:val="left"/>
              <w:rPr>
                <w:rFonts w:ascii="宋体" w:hAnsi="宋体" w:cs="宋体"/>
                <w:color w:val="auto"/>
                <w:szCs w:val="21"/>
                <w:highlight w:val="none"/>
              </w:rPr>
            </w:pPr>
            <w:r>
              <w:rPr>
                <w:rFonts w:hint="eastAsia"/>
                <w:color w:val="auto"/>
                <w:szCs w:val="21"/>
                <w:highlight w:val="none"/>
              </w:rPr>
              <w:t>注：1、符合</w:t>
            </w:r>
            <w:r>
              <w:rPr>
                <w:rFonts w:hint="eastAsia" w:ascii="宋体" w:hAnsi="宋体" w:cs="宋体"/>
                <w:color w:val="auto"/>
                <w:szCs w:val="21"/>
                <w:highlight w:val="none"/>
              </w:rPr>
              <w:t>监狱企业出具监狱企业证明文件的、符合残疾人福利性单位出具《残疾人福利性单位声明函》的视同</w:t>
            </w:r>
            <w:r>
              <w:rPr>
                <w:rFonts w:hint="eastAsia" w:ascii="宋体" w:hAnsi="宋体" w:cs="宋体"/>
                <w:color w:val="auto"/>
                <w:szCs w:val="21"/>
                <w:highlight w:val="none"/>
                <w:lang w:eastAsia="zh-CN"/>
              </w:rPr>
              <w:t>小微</w:t>
            </w:r>
            <w:r>
              <w:rPr>
                <w:rFonts w:hint="eastAsia" w:ascii="宋体" w:hAnsi="宋体" w:cs="宋体"/>
                <w:color w:val="auto"/>
                <w:szCs w:val="21"/>
                <w:highlight w:val="none"/>
              </w:rPr>
              <w:t>企业。</w:t>
            </w:r>
          </w:p>
          <w:p w14:paraId="1F6205A2">
            <w:pPr>
              <w:spacing w:line="240" w:lineRule="exact"/>
              <w:jc w:val="left"/>
              <w:rPr>
                <w:color w:val="auto"/>
                <w:szCs w:val="21"/>
                <w:highlight w:val="none"/>
              </w:rPr>
            </w:pPr>
            <w:r>
              <w:rPr>
                <w:color w:val="auto"/>
                <w:szCs w:val="21"/>
                <w:highlight w:val="none"/>
              </w:rPr>
              <w:t>2</w:t>
            </w:r>
            <w:r>
              <w:rPr>
                <w:rFonts w:hint="eastAsia"/>
                <w:color w:val="auto"/>
                <w:szCs w:val="21"/>
                <w:highlight w:val="none"/>
              </w:rPr>
              <w:t>、律师事务所、司法鉴定机构不适用《中小企业划型标准规定》，不享受中小企业发展政策。</w:t>
            </w:r>
          </w:p>
        </w:tc>
      </w:tr>
      <w:tr w14:paraId="7102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846" w:type="dxa"/>
            <w:vMerge w:val="restart"/>
            <w:noWrap w:val="0"/>
            <w:vAlign w:val="center"/>
          </w:tcPr>
          <w:p w14:paraId="4129ABA9">
            <w:pPr>
              <w:spacing w:line="240" w:lineRule="exact"/>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1843" w:type="dxa"/>
            <w:noWrap w:val="0"/>
            <w:vAlign w:val="center"/>
          </w:tcPr>
          <w:p w14:paraId="3510AB33">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242" w:type="dxa"/>
            <w:noWrap w:val="0"/>
            <w:vAlign w:val="center"/>
          </w:tcPr>
          <w:p w14:paraId="4746F940">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785F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22934BA3">
            <w:pPr>
              <w:spacing w:line="240" w:lineRule="exact"/>
              <w:rPr>
                <w:color w:val="auto"/>
                <w:szCs w:val="21"/>
                <w:highlight w:val="none"/>
              </w:rPr>
            </w:pPr>
          </w:p>
        </w:tc>
        <w:tc>
          <w:tcPr>
            <w:tcW w:w="1843" w:type="dxa"/>
            <w:noWrap w:val="0"/>
            <w:vAlign w:val="center"/>
          </w:tcPr>
          <w:p w14:paraId="0D5B9097">
            <w:pPr>
              <w:spacing w:line="240" w:lineRule="exact"/>
              <w:jc w:val="left"/>
              <w:rPr>
                <w:color w:val="auto"/>
                <w:szCs w:val="21"/>
                <w:highlight w:val="none"/>
              </w:rPr>
            </w:pPr>
            <w:r>
              <w:rPr>
                <w:color w:val="auto"/>
                <w:szCs w:val="21"/>
                <w:highlight w:val="none"/>
              </w:rPr>
              <w:t>（2）业绩要求</w:t>
            </w:r>
          </w:p>
        </w:tc>
        <w:tc>
          <w:tcPr>
            <w:tcW w:w="6242" w:type="dxa"/>
            <w:noWrap w:val="0"/>
            <w:vAlign w:val="center"/>
          </w:tcPr>
          <w:p w14:paraId="4702B9B9">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6FCF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trPr>
        <w:tc>
          <w:tcPr>
            <w:tcW w:w="846" w:type="dxa"/>
            <w:vMerge w:val="continue"/>
            <w:noWrap w:val="0"/>
            <w:vAlign w:val="center"/>
          </w:tcPr>
          <w:p w14:paraId="223698A4">
            <w:pPr>
              <w:spacing w:line="240" w:lineRule="exact"/>
              <w:jc w:val="left"/>
              <w:rPr>
                <w:color w:val="auto"/>
                <w:szCs w:val="21"/>
                <w:highlight w:val="none"/>
              </w:rPr>
            </w:pPr>
          </w:p>
        </w:tc>
        <w:tc>
          <w:tcPr>
            <w:tcW w:w="1843" w:type="dxa"/>
            <w:noWrap w:val="0"/>
            <w:vAlign w:val="center"/>
          </w:tcPr>
          <w:p w14:paraId="4F9AAC89">
            <w:pPr>
              <w:spacing w:line="24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）供应商不得参加响应的情形</w:t>
            </w:r>
          </w:p>
        </w:tc>
        <w:tc>
          <w:tcPr>
            <w:tcW w:w="6242" w:type="dxa"/>
            <w:noWrap w:val="0"/>
            <w:vAlign w:val="center"/>
          </w:tcPr>
          <w:p w14:paraId="0820356B">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57C0858B">
            <w:pPr>
              <w:spacing w:line="240" w:lineRule="exact"/>
              <w:jc w:val="left"/>
              <w:rPr>
                <w:color w:val="auto"/>
                <w:szCs w:val="21"/>
                <w:highlight w:val="none"/>
              </w:rPr>
            </w:pPr>
            <w:r>
              <w:rPr>
                <w:color w:val="auto"/>
                <w:szCs w:val="21"/>
                <w:highlight w:val="none"/>
              </w:rPr>
              <w:t>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供应商直接控股股东、管理关系信息表</w:t>
            </w:r>
            <w:r>
              <w:rPr>
                <w:color w:val="auto"/>
                <w:szCs w:val="21"/>
                <w:highlight w:val="none"/>
              </w:rPr>
              <w:t>”。</w:t>
            </w:r>
          </w:p>
        </w:tc>
      </w:tr>
      <w:tr w14:paraId="56D3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409F78DA">
            <w:pPr>
              <w:spacing w:line="240" w:lineRule="exact"/>
              <w:jc w:val="left"/>
              <w:rPr>
                <w:color w:val="auto"/>
                <w:kern w:val="0"/>
                <w:szCs w:val="21"/>
                <w:highlight w:val="none"/>
              </w:rPr>
            </w:pPr>
          </w:p>
        </w:tc>
        <w:tc>
          <w:tcPr>
            <w:tcW w:w="1843" w:type="dxa"/>
            <w:noWrap w:val="0"/>
            <w:vAlign w:val="center"/>
          </w:tcPr>
          <w:p w14:paraId="6B105F70">
            <w:pPr>
              <w:spacing w:line="240" w:lineRule="exact"/>
              <w:jc w:val="left"/>
              <w:rPr>
                <w:color w:val="auto"/>
                <w:kern w:val="0"/>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）诚信要求</w:t>
            </w:r>
          </w:p>
        </w:tc>
        <w:tc>
          <w:tcPr>
            <w:tcW w:w="6242" w:type="dxa"/>
            <w:noWrap w:val="0"/>
            <w:vAlign w:val="top"/>
          </w:tcPr>
          <w:p w14:paraId="37762CB5">
            <w:pPr>
              <w:spacing w:line="240" w:lineRule="exact"/>
              <w:jc w:val="left"/>
              <w:rPr>
                <w:color w:val="auto"/>
                <w:kern w:val="0"/>
                <w:szCs w:val="21"/>
                <w:highlight w:val="none"/>
              </w:rPr>
            </w:pPr>
            <w:r>
              <w:rPr>
                <w:rFonts w:hint="eastAsia"/>
                <w:color w:val="auto"/>
                <w:szCs w:val="21"/>
                <w:highlight w:val="none"/>
              </w:rPr>
              <w:t>未被列入失信被执行人、</w:t>
            </w:r>
            <w:r>
              <w:rPr>
                <w:color w:val="auto"/>
                <w:szCs w:val="21"/>
                <w:highlight w:val="none"/>
              </w:rPr>
              <w:t>重大税收违法失信主体、政府采购严重违法失信行为记录名单</w:t>
            </w:r>
            <w:r>
              <w:rPr>
                <w:rFonts w:hint="eastAsia"/>
                <w:color w:val="auto"/>
                <w:szCs w:val="21"/>
                <w:highlight w:val="none"/>
              </w:rPr>
              <w:t>。</w:t>
            </w:r>
          </w:p>
        </w:tc>
      </w:tr>
      <w:tr w14:paraId="3AC2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068E47D4">
            <w:pPr>
              <w:spacing w:line="240" w:lineRule="exact"/>
              <w:jc w:val="left"/>
              <w:rPr>
                <w:color w:val="auto"/>
                <w:kern w:val="0"/>
                <w:szCs w:val="21"/>
                <w:highlight w:val="none"/>
              </w:rPr>
            </w:pPr>
          </w:p>
        </w:tc>
        <w:tc>
          <w:tcPr>
            <w:tcW w:w="1843" w:type="dxa"/>
            <w:noWrap w:val="0"/>
            <w:vAlign w:val="center"/>
          </w:tcPr>
          <w:p w14:paraId="73FDB0F5">
            <w:pPr>
              <w:spacing w:line="240" w:lineRule="exact"/>
              <w:jc w:val="left"/>
              <w:rPr>
                <w:color w:val="auto"/>
                <w:szCs w:val="21"/>
                <w:highlight w:val="none"/>
              </w:rPr>
            </w:pPr>
            <w:r>
              <w:rPr>
                <w:rFonts w:hint="eastAsia"/>
                <w:color w:val="auto"/>
                <w:szCs w:val="21"/>
                <w:highlight w:val="none"/>
              </w:rPr>
              <w:t>（5）分公司</w:t>
            </w:r>
          </w:p>
        </w:tc>
        <w:tc>
          <w:tcPr>
            <w:tcW w:w="6242" w:type="dxa"/>
            <w:noWrap w:val="0"/>
            <w:vAlign w:val="center"/>
          </w:tcPr>
          <w:p w14:paraId="7385EF2A">
            <w:pPr>
              <w:spacing w:line="240" w:lineRule="exact"/>
              <w:rPr>
                <w:color w:val="auto"/>
                <w:szCs w:val="21"/>
                <w:highlight w:val="none"/>
              </w:rPr>
            </w:pPr>
            <w:r>
              <w:rPr>
                <w:rFonts w:hint="eastAsia"/>
                <w:color w:val="auto"/>
                <w:szCs w:val="21"/>
                <w:highlight w:val="none"/>
              </w:rPr>
              <w:t>本项目不允许分公司参与响应。</w:t>
            </w:r>
          </w:p>
        </w:tc>
      </w:tr>
      <w:tr w14:paraId="2662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0DAA80B5">
            <w:pPr>
              <w:spacing w:line="240" w:lineRule="exact"/>
              <w:jc w:val="left"/>
              <w:rPr>
                <w:color w:val="auto"/>
                <w:kern w:val="0"/>
                <w:szCs w:val="21"/>
                <w:highlight w:val="none"/>
              </w:rPr>
            </w:pPr>
          </w:p>
        </w:tc>
        <w:tc>
          <w:tcPr>
            <w:tcW w:w="1843" w:type="dxa"/>
            <w:noWrap w:val="0"/>
            <w:vAlign w:val="center"/>
          </w:tcPr>
          <w:p w14:paraId="140725E8">
            <w:pPr>
              <w:spacing w:line="240" w:lineRule="exact"/>
              <w:jc w:val="left"/>
              <w:rPr>
                <w:rFonts w:hint="eastAsia"/>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）分包</w:t>
            </w:r>
          </w:p>
        </w:tc>
        <w:tc>
          <w:tcPr>
            <w:tcW w:w="6242" w:type="dxa"/>
            <w:noWrap w:val="0"/>
            <w:vAlign w:val="center"/>
          </w:tcPr>
          <w:p w14:paraId="5BD92C6C">
            <w:pPr>
              <w:spacing w:line="240" w:lineRule="exact"/>
              <w:rPr>
                <w:rFonts w:hint="eastAsia"/>
                <w:color w:val="auto"/>
                <w:szCs w:val="21"/>
                <w:highlight w:val="none"/>
                <w:lang w:val="zh-CN"/>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2528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624A77FD">
            <w:pPr>
              <w:spacing w:line="240" w:lineRule="exact"/>
              <w:jc w:val="left"/>
              <w:rPr>
                <w:color w:val="auto"/>
                <w:kern w:val="0"/>
                <w:szCs w:val="21"/>
                <w:highlight w:val="none"/>
              </w:rPr>
            </w:pPr>
          </w:p>
        </w:tc>
        <w:tc>
          <w:tcPr>
            <w:tcW w:w="1843" w:type="dxa"/>
            <w:noWrap w:val="0"/>
            <w:vAlign w:val="center"/>
          </w:tcPr>
          <w:p w14:paraId="3B7F4B14">
            <w:pPr>
              <w:spacing w:line="240" w:lineRule="exact"/>
              <w:jc w:val="left"/>
              <w:rPr>
                <w:rFonts w:hint="eastAsia"/>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）联合体</w:t>
            </w:r>
          </w:p>
        </w:tc>
        <w:tc>
          <w:tcPr>
            <w:tcW w:w="6242" w:type="dxa"/>
            <w:noWrap w:val="0"/>
            <w:vAlign w:val="center"/>
          </w:tcPr>
          <w:p w14:paraId="009CB6DF">
            <w:pPr>
              <w:spacing w:line="240" w:lineRule="exact"/>
              <w:rPr>
                <w:rFonts w:hint="eastAsia"/>
                <w:color w:val="auto"/>
                <w:szCs w:val="21"/>
                <w:highlight w:val="none"/>
              </w:rPr>
            </w:pPr>
            <w:r>
              <w:rPr>
                <w:rFonts w:hint="eastAsia"/>
                <w:color w:val="auto"/>
                <w:szCs w:val="21"/>
                <w:highlight w:val="none"/>
                <w:lang w:val="zh-CN"/>
              </w:rPr>
              <w:t>须符合“磋商公告”的要求</w:t>
            </w:r>
          </w:p>
        </w:tc>
      </w:tr>
      <w:tr w14:paraId="14A9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3A5BBFAB">
            <w:pPr>
              <w:spacing w:line="240" w:lineRule="exact"/>
              <w:jc w:val="left"/>
              <w:rPr>
                <w:color w:val="auto"/>
                <w:kern w:val="0"/>
                <w:szCs w:val="21"/>
                <w:highlight w:val="none"/>
              </w:rPr>
            </w:pPr>
          </w:p>
        </w:tc>
        <w:tc>
          <w:tcPr>
            <w:tcW w:w="1843" w:type="dxa"/>
            <w:noWrap w:val="0"/>
            <w:vAlign w:val="center"/>
          </w:tcPr>
          <w:p w14:paraId="59BAC4CC">
            <w:pPr>
              <w:spacing w:line="240" w:lineRule="exact"/>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）其他要求</w:t>
            </w:r>
          </w:p>
        </w:tc>
        <w:tc>
          <w:tcPr>
            <w:tcW w:w="6242" w:type="dxa"/>
            <w:noWrap w:val="0"/>
            <w:vAlign w:val="top"/>
          </w:tcPr>
          <w:p w14:paraId="4F5E06EA">
            <w:pPr>
              <w:spacing w:line="312" w:lineRule="auto"/>
              <w:jc w:val="left"/>
              <w:rPr>
                <w:color w:val="auto"/>
                <w:kern w:val="0"/>
                <w:szCs w:val="21"/>
                <w:highlight w:val="none"/>
              </w:rPr>
            </w:pPr>
            <w:r>
              <w:rPr>
                <w:rFonts w:hint="eastAsia"/>
                <w:color w:val="auto"/>
                <w:kern w:val="0"/>
                <w:szCs w:val="21"/>
                <w:highlight w:val="none"/>
              </w:rPr>
              <w:t>按</w:t>
            </w:r>
            <w:r>
              <w:rPr>
                <w:color w:val="auto"/>
                <w:kern w:val="0"/>
                <w:szCs w:val="21"/>
                <w:highlight w:val="none"/>
              </w:rPr>
              <w:t>照</w:t>
            </w:r>
            <w:r>
              <w:rPr>
                <w:rFonts w:hint="eastAsia"/>
                <w:color w:val="auto"/>
                <w:kern w:val="0"/>
                <w:szCs w:val="21"/>
                <w:highlight w:val="none"/>
              </w:rPr>
              <w:t>磋商</w:t>
            </w:r>
            <w:r>
              <w:rPr>
                <w:color w:val="auto"/>
                <w:kern w:val="0"/>
                <w:szCs w:val="21"/>
                <w:highlight w:val="none"/>
              </w:rPr>
              <w:t>公告规定获得</w:t>
            </w:r>
            <w:r>
              <w:rPr>
                <w:rFonts w:hint="eastAsia"/>
                <w:color w:val="auto"/>
                <w:kern w:val="0"/>
                <w:szCs w:val="21"/>
                <w:highlight w:val="none"/>
              </w:rPr>
              <w:t>采购</w:t>
            </w:r>
            <w:r>
              <w:rPr>
                <w:color w:val="auto"/>
                <w:kern w:val="0"/>
                <w:szCs w:val="21"/>
                <w:highlight w:val="none"/>
              </w:rPr>
              <w:t>文件。</w:t>
            </w:r>
            <w:r>
              <w:rPr>
                <w:rFonts w:hint="eastAsia"/>
                <w:color w:val="auto"/>
                <w:kern w:val="0"/>
                <w:szCs w:val="21"/>
                <w:highlight w:val="none"/>
              </w:rPr>
              <w:t>足额、及时缴纳磋商保证金。</w:t>
            </w:r>
          </w:p>
        </w:tc>
      </w:tr>
    </w:tbl>
    <w:p w14:paraId="52B2202F">
      <w:pPr>
        <w:spacing w:before="120" w:line="320" w:lineRule="atLeast"/>
        <w:ind w:firstLine="413" w:firstLineChars="196"/>
        <w:outlineLvl w:val="1"/>
        <w:rPr>
          <w:color w:val="auto"/>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3"/>
        <w:tblW w:w="89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333"/>
        <w:gridCol w:w="5085"/>
      </w:tblGrid>
      <w:tr w14:paraId="74AD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noWrap w:val="0"/>
            <w:vAlign w:val="center"/>
          </w:tcPr>
          <w:p w14:paraId="39551210">
            <w:pPr>
              <w:spacing w:line="240" w:lineRule="exact"/>
              <w:jc w:val="center"/>
              <w:rPr>
                <w:b/>
                <w:color w:val="auto"/>
                <w:kern w:val="0"/>
                <w:szCs w:val="21"/>
                <w:highlight w:val="none"/>
              </w:rPr>
            </w:pPr>
            <w:bookmarkStart w:id="88" w:name="_Hlk20388968"/>
            <w:bookmarkStart w:id="89" w:name="_Hlk48146640"/>
            <w:r>
              <w:rPr>
                <w:rFonts w:hint="eastAsia"/>
                <w:b/>
                <w:color w:val="auto"/>
                <w:kern w:val="0"/>
                <w:szCs w:val="21"/>
                <w:highlight w:val="none"/>
              </w:rPr>
              <w:t>审查</w:t>
            </w:r>
            <w:r>
              <w:rPr>
                <w:b/>
                <w:color w:val="auto"/>
                <w:kern w:val="0"/>
                <w:szCs w:val="21"/>
                <w:highlight w:val="none"/>
              </w:rPr>
              <w:t>因素</w:t>
            </w:r>
          </w:p>
        </w:tc>
        <w:tc>
          <w:tcPr>
            <w:tcW w:w="2333" w:type="dxa"/>
            <w:noWrap w:val="0"/>
            <w:vAlign w:val="center"/>
          </w:tcPr>
          <w:p w14:paraId="199DF36D">
            <w:pPr>
              <w:spacing w:line="240" w:lineRule="exact"/>
              <w:jc w:val="center"/>
              <w:rPr>
                <w:b/>
                <w:color w:val="auto"/>
                <w:kern w:val="0"/>
                <w:szCs w:val="21"/>
                <w:highlight w:val="none"/>
              </w:rPr>
            </w:pPr>
            <w:r>
              <w:rPr>
                <w:rFonts w:hint="eastAsia"/>
                <w:b/>
                <w:color w:val="auto"/>
                <w:kern w:val="0"/>
                <w:szCs w:val="21"/>
                <w:highlight w:val="none"/>
              </w:rPr>
              <w:t>审查内容</w:t>
            </w:r>
          </w:p>
        </w:tc>
        <w:tc>
          <w:tcPr>
            <w:tcW w:w="5085" w:type="dxa"/>
            <w:noWrap w:val="0"/>
            <w:vAlign w:val="top"/>
          </w:tcPr>
          <w:p w14:paraId="4581D01E">
            <w:pPr>
              <w:spacing w:line="240" w:lineRule="exact"/>
              <w:jc w:val="center"/>
              <w:rPr>
                <w:b/>
                <w:color w:val="auto"/>
                <w:kern w:val="0"/>
                <w:szCs w:val="21"/>
                <w:highlight w:val="none"/>
              </w:rPr>
            </w:pPr>
          </w:p>
          <w:p w14:paraId="28037F71">
            <w:pPr>
              <w:spacing w:line="240" w:lineRule="exact"/>
              <w:jc w:val="center"/>
              <w:rPr>
                <w:b/>
                <w:color w:val="auto"/>
                <w:kern w:val="0"/>
                <w:szCs w:val="21"/>
                <w:highlight w:val="none"/>
              </w:rPr>
            </w:pPr>
            <w:r>
              <w:rPr>
                <w:rFonts w:hint="eastAsia"/>
                <w:b/>
                <w:color w:val="auto"/>
                <w:kern w:val="0"/>
                <w:szCs w:val="21"/>
                <w:highlight w:val="none"/>
              </w:rPr>
              <w:t>说明</w:t>
            </w:r>
          </w:p>
        </w:tc>
      </w:tr>
      <w:tr w14:paraId="5068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512" w:type="dxa"/>
            <w:vMerge w:val="restart"/>
            <w:noWrap w:val="0"/>
            <w:vAlign w:val="center"/>
          </w:tcPr>
          <w:p w14:paraId="65FA315F">
            <w:pPr>
              <w:spacing w:line="240" w:lineRule="exact"/>
              <w:jc w:val="center"/>
              <w:rPr>
                <w:color w:val="auto"/>
                <w:kern w:val="0"/>
                <w:szCs w:val="21"/>
                <w:highlight w:val="none"/>
              </w:rPr>
            </w:pPr>
            <w:r>
              <w:rPr>
                <w:rFonts w:hint="eastAsia"/>
                <w:color w:val="auto"/>
                <w:kern w:val="0"/>
                <w:szCs w:val="21"/>
                <w:highlight w:val="none"/>
              </w:rPr>
              <w:t>商务资信</w:t>
            </w:r>
          </w:p>
        </w:tc>
        <w:tc>
          <w:tcPr>
            <w:tcW w:w="2333" w:type="dxa"/>
            <w:noWrap w:val="0"/>
            <w:vAlign w:val="center"/>
          </w:tcPr>
          <w:p w14:paraId="01D63FF5">
            <w:pPr>
              <w:spacing w:line="240" w:lineRule="exact"/>
              <w:rPr>
                <w:color w:val="auto"/>
                <w:highlight w:val="none"/>
              </w:rPr>
            </w:pPr>
            <w:r>
              <w:rPr>
                <w:rFonts w:hint="eastAsia"/>
                <w:color w:val="auto"/>
                <w:highlight w:val="none"/>
              </w:rPr>
              <w:t>法定代表人身份证明及授权委托书</w:t>
            </w:r>
          </w:p>
        </w:tc>
        <w:tc>
          <w:tcPr>
            <w:tcW w:w="5085" w:type="dxa"/>
            <w:noWrap w:val="0"/>
            <w:vAlign w:val="center"/>
          </w:tcPr>
          <w:p w14:paraId="28293E7A">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参加响应</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1E0D3ECB">
            <w:pPr>
              <w:spacing w:line="240" w:lineRule="exact"/>
              <w:rPr>
                <w:rFonts w:ascii="宋体" w:hAnsi="宋体"/>
                <w:color w:val="auto"/>
                <w:szCs w:val="21"/>
                <w:highlight w:val="none"/>
              </w:rPr>
            </w:pPr>
            <w:r>
              <w:rPr>
                <w:rFonts w:hint="eastAsia"/>
                <w:color w:val="auto"/>
                <w:szCs w:val="21"/>
                <w:highlight w:val="none"/>
              </w:rPr>
              <w:t>法定代表人直接参加响应</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1026F538">
            <w:pPr>
              <w:spacing w:line="240" w:lineRule="exact"/>
              <w:rPr>
                <w:color w:val="auto"/>
                <w:highlight w:val="none"/>
              </w:rPr>
            </w:pPr>
            <w:r>
              <w:rPr>
                <w:rFonts w:ascii="宋体" w:hAnsi="宋体"/>
                <w:color w:val="auto"/>
                <w:szCs w:val="21"/>
                <w:highlight w:val="none"/>
              </w:rPr>
              <w:t>格式及附件见第六章响应文件格式要求</w:t>
            </w:r>
          </w:p>
        </w:tc>
      </w:tr>
      <w:tr w14:paraId="4BB3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noWrap w:val="0"/>
            <w:vAlign w:val="center"/>
          </w:tcPr>
          <w:p w14:paraId="256C35FD">
            <w:pPr>
              <w:spacing w:line="240" w:lineRule="exact"/>
              <w:jc w:val="center"/>
              <w:rPr>
                <w:color w:val="auto"/>
                <w:kern w:val="0"/>
                <w:szCs w:val="21"/>
                <w:highlight w:val="none"/>
              </w:rPr>
            </w:pPr>
          </w:p>
        </w:tc>
        <w:tc>
          <w:tcPr>
            <w:tcW w:w="2333" w:type="dxa"/>
            <w:noWrap w:val="0"/>
            <w:vAlign w:val="center"/>
          </w:tcPr>
          <w:p w14:paraId="1FFE7AC4">
            <w:pPr>
              <w:spacing w:line="240" w:lineRule="exact"/>
              <w:rPr>
                <w:color w:val="auto"/>
                <w:szCs w:val="21"/>
                <w:highlight w:val="none"/>
              </w:rPr>
            </w:pPr>
            <w:r>
              <w:rPr>
                <w:rFonts w:hint="eastAsia"/>
                <w:color w:val="auto"/>
                <w:szCs w:val="21"/>
                <w:highlight w:val="none"/>
              </w:rPr>
              <w:t>实质性条款响应</w:t>
            </w:r>
          </w:p>
        </w:tc>
        <w:tc>
          <w:tcPr>
            <w:tcW w:w="5085" w:type="dxa"/>
            <w:noWrap w:val="0"/>
            <w:vAlign w:val="center"/>
          </w:tcPr>
          <w:p w14:paraId="23EB001C">
            <w:pPr>
              <w:spacing w:line="240" w:lineRule="exact"/>
              <w:rPr>
                <w:color w:val="auto"/>
                <w:szCs w:val="21"/>
                <w:highlight w:val="none"/>
              </w:rPr>
            </w:pPr>
            <w:r>
              <w:rPr>
                <w:rFonts w:hint="eastAsia" w:ascii="宋体" w:hAnsi="宋体"/>
                <w:color w:val="auto"/>
                <w:szCs w:val="21"/>
                <w:highlight w:val="none"/>
              </w:rPr>
              <w:t>采购文件实质性要求响应均无负偏离</w:t>
            </w:r>
          </w:p>
        </w:tc>
      </w:tr>
      <w:tr w14:paraId="1C2C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noWrap w:val="0"/>
            <w:vAlign w:val="center"/>
          </w:tcPr>
          <w:p w14:paraId="3ED58C05">
            <w:pPr>
              <w:spacing w:line="240" w:lineRule="exact"/>
              <w:jc w:val="center"/>
              <w:rPr>
                <w:color w:val="auto"/>
                <w:kern w:val="0"/>
                <w:szCs w:val="21"/>
                <w:highlight w:val="none"/>
              </w:rPr>
            </w:pPr>
          </w:p>
        </w:tc>
        <w:tc>
          <w:tcPr>
            <w:tcW w:w="2333" w:type="dxa"/>
            <w:noWrap w:val="0"/>
            <w:vAlign w:val="center"/>
          </w:tcPr>
          <w:p w14:paraId="0DC7C550">
            <w:pPr>
              <w:spacing w:line="240" w:lineRule="exact"/>
              <w:rPr>
                <w:color w:val="auto"/>
                <w:szCs w:val="21"/>
                <w:highlight w:val="none"/>
              </w:rPr>
            </w:pPr>
            <w:r>
              <w:rPr>
                <w:rFonts w:hint="eastAsia"/>
                <w:color w:val="auto"/>
                <w:szCs w:val="21"/>
                <w:highlight w:val="none"/>
              </w:rPr>
              <w:t>串通投标</w:t>
            </w:r>
          </w:p>
        </w:tc>
        <w:tc>
          <w:tcPr>
            <w:tcW w:w="5085" w:type="dxa"/>
            <w:noWrap w:val="0"/>
            <w:vAlign w:val="center"/>
          </w:tcPr>
          <w:p w14:paraId="4D518935">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规定的串通投标情形，见</w:t>
            </w:r>
            <w:r>
              <w:rPr>
                <w:rFonts w:ascii="宋体" w:hAnsi="宋体"/>
                <w:color w:val="auto"/>
                <w:szCs w:val="21"/>
                <w:highlight w:val="none"/>
              </w:rPr>
              <w:t>第六章响应文件格式要求</w:t>
            </w:r>
          </w:p>
        </w:tc>
      </w:tr>
      <w:tr w14:paraId="5178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noWrap w:val="0"/>
            <w:vAlign w:val="center"/>
          </w:tcPr>
          <w:p w14:paraId="44CC1B9E">
            <w:pPr>
              <w:spacing w:line="240" w:lineRule="exact"/>
              <w:jc w:val="center"/>
              <w:rPr>
                <w:color w:val="auto"/>
                <w:kern w:val="0"/>
                <w:szCs w:val="21"/>
                <w:highlight w:val="none"/>
              </w:rPr>
            </w:pPr>
            <w:r>
              <w:rPr>
                <w:rFonts w:hint="eastAsia"/>
                <w:color w:val="auto"/>
                <w:kern w:val="0"/>
                <w:szCs w:val="21"/>
                <w:highlight w:val="none"/>
              </w:rPr>
              <w:t>技术</w:t>
            </w:r>
          </w:p>
        </w:tc>
        <w:tc>
          <w:tcPr>
            <w:tcW w:w="2333" w:type="dxa"/>
            <w:noWrap w:val="0"/>
            <w:vAlign w:val="center"/>
          </w:tcPr>
          <w:p w14:paraId="27778151">
            <w:pPr>
              <w:snapToGrid w:val="0"/>
              <w:spacing w:line="360" w:lineRule="auto"/>
              <w:rPr>
                <w:rFonts w:hint="eastAsia"/>
                <w:color w:val="auto"/>
                <w:szCs w:val="21"/>
                <w:highlight w:val="none"/>
              </w:rPr>
            </w:pPr>
            <w:r>
              <w:rPr>
                <w:rFonts w:hint="eastAsia"/>
                <w:color w:val="auto"/>
                <w:szCs w:val="21"/>
                <w:highlight w:val="none"/>
              </w:rPr>
              <w:t>实质性条款响应</w:t>
            </w:r>
          </w:p>
        </w:tc>
        <w:tc>
          <w:tcPr>
            <w:tcW w:w="5085" w:type="dxa"/>
            <w:noWrap w:val="0"/>
            <w:vAlign w:val="center"/>
          </w:tcPr>
          <w:p w14:paraId="6F89FB23">
            <w:pPr>
              <w:snapToGrid w:val="0"/>
              <w:spacing w:line="360" w:lineRule="auto"/>
              <w:rPr>
                <w:rFonts w:hint="eastAsia" w:ascii="宋体" w:hAnsi="宋体"/>
                <w:color w:val="auto"/>
                <w:szCs w:val="21"/>
                <w:highlight w:val="none"/>
              </w:rPr>
            </w:pPr>
            <w:r>
              <w:rPr>
                <w:rFonts w:ascii="Calibri" w:hAnsi="Calibri"/>
                <w:color w:val="auto"/>
                <w:szCs w:val="21"/>
                <w:highlight w:val="none"/>
                <w:lang w:val="zh-CN"/>
              </w:rPr>
              <w:t>对</w:t>
            </w:r>
            <w:r>
              <w:rPr>
                <w:rFonts w:hint="eastAsia" w:ascii="Calibri" w:hAnsi="Calibri"/>
                <w:color w:val="auto"/>
                <w:szCs w:val="21"/>
                <w:highlight w:val="none"/>
                <w:lang w:val="zh-CN"/>
              </w:rPr>
              <w:t>采购文件</w:t>
            </w:r>
            <w:r>
              <w:rPr>
                <w:rFonts w:ascii="Calibri" w:hAnsi="Calibri"/>
                <w:color w:val="auto"/>
                <w:szCs w:val="21"/>
                <w:highlight w:val="none"/>
                <w:lang w:val="zh-CN"/>
              </w:rPr>
              <w:t>中所有标注▲号的实质性条款要求响应均无负偏离。</w:t>
            </w:r>
          </w:p>
        </w:tc>
      </w:tr>
      <w:tr w14:paraId="1AF6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restart"/>
            <w:noWrap w:val="0"/>
            <w:vAlign w:val="center"/>
          </w:tcPr>
          <w:p w14:paraId="6132D926">
            <w:pPr>
              <w:spacing w:line="240" w:lineRule="exact"/>
              <w:jc w:val="center"/>
              <w:rPr>
                <w:color w:val="auto"/>
                <w:kern w:val="0"/>
                <w:szCs w:val="21"/>
                <w:highlight w:val="none"/>
              </w:rPr>
            </w:pPr>
            <w:r>
              <w:rPr>
                <w:rFonts w:hint="eastAsia"/>
                <w:color w:val="auto"/>
                <w:kern w:val="0"/>
                <w:szCs w:val="21"/>
                <w:highlight w:val="none"/>
              </w:rPr>
              <w:t>报价</w:t>
            </w:r>
          </w:p>
        </w:tc>
        <w:tc>
          <w:tcPr>
            <w:tcW w:w="2333" w:type="dxa"/>
            <w:noWrap w:val="0"/>
            <w:vAlign w:val="center"/>
          </w:tcPr>
          <w:p w14:paraId="1C3DBB1D">
            <w:pPr>
              <w:spacing w:line="240" w:lineRule="exact"/>
              <w:rPr>
                <w:color w:val="auto"/>
                <w:szCs w:val="21"/>
                <w:highlight w:val="none"/>
              </w:rPr>
            </w:pPr>
            <w:r>
              <w:rPr>
                <w:rFonts w:hint="eastAsia"/>
                <w:color w:val="auto"/>
                <w:szCs w:val="21"/>
                <w:highlight w:val="none"/>
              </w:rPr>
              <w:t>有效报价</w:t>
            </w:r>
          </w:p>
        </w:tc>
        <w:tc>
          <w:tcPr>
            <w:tcW w:w="5085" w:type="dxa"/>
            <w:noWrap w:val="0"/>
            <w:vAlign w:val="center"/>
          </w:tcPr>
          <w:p w14:paraId="2F71B759">
            <w:pPr>
              <w:spacing w:line="240" w:lineRule="exact"/>
              <w:rPr>
                <w:bCs/>
                <w:color w:val="auto"/>
                <w:kern w:val="0"/>
                <w:szCs w:val="21"/>
                <w:highlight w:val="none"/>
              </w:rPr>
            </w:pPr>
            <w:r>
              <w:rPr>
                <w:rFonts w:hint="eastAsia"/>
                <w:color w:val="auto"/>
                <w:highlight w:val="none"/>
              </w:rPr>
              <w:t>报价未超出采购预算金额，也未超出最高限价（如有）</w:t>
            </w:r>
          </w:p>
        </w:tc>
      </w:tr>
      <w:tr w14:paraId="3FD7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noWrap w:val="0"/>
            <w:vAlign w:val="center"/>
          </w:tcPr>
          <w:p w14:paraId="258E911A">
            <w:pPr>
              <w:spacing w:line="240" w:lineRule="exact"/>
              <w:jc w:val="center"/>
              <w:rPr>
                <w:color w:val="auto"/>
                <w:kern w:val="0"/>
                <w:szCs w:val="21"/>
                <w:highlight w:val="none"/>
              </w:rPr>
            </w:pPr>
          </w:p>
        </w:tc>
        <w:tc>
          <w:tcPr>
            <w:tcW w:w="2333" w:type="dxa"/>
            <w:noWrap w:val="0"/>
            <w:vAlign w:val="center"/>
          </w:tcPr>
          <w:p w14:paraId="7AF07860">
            <w:pPr>
              <w:spacing w:line="240" w:lineRule="exact"/>
              <w:rPr>
                <w:bCs/>
                <w:color w:val="auto"/>
                <w:kern w:val="0"/>
                <w:szCs w:val="21"/>
                <w:highlight w:val="none"/>
              </w:rPr>
            </w:pPr>
            <w:r>
              <w:rPr>
                <w:rFonts w:hint="eastAsia"/>
                <w:bCs/>
                <w:color w:val="auto"/>
                <w:kern w:val="0"/>
                <w:szCs w:val="21"/>
                <w:highlight w:val="none"/>
              </w:rPr>
              <w:t>漏项报价</w:t>
            </w:r>
          </w:p>
        </w:tc>
        <w:tc>
          <w:tcPr>
            <w:tcW w:w="5085" w:type="dxa"/>
            <w:noWrap w:val="0"/>
            <w:vAlign w:val="center"/>
          </w:tcPr>
          <w:p w14:paraId="61BB4E97">
            <w:pPr>
              <w:spacing w:line="240" w:lineRule="exact"/>
              <w:rPr>
                <w:rFonts w:hAnsi="宋体"/>
                <w:color w:val="auto"/>
                <w:szCs w:val="21"/>
                <w:highlight w:val="none"/>
              </w:rPr>
            </w:pPr>
            <w:r>
              <w:rPr>
                <w:rFonts w:hint="eastAsia" w:ascii="宋体" w:hAnsi="宋体"/>
                <w:color w:val="auto"/>
                <w:szCs w:val="21"/>
                <w:highlight w:val="none"/>
              </w:rPr>
              <w:t>未就所投分标进行报价或者存在漏项报价；</w:t>
            </w:r>
          </w:p>
        </w:tc>
      </w:tr>
      <w:tr w14:paraId="17FF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noWrap w:val="0"/>
            <w:vAlign w:val="center"/>
          </w:tcPr>
          <w:p w14:paraId="09E15467">
            <w:pPr>
              <w:spacing w:line="240" w:lineRule="exact"/>
              <w:jc w:val="center"/>
              <w:rPr>
                <w:color w:val="auto"/>
                <w:kern w:val="0"/>
                <w:szCs w:val="21"/>
                <w:highlight w:val="none"/>
              </w:rPr>
            </w:pPr>
          </w:p>
        </w:tc>
        <w:tc>
          <w:tcPr>
            <w:tcW w:w="2333" w:type="dxa"/>
            <w:noWrap w:val="0"/>
            <w:vAlign w:val="center"/>
          </w:tcPr>
          <w:p w14:paraId="526AA93C">
            <w:pPr>
              <w:spacing w:line="240" w:lineRule="exact"/>
              <w:rPr>
                <w:rFonts w:hAnsi="宋体"/>
                <w:color w:val="auto"/>
                <w:szCs w:val="21"/>
                <w:highlight w:val="none"/>
              </w:rPr>
            </w:pPr>
            <w:r>
              <w:rPr>
                <w:rFonts w:hint="eastAsia" w:hAnsi="宋体"/>
                <w:color w:val="auto"/>
                <w:szCs w:val="21"/>
                <w:highlight w:val="none"/>
              </w:rPr>
              <w:t>响应报价唯一性</w:t>
            </w:r>
          </w:p>
        </w:tc>
        <w:tc>
          <w:tcPr>
            <w:tcW w:w="5085" w:type="dxa"/>
            <w:noWrap w:val="0"/>
            <w:vAlign w:val="center"/>
          </w:tcPr>
          <w:p w14:paraId="2E5CCC27">
            <w:pPr>
              <w:spacing w:line="240" w:lineRule="exact"/>
              <w:rPr>
                <w:color w:val="auto"/>
                <w:szCs w:val="21"/>
                <w:highlight w:val="none"/>
              </w:rPr>
            </w:pPr>
            <w:r>
              <w:rPr>
                <w:rFonts w:hint="eastAsia" w:ascii="宋体" w:hAnsi="宋体"/>
                <w:color w:val="auto"/>
                <w:szCs w:val="21"/>
                <w:highlight w:val="none"/>
              </w:rPr>
              <w:t>不存在有选择、有条件的最后报价（采购文件允许有备选方案或者其他约定的除外）</w:t>
            </w:r>
          </w:p>
        </w:tc>
      </w:tr>
      <w:tr w14:paraId="17F7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noWrap w:val="0"/>
            <w:vAlign w:val="center"/>
          </w:tcPr>
          <w:p w14:paraId="02581615">
            <w:pPr>
              <w:spacing w:line="240" w:lineRule="exact"/>
              <w:jc w:val="center"/>
              <w:rPr>
                <w:color w:val="auto"/>
                <w:kern w:val="0"/>
                <w:szCs w:val="21"/>
                <w:highlight w:val="none"/>
              </w:rPr>
            </w:pPr>
          </w:p>
        </w:tc>
        <w:tc>
          <w:tcPr>
            <w:tcW w:w="2333" w:type="dxa"/>
            <w:noWrap w:val="0"/>
            <w:vAlign w:val="center"/>
          </w:tcPr>
          <w:p w14:paraId="651CD25A">
            <w:pPr>
              <w:spacing w:line="240" w:lineRule="exact"/>
              <w:rPr>
                <w:rFonts w:ascii="宋体" w:hAnsi="宋体"/>
                <w:color w:val="auto"/>
                <w:szCs w:val="21"/>
                <w:highlight w:val="none"/>
              </w:rPr>
            </w:pPr>
            <w:r>
              <w:rPr>
                <w:rFonts w:hint="eastAsia"/>
                <w:color w:val="auto"/>
                <w:szCs w:val="21"/>
                <w:highlight w:val="none"/>
              </w:rPr>
              <w:t>响应有效期</w:t>
            </w:r>
          </w:p>
        </w:tc>
        <w:tc>
          <w:tcPr>
            <w:tcW w:w="5085" w:type="dxa"/>
            <w:noWrap w:val="0"/>
            <w:vAlign w:val="center"/>
          </w:tcPr>
          <w:p w14:paraId="6069E9B1">
            <w:pPr>
              <w:spacing w:line="240" w:lineRule="exact"/>
              <w:rPr>
                <w:color w:val="auto"/>
                <w:szCs w:val="21"/>
                <w:highlight w:val="none"/>
              </w:rPr>
            </w:pPr>
            <w:r>
              <w:rPr>
                <w:rFonts w:hint="eastAsia" w:ascii="宋体" w:hAnsi="宋体"/>
                <w:color w:val="auto"/>
                <w:szCs w:val="21"/>
                <w:highlight w:val="none"/>
              </w:rPr>
              <w:t>满足采购文件规定</w:t>
            </w:r>
          </w:p>
        </w:tc>
      </w:tr>
      <w:bookmarkEnd w:id="88"/>
      <w:bookmarkEnd w:id="89"/>
    </w:tbl>
    <w:p w14:paraId="22357923">
      <w:pPr>
        <w:spacing w:before="120" w:line="320" w:lineRule="atLeast"/>
        <w:rPr>
          <w:rFonts w:hint="eastAsia"/>
          <w:color w:val="auto"/>
          <w:highlight w:val="none"/>
        </w:rPr>
      </w:pPr>
    </w:p>
    <w:p w14:paraId="51CCB7E9">
      <w:pPr>
        <w:spacing w:before="120" w:line="320" w:lineRule="atLeast"/>
        <w:rPr>
          <w:rFonts w:hint="eastAsia"/>
          <w:color w:val="auto"/>
          <w:highlight w:val="none"/>
        </w:rPr>
      </w:pPr>
    </w:p>
    <w:p w14:paraId="15130C5D">
      <w:pPr>
        <w:tabs>
          <w:tab w:val="left" w:pos="1950"/>
        </w:tabs>
        <w:spacing w:before="120" w:line="320" w:lineRule="atLeast"/>
        <w:jc w:val="left"/>
        <w:outlineLvl w:val="1"/>
        <w:rPr>
          <w:rFonts w:hint="eastAsia"/>
          <w:b/>
          <w:bCs/>
          <w:color w:val="auto"/>
          <w:kern w:val="0"/>
          <w:szCs w:val="21"/>
          <w:highlight w:val="none"/>
        </w:rPr>
      </w:pPr>
      <w:r>
        <w:rPr>
          <w:b/>
          <w:bCs/>
          <w:color w:val="auto"/>
          <w:kern w:val="0"/>
          <w:highlight w:val="none"/>
        </w:rPr>
        <w:br w:type="page"/>
      </w:r>
      <w:r>
        <w:rPr>
          <w:b/>
          <w:bCs/>
          <w:color w:val="auto"/>
          <w:kern w:val="0"/>
          <w:szCs w:val="21"/>
          <w:highlight w:val="none"/>
        </w:rPr>
        <w:t>4.</w:t>
      </w:r>
      <w:r>
        <w:rPr>
          <w:rFonts w:hint="eastAsia"/>
          <w:b/>
          <w:bCs/>
          <w:color w:val="auto"/>
          <w:kern w:val="0"/>
          <w:szCs w:val="21"/>
          <w:highlight w:val="none"/>
        </w:rPr>
        <w:t>评审标准</w:t>
      </w:r>
    </w:p>
    <w:p w14:paraId="394F00E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eastAsia="宋体"/>
          <w:b/>
          <w:bCs/>
          <w:color w:val="auto"/>
          <w:highlight w:val="none"/>
          <w:lang w:eastAsia="zh-CN"/>
        </w:rPr>
      </w:pPr>
      <w:r>
        <w:rPr>
          <w:rFonts w:hint="eastAsia"/>
          <w:b/>
          <w:bCs/>
          <w:color w:val="auto"/>
          <w:highlight w:val="none"/>
          <w:lang w:eastAsia="zh-CN"/>
        </w:rPr>
        <w:t>标项一</w:t>
      </w:r>
    </w:p>
    <w:p w14:paraId="608CB01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宋体"/>
          <w:color w:val="auto"/>
          <w:highlight w:val="none"/>
          <w:lang w:eastAsia="zh-CN"/>
        </w:rPr>
      </w:pPr>
      <w:r>
        <w:rPr>
          <w:rFonts w:hint="eastAsia"/>
          <w:color w:val="auto"/>
          <w:highlight w:val="none"/>
        </w:rPr>
        <w:t>（1）技术及商务资信分</w:t>
      </w:r>
    </w:p>
    <w:tbl>
      <w:tblPr>
        <w:tblStyle w:val="53"/>
        <w:tblpPr w:leftFromText="180" w:rightFromText="180" w:vertAnchor="text" w:horzAnchor="page" w:tblpX="1485" w:tblpY="361"/>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97"/>
        <w:gridCol w:w="6025"/>
        <w:gridCol w:w="650"/>
        <w:gridCol w:w="880"/>
      </w:tblGrid>
      <w:tr w14:paraId="6859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noWrap w:val="0"/>
            <w:vAlign w:val="center"/>
          </w:tcPr>
          <w:p w14:paraId="06302A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b/>
                <w:color w:val="auto"/>
                <w:sz w:val="21"/>
                <w:szCs w:val="21"/>
                <w:highlight w:val="none"/>
              </w:rPr>
              <w:t>序号</w:t>
            </w:r>
          </w:p>
        </w:tc>
        <w:tc>
          <w:tcPr>
            <w:tcW w:w="897" w:type="dxa"/>
            <w:noWrap w:val="0"/>
            <w:vAlign w:val="center"/>
          </w:tcPr>
          <w:p w14:paraId="6CD476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rFonts w:hint="eastAsia"/>
                <w:b/>
                <w:color w:val="auto"/>
                <w:sz w:val="21"/>
                <w:szCs w:val="21"/>
                <w:highlight w:val="none"/>
              </w:rPr>
              <w:t>类型</w:t>
            </w:r>
          </w:p>
        </w:tc>
        <w:tc>
          <w:tcPr>
            <w:tcW w:w="6025" w:type="dxa"/>
            <w:noWrap w:val="0"/>
            <w:vAlign w:val="center"/>
          </w:tcPr>
          <w:p w14:paraId="57AF35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rFonts w:hint="eastAsia"/>
                <w:b/>
                <w:color w:val="auto"/>
                <w:sz w:val="21"/>
                <w:szCs w:val="21"/>
                <w:highlight w:val="none"/>
              </w:rPr>
              <w:t>评分标准</w:t>
            </w:r>
          </w:p>
        </w:tc>
        <w:tc>
          <w:tcPr>
            <w:tcW w:w="650" w:type="dxa"/>
            <w:noWrap w:val="0"/>
            <w:vAlign w:val="center"/>
          </w:tcPr>
          <w:p w14:paraId="08AF50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rFonts w:hint="eastAsia"/>
                <w:b/>
                <w:color w:val="auto"/>
                <w:sz w:val="21"/>
                <w:szCs w:val="21"/>
                <w:highlight w:val="none"/>
              </w:rPr>
              <w:t>分值权重</w:t>
            </w:r>
          </w:p>
        </w:tc>
        <w:tc>
          <w:tcPr>
            <w:tcW w:w="880" w:type="dxa"/>
            <w:noWrap w:val="0"/>
            <w:vAlign w:val="center"/>
          </w:tcPr>
          <w:p w14:paraId="2E26C5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b/>
                <w:color w:val="auto"/>
                <w:sz w:val="21"/>
                <w:szCs w:val="21"/>
                <w:highlight w:val="none"/>
              </w:rPr>
              <w:t>说明</w:t>
            </w:r>
          </w:p>
        </w:tc>
      </w:tr>
      <w:tr w14:paraId="7126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757" w:type="dxa"/>
            <w:noWrap w:val="0"/>
            <w:vAlign w:val="center"/>
          </w:tcPr>
          <w:p w14:paraId="72D4AF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rFonts w:hint="eastAsia"/>
                <w:b/>
                <w:color w:val="auto"/>
                <w:sz w:val="21"/>
                <w:szCs w:val="21"/>
                <w:highlight w:val="none"/>
              </w:rPr>
              <w:t>1</w:t>
            </w:r>
          </w:p>
        </w:tc>
        <w:tc>
          <w:tcPr>
            <w:tcW w:w="897" w:type="dxa"/>
            <w:noWrap w:val="0"/>
            <w:vAlign w:val="center"/>
          </w:tcPr>
          <w:p w14:paraId="29FE7E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rPr>
            </w:pPr>
            <w:r>
              <w:rPr>
                <w:rFonts w:hint="eastAsia"/>
                <w:color w:val="auto"/>
                <w:sz w:val="21"/>
                <w:szCs w:val="21"/>
                <w:highlight w:val="none"/>
              </w:rPr>
              <w:t>商务资信分</w:t>
            </w:r>
          </w:p>
        </w:tc>
        <w:tc>
          <w:tcPr>
            <w:tcW w:w="6025" w:type="dxa"/>
            <w:noWrap w:val="0"/>
            <w:vAlign w:val="center"/>
          </w:tcPr>
          <w:p w14:paraId="081EB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color w:val="auto"/>
                <w:sz w:val="21"/>
                <w:szCs w:val="21"/>
                <w:highlight w:val="none"/>
                <w:lang w:eastAsia="zh-CN"/>
              </w:rPr>
            </w:pPr>
            <w:r>
              <w:rPr>
                <w:rFonts w:hint="eastAsia"/>
                <w:color w:val="auto"/>
                <w:sz w:val="21"/>
                <w:szCs w:val="21"/>
                <w:highlight w:val="none"/>
              </w:rPr>
              <w:t>1.1业绩信誉分</w:t>
            </w:r>
            <w:r>
              <w:rPr>
                <w:rFonts w:hint="eastAsia"/>
                <w:color w:val="auto"/>
                <w:sz w:val="21"/>
                <w:szCs w:val="21"/>
                <w:highlight w:val="none"/>
                <w:lang w:eastAsia="zh-CN"/>
              </w:rPr>
              <w:t>：</w:t>
            </w:r>
          </w:p>
          <w:p w14:paraId="2EB61B09">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top"/>
              <w:rPr>
                <w:rFonts w:hint="eastAsia"/>
                <w:b/>
                <w:color w:val="auto"/>
                <w:sz w:val="21"/>
                <w:szCs w:val="21"/>
                <w:highlight w:val="none"/>
              </w:rPr>
            </w:pPr>
            <w:r>
              <w:rPr>
                <w:rFonts w:hint="eastAsia" w:ascii="Times New Roman" w:hAnsi="Times New Roman" w:eastAsia="宋体" w:cs="Times New Roman"/>
                <w:color w:val="auto"/>
                <w:sz w:val="21"/>
                <w:szCs w:val="21"/>
                <w:highlight w:val="none"/>
              </w:rPr>
              <w:t>供应商提供自2022年以来</w:t>
            </w:r>
            <w:r>
              <w:rPr>
                <w:rFonts w:hint="eastAsia" w:cs="Times New Roman"/>
                <w:color w:val="auto"/>
                <w:sz w:val="21"/>
                <w:szCs w:val="21"/>
                <w:highlight w:val="none"/>
                <w:lang w:val="en-US" w:eastAsia="zh-CN"/>
              </w:rPr>
              <w:t>完成类似</w:t>
            </w:r>
            <w:r>
              <w:rPr>
                <w:rFonts w:hint="eastAsia" w:ascii="Times New Roman" w:hAnsi="Times New Roman" w:eastAsia="宋体" w:cs="Times New Roman"/>
                <w:color w:val="auto"/>
                <w:sz w:val="21"/>
                <w:szCs w:val="21"/>
                <w:highlight w:val="none"/>
                <w:lang w:val="en-US" w:eastAsia="zh-CN"/>
              </w:rPr>
              <w:t>业绩的</w:t>
            </w:r>
            <w:r>
              <w:rPr>
                <w:rFonts w:hint="eastAsia" w:ascii="Times New Roman" w:hAnsi="Times New Roman" w:eastAsia="宋体" w:cs="Times New Roman"/>
                <w:color w:val="auto"/>
                <w:sz w:val="21"/>
                <w:szCs w:val="21"/>
                <w:highlight w:val="none"/>
              </w:rPr>
              <w:t>，每个得</w:t>
            </w: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分，最多</w:t>
            </w:r>
            <w:r>
              <w:rPr>
                <w:rFonts w:hint="eastAsia" w:cs="Times New Roman"/>
                <w:color w:val="auto"/>
                <w:sz w:val="21"/>
                <w:szCs w:val="21"/>
                <w:highlight w:val="none"/>
                <w:lang w:val="en-US" w:eastAsia="zh-CN"/>
              </w:rPr>
              <w:t>9</w:t>
            </w:r>
            <w:r>
              <w:rPr>
                <w:rFonts w:hint="eastAsia" w:ascii="Times New Roman" w:hAnsi="Times New Roman" w:eastAsia="宋体" w:cs="Times New Roman"/>
                <w:color w:val="auto"/>
                <w:sz w:val="21"/>
                <w:szCs w:val="21"/>
                <w:highlight w:val="none"/>
              </w:rPr>
              <w:t>分。(</w:t>
            </w:r>
            <w:r>
              <w:rPr>
                <w:rFonts w:hint="eastAsia" w:cs="Times New Roman"/>
                <w:color w:val="auto"/>
                <w:sz w:val="21"/>
                <w:szCs w:val="21"/>
                <w:highlight w:val="none"/>
                <w:lang w:val="en-US" w:eastAsia="zh-CN"/>
              </w:rPr>
              <w:t>类似业绩指：内控信息化项目，</w:t>
            </w:r>
            <w:r>
              <w:rPr>
                <w:rFonts w:hint="eastAsia" w:ascii="Times New Roman" w:hAnsi="Times New Roman" w:eastAsia="宋体" w:cs="Times New Roman"/>
                <w:color w:val="auto"/>
                <w:sz w:val="21"/>
                <w:szCs w:val="21"/>
                <w:highlight w:val="none"/>
              </w:rPr>
              <w:t>提供合同复印件</w:t>
            </w:r>
            <w:r>
              <w:rPr>
                <w:rFonts w:hint="eastAsia" w:ascii="Times New Roman" w:hAnsi="Times New Roman" w:eastAsia="宋体" w:cs="Times New Roman"/>
                <w:color w:val="auto"/>
                <w:sz w:val="21"/>
                <w:szCs w:val="21"/>
                <w:highlight w:val="none"/>
                <w:lang w:val="en-US" w:eastAsia="zh-CN"/>
              </w:rPr>
              <w:t>或中标（成交通知书）</w:t>
            </w:r>
            <w:r>
              <w:rPr>
                <w:rFonts w:hint="eastAsia" w:ascii="Times New Roman" w:hAnsi="Times New Roman" w:eastAsia="宋体" w:cs="Times New Roman"/>
                <w:color w:val="auto"/>
                <w:sz w:val="21"/>
                <w:szCs w:val="21"/>
                <w:highlight w:val="none"/>
              </w:rPr>
              <w:t>，加盖</w:t>
            </w:r>
            <w:r>
              <w:rPr>
                <w:rFonts w:hint="eastAsia" w:ascii="Times New Roman" w:hAnsi="Times New Roman" w:eastAsia="宋体" w:cs="Times New Roman"/>
                <w:color w:val="auto"/>
                <w:sz w:val="21"/>
                <w:szCs w:val="21"/>
                <w:highlight w:val="none"/>
                <w:lang w:val="en-US" w:eastAsia="zh-CN"/>
              </w:rPr>
              <w:t>供应商</w:t>
            </w:r>
            <w:r>
              <w:rPr>
                <w:rFonts w:hint="eastAsia" w:ascii="Times New Roman" w:hAnsi="Times New Roman" w:eastAsia="宋体" w:cs="Times New Roman"/>
                <w:color w:val="auto"/>
                <w:sz w:val="21"/>
                <w:szCs w:val="21"/>
                <w:highlight w:val="none"/>
              </w:rPr>
              <w:t>公章</w:t>
            </w:r>
            <w:r>
              <w:rPr>
                <w:rFonts w:hint="eastAsia" w:ascii="Times New Roman" w:hAnsi="Times New Roman" w:eastAsia="宋体" w:cs="Times New Roman"/>
                <w:color w:val="auto"/>
                <w:sz w:val="21"/>
                <w:szCs w:val="21"/>
                <w:highlight w:val="none"/>
                <w:lang w:eastAsia="zh-CN"/>
              </w:rPr>
              <w:t>。</w:t>
            </w:r>
          </w:p>
        </w:tc>
        <w:tc>
          <w:tcPr>
            <w:tcW w:w="650" w:type="dxa"/>
            <w:noWrap w:val="0"/>
            <w:vAlign w:val="center"/>
          </w:tcPr>
          <w:p w14:paraId="283AB28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color w:val="auto"/>
                <w:sz w:val="21"/>
                <w:szCs w:val="21"/>
                <w:highlight w:val="none"/>
              </w:rPr>
            </w:pPr>
            <w:r>
              <w:rPr>
                <w:rFonts w:hint="eastAsia"/>
                <w:color w:val="auto"/>
                <w:sz w:val="21"/>
                <w:szCs w:val="21"/>
                <w:highlight w:val="none"/>
                <w:lang w:val="en-US" w:eastAsia="zh-CN"/>
              </w:rPr>
              <w:t>9分</w:t>
            </w:r>
          </w:p>
        </w:tc>
        <w:tc>
          <w:tcPr>
            <w:tcW w:w="880" w:type="dxa"/>
            <w:noWrap w:val="0"/>
            <w:vAlign w:val="center"/>
          </w:tcPr>
          <w:p w14:paraId="204546AE">
            <w:pPr>
              <w:keepNext w:val="0"/>
              <w:keepLines w:val="0"/>
              <w:pageBreakBefore w:val="0"/>
              <w:widowControl w:val="0"/>
              <w:kinsoku/>
              <w:wordWrap/>
              <w:overflowPunct/>
              <w:topLinePunct w:val="0"/>
              <w:autoSpaceDE/>
              <w:autoSpaceDN/>
              <w:bidi w:val="0"/>
              <w:adjustRightInd/>
              <w:snapToGrid/>
              <w:spacing w:line="360" w:lineRule="exact"/>
              <w:textAlignment w:val="auto"/>
              <w:rPr>
                <w:b/>
                <w:color w:val="auto"/>
                <w:sz w:val="21"/>
                <w:szCs w:val="21"/>
                <w:highlight w:val="none"/>
              </w:rPr>
            </w:pPr>
            <w:r>
              <w:rPr>
                <w:rFonts w:hint="eastAsia"/>
                <w:color w:val="auto"/>
                <w:sz w:val="21"/>
                <w:szCs w:val="21"/>
                <w:highlight w:val="none"/>
                <w:lang w:val="en-US" w:eastAsia="zh-CN"/>
              </w:rPr>
              <w:t>客观分</w:t>
            </w:r>
          </w:p>
        </w:tc>
      </w:tr>
      <w:tr w14:paraId="3F55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7" w:type="dxa"/>
            <w:vMerge w:val="restart"/>
            <w:noWrap w:val="0"/>
            <w:vAlign w:val="center"/>
          </w:tcPr>
          <w:p w14:paraId="177D02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color w:val="auto"/>
                <w:sz w:val="21"/>
                <w:szCs w:val="21"/>
                <w:highlight w:val="none"/>
                <w:lang w:val="en-US" w:eastAsia="zh-CN"/>
              </w:rPr>
            </w:pPr>
            <w:r>
              <w:rPr>
                <w:rFonts w:hint="eastAsia"/>
                <w:b/>
                <w:color w:val="auto"/>
                <w:sz w:val="21"/>
                <w:szCs w:val="21"/>
                <w:highlight w:val="none"/>
                <w:lang w:val="en-US" w:eastAsia="zh-CN"/>
              </w:rPr>
              <w:t>2</w:t>
            </w:r>
          </w:p>
        </w:tc>
        <w:tc>
          <w:tcPr>
            <w:tcW w:w="897" w:type="dxa"/>
            <w:vMerge w:val="restart"/>
            <w:noWrap w:val="0"/>
            <w:vAlign w:val="center"/>
          </w:tcPr>
          <w:p w14:paraId="213F90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技术部分</w:t>
            </w:r>
          </w:p>
        </w:tc>
        <w:tc>
          <w:tcPr>
            <w:tcW w:w="6025" w:type="dxa"/>
            <w:noWrap w:val="0"/>
            <w:vAlign w:val="center"/>
          </w:tcPr>
          <w:p w14:paraId="6892EEF8">
            <w:pPr>
              <w:spacing w:line="400" w:lineRule="exact"/>
              <w:rPr>
                <w:rFonts w:hint="eastAsia"/>
                <w:color w:val="auto"/>
                <w:sz w:val="21"/>
                <w:szCs w:val="21"/>
                <w:highlight w:val="none"/>
              </w:rPr>
            </w:pPr>
            <w:r>
              <w:rPr>
                <w:rFonts w:hint="eastAsia"/>
                <w:color w:val="auto"/>
                <w:sz w:val="21"/>
                <w:szCs w:val="21"/>
                <w:highlight w:val="none"/>
                <w:lang w:val="en-US" w:eastAsia="zh-CN"/>
              </w:rPr>
              <w:t>2.1</w:t>
            </w:r>
            <w:r>
              <w:rPr>
                <w:rFonts w:hint="eastAsia"/>
                <w:color w:val="auto"/>
                <w:sz w:val="21"/>
                <w:szCs w:val="21"/>
                <w:highlight w:val="none"/>
              </w:rPr>
              <w:t xml:space="preserve"> </w:t>
            </w:r>
            <w:r>
              <w:rPr>
                <w:rFonts w:hint="eastAsia" w:ascii="Times New Roman" w:hAnsi="Times New Roman" w:eastAsia="宋体" w:cs="Times New Roman"/>
                <w:color w:val="auto"/>
                <w:sz w:val="21"/>
                <w:szCs w:val="21"/>
                <w:highlight w:val="none"/>
              </w:rPr>
              <w:t>由评审</w:t>
            </w:r>
            <w:r>
              <w:rPr>
                <w:rFonts w:hint="eastAsia" w:ascii="Times New Roman" w:hAnsi="Times New Roman" w:eastAsia="宋体" w:cs="Times New Roman"/>
                <w:color w:val="auto"/>
                <w:sz w:val="21"/>
                <w:szCs w:val="21"/>
                <w:highlight w:val="none"/>
                <w:lang w:val="en-US" w:eastAsia="zh-CN"/>
              </w:rPr>
              <w:t>小组</w:t>
            </w:r>
            <w:r>
              <w:rPr>
                <w:rFonts w:hint="eastAsia" w:ascii="Times New Roman" w:hAnsi="Times New Roman" w:eastAsia="宋体" w:cs="Times New Roman"/>
                <w:color w:val="auto"/>
                <w:sz w:val="21"/>
                <w:szCs w:val="21"/>
                <w:highlight w:val="none"/>
              </w:rPr>
              <w:t>会根据供应商的响应方案进行综合评议，</w:t>
            </w:r>
            <w:r>
              <w:rPr>
                <w:rFonts w:hint="eastAsia" w:cs="Times New Roman"/>
                <w:color w:val="auto"/>
                <w:sz w:val="21"/>
                <w:szCs w:val="21"/>
                <w:highlight w:val="none"/>
                <w:lang w:val="en-US" w:eastAsia="zh-CN"/>
              </w:rPr>
              <w:t>标注“</w:t>
            </w:r>
            <w:r>
              <w:rPr>
                <w:rFonts w:hint="eastAsia" w:ascii="宋体" w:hAnsi="宋体" w:cs="宋体"/>
                <w:color w:val="auto"/>
                <w:kern w:val="0"/>
                <w:sz w:val="21"/>
                <w:szCs w:val="21"/>
                <w:highlight w:val="none"/>
                <w:lang w:eastAsia="zh-CN"/>
              </w:rPr>
              <w:t>▲</w:t>
            </w:r>
            <w:r>
              <w:rPr>
                <w:rFonts w:hint="eastAsia" w:cs="Times New Roman"/>
                <w:color w:val="auto"/>
                <w:sz w:val="21"/>
                <w:szCs w:val="21"/>
                <w:highlight w:val="none"/>
                <w:lang w:val="en-US" w:eastAsia="zh-CN"/>
              </w:rPr>
              <w:t>”参数无负偏离，</w:t>
            </w:r>
            <w:r>
              <w:rPr>
                <w:rFonts w:hint="eastAsia"/>
                <w:color w:val="auto"/>
                <w:sz w:val="21"/>
                <w:szCs w:val="21"/>
                <w:highlight w:val="none"/>
                <w:lang w:val="en-US" w:eastAsia="zh-CN"/>
              </w:rPr>
              <w:t>未标注“</w:t>
            </w:r>
            <w:r>
              <w:rPr>
                <w:rFonts w:hint="eastAsia" w:ascii="宋体" w:hAnsi="宋体" w:cs="宋体"/>
                <w:color w:val="auto"/>
                <w:kern w:val="0"/>
                <w:sz w:val="21"/>
                <w:szCs w:val="21"/>
                <w:highlight w:val="none"/>
                <w:lang w:eastAsia="zh-CN"/>
              </w:rPr>
              <w:t>▲</w:t>
            </w:r>
            <w:r>
              <w:rPr>
                <w:rFonts w:hint="eastAsia"/>
                <w:color w:val="auto"/>
                <w:sz w:val="21"/>
                <w:szCs w:val="21"/>
                <w:highlight w:val="none"/>
                <w:lang w:val="en-US" w:eastAsia="zh-CN"/>
              </w:rPr>
              <w:t>”及“</w:t>
            </w:r>
            <w:r>
              <w:rPr>
                <w:rFonts w:hint="eastAsia" w:ascii="宋体" w:hAnsi="宋体" w:cs="宋体"/>
                <w:color w:val="auto"/>
                <w:kern w:val="0"/>
                <w:sz w:val="21"/>
                <w:szCs w:val="21"/>
                <w:highlight w:val="none"/>
              </w:rPr>
              <w:t>#</w:t>
            </w:r>
            <w:r>
              <w:rPr>
                <w:rFonts w:hint="eastAsia"/>
                <w:color w:val="auto"/>
                <w:sz w:val="21"/>
                <w:szCs w:val="21"/>
                <w:highlight w:val="none"/>
                <w:lang w:val="en-US" w:eastAsia="zh-CN"/>
              </w:rPr>
              <w:t>”技术参数</w:t>
            </w:r>
            <w:r>
              <w:rPr>
                <w:rFonts w:hint="eastAsia" w:ascii="Times New Roman" w:hAnsi="Times New Roman" w:eastAsia="宋体" w:cs="Times New Roman"/>
                <w:color w:val="auto"/>
                <w:sz w:val="21"/>
                <w:szCs w:val="21"/>
                <w:highlight w:val="none"/>
              </w:rPr>
              <w:t>完全符合磋商文件要求，其技术分为满分</w:t>
            </w:r>
            <w:r>
              <w:rPr>
                <w:rFonts w:hint="eastAsia" w:cs="Times New Roman"/>
                <w:color w:val="auto"/>
                <w:sz w:val="21"/>
                <w:szCs w:val="21"/>
                <w:highlight w:val="none"/>
                <w:lang w:val="en-US" w:eastAsia="zh-CN"/>
              </w:rPr>
              <w:t>23</w:t>
            </w:r>
            <w:r>
              <w:rPr>
                <w:rFonts w:hint="eastAsia" w:ascii="Times New Roman" w:hAnsi="Times New Roman" w:eastAsia="宋体" w:cs="Times New Roman"/>
                <w:color w:val="auto"/>
                <w:sz w:val="21"/>
                <w:szCs w:val="21"/>
                <w:highlight w:val="none"/>
              </w:rPr>
              <w:t>分；不满足技术参数</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即负偏离，包含</w:t>
            </w:r>
            <w:r>
              <w:rPr>
                <w:rFonts w:hint="eastAsia" w:ascii="Times New Roman" w:hAnsi="Times New Roman" w:eastAsia="宋体" w:cs="Times New Roman"/>
                <w:color w:val="auto"/>
                <w:sz w:val="21"/>
                <w:szCs w:val="21"/>
                <w:highlight w:val="none"/>
              </w:rPr>
              <w:t>配置不详、缺漏项</w:t>
            </w:r>
            <w:r>
              <w:rPr>
                <w:rFonts w:hint="eastAsia"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技术参数表述不清</w:t>
            </w:r>
            <w:r>
              <w:rPr>
                <w:rFonts w:hint="eastAsia" w:cs="Times New Roman"/>
                <w:color w:val="auto"/>
                <w:sz w:val="21"/>
                <w:szCs w:val="21"/>
                <w:highlight w:val="none"/>
                <w:lang w:val="en-US" w:eastAsia="zh-CN"/>
              </w:rPr>
              <w:t>等</w:t>
            </w:r>
            <w:r>
              <w:rPr>
                <w:rFonts w:hint="eastAsia"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每项扣</w:t>
            </w: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rPr>
              <w:t>分，扣完技术分为止。</w:t>
            </w:r>
          </w:p>
        </w:tc>
        <w:tc>
          <w:tcPr>
            <w:tcW w:w="650" w:type="dxa"/>
            <w:noWrap w:val="0"/>
            <w:vAlign w:val="center"/>
          </w:tcPr>
          <w:p w14:paraId="7FAD7A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23分</w:t>
            </w:r>
          </w:p>
        </w:tc>
        <w:tc>
          <w:tcPr>
            <w:tcW w:w="880" w:type="dxa"/>
            <w:noWrap w:val="0"/>
            <w:vAlign w:val="center"/>
          </w:tcPr>
          <w:p w14:paraId="4887F11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客观分</w:t>
            </w:r>
          </w:p>
        </w:tc>
      </w:tr>
      <w:tr w14:paraId="39A7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57" w:type="dxa"/>
            <w:vMerge w:val="continue"/>
            <w:noWrap w:val="0"/>
            <w:vAlign w:val="center"/>
          </w:tcPr>
          <w:p w14:paraId="133809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lang w:val="en-US" w:eastAsia="zh-CN"/>
              </w:rPr>
            </w:pPr>
          </w:p>
        </w:tc>
        <w:tc>
          <w:tcPr>
            <w:tcW w:w="897" w:type="dxa"/>
            <w:vMerge w:val="continue"/>
            <w:noWrap w:val="0"/>
            <w:vAlign w:val="center"/>
          </w:tcPr>
          <w:p w14:paraId="6946E0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highlight w:val="none"/>
                <w:lang w:val="en-US" w:eastAsia="zh-CN"/>
              </w:rPr>
            </w:pPr>
          </w:p>
        </w:tc>
        <w:tc>
          <w:tcPr>
            <w:tcW w:w="6025" w:type="dxa"/>
            <w:noWrap w:val="0"/>
            <w:vAlign w:val="center"/>
          </w:tcPr>
          <w:p w14:paraId="30CF309F">
            <w:pPr>
              <w:spacing w:line="400" w:lineRule="exact"/>
              <w:rPr>
                <w:rFonts w:hint="eastAsia"/>
                <w:b/>
                <w:bCs/>
                <w:color w:val="auto"/>
                <w:sz w:val="21"/>
                <w:szCs w:val="21"/>
                <w:highlight w:val="none"/>
              </w:rPr>
            </w:pPr>
            <w:r>
              <w:rPr>
                <w:rFonts w:hint="eastAsia"/>
                <w:b/>
                <w:bCs/>
                <w:color w:val="auto"/>
                <w:sz w:val="21"/>
                <w:szCs w:val="21"/>
                <w:highlight w:val="none"/>
                <w:lang w:val="en-US" w:eastAsia="zh-CN"/>
              </w:rPr>
              <w:t>2.2</w:t>
            </w:r>
            <w:r>
              <w:rPr>
                <w:rFonts w:hint="eastAsia"/>
                <w:b/>
                <w:bCs/>
                <w:color w:val="auto"/>
                <w:sz w:val="21"/>
                <w:szCs w:val="21"/>
                <w:highlight w:val="none"/>
              </w:rPr>
              <w:t>实施方案（满分20分）</w:t>
            </w:r>
          </w:p>
          <w:p w14:paraId="5CB92805">
            <w:pPr>
              <w:spacing w:line="400" w:lineRule="exact"/>
              <w:rPr>
                <w:rFonts w:hint="eastAsia"/>
                <w:color w:val="auto"/>
                <w:sz w:val="21"/>
                <w:szCs w:val="21"/>
                <w:highlight w:val="none"/>
              </w:rPr>
            </w:pPr>
            <w:r>
              <w:rPr>
                <w:rFonts w:hint="eastAsia"/>
                <w:color w:val="auto"/>
                <w:sz w:val="21"/>
                <w:szCs w:val="21"/>
                <w:highlight w:val="none"/>
              </w:rPr>
              <w:t>由磋商小组成员根据各供应商提供的实施方案分别打分。</w:t>
            </w:r>
          </w:p>
          <w:p w14:paraId="0605FE35">
            <w:pPr>
              <w:spacing w:line="400" w:lineRule="exact"/>
              <w:rPr>
                <w:rFonts w:hint="eastAsia"/>
                <w:color w:val="auto"/>
                <w:sz w:val="21"/>
                <w:szCs w:val="21"/>
                <w:highlight w:val="none"/>
              </w:rPr>
            </w:pPr>
            <w:r>
              <w:rPr>
                <w:rFonts w:hint="eastAsia"/>
                <w:color w:val="auto"/>
                <w:sz w:val="21"/>
                <w:szCs w:val="21"/>
                <w:highlight w:val="none"/>
              </w:rPr>
              <w:t>一档（4分）：实施方案内容简单，有管理组织机构及人员职能内容。</w:t>
            </w:r>
          </w:p>
          <w:p w14:paraId="503D27E0">
            <w:pPr>
              <w:spacing w:line="400" w:lineRule="exact"/>
              <w:rPr>
                <w:rFonts w:hint="eastAsia"/>
                <w:color w:val="auto"/>
                <w:sz w:val="21"/>
                <w:szCs w:val="21"/>
                <w:highlight w:val="none"/>
              </w:rPr>
            </w:pPr>
            <w:r>
              <w:rPr>
                <w:rFonts w:hint="eastAsia"/>
                <w:color w:val="auto"/>
                <w:sz w:val="21"/>
                <w:szCs w:val="21"/>
                <w:highlight w:val="none"/>
              </w:rPr>
              <w:t>二档（8分）：实施方案完整，内容较完整。实施团队组织成员是专业技术人员，投入本项目的技术人员不少于3人，管理组织机构及人员职能详细</w:t>
            </w:r>
            <w:r>
              <w:rPr>
                <w:rFonts w:hint="eastAsia" w:asciiTheme="minorEastAsia" w:hAnsiTheme="minorEastAsia" w:eastAsiaTheme="minorEastAsia" w:cstheme="minorEastAsia"/>
                <w:color w:val="auto"/>
                <w:kern w:val="0"/>
                <w:sz w:val="21"/>
                <w:szCs w:val="21"/>
                <w:highlight w:val="none"/>
                <w:lang w:val="en-US" w:eastAsia="zh-CN" w:bidi="ar"/>
              </w:rPr>
              <w:t>，具有进度计划、项目实施管理文档计划的进入二档</w:t>
            </w:r>
            <w:r>
              <w:rPr>
                <w:rFonts w:hint="eastAsia"/>
                <w:color w:val="auto"/>
                <w:sz w:val="21"/>
                <w:szCs w:val="21"/>
                <w:highlight w:val="none"/>
              </w:rPr>
              <w:t>。</w:t>
            </w:r>
          </w:p>
          <w:p w14:paraId="580981BD">
            <w:pPr>
              <w:spacing w:line="400" w:lineRule="exact"/>
              <w:rPr>
                <w:rFonts w:hint="eastAsia"/>
                <w:color w:val="auto"/>
                <w:sz w:val="21"/>
                <w:szCs w:val="21"/>
                <w:highlight w:val="none"/>
              </w:rPr>
            </w:pPr>
            <w:r>
              <w:rPr>
                <w:rFonts w:hint="eastAsia"/>
                <w:color w:val="auto"/>
                <w:sz w:val="21"/>
                <w:szCs w:val="21"/>
                <w:highlight w:val="none"/>
              </w:rPr>
              <w:t>三档（13分）：实施方案完整清晰，完整、可行。实施团队组织成员是专业技术人员，投入本项目的技术人员不少于6人，并且至少1人具备内控信息化管理工程师1人，管理组织机构及人员职能详细、清晰</w:t>
            </w:r>
            <w:r>
              <w:rPr>
                <w:rFonts w:hint="eastAsia" w:asciiTheme="minorEastAsia" w:hAnsiTheme="minorEastAsia" w:eastAsiaTheme="minorEastAsia" w:cstheme="minorEastAsia"/>
                <w:color w:val="auto"/>
                <w:kern w:val="0"/>
                <w:sz w:val="21"/>
                <w:szCs w:val="21"/>
                <w:highlight w:val="none"/>
                <w:lang w:val="en-US" w:eastAsia="zh-CN" w:bidi="ar"/>
              </w:rPr>
              <w:t>，具有进度计划、项目实施管理文档计划、安全及质量保证措施，提供合理的进度保证措施，进入三档</w:t>
            </w:r>
            <w:r>
              <w:rPr>
                <w:rFonts w:hint="eastAsia"/>
                <w:color w:val="auto"/>
                <w:sz w:val="21"/>
                <w:szCs w:val="21"/>
                <w:highlight w:val="none"/>
              </w:rPr>
              <w:t>。</w:t>
            </w:r>
          </w:p>
          <w:p w14:paraId="2368470D">
            <w:pPr>
              <w:spacing w:line="400" w:lineRule="exact"/>
              <w:rPr>
                <w:rFonts w:hint="eastAsia" w:ascii="Times New Roman" w:hAnsi="Times New Roman" w:eastAsia="宋体" w:cs="Times New Roman"/>
                <w:color w:val="auto"/>
                <w:sz w:val="21"/>
                <w:szCs w:val="21"/>
                <w:highlight w:val="none"/>
              </w:rPr>
            </w:pPr>
            <w:r>
              <w:rPr>
                <w:rFonts w:hint="eastAsia"/>
                <w:color w:val="auto"/>
                <w:sz w:val="21"/>
                <w:szCs w:val="21"/>
                <w:highlight w:val="none"/>
              </w:rPr>
              <w:t>四档（20分）：实施方案完整清晰，完整、可行。实施团队组织成员是专业技术人员，投入本项目的技术人员不少于10人，并且至少1</w:t>
            </w:r>
            <w:r>
              <w:rPr>
                <w:rFonts w:hint="eastAsia" w:ascii="Times New Roman" w:hAnsi="Times New Roman" w:eastAsia="宋体" w:cs="Times New Roman"/>
                <w:color w:val="auto"/>
                <w:sz w:val="21"/>
                <w:szCs w:val="21"/>
                <w:highlight w:val="none"/>
              </w:rPr>
              <w:t>人具备内控信息化管理工程师1人，管理组织机构及人员职能详细、清晰</w:t>
            </w:r>
            <w:r>
              <w:rPr>
                <w:rFonts w:hint="eastAsia" w:asciiTheme="minorEastAsia" w:hAnsiTheme="minorEastAsia" w:eastAsiaTheme="minorEastAsia" w:cstheme="minorEastAsia"/>
                <w:color w:val="auto"/>
                <w:kern w:val="0"/>
                <w:sz w:val="21"/>
                <w:szCs w:val="21"/>
                <w:highlight w:val="none"/>
                <w:lang w:val="en-US" w:eastAsia="zh-CN" w:bidi="ar"/>
              </w:rPr>
              <w:t>，具有详细的进度计划、项目实施管理文档计划、安全及质量保证措施，提供合理的进度保证措施、项目建议的安装、调试、验收方法或方案同比更完善有效、更优化、切实可行，满足以上相关要求的</w:t>
            </w:r>
            <w:r>
              <w:rPr>
                <w:rFonts w:hint="eastAsia" w:ascii="Times New Roman" w:hAnsi="Times New Roman" w:eastAsia="宋体" w:cs="Times New Roman"/>
                <w:color w:val="auto"/>
                <w:sz w:val="21"/>
                <w:szCs w:val="21"/>
                <w:highlight w:val="none"/>
              </w:rPr>
              <w:t>，符合业主单位信息化发展要求</w:t>
            </w:r>
            <w:r>
              <w:rPr>
                <w:rFonts w:hint="eastAsia" w:asciiTheme="minorEastAsia" w:hAnsiTheme="minorEastAsia" w:eastAsiaTheme="minorEastAsia" w:cstheme="minorEastAsia"/>
                <w:color w:val="auto"/>
                <w:kern w:val="0"/>
                <w:sz w:val="21"/>
                <w:szCs w:val="21"/>
                <w:highlight w:val="none"/>
                <w:lang w:val="en-US" w:eastAsia="zh-CN" w:bidi="ar"/>
              </w:rPr>
              <w:t>，进入四档</w:t>
            </w:r>
            <w:r>
              <w:rPr>
                <w:rFonts w:hint="eastAsia" w:ascii="Times New Roman" w:hAnsi="Times New Roman" w:eastAsia="宋体" w:cs="Times New Roman"/>
                <w:color w:val="auto"/>
                <w:sz w:val="21"/>
                <w:szCs w:val="21"/>
                <w:highlight w:val="none"/>
              </w:rPr>
              <w:t>。</w:t>
            </w:r>
          </w:p>
          <w:p w14:paraId="104C57FC">
            <w:pPr>
              <w:spacing w:line="400" w:lineRule="exac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说</w:t>
            </w:r>
            <w:r>
              <w:rPr>
                <w:rFonts w:hint="eastAsia" w:ascii="Times New Roman" w:hAnsi="Times New Roman" w:eastAsia="宋体" w:cs="Times New Roman"/>
                <w:color w:val="auto"/>
                <w:sz w:val="21"/>
                <w:szCs w:val="21"/>
                <w:highlight w:val="none"/>
              </w:rPr>
              <w:t>明：</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提供投入本项目的技术人员内控信息化管理工程师相关证书及拟投入人员投标截止时间前半年内任意</w:t>
            </w:r>
            <w:r>
              <w:rPr>
                <w:rFonts w:hint="eastAsia" w:ascii="Times New Roman" w:hAnsi="Times New Roman" w:eastAsia="宋体" w:cs="Times New Roman"/>
                <w:color w:val="auto"/>
                <w:sz w:val="21"/>
                <w:szCs w:val="21"/>
                <w:highlight w:val="none"/>
                <w:lang w:val="en-US" w:eastAsia="zh-CN"/>
              </w:rPr>
              <w:t>1个月在现任职单位依法缴纳社会保险的证明材料复印件</w:t>
            </w:r>
            <w:r>
              <w:rPr>
                <w:rFonts w:hint="eastAsia" w:ascii="Times New Roman" w:hAnsi="Times New Roman" w:eastAsia="宋体" w:cs="Times New Roman"/>
                <w:color w:val="auto"/>
                <w:sz w:val="21"/>
                <w:szCs w:val="21"/>
                <w:highlight w:val="none"/>
              </w:rPr>
              <w:t>或现任职单位承诺为该人员依法缴纳社会保险的承诺函。未提供不得分。</w:t>
            </w:r>
          </w:p>
          <w:p w14:paraId="5887CEFC">
            <w:pPr>
              <w:spacing w:line="400" w:lineRule="exact"/>
              <w:rPr>
                <w:rFonts w:hint="eastAsia" w:ascii="Times New Roman" w:hAnsi="Times New Roman" w:eastAsia="宋体" w:cs="Times New Roman"/>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（2）未提供方案或提供的内容与本项目无关的得0分。</w:t>
            </w:r>
          </w:p>
        </w:tc>
        <w:tc>
          <w:tcPr>
            <w:tcW w:w="650" w:type="dxa"/>
            <w:noWrap w:val="0"/>
            <w:vAlign w:val="center"/>
          </w:tcPr>
          <w:p w14:paraId="436E2C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20分</w:t>
            </w:r>
          </w:p>
        </w:tc>
        <w:tc>
          <w:tcPr>
            <w:tcW w:w="880" w:type="dxa"/>
            <w:noWrap w:val="0"/>
            <w:vAlign w:val="center"/>
          </w:tcPr>
          <w:p w14:paraId="25471D7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sz w:val="21"/>
                <w:szCs w:val="21"/>
                <w:highlight w:val="none"/>
                <w:lang w:val="en-US" w:eastAsia="zh-CN"/>
              </w:rPr>
            </w:pPr>
            <w:r>
              <w:rPr>
                <w:rFonts w:hint="eastAsia"/>
                <w:color w:val="auto"/>
                <w:sz w:val="21"/>
                <w:szCs w:val="21"/>
                <w:highlight w:val="none"/>
                <w:lang w:val="en-US" w:eastAsia="zh-CN"/>
              </w:rPr>
              <w:t xml:space="preserve">主观分 </w:t>
            </w:r>
          </w:p>
        </w:tc>
      </w:tr>
      <w:tr w14:paraId="2FEF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757" w:type="dxa"/>
            <w:vMerge w:val="continue"/>
            <w:noWrap w:val="0"/>
            <w:vAlign w:val="center"/>
          </w:tcPr>
          <w:p w14:paraId="147B8D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lang w:val="en-US" w:eastAsia="zh-CN"/>
              </w:rPr>
            </w:pPr>
          </w:p>
        </w:tc>
        <w:tc>
          <w:tcPr>
            <w:tcW w:w="897" w:type="dxa"/>
            <w:vMerge w:val="continue"/>
            <w:noWrap w:val="0"/>
            <w:vAlign w:val="center"/>
          </w:tcPr>
          <w:p w14:paraId="0BF019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highlight w:val="none"/>
                <w:lang w:val="en-US" w:eastAsia="zh-CN"/>
              </w:rPr>
            </w:pPr>
          </w:p>
        </w:tc>
        <w:tc>
          <w:tcPr>
            <w:tcW w:w="6025" w:type="dxa"/>
            <w:noWrap w:val="0"/>
            <w:vAlign w:val="center"/>
          </w:tcPr>
          <w:p w14:paraId="399E94B9">
            <w:pPr>
              <w:spacing w:line="420" w:lineRule="exact"/>
              <w:rPr>
                <w:rFonts w:cs="宋体"/>
                <w:b/>
                <w:color w:val="auto"/>
                <w:sz w:val="21"/>
                <w:szCs w:val="21"/>
                <w:highlight w:val="none"/>
                <w:shd w:val="clear" w:color="auto" w:fill="FFFFFF"/>
              </w:rPr>
            </w:pPr>
            <w:r>
              <w:rPr>
                <w:rFonts w:hint="eastAsia" w:cs="宋体"/>
                <w:b/>
                <w:bCs/>
                <w:color w:val="auto"/>
                <w:sz w:val="21"/>
                <w:szCs w:val="21"/>
                <w:highlight w:val="none"/>
                <w:lang w:val="en-US" w:eastAsia="zh-CN"/>
              </w:rPr>
              <w:t>2.3</w:t>
            </w:r>
            <w:r>
              <w:rPr>
                <w:rFonts w:hint="eastAsia" w:cs="宋体"/>
                <w:b/>
                <w:bCs/>
                <w:color w:val="auto"/>
                <w:sz w:val="21"/>
                <w:szCs w:val="21"/>
                <w:highlight w:val="none"/>
              </w:rPr>
              <w:t>售后服务分（满分1</w:t>
            </w:r>
            <w:r>
              <w:rPr>
                <w:rFonts w:hint="eastAsia" w:cs="宋体"/>
                <w:b/>
                <w:bCs/>
                <w:color w:val="auto"/>
                <w:sz w:val="21"/>
                <w:szCs w:val="21"/>
                <w:highlight w:val="none"/>
                <w:lang w:val="en-US" w:eastAsia="zh-CN"/>
              </w:rPr>
              <w:t>8</w:t>
            </w:r>
            <w:r>
              <w:rPr>
                <w:rFonts w:hint="eastAsia" w:cs="宋体"/>
                <w:b/>
                <w:bCs/>
                <w:color w:val="auto"/>
                <w:sz w:val="21"/>
                <w:szCs w:val="21"/>
                <w:highlight w:val="none"/>
              </w:rPr>
              <w:t>分）</w:t>
            </w:r>
          </w:p>
          <w:p w14:paraId="3916EF85">
            <w:pPr>
              <w:spacing w:line="420" w:lineRule="exact"/>
              <w:rPr>
                <w:rFonts w:hint="eastAsia" w:cs="宋体"/>
                <w:bCs/>
                <w:color w:val="auto"/>
                <w:sz w:val="21"/>
                <w:szCs w:val="21"/>
                <w:highlight w:val="none"/>
                <w:shd w:val="clear" w:color="auto" w:fill="FFFFFF"/>
              </w:rPr>
            </w:pPr>
            <w:r>
              <w:rPr>
                <w:rFonts w:hint="eastAsia"/>
                <w:color w:val="auto"/>
                <w:sz w:val="21"/>
                <w:szCs w:val="21"/>
                <w:highlight w:val="none"/>
              </w:rPr>
              <w:t>由磋商小组成员根据各供应商提供的</w:t>
            </w:r>
            <w:r>
              <w:rPr>
                <w:rFonts w:hint="eastAsia" w:cs="宋体"/>
                <w:bCs/>
                <w:color w:val="auto"/>
                <w:sz w:val="21"/>
                <w:szCs w:val="21"/>
                <w:highlight w:val="none"/>
                <w:shd w:val="clear" w:color="auto" w:fill="FFFFFF"/>
              </w:rPr>
              <w:t>售后服务内容</w:t>
            </w:r>
            <w:r>
              <w:rPr>
                <w:rFonts w:hint="eastAsia"/>
                <w:color w:val="auto"/>
                <w:sz w:val="21"/>
                <w:szCs w:val="21"/>
                <w:highlight w:val="none"/>
              </w:rPr>
              <w:t>分别打分</w:t>
            </w:r>
            <w:r>
              <w:rPr>
                <w:rFonts w:hint="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bidi="ar"/>
              </w:rPr>
              <w:t>未提供方案或提供的内容与本项目无关的得0分</w:t>
            </w:r>
            <w:r>
              <w:rPr>
                <w:rFonts w:hint="eastAsia"/>
                <w:color w:val="auto"/>
                <w:sz w:val="21"/>
                <w:szCs w:val="21"/>
                <w:highlight w:val="none"/>
                <w:lang w:eastAsia="zh-CN"/>
              </w:rPr>
              <w:t>）</w:t>
            </w:r>
            <w:r>
              <w:rPr>
                <w:rFonts w:hint="eastAsia"/>
                <w:color w:val="auto"/>
                <w:sz w:val="21"/>
                <w:szCs w:val="21"/>
                <w:highlight w:val="none"/>
              </w:rPr>
              <w:t>。</w:t>
            </w:r>
          </w:p>
          <w:p w14:paraId="7381E2D5">
            <w:pPr>
              <w:spacing w:line="420" w:lineRule="exact"/>
              <w:rPr>
                <w:rFonts w:hint="eastAsia" w:cs="宋体"/>
                <w:bCs/>
                <w:color w:val="auto"/>
                <w:sz w:val="21"/>
                <w:szCs w:val="21"/>
                <w:highlight w:val="none"/>
                <w:shd w:val="clear" w:color="auto" w:fill="FFFFFF"/>
              </w:rPr>
            </w:pPr>
            <w:r>
              <w:rPr>
                <w:rFonts w:hint="eastAsia" w:cs="宋体"/>
                <w:bCs/>
                <w:color w:val="auto"/>
                <w:sz w:val="21"/>
                <w:szCs w:val="21"/>
                <w:highlight w:val="none"/>
                <w:shd w:val="clear" w:color="auto" w:fill="FFFFFF"/>
              </w:rPr>
              <w:t>一档（5分）：基本满足商务条款，有售后服务流程图、定期回访、服务维保技术人员、服务措施、售后服务热线电话，服务方案可行的。</w:t>
            </w:r>
          </w:p>
          <w:p w14:paraId="711FF101">
            <w:pPr>
              <w:spacing w:line="420" w:lineRule="exact"/>
              <w:rPr>
                <w:rFonts w:hint="eastAsia" w:cs="宋体"/>
                <w:bCs/>
                <w:color w:val="auto"/>
                <w:sz w:val="21"/>
                <w:szCs w:val="21"/>
                <w:highlight w:val="none"/>
                <w:shd w:val="clear" w:color="auto" w:fill="FFFFFF"/>
              </w:rPr>
            </w:pPr>
            <w:r>
              <w:rPr>
                <w:rFonts w:hint="eastAsia" w:cs="宋体"/>
                <w:bCs/>
                <w:color w:val="auto"/>
                <w:sz w:val="21"/>
                <w:szCs w:val="21"/>
                <w:highlight w:val="none"/>
                <w:shd w:val="clear" w:color="auto" w:fill="FFFFFF"/>
              </w:rPr>
              <w:t>二挡（1</w:t>
            </w:r>
            <w:r>
              <w:rPr>
                <w:rFonts w:hint="eastAsia" w:cs="宋体"/>
                <w:bCs/>
                <w:color w:val="auto"/>
                <w:sz w:val="21"/>
                <w:szCs w:val="21"/>
                <w:highlight w:val="none"/>
                <w:shd w:val="clear" w:color="auto" w:fill="FFFFFF"/>
                <w:lang w:val="en-US" w:eastAsia="zh-CN"/>
              </w:rPr>
              <w:t>2</w:t>
            </w:r>
            <w:r>
              <w:rPr>
                <w:rFonts w:hint="eastAsia" w:cs="宋体"/>
                <w:bCs/>
                <w:color w:val="auto"/>
                <w:sz w:val="21"/>
                <w:szCs w:val="21"/>
                <w:highlight w:val="none"/>
                <w:shd w:val="clear" w:color="auto" w:fill="FFFFFF"/>
              </w:rPr>
              <w:t>分）：完全满足商务条款，有售后详细服务流程图、定期回访（注明时间）。服务维保有指定技术人员。提供有售后服务热线电话号码，有服务规定时效。有应急保障措施、且项目维护和应急保障方案有描述方法以及实现方式，方案可行较详细的。</w:t>
            </w:r>
          </w:p>
          <w:p w14:paraId="6E0CA178">
            <w:pPr>
              <w:pStyle w:val="22"/>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textAlignment w:val="auto"/>
              <w:rPr>
                <w:rFonts w:hint="default" w:eastAsia="宋体" w:cs="宋体"/>
                <w:bCs/>
                <w:color w:val="auto"/>
                <w:sz w:val="21"/>
                <w:szCs w:val="21"/>
                <w:highlight w:val="none"/>
                <w:shd w:val="clear" w:color="auto" w:fill="FFFFFF"/>
                <w:lang w:val="en-US" w:eastAsia="zh-CN"/>
              </w:rPr>
            </w:pPr>
            <w:r>
              <w:rPr>
                <w:rFonts w:hint="eastAsia" w:cs="宋体"/>
                <w:bCs/>
                <w:color w:val="auto"/>
                <w:sz w:val="21"/>
                <w:szCs w:val="21"/>
                <w:highlight w:val="none"/>
                <w:shd w:val="clear" w:color="auto" w:fill="FFFFFF"/>
              </w:rPr>
              <w:t>三挡（1</w:t>
            </w:r>
            <w:r>
              <w:rPr>
                <w:rFonts w:hint="eastAsia" w:cs="宋体"/>
                <w:bCs/>
                <w:color w:val="auto"/>
                <w:sz w:val="21"/>
                <w:szCs w:val="21"/>
                <w:highlight w:val="none"/>
                <w:shd w:val="clear" w:color="auto" w:fill="FFFFFF"/>
                <w:lang w:val="en-US" w:eastAsia="zh-CN"/>
              </w:rPr>
              <w:t>8</w:t>
            </w:r>
            <w:r>
              <w:rPr>
                <w:rFonts w:hint="eastAsia" w:cs="宋体"/>
                <w:bCs/>
                <w:color w:val="auto"/>
                <w:sz w:val="21"/>
                <w:szCs w:val="21"/>
                <w:highlight w:val="none"/>
                <w:shd w:val="clear" w:color="auto" w:fill="FFFFFF"/>
              </w:rPr>
              <w:t>分）：完全满足商务条款，有售后详细服务流程图、具体实施步骤。定期回访（注明时间）。服务维保有指定技术人员，提供有售后人员信息资料。提供有售后服务热线电话号码，有服务规定时效。有应急保障措施</w:t>
            </w:r>
            <w:r>
              <w:rPr>
                <w:rFonts w:hint="eastAsia" w:ascii="宋体" w:hAnsi="宋体" w:eastAsia="宋体" w:cs="宋体"/>
                <w:color w:val="auto"/>
                <w:kern w:val="0"/>
                <w:sz w:val="21"/>
                <w:szCs w:val="21"/>
                <w:highlight w:val="none"/>
                <w:lang w:val="en-US" w:eastAsia="zh-CN" w:bidi="ar"/>
              </w:rPr>
              <w:t>、故障处理办法等</w:t>
            </w:r>
            <w:r>
              <w:rPr>
                <w:rFonts w:hint="eastAsia" w:cs="宋体"/>
                <w:bCs/>
                <w:color w:val="auto"/>
                <w:sz w:val="21"/>
                <w:szCs w:val="21"/>
                <w:highlight w:val="none"/>
                <w:shd w:val="clear" w:color="auto" w:fill="FFFFFF"/>
                <w:lang w:eastAsia="zh-CN"/>
              </w:rPr>
              <w:t>，</w:t>
            </w:r>
            <w:r>
              <w:rPr>
                <w:rFonts w:hint="eastAsia" w:cs="宋体"/>
                <w:bCs/>
                <w:color w:val="auto"/>
                <w:sz w:val="21"/>
                <w:szCs w:val="21"/>
                <w:highlight w:val="none"/>
                <w:shd w:val="clear" w:color="auto" w:fill="FFFFFF"/>
              </w:rPr>
              <w:t>方案详细描述方法以及实现方式，考虑周全完整详细、操作性强的。</w:t>
            </w:r>
          </w:p>
        </w:tc>
        <w:tc>
          <w:tcPr>
            <w:tcW w:w="650" w:type="dxa"/>
            <w:noWrap w:val="0"/>
            <w:vAlign w:val="center"/>
          </w:tcPr>
          <w:p w14:paraId="622F3E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18分</w:t>
            </w:r>
          </w:p>
        </w:tc>
        <w:tc>
          <w:tcPr>
            <w:tcW w:w="880" w:type="dxa"/>
            <w:noWrap w:val="0"/>
            <w:vAlign w:val="center"/>
          </w:tcPr>
          <w:p w14:paraId="431E6B1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sz w:val="21"/>
                <w:szCs w:val="21"/>
                <w:highlight w:val="none"/>
                <w:lang w:val="en-US" w:eastAsia="zh-CN"/>
              </w:rPr>
            </w:pPr>
            <w:r>
              <w:rPr>
                <w:rFonts w:hint="eastAsia"/>
                <w:color w:val="auto"/>
                <w:sz w:val="21"/>
                <w:szCs w:val="21"/>
                <w:highlight w:val="none"/>
                <w:lang w:val="en-US" w:eastAsia="zh-CN"/>
              </w:rPr>
              <w:t>主观分</w:t>
            </w:r>
          </w:p>
        </w:tc>
      </w:tr>
      <w:tr w14:paraId="6708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7" w:hRule="atLeast"/>
        </w:trPr>
        <w:tc>
          <w:tcPr>
            <w:tcW w:w="757" w:type="dxa"/>
            <w:vMerge w:val="continue"/>
            <w:noWrap w:val="0"/>
            <w:vAlign w:val="center"/>
          </w:tcPr>
          <w:p w14:paraId="00E32C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rPr>
            </w:pPr>
          </w:p>
        </w:tc>
        <w:tc>
          <w:tcPr>
            <w:tcW w:w="897" w:type="dxa"/>
            <w:vMerge w:val="continue"/>
            <w:noWrap w:val="0"/>
            <w:vAlign w:val="center"/>
          </w:tcPr>
          <w:p w14:paraId="3EB703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highlight w:val="none"/>
              </w:rPr>
            </w:pPr>
          </w:p>
        </w:tc>
        <w:tc>
          <w:tcPr>
            <w:tcW w:w="6025" w:type="dxa"/>
            <w:noWrap w:val="0"/>
            <w:vAlign w:val="center"/>
          </w:tcPr>
          <w:p w14:paraId="433816BC">
            <w:pPr>
              <w:pStyle w:val="189"/>
              <w:rPr>
                <w:b/>
                <w:bCs/>
                <w:color w:val="auto"/>
                <w:sz w:val="21"/>
                <w:szCs w:val="21"/>
                <w:highlight w:val="none"/>
              </w:rPr>
            </w:pPr>
            <w:r>
              <w:rPr>
                <w:rFonts w:hint="eastAsia"/>
                <w:b/>
                <w:bCs/>
                <w:color w:val="auto"/>
                <w:sz w:val="21"/>
                <w:szCs w:val="21"/>
                <w:highlight w:val="none"/>
                <w:lang w:val="en-US" w:eastAsia="zh-CN"/>
              </w:rPr>
              <w:t>2.4</w:t>
            </w:r>
            <w:r>
              <w:rPr>
                <w:rFonts w:hint="eastAsia"/>
                <w:b/>
                <w:bCs/>
                <w:color w:val="auto"/>
                <w:sz w:val="21"/>
                <w:szCs w:val="21"/>
                <w:highlight w:val="none"/>
              </w:rPr>
              <w:t>系统功能演示部分（</w:t>
            </w:r>
            <w:r>
              <w:rPr>
                <w:rFonts w:hint="eastAsia"/>
                <w:b/>
                <w:bCs/>
                <w:color w:val="auto"/>
                <w:sz w:val="21"/>
                <w:szCs w:val="21"/>
                <w:highlight w:val="none"/>
                <w:lang w:val="en-US" w:eastAsia="zh-CN"/>
              </w:rPr>
              <w:t>2</w:t>
            </w:r>
            <w:r>
              <w:rPr>
                <w:rFonts w:hint="eastAsia"/>
                <w:b/>
                <w:bCs/>
                <w:color w:val="auto"/>
                <w:sz w:val="21"/>
                <w:szCs w:val="21"/>
                <w:highlight w:val="none"/>
              </w:rPr>
              <w:t>0分）</w:t>
            </w:r>
          </w:p>
          <w:p w14:paraId="2EBD277C">
            <w:pPr>
              <w:pStyle w:val="22"/>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b/>
                <w:bCs/>
                <w:color w:val="auto"/>
                <w:sz w:val="21"/>
                <w:szCs w:val="21"/>
                <w:highlight w:val="none"/>
              </w:rPr>
            </w:pPr>
            <w:r>
              <w:rPr>
                <w:rFonts w:hint="eastAsia"/>
                <w:b/>
                <w:bCs/>
                <w:color w:val="auto"/>
                <w:sz w:val="21"/>
                <w:szCs w:val="21"/>
                <w:highlight w:val="none"/>
              </w:rPr>
              <w:t>供应商将按以下</w:t>
            </w:r>
            <w:r>
              <w:rPr>
                <w:rFonts w:hint="eastAsia"/>
                <w:b/>
                <w:bCs/>
                <w:color w:val="auto"/>
                <w:sz w:val="21"/>
                <w:szCs w:val="21"/>
                <w:highlight w:val="none"/>
                <w:lang w:val="en-US" w:eastAsia="zh-CN"/>
              </w:rPr>
              <w:t>10</w:t>
            </w:r>
            <w:r>
              <w:rPr>
                <w:rFonts w:hint="eastAsia"/>
                <w:b/>
                <w:bCs/>
                <w:color w:val="auto"/>
                <w:sz w:val="21"/>
                <w:szCs w:val="21"/>
                <w:highlight w:val="none"/>
              </w:rPr>
              <w:t>个板块进行系统原型</w:t>
            </w:r>
            <w:r>
              <w:rPr>
                <w:rFonts w:hint="eastAsia"/>
                <w:b/>
                <w:bCs/>
                <w:color w:val="auto"/>
                <w:sz w:val="21"/>
                <w:szCs w:val="21"/>
                <w:highlight w:val="none"/>
                <w:lang w:eastAsia="zh-CN"/>
              </w:rPr>
              <w:t>（</w:t>
            </w:r>
            <w:r>
              <w:rPr>
                <w:rFonts w:hint="eastAsia"/>
                <w:b/>
                <w:bCs/>
                <w:color w:val="auto"/>
                <w:sz w:val="21"/>
                <w:szCs w:val="21"/>
                <w:highlight w:val="none"/>
                <w:lang w:val="en-US" w:eastAsia="zh-CN"/>
              </w:rPr>
              <w:t>即技术要求中标注“</w:t>
            </w:r>
            <w:r>
              <w:rPr>
                <w:rFonts w:hint="eastAsia" w:ascii="宋体" w:hAnsi="宋体" w:cs="宋体"/>
                <w:color w:val="auto"/>
                <w:kern w:val="0"/>
                <w:sz w:val="21"/>
                <w:szCs w:val="21"/>
                <w:highlight w:val="none"/>
              </w:rPr>
              <w:t>#</w:t>
            </w:r>
            <w:r>
              <w:rPr>
                <w:rFonts w:hint="eastAsia"/>
                <w:b/>
                <w:bCs/>
                <w:color w:val="auto"/>
                <w:sz w:val="21"/>
                <w:szCs w:val="21"/>
                <w:highlight w:val="none"/>
                <w:lang w:val="en-US" w:eastAsia="zh-CN"/>
              </w:rPr>
              <w:t>”部分</w:t>
            </w:r>
            <w:r>
              <w:rPr>
                <w:rFonts w:hint="eastAsia"/>
                <w:b/>
                <w:bCs/>
                <w:color w:val="auto"/>
                <w:sz w:val="21"/>
                <w:szCs w:val="21"/>
                <w:highlight w:val="none"/>
                <w:lang w:eastAsia="zh-CN"/>
              </w:rPr>
              <w:t>）</w:t>
            </w:r>
            <w:r>
              <w:rPr>
                <w:rFonts w:hint="eastAsia"/>
                <w:b/>
                <w:bCs/>
                <w:color w:val="auto"/>
                <w:sz w:val="21"/>
                <w:szCs w:val="21"/>
                <w:highlight w:val="none"/>
              </w:rPr>
              <w:t>线上现场演示，采用PPT、视频或截图等事先准备好的材料进行演示的不得分，超出时间不允许演示，未演示部分不得分。评审小组根据各供应商的相关软件演示的优劣程度进行打分（演示时长不超过</w:t>
            </w:r>
            <w:r>
              <w:rPr>
                <w:rFonts w:hint="eastAsia"/>
                <w:b/>
                <w:bCs/>
                <w:color w:val="auto"/>
                <w:sz w:val="21"/>
                <w:szCs w:val="21"/>
                <w:highlight w:val="none"/>
                <w:lang w:val="en-US" w:eastAsia="zh-CN"/>
              </w:rPr>
              <w:t>2</w:t>
            </w:r>
            <w:r>
              <w:rPr>
                <w:rFonts w:hint="eastAsia"/>
                <w:b/>
                <w:bCs/>
                <w:color w:val="auto"/>
                <w:sz w:val="21"/>
                <w:szCs w:val="21"/>
                <w:highlight w:val="none"/>
              </w:rPr>
              <w:t>0分钟）。</w:t>
            </w:r>
          </w:p>
          <w:p w14:paraId="2C4D7020">
            <w:pPr>
              <w:pStyle w:val="28"/>
              <w:spacing w:line="400" w:lineRule="exact"/>
              <w:ind w:firstLine="210" w:firstLineChars="100"/>
              <w:rPr>
                <w:rFonts w:hint="eastAsia"/>
                <w:color w:val="auto"/>
                <w:sz w:val="21"/>
                <w:szCs w:val="21"/>
                <w:highlight w:val="none"/>
              </w:rPr>
            </w:pPr>
            <w:r>
              <w:rPr>
                <w:rFonts w:hint="eastAsia"/>
                <w:color w:val="auto"/>
                <w:sz w:val="21"/>
                <w:szCs w:val="21"/>
                <w:highlight w:val="none"/>
                <w:lang w:val="en-US" w:eastAsia="zh-CN"/>
              </w:rPr>
              <w:t>2.4.1</w:t>
            </w:r>
            <w:r>
              <w:rPr>
                <w:rFonts w:hint="eastAsia"/>
                <w:color w:val="auto"/>
                <w:sz w:val="21"/>
                <w:szCs w:val="21"/>
                <w:highlight w:val="none"/>
              </w:rPr>
              <w:t>软件支持在直接报销等业务发生时能够自动生成</w:t>
            </w:r>
            <w:r>
              <w:rPr>
                <w:color w:val="auto"/>
                <w:sz w:val="21"/>
                <w:szCs w:val="21"/>
                <w:highlight w:val="none"/>
              </w:rPr>
              <w:t>应收款项数据，</w:t>
            </w:r>
            <w:r>
              <w:rPr>
                <w:rFonts w:hint="eastAsia"/>
                <w:color w:val="auto"/>
                <w:sz w:val="21"/>
                <w:szCs w:val="21"/>
                <w:highlight w:val="none"/>
              </w:rPr>
              <w:t>并且包括对</w:t>
            </w:r>
            <w:r>
              <w:rPr>
                <w:color w:val="auto"/>
                <w:sz w:val="21"/>
                <w:szCs w:val="21"/>
                <w:highlight w:val="none"/>
              </w:rPr>
              <w:t>收入确认、</w:t>
            </w:r>
            <w:r>
              <w:rPr>
                <w:rFonts w:hint="eastAsia"/>
                <w:color w:val="auto"/>
                <w:sz w:val="21"/>
                <w:szCs w:val="21"/>
                <w:highlight w:val="none"/>
              </w:rPr>
              <w:t>统计等功能</w:t>
            </w:r>
            <w:r>
              <w:rPr>
                <w:color w:val="auto"/>
                <w:sz w:val="21"/>
                <w:szCs w:val="21"/>
                <w:highlight w:val="none"/>
              </w:rPr>
              <w:t>。</w:t>
            </w: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分）</w:t>
            </w:r>
          </w:p>
          <w:p w14:paraId="152197A2">
            <w:pPr>
              <w:pStyle w:val="28"/>
              <w:spacing w:line="400" w:lineRule="exact"/>
              <w:ind w:firstLine="210" w:firstLineChars="100"/>
              <w:rPr>
                <w:rFonts w:hint="eastAsia"/>
                <w:color w:val="auto"/>
                <w:sz w:val="21"/>
                <w:szCs w:val="21"/>
                <w:highlight w:val="none"/>
              </w:rPr>
            </w:pPr>
            <w:r>
              <w:rPr>
                <w:rFonts w:hint="eastAsia"/>
                <w:color w:val="auto"/>
                <w:sz w:val="21"/>
                <w:szCs w:val="21"/>
                <w:highlight w:val="none"/>
                <w:lang w:val="en-US" w:eastAsia="zh-CN"/>
              </w:rPr>
              <w:t>2.4.2</w:t>
            </w:r>
            <w:r>
              <w:rPr>
                <w:rFonts w:hint="eastAsia"/>
                <w:color w:val="auto"/>
                <w:sz w:val="21"/>
                <w:szCs w:val="21"/>
                <w:highlight w:val="none"/>
              </w:rPr>
              <w:t>在劳务、培训等收入业务发生时，实现自动按收入比例对本项目业务的支出进行判断及管控。（</w:t>
            </w:r>
            <w:r>
              <w:rPr>
                <w:rFonts w:hint="eastAsia"/>
                <w:color w:val="auto"/>
                <w:sz w:val="21"/>
                <w:szCs w:val="21"/>
                <w:highlight w:val="none"/>
                <w:lang w:val="en-US" w:eastAsia="zh-CN"/>
              </w:rPr>
              <w:t>2</w:t>
            </w:r>
            <w:r>
              <w:rPr>
                <w:rFonts w:hint="eastAsia"/>
                <w:color w:val="auto"/>
                <w:sz w:val="21"/>
                <w:szCs w:val="21"/>
                <w:highlight w:val="none"/>
              </w:rPr>
              <w:t>分）</w:t>
            </w:r>
          </w:p>
          <w:p w14:paraId="41FCF578">
            <w:pPr>
              <w:pStyle w:val="28"/>
              <w:spacing w:line="400" w:lineRule="exact"/>
              <w:ind w:firstLine="210" w:firstLineChars="100"/>
              <w:rPr>
                <w:rFonts w:hint="eastAsia"/>
                <w:color w:val="auto"/>
                <w:sz w:val="21"/>
                <w:szCs w:val="21"/>
                <w:highlight w:val="none"/>
              </w:rPr>
            </w:pPr>
            <w:r>
              <w:rPr>
                <w:rFonts w:hint="eastAsia"/>
                <w:color w:val="auto"/>
                <w:sz w:val="21"/>
                <w:szCs w:val="21"/>
                <w:highlight w:val="none"/>
                <w:lang w:val="en-US" w:eastAsia="zh-CN"/>
              </w:rPr>
              <w:t>2.4.3</w:t>
            </w:r>
            <w:r>
              <w:rPr>
                <w:rFonts w:hint="eastAsia"/>
                <w:color w:val="auto"/>
                <w:sz w:val="21"/>
                <w:szCs w:val="21"/>
                <w:highlight w:val="none"/>
              </w:rPr>
              <w:t>支持公务用车独立申请，归口部门统一报销，并实现相关数据汇总，追溯。（</w:t>
            </w:r>
            <w:r>
              <w:rPr>
                <w:rFonts w:hint="eastAsia"/>
                <w:color w:val="auto"/>
                <w:sz w:val="21"/>
                <w:szCs w:val="21"/>
                <w:highlight w:val="none"/>
                <w:lang w:val="en-US" w:eastAsia="zh-CN"/>
              </w:rPr>
              <w:t>2</w:t>
            </w:r>
            <w:r>
              <w:rPr>
                <w:rFonts w:hint="eastAsia"/>
                <w:color w:val="auto"/>
                <w:sz w:val="21"/>
                <w:szCs w:val="21"/>
                <w:highlight w:val="none"/>
              </w:rPr>
              <w:t>分）</w:t>
            </w:r>
          </w:p>
          <w:p w14:paraId="6B33FC47">
            <w:pPr>
              <w:pStyle w:val="28"/>
              <w:spacing w:line="400" w:lineRule="exact"/>
              <w:ind w:firstLine="210" w:firstLineChars="100"/>
              <w:rPr>
                <w:rFonts w:hint="eastAsia"/>
                <w:color w:val="auto"/>
                <w:highlight w:val="none"/>
              </w:rPr>
            </w:pPr>
            <w:r>
              <w:rPr>
                <w:rFonts w:hint="eastAsia"/>
                <w:color w:val="auto"/>
                <w:highlight w:val="none"/>
                <w:lang w:val="en-US" w:eastAsia="zh-CN"/>
              </w:rPr>
              <w:t>2.4.4</w:t>
            </w:r>
            <w:r>
              <w:rPr>
                <w:rFonts w:hint="eastAsia"/>
                <w:color w:val="auto"/>
                <w:highlight w:val="none"/>
              </w:rPr>
              <w:t>支持内部预算、财政预算即相互独立又统一的设置，满足学校部门经费的独立性又保持国库预算的一致性。并可实时自动生成不同预算方式的预算执行报表。（</w:t>
            </w:r>
            <w:r>
              <w:rPr>
                <w:rFonts w:hint="eastAsia"/>
                <w:color w:val="auto"/>
                <w:highlight w:val="none"/>
                <w:lang w:val="en-US" w:eastAsia="zh-CN"/>
              </w:rPr>
              <w:t>2</w:t>
            </w:r>
            <w:r>
              <w:rPr>
                <w:rFonts w:hint="eastAsia"/>
                <w:color w:val="auto"/>
                <w:highlight w:val="none"/>
              </w:rPr>
              <w:t>分）</w:t>
            </w:r>
          </w:p>
          <w:p w14:paraId="7BA7F675">
            <w:pPr>
              <w:pStyle w:val="28"/>
              <w:spacing w:line="400" w:lineRule="exact"/>
              <w:ind w:firstLine="210" w:firstLineChars="100"/>
              <w:rPr>
                <w:rFonts w:hint="eastAsia"/>
                <w:color w:val="auto"/>
                <w:highlight w:val="none"/>
              </w:rPr>
            </w:pPr>
            <w:r>
              <w:rPr>
                <w:rFonts w:hint="eastAsia"/>
                <w:color w:val="auto"/>
                <w:highlight w:val="none"/>
                <w:lang w:val="en-US" w:eastAsia="zh-CN"/>
              </w:rPr>
              <w:t>2.4.5</w:t>
            </w:r>
            <w:r>
              <w:rPr>
                <w:rFonts w:hint="eastAsia"/>
                <w:color w:val="auto"/>
                <w:highlight w:val="none"/>
              </w:rPr>
              <w:t>对专项项目管理时，实现根据专项项目的不同，自动适配不同的颜色显示来提醒。（</w:t>
            </w:r>
            <w:r>
              <w:rPr>
                <w:rFonts w:hint="eastAsia"/>
                <w:color w:val="auto"/>
                <w:highlight w:val="none"/>
                <w:lang w:val="en-US" w:eastAsia="zh-CN"/>
              </w:rPr>
              <w:t>2</w:t>
            </w:r>
            <w:r>
              <w:rPr>
                <w:rFonts w:hint="eastAsia"/>
                <w:color w:val="auto"/>
                <w:highlight w:val="none"/>
              </w:rPr>
              <w:t>分）</w:t>
            </w:r>
          </w:p>
          <w:p w14:paraId="53E2DF8C">
            <w:pPr>
              <w:pStyle w:val="28"/>
              <w:spacing w:line="400" w:lineRule="exact"/>
              <w:ind w:firstLine="210" w:firstLineChars="100"/>
              <w:rPr>
                <w:rFonts w:hint="eastAsia"/>
                <w:color w:val="auto"/>
                <w:highlight w:val="none"/>
              </w:rPr>
            </w:pPr>
            <w:r>
              <w:rPr>
                <w:rFonts w:hint="eastAsia"/>
                <w:color w:val="auto"/>
                <w:highlight w:val="none"/>
                <w:lang w:val="en-US" w:eastAsia="zh-CN"/>
              </w:rPr>
              <w:t>2.4.6</w:t>
            </w:r>
            <w:r>
              <w:rPr>
                <w:rFonts w:hint="eastAsia"/>
                <w:color w:val="auto"/>
                <w:highlight w:val="none"/>
              </w:rPr>
              <w:t>薪资管理能够按明细导入，并立即自动生成包含管理部门明细薪资统计表、业务部门明细薪资统计表数据，同时包含汇总统计功能，方便领导进行审批薪资数据。（</w:t>
            </w:r>
            <w:r>
              <w:rPr>
                <w:rFonts w:hint="eastAsia"/>
                <w:color w:val="auto"/>
                <w:highlight w:val="none"/>
                <w:lang w:val="en-US" w:eastAsia="zh-CN"/>
              </w:rPr>
              <w:t>2</w:t>
            </w:r>
            <w:r>
              <w:rPr>
                <w:rFonts w:hint="eastAsia"/>
                <w:color w:val="auto"/>
                <w:highlight w:val="none"/>
              </w:rPr>
              <w:t>分）</w:t>
            </w:r>
          </w:p>
          <w:p w14:paraId="7F2D6141">
            <w:pPr>
              <w:pStyle w:val="28"/>
              <w:spacing w:line="400" w:lineRule="exact"/>
              <w:ind w:firstLine="210" w:firstLineChars="100"/>
              <w:rPr>
                <w:rFonts w:hint="eastAsia"/>
                <w:color w:val="auto"/>
                <w:highlight w:val="none"/>
              </w:rPr>
            </w:pPr>
            <w:r>
              <w:rPr>
                <w:rFonts w:hint="eastAsia"/>
                <w:color w:val="auto"/>
                <w:highlight w:val="none"/>
                <w:lang w:val="en-US" w:eastAsia="zh-CN"/>
              </w:rPr>
              <w:t>2.4.7</w:t>
            </w:r>
            <w:r>
              <w:rPr>
                <w:rFonts w:hint="eastAsia"/>
                <w:color w:val="auto"/>
                <w:highlight w:val="none"/>
              </w:rPr>
              <w:t>支持劳务费用分别用应发金额、实发金额计算个税的功能。（</w:t>
            </w:r>
            <w:r>
              <w:rPr>
                <w:rFonts w:hint="eastAsia"/>
                <w:color w:val="auto"/>
                <w:highlight w:val="none"/>
                <w:lang w:val="en-US" w:eastAsia="zh-CN"/>
              </w:rPr>
              <w:t>2</w:t>
            </w:r>
            <w:r>
              <w:rPr>
                <w:rFonts w:hint="eastAsia"/>
                <w:color w:val="auto"/>
                <w:highlight w:val="none"/>
              </w:rPr>
              <w:t>分）</w:t>
            </w:r>
          </w:p>
          <w:p w14:paraId="15421A6E">
            <w:pPr>
              <w:pStyle w:val="28"/>
              <w:spacing w:line="400" w:lineRule="exact"/>
              <w:ind w:firstLine="210" w:firstLineChars="100"/>
              <w:rPr>
                <w:rFonts w:hint="eastAsia"/>
                <w:color w:val="auto"/>
                <w:highlight w:val="none"/>
              </w:rPr>
            </w:pPr>
            <w:r>
              <w:rPr>
                <w:rFonts w:hint="eastAsia"/>
                <w:color w:val="auto"/>
                <w:highlight w:val="none"/>
                <w:lang w:val="en-US" w:eastAsia="zh-CN"/>
              </w:rPr>
              <w:t>2.4.8</w:t>
            </w:r>
            <w:r>
              <w:rPr>
                <w:rFonts w:hint="eastAsia"/>
                <w:color w:val="auto"/>
                <w:highlight w:val="none"/>
              </w:rPr>
              <w:t>软件提供对未及时提交发票、未及时报销经办人等预警功能，并且能够自定义预警条件。（</w:t>
            </w:r>
            <w:r>
              <w:rPr>
                <w:rFonts w:hint="eastAsia"/>
                <w:color w:val="auto"/>
                <w:highlight w:val="none"/>
                <w:lang w:val="en-US" w:eastAsia="zh-CN"/>
              </w:rPr>
              <w:t>2</w:t>
            </w:r>
            <w:r>
              <w:rPr>
                <w:rFonts w:hint="eastAsia"/>
                <w:color w:val="auto"/>
                <w:highlight w:val="none"/>
              </w:rPr>
              <w:t>分）</w:t>
            </w:r>
          </w:p>
          <w:p w14:paraId="3D04EE15">
            <w:pPr>
              <w:pStyle w:val="28"/>
              <w:spacing w:line="400" w:lineRule="exact"/>
              <w:ind w:firstLine="210" w:firstLineChars="100"/>
              <w:rPr>
                <w:rFonts w:hint="eastAsia"/>
                <w:color w:val="auto"/>
                <w:highlight w:val="none"/>
              </w:rPr>
            </w:pPr>
            <w:r>
              <w:rPr>
                <w:rFonts w:hint="eastAsia"/>
                <w:color w:val="auto"/>
                <w:highlight w:val="none"/>
                <w:lang w:val="en-US" w:eastAsia="zh-CN"/>
              </w:rPr>
              <w:t>2.4.9</w:t>
            </w:r>
            <w:r>
              <w:rPr>
                <w:rFonts w:hint="eastAsia"/>
                <w:color w:val="auto"/>
                <w:highlight w:val="none"/>
              </w:rPr>
              <w:t>支持资产报修申请，同时具备多个申请单汇总统一报销的功能，并实现相关数据汇总，追溯。（</w:t>
            </w:r>
            <w:r>
              <w:rPr>
                <w:rFonts w:hint="eastAsia"/>
                <w:color w:val="auto"/>
                <w:highlight w:val="none"/>
                <w:lang w:val="en-US" w:eastAsia="zh-CN"/>
              </w:rPr>
              <w:t>2</w:t>
            </w:r>
            <w:r>
              <w:rPr>
                <w:rFonts w:hint="eastAsia"/>
                <w:color w:val="auto"/>
                <w:highlight w:val="none"/>
              </w:rPr>
              <w:t>分）</w:t>
            </w:r>
          </w:p>
          <w:p w14:paraId="241082E7">
            <w:pPr>
              <w:pStyle w:val="22"/>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210" w:firstLineChars="100"/>
              <w:textAlignment w:val="auto"/>
              <w:rPr>
                <w:rFonts w:hint="eastAsia"/>
                <w:b/>
                <w:bCs/>
                <w:color w:val="auto"/>
                <w:sz w:val="20"/>
                <w:szCs w:val="20"/>
                <w:highlight w:val="none"/>
                <w:lang w:eastAsia="zh-CN"/>
              </w:rPr>
            </w:pPr>
            <w:r>
              <w:rPr>
                <w:rFonts w:hint="eastAsia"/>
                <w:color w:val="auto"/>
                <w:highlight w:val="none"/>
                <w:lang w:val="en-US" w:eastAsia="zh-CN"/>
              </w:rPr>
              <w:t>2.4.10</w:t>
            </w:r>
            <w:r>
              <w:rPr>
                <w:rFonts w:hint="eastAsia"/>
                <w:color w:val="auto"/>
                <w:highlight w:val="none"/>
              </w:rPr>
              <w:t>软件支持通过采购单据直接生成资产卡片信息及资产入库单据的功能。（</w:t>
            </w:r>
            <w:r>
              <w:rPr>
                <w:rFonts w:hint="eastAsia"/>
                <w:color w:val="auto"/>
                <w:highlight w:val="none"/>
                <w:lang w:val="en-US" w:eastAsia="zh-CN"/>
              </w:rPr>
              <w:t>2</w:t>
            </w:r>
            <w:r>
              <w:rPr>
                <w:rFonts w:hint="eastAsia"/>
                <w:color w:val="auto"/>
                <w:highlight w:val="none"/>
              </w:rPr>
              <w:t>分）</w:t>
            </w:r>
          </w:p>
        </w:tc>
        <w:tc>
          <w:tcPr>
            <w:tcW w:w="650" w:type="dxa"/>
            <w:noWrap w:val="0"/>
            <w:vAlign w:val="center"/>
          </w:tcPr>
          <w:p w14:paraId="221B04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20分</w:t>
            </w:r>
          </w:p>
          <w:p w14:paraId="6ED6DD8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sz w:val="21"/>
                <w:szCs w:val="21"/>
                <w:highlight w:val="none"/>
                <w:lang w:val="en-US" w:eastAsia="zh-CN"/>
              </w:rPr>
            </w:pPr>
          </w:p>
        </w:tc>
        <w:tc>
          <w:tcPr>
            <w:tcW w:w="880" w:type="dxa"/>
            <w:noWrap w:val="0"/>
            <w:vAlign w:val="center"/>
          </w:tcPr>
          <w:p w14:paraId="278A1A9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highlight w:val="none"/>
                <w:lang w:val="en-US" w:eastAsia="zh-CN"/>
              </w:rPr>
            </w:pPr>
            <w:r>
              <w:rPr>
                <w:rFonts w:hint="eastAsia"/>
                <w:color w:val="auto"/>
                <w:sz w:val="21"/>
                <w:szCs w:val="21"/>
                <w:highlight w:val="none"/>
                <w:lang w:val="en-US" w:eastAsia="zh-CN"/>
              </w:rPr>
              <w:t>客观分</w:t>
            </w:r>
          </w:p>
        </w:tc>
      </w:tr>
    </w:tbl>
    <w:p w14:paraId="2905EFCD">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color w:val="auto"/>
          <w:highlight w:val="none"/>
          <w:lang w:val="zh-CN"/>
        </w:rPr>
      </w:pPr>
    </w:p>
    <w:p w14:paraId="4BF3D235">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color w:val="auto"/>
          <w:highlight w:val="none"/>
          <w:lang w:val="zh-CN"/>
        </w:rPr>
      </w:pPr>
      <w:r>
        <w:rPr>
          <w:rFonts w:hint="eastAsia"/>
          <w:color w:val="auto"/>
          <w:highlight w:val="none"/>
          <w:lang w:val="zh-CN"/>
        </w:rPr>
        <w:t>（2）最后报价分</w:t>
      </w:r>
    </w:p>
    <w:tbl>
      <w:tblPr>
        <w:tblStyle w:val="53"/>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60"/>
        <w:gridCol w:w="4180"/>
        <w:gridCol w:w="804"/>
        <w:gridCol w:w="2169"/>
      </w:tblGrid>
      <w:tr w14:paraId="3CB1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804" w:type="dxa"/>
            <w:noWrap w:val="0"/>
            <w:vAlign w:val="center"/>
          </w:tcPr>
          <w:p w14:paraId="402701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b/>
                <w:color w:val="auto"/>
                <w:szCs w:val="21"/>
                <w:highlight w:val="none"/>
              </w:rPr>
              <w:t>序号</w:t>
            </w:r>
          </w:p>
        </w:tc>
        <w:tc>
          <w:tcPr>
            <w:tcW w:w="1460" w:type="dxa"/>
            <w:noWrap w:val="0"/>
            <w:vAlign w:val="center"/>
          </w:tcPr>
          <w:p w14:paraId="250FAE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类型</w:t>
            </w:r>
          </w:p>
        </w:tc>
        <w:tc>
          <w:tcPr>
            <w:tcW w:w="4180" w:type="dxa"/>
            <w:noWrap w:val="0"/>
            <w:vAlign w:val="center"/>
          </w:tcPr>
          <w:p w14:paraId="09671C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评分标准</w:t>
            </w:r>
          </w:p>
        </w:tc>
        <w:tc>
          <w:tcPr>
            <w:tcW w:w="804" w:type="dxa"/>
            <w:noWrap w:val="0"/>
            <w:vAlign w:val="center"/>
          </w:tcPr>
          <w:p w14:paraId="09107C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分值权重</w:t>
            </w:r>
          </w:p>
        </w:tc>
        <w:tc>
          <w:tcPr>
            <w:tcW w:w="2169" w:type="dxa"/>
            <w:noWrap w:val="0"/>
            <w:vAlign w:val="center"/>
          </w:tcPr>
          <w:p w14:paraId="62958A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b/>
                <w:color w:val="auto"/>
                <w:szCs w:val="21"/>
                <w:highlight w:val="none"/>
              </w:rPr>
              <w:t>说明</w:t>
            </w:r>
          </w:p>
        </w:tc>
      </w:tr>
      <w:tr w14:paraId="1339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804" w:type="dxa"/>
            <w:noWrap w:val="0"/>
            <w:vAlign w:val="center"/>
          </w:tcPr>
          <w:p w14:paraId="6ABD64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1</w:t>
            </w:r>
          </w:p>
        </w:tc>
        <w:tc>
          <w:tcPr>
            <w:tcW w:w="1460" w:type="dxa"/>
            <w:noWrap w:val="0"/>
            <w:vAlign w:val="center"/>
          </w:tcPr>
          <w:p w14:paraId="0D604293">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szCs w:val="21"/>
                <w:highlight w:val="none"/>
              </w:rPr>
              <w:t>响应报价分</w:t>
            </w:r>
          </w:p>
        </w:tc>
        <w:tc>
          <w:tcPr>
            <w:tcW w:w="4180" w:type="dxa"/>
            <w:noWrap w:val="0"/>
            <w:vAlign w:val="center"/>
          </w:tcPr>
          <w:p w14:paraId="1E2A8D72">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szCs w:val="21"/>
                <w:highlight w:val="none"/>
              </w:rPr>
              <w:t>以满足采购文件要求且响应价格最低的响应报价为评审基准价，其价格分为满分。其他供应商的价格分统一按照下列公式计算：响应报价得分</w:t>
            </w:r>
            <w:r>
              <w:rPr>
                <w:color w:val="auto"/>
                <w:szCs w:val="21"/>
                <w:highlight w:val="none"/>
              </w:rPr>
              <w:t>=（评审基准价/响应报价）×响应报价分满分分值。</w:t>
            </w:r>
          </w:p>
        </w:tc>
        <w:tc>
          <w:tcPr>
            <w:tcW w:w="804" w:type="dxa"/>
            <w:noWrap w:val="0"/>
            <w:vAlign w:val="center"/>
          </w:tcPr>
          <w:p w14:paraId="64CB2C3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Cs w:val="21"/>
                <w:highlight w:val="none"/>
                <w:lang w:val="en-US" w:eastAsia="zh-CN"/>
              </w:rPr>
            </w:pPr>
            <w:r>
              <w:rPr>
                <w:rFonts w:hint="eastAsia"/>
                <w:color w:val="auto"/>
                <w:szCs w:val="21"/>
                <w:highlight w:val="none"/>
                <w:lang w:val="en-US" w:eastAsia="zh-CN"/>
              </w:rPr>
              <w:t>10</w:t>
            </w:r>
          </w:p>
        </w:tc>
        <w:tc>
          <w:tcPr>
            <w:tcW w:w="2169" w:type="dxa"/>
            <w:noWrap w:val="0"/>
            <w:vAlign w:val="center"/>
          </w:tcPr>
          <w:p w14:paraId="4FB033FF">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p>
        </w:tc>
      </w:tr>
    </w:tbl>
    <w:p w14:paraId="795CAED4">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color w:val="auto"/>
          <w:highlight w:val="none"/>
        </w:rPr>
      </w:pPr>
    </w:p>
    <w:p w14:paraId="7CAB9ACA">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综合得分</w:t>
      </w:r>
    </w:p>
    <w:tbl>
      <w:tblPr>
        <w:tblStyle w:val="53"/>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136"/>
        <w:gridCol w:w="3133"/>
        <w:gridCol w:w="2145"/>
      </w:tblGrid>
      <w:tr w14:paraId="7724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24" w:type="dxa"/>
            <w:noWrap w:val="0"/>
            <w:vAlign w:val="center"/>
          </w:tcPr>
          <w:p w14:paraId="3D15E5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分项</w:t>
            </w:r>
          </w:p>
        </w:tc>
        <w:tc>
          <w:tcPr>
            <w:tcW w:w="3136" w:type="dxa"/>
            <w:noWrap w:val="0"/>
            <w:vAlign w:val="center"/>
          </w:tcPr>
          <w:p w14:paraId="0AA50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技术及商务资信分</w:t>
            </w:r>
          </w:p>
        </w:tc>
        <w:tc>
          <w:tcPr>
            <w:tcW w:w="3133" w:type="dxa"/>
            <w:noWrap w:val="0"/>
            <w:vAlign w:val="center"/>
          </w:tcPr>
          <w:p w14:paraId="3A789D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响应报价得分</w:t>
            </w:r>
          </w:p>
        </w:tc>
        <w:tc>
          <w:tcPr>
            <w:tcW w:w="2145" w:type="dxa"/>
            <w:noWrap w:val="0"/>
            <w:vAlign w:val="center"/>
          </w:tcPr>
          <w:p w14:paraId="6DD073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总分</w:t>
            </w:r>
          </w:p>
        </w:tc>
      </w:tr>
      <w:tr w14:paraId="095A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824" w:type="dxa"/>
            <w:noWrap w:val="0"/>
            <w:vAlign w:val="center"/>
          </w:tcPr>
          <w:p w14:paraId="046FC0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分值</w:t>
            </w:r>
          </w:p>
        </w:tc>
        <w:tc>
          <w:tcPr>
            <w:tcW w:w="3136" w:type="dxa"/>
            <w:noWrap w:val="0"/>
            <w:vAlign w:val="center"/>
          </w:tcPr>
          <w:p w14:paraId="5B8EF6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90</w:t>
            </w:r>
          </w:p>
        </w:tc>
        <w:tc>
          <w:tcPr>
            <w:tcW w:w="3133" w:type="dxa"/>
            <w:noWrap w:val="0"/>
            <w:vAlign w:val="center"/>
          </w:tcPr>
          <w:p w14:paraId="5D4D0C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10</w:t>
            </w:r>
          </w:p>
        </w:tc>
        <w:tc>
          <w:tcPr>
            <w:tcW w:w="2145" w:type="dxa"/>
            <w:noWrap w:val="0"/>
            <w:vAlign w:val="center"/>
          </w:tcPr>
          <w:p w14:paraId="223C1B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100</w:t>
            </w:r>
          </w:p>
        </w:tc>
      </w:tr>
      <w:tr w14:paraId="44A0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9238" w:type="dxa"/>
            <w:gridSpan w:val="4"/>
            <w:noWrap w:val="0"/>
            <w:vAlign w:val="center"/>
          </w:tcPr>
          <w:p w14:paraId="5E4215DF">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szCs w:val="21"/>
                <w:highlight w:val="none"/>
              </w:rPr>
              <w:t>综合得分</w:t>
            </w:r>
            <w:r>
              <w:rPr>
                <w:color w:val="auto"/>
                <w:szCs w:val="21"/>
                <w:highlight w:val="none"/>
              </w:rPr>
              <w:t>=</w:t>
            </w:r>
            <w:r>
              <w:rPr>
                <w:rFonts w:hint="eastAsia"/>
                <w:color w:val="auto"/>
                <w:szCs w:val="21"/>
                <w:highlight w:val="none"/>
              </w:rPr>
              <w:t>技术及商务资信分+响应报价得分（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tbl>
    <w:p w14:paraId="4681F188">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color w:val="auto"/>
          <w:highlight w:val="none"/>
        </w:rPr>
      </w:pPr>
      <w:r>
        <w:rPr>
          <w:color w:val="auto"/>
          <w:highlight w:val="none"/>
        </w:rPr>
        <w:t>4.1</w:t>
      </w:r>
      <w:r>
        <w:rPr>
          <w:rFonts w:hint="eastAsia"/>
          <w:color w:val="auto"/>
          <w:highlight w:val="none"/>
        </w:rPr>
        <w:t>偏离认定说明</w:t>
      </w:r>
    </w:p>
    <w:p w14:paraId="4087CFA5">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color w:val="auto"/>
          <w:szCs w:val="21"/>
          <w:highlight w:val="none"/>
        </w:rPr>
      </w:pPr>
      <w:r>
        <w:rPr>
          <w:rFonts w:hint="eastAsia"/>
          <w:color w:val="auto"/>
          <w:szCs w:val="21"/>
          <w:highlight w:val="none"/>
        </w:rPr>
        <w:t>供应商根据采购需求中技术参数为基准，填写响应表，对于响应表或证明材料与技术参数不符的，按如下规定：</w:t>
      </w:r>
    </w:p>
    <w:p w14:paraId="5B38CEEE">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0919B7C2">
      <w:pPr>
        <w:spacing w:before="120" w:line="360" w:lineRule="auto"/>
        <w:ind w:firstLine="420" w:firstLineChars="200"/>
        <w:rPr>
          <w:color w:val="auto"/>
          <w:szCs w:val="21"/>
          <w:highlight w:val="none"/>
        </w:rPr>
      </w:pPr>
      <w:r>
        <w:rPr>
          <w:rFonts w:hint="eastAsia"/>
          <w:color w:val="auto"/>
          <w:szCs w:val="21"/>
          <w:highlight w:val="none"/>
        </w:rPr>
        <w:t>（2）响应表中响应的内容与证明材料不一致的，以证明材料为准作为评审依据。</w:t>
      </w:r>
    </w:p>
    <w:p w14:paraId="4C32A9D7">
      <w:pPr>
        <w:spacing w:before="120" w:line="360" w:lineRule="auto"/>
        <w:ind w:firstLine="420" w:firstLineChars="200"/>
        <w:rPr>
          <w:color w:val="auto"/>
          <w:szCs w:val="21"/>
          <w:highlight w:val="none"/>
        </w:rPr>
      </w:pPr>
      <w:r>
        <w:rPr>
          <w:rFonts w:hint="eastAsia"/>
          <w:color w:val="auto"/>
          <w:szCs w:val="21"/>
          <w:highlight w:val="none"/>
        </w:rPr>
        <w:t>（3）同时出现以上两种情况的，按照（1）-（2）顺序认定。</w:t>
      </w:r>
    </w:p>
    <w:p w14:paraId="09A1E49D">
      <w:pPr>
        <w:spacing w:before="120"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14:paraId="4E817036">
      <w:pPr>
        <w:spacing w:before="120"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）一项技术参数有多条小项要求的，必须全部响应。如只响应部分参数，视为漏项。评审时以每一条技术参数为评审依据。</w:t>
      </w:r>
    </w:p>
    <w:p w14:paraId="19DB5738">
      <w:pPr>
        <w:pStyle w:val="28"/>
        <w:snapToGrid w:val="0"/>
        <w:spacing w:before="120" w:after="120" w:line="320" w:lineRule="exact"/>
        <w:ind w:firstLine="420" w:firstLineChars="200"/>
        <w:jc w:val="both"/>
        <w:outlineLvl w:val="0"/>
        <w:rPr>
          <w:rFonts w:hint="eastAsia"/>
          <w:color w:val="auto"/>
          <w:szCs w:val="21"/>
          <w:highlight w:val="none"/>
        </w:rPr>
      </w:pPr>
      <w:bookmarkStart w:id="90" w:name="_Toc23733"/>
      <w:r>
        <w:rPr>
          <w:rFonts w:hint="eastAsia"/>
          <w:color w:val="auto"/>
          <w:szCs w:val="21"/>
          <w:highlight w:val="none"/>
        </w:rPr>
        <w:t>（</w:t>
      </w:r>
      <w:r>
        <w:rPr>
          <w:color w:val="auto"/>
          <w:szCs w:val="21"/>
          <w:highlight w:val="none"/>
        </w:rPr>
        <w:t>6</w:t>
      </w:r>
      <w:r>
        <w:rPr>
          <w:rFonts w:hint="eastAsia"/>
          <w:color w:val="auto"/>
          <w:szCs w:val="21"/>
          <w:highlight w:val="none"/>
        </w:rPr>
        <w:t>）如采购需求中技术参数有特殊要求与上述说明不一致的，以特殊要求为准。</w:t>
      </w:r>
      <w:bookmarkEnd w:id="90"/>
    </w:p>
    <w:p w14:paraId="35FB8BF2">
      <w:pPr>
        <w:rPr>
          <w:color w:val="auto"/>
          <w:highlight w:val="none"/>
        </w:rPr>
      </w:pPr>
      <w:r>
        <w:rPr>
          <w:color w:val="auto"/>
          <w:highlight w:val="none"/>
        </w:rPr>
        <w:br w:type="page"/>
      </w:r>
    </w:p>
    <w:p w14:paraId="420C2B34">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eastAsia="宋体"/>
          <w:b/>
          <w:bCs/>
          <w:color w:val="auto"/>
          <w:highlight w:val="none"/>
          <w:lang w:val="en-US" w:eastAsia="zh-CN"/>
        </w:rPr>
      </w:pPr>
      <w:r>
        <w:rPr>
          <w:rFonts w:hint="eastAsia"/>
          <w:b/>
          <w:bCs/>
          <w:color w:val="auto"/>
          <w:highlight w:val="none"/>
          <w:lang w:eastAsia="zh-CN"/>
        </w:rPr>
        <w:t>标项</w:t>
      </w:r>
      <w:r>
        <w:rPr>
          <w:rFonts w:hint="eastAsia"/>
          <w:b/>
          <w:bCs/>
          <w:color w:val="auto"/>
          <w:highlight w:val="none"/>
          <w:lang w:val="en-US" w:eastAsia="zh-CN"/>
        </w:rPr>
        <w:t>二</w:t>
      </w:r>
    </w:p>
    <w:p w14:paraId="129F0A4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宋体"/>
          <w:color w:val="auto"/>
          <w:highlight w:val="none"/>
          <w:lang w:eastAsia="zh-CN"/>
        </w:rPr>
      </w:pPr>
      <w:r>
        <w:rPr>
          <w:rFonts w:hint="eastAsia"/>
          <w:color w:val="auto"/>
          <w:highlight w:val="none"/>
        </w:rPr>
        <w:t>（1）技术及商务资信分</w:t>
      </w:r>
    </w:p>
    <w:tbl>
      <w:tblPr>
        <w:tblStyle w:val="53"/>
        <w:tblpPr w:leftFromText="180" w:rightFromText="180" w:vertAnchor="text" w:horzAnchor="page" w:tblpX="1485" w:tblpY="361"/>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97"/>
        <w:gridCol w:w="6025"/>
        <w:gridCol w:w="650"/>
        <w:gridCol w:w="880"/>
      </w:tblGrid>
      <w:tr w14:paraId="312D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noWrap w:val="0"/>
            <w:vAlign w:val="center"/>
          </w:tcPr>
          <w:p w14:paraId="77C3C8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b/>
                <w:color w:val="auto"/>
                <w:sz w:val="21"/>
                <w:szCs w:val="21"/>
                <w:highlight w:val="none"/>
              </w:rPr>
              <w:t>序号</w:t>
            </w:r>
          </w:p>
        </w:tc>
        <w:tc>
          <w:tcPr>
            <w:tcW w:w="897" w:type="dxa"/>
            <w:noWrap w:val="0"/>
            <w:vAlign w:val="center"/>
          </w:tcPr>
          <w:p w14:paraId="3E0346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rFonts w:hint="eastAsia"/>
                <w:b/>
                <w:color w:val="auto"/>
                <w:sz w:val="21"/>
                <w:szCs w:val="21"/>
                <w:highlight w:val="none"/>
              </w:rPr>
              <w:t>类型</w:t>
            </w:r>
          </w:p>
        </w:tc>
        <w:tc>
          <w:tcPr>
            <w:tcW w:w="6025" w:type="dxa"/>
            <w:noWrap w:val="0"/>
            <w:vAlign w:val="center"/>
          </w:tcPr>
          <w:p w14:paraId="2AF62A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rFonts w:hint="eastAsia"/>
                <w:b/>
                <w:color w:val="auto"/>
                <w:sz w:val="21"/>
                <w:szCs w:val="21"/>
                <w:highlight w:val="none"/>
              </w:rPr>
              <w:t>评分标准</w:t>
            </w:r>
          </w:p>
        </w:tc>
        <w:tc>
          <w:tcPr>
            <w:tcW w:w="650" w:type="dxa"/>
            <w:noWrap w:val="0"/>
            <w:vAlign w:val="center"/>
          </w:tcPr>
          <w:p w14:paraId="2696EA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rFonts w:hint="eastAsia"/>
                <w:b/>
                <w:color w:val="auto"/>
                <w:sz w:val="21"/>
                <w:szCs w:val="21"/>
                <w:highlight w:val="none"/>
              </w:rPr>
              <w:t>分值权重</w:t>
            </w:r>
          </w:p>
        </w:tc>
        <w:tc>
          <w:tcPr>
            <w:tcW w:w="880" w:type="dxa"/>
            <w:noWrap w:val="0"/>
            <w:vAlign w:val="center"/>
          </w:tcPr>
          <w:p w14:paraId="5C851F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b/>
                <w:color w:val="auto"/>
                <w:sz w:val="21"/>
                <w:szCs w:val="21"/>
                <w:highlight w:val="none"/>
              </w:rPr>
              <w:t>说明</w:t>
            </w:r>
          </w:p>
        </w:tc>
      </w:tr>
      <w:tr w14:paraId="7740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vMerge w:val="restart"/>
            <w:noWrap w:val="0"/>
            <w:vAlign w:val="center"/>
          </w:tcPr>
          <w:p w14:paraId="00E333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rFonts w:hint="eastAsia"/>
                <w:b/>
                <w:color w:val="auto"/>
                <w:sz w:val="21"/>
                <w:szCs w:val="21"/>
                <w:highlight w:val="none"/>
              </w:rPr>
              <w:t>1</w:t>
            </w:r>
          </w:p>
        </w:tc>
        <w:tc>
          <w:tcPr>
            <w:tcW w:w="897" w:type="dxa"/>
            <w:vMerge w:val="restart"/>
            <w:noWrap w:val="0"/>
            <w:vAlign w:val="center"/>
          </w:tcPr>
          <w:p w14:paraId="36C4BA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rPr>
            </w:pPr>
            <w:r>
              <w:rPr>
                <w:rFonts w:hint="eastAsia"/>
                <w:color w:val="auto"/>
                <w:sz w:val="21"/>
                <w:szCs w:val="21"/>
                <w:highlight w:val="none"/>
              </w:rPr>
              <w:t>商务资信分</w:t>
            </w:r>
          </w:p>
        </w:tc>
        <w:tc>
          <w:tcPr>
            <w:tcW w:w="6025" w:type="dxa"/>
            <w:noWrap w:val="0"/>
            <w:vAlign w:val="center"/>
          </w:tcPr>
          <w:p w14:paraId="698D8FE7">
            <w:pPr>
              <w:spacing w:line="360" w:lineRule="auto"/>
              <w:rPr>
                <w:rFonts w:hint="eastAsia"/>
                <w:b/>
                <w:color w:val="auto"/>
                <w:sz w:val="21"/>
                <w:szCs w:val="21"/>
                <w:highlight w:val="none"/>
              </w:rPr>
            </w:pPr>
            <w:r>
              <w:rPr>
                <w:rFonts w:hint="eastAsia" w:ascii="Times New Roman" w:hAnsi="Times New Roman" w:eastAsia="宋体" w:cs="Times New Roman"/>
                <w:color w:val="auto"/>
                <w:sz w:val="21"/>
                <w:szCs w:val="21"/>
                <w:highlight w:val="none"/>
              </w:rPr>
              <w:t>1.1认证证书（</w:t>
            </w:r>
            <w:r>
              <w:rPr>
                <w:rFonts w:hint="eastAsia" w:cs="Times New Roman"/>
                <w:color w:val="auto"/>
                <w:sz w:val="21"/>
                <w:szCs w:val="21"/>
                <w:highlight w:val="none"/>
                <w:lang w:val="en-US" w:eastAsia="zh-CN"/>
              </w:rPr>
              <w:t>9</w:t>
            </w:r>
            <w:r>
              <w:rPr>
                <w:rFonts w:hint="eastAsia" w:ascii="Times New Roman" w:hAnsi="Times New Roman" w:eastAsia="宋体" w:cs="Times New Roman"/>
                <w:color w:val="auto"/>
                <w:sz w:val="21"/>
                <w:szCs w:val="21"/>
                <w:highlight w:val="none"/>
              </w:rPr>
              <w:t>分）：供应商具有有效的经国家认证认可监督管理委员会平台备案的质量管理体系认证证书且认证范围包含软件安全测评、安全管理体系认证证书（ISO/IEC27001）、软件著作权及授权证书，每提供1个得</w:t>
            </w: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分，最高得</w:t>
            </w:r>
            <w:r>
              <w:rPr>
                <w:rFonts w:hint="eastAsia" w:cs="Times New Roman"/>
                <w:color w:val="auto"/>
                <w:sz w:val="21"/>
                <w:szCs w:val="21"/>
                <w:highlight w:val="none"/>
                <w:lang w:val="en-US" w:eastAsia="zh-CN"/>
              </w:rPr>
              <w:t>9</w:t>
            </w:r>
            <w:r>
              <w:rPr>
                <w:rFonts w:hint="eastAsia" w:ascii="Times New Roman" w:hAnsi="Times New Roman" w:eastAsia="宋体" w:cs="Times New Roman"/>
                <w:color w:val="auto"/>
                <w:sz w:val="21"/>
                <w:szCs w:val="21"/>
                <w:highlight w:val="none"/>
              </w:rPr>
              <w:t>分。（提供证书复印件加盖公章,否则不得分）。</w:t>
            </w:r>
          </w:p>
        </w:tc>
        <w:tc>
          <w:tcPr>
            <w:tcW w:w="650" w:type="dxa"/>
            <w:noWrap w:val="0"/>
            <w:vAlign w:val="center"/>
          </w:tcPr>
          <w:p w14:paraId="64DE17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color w:val="auto"/>
                <w:sz w:val="21"/>
                <w:szCs w:val="21"/>
                <w:highlight w:val="none"/>
              </w:rPr>
            </w:pPr>
            <w:r>
              <w:rPr>
                <w:rFonts w:hint="eastAsia"/>
                <w:color w:val="auto"/>
                <w:sz w:val="21"/>
                <w:szCs w:val="21"/>
                <w:highlight w:val="none"/>
                <w:lang w:val="en-US" w:eastAsia="zh-CN"/>
              </w:rPr>
              <w:t>9分</w:t>
            </w:r>
          </w:p>
        </w:tc>
        <w:tc>
          <w:tcPr>
            <w:tcW w:w="880" w:type="dxa"/>
            <w:noWrap w:val="0"/>
            <w:vAlign w:val="center"/>
          </w:tcPr>
          <w:p w14:paraId="337C01C8">
            <w:pPr>
              <w:keepNext w:val="0"/>
              <w:keepLines w:val="0"/>
              <w:pageBreakBefore w:val="0"/>
              <w:widowControl w:val="0"/>
              <w:kinsoku/>
              <w:wordWrap/>
              <w:overflowPunct/>
              <w:topLinePunct w:val="0"/>
              <w:autoSpaceDE/>
              <w:autoSpaceDN/>
              <w:bidi w:val="0"/>
              <w:adjustRightInd/>
              <w:snapToGrid/>
              <w:spacing w:line="360" w:lineRule="exact"/>
              <w:textAlignment w:val="auto"/>
              <w:rPr>
                <w:b/>
                <w:color w:val="auto"/>
                <w:sz w:val="21"/>
                <w:szCs w:val="21"/>
                <w:highlight w:val="none"/>
              </w:rPr>
            </w:pPr>
            <w:r>
              <w:rPr>
                <w:rFonts w:hint="eastAsia"/>
                <w:color w:val="auto"/>
                <w:sz w:val="21"/>
                <w:szCs w:val="21"/>
                <w:highlight w:val="none"/>
                <w:lang w:val="en-US" w:eastAsia="zh-CN"/>
              </w:rPr>
              <w:t>客观分</w:t>
            </w:r>
          </w:p>
        </w:tc>
      </w:tr>
      <w:tr w14:paraId="6184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57" w:type="dxa"/>
            <w:vMerge w:val="continue"/>
            <w:noWrap w:val="0"/>
            <w:vAlign w:val="center"/>
          </w:tcPr>
          <w:p w14:paraId="0D3E1C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color w:val="auto"/>
                <w:sz w:val="21"/>
                <w:szCs w:val="21"/>
                <w:highlight w:val="none"/>
                <w:lang w:val="en-US" w:eastAsia="zh-CN"/>
              </w:rPr>
            </w:pPr>
          </w:p>
        </w:tc>
        <w:tc>
          <w:tcPr>
            <w:tcW w:w="897" w:type="dxa"/>
            <w:vMerge w:val="continue"/>
            <w:noWrap w:val="0"/>
            <w:vAlign w:val="center"/>
          </w:tcPr>
          <w:p w14:paraId="40B9F3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1"/>
                <w:szCs w:val="21"/>
                <w:highlight w:val="none"/>
              </w:rPr>
            </w:pPr>
          </w:p>
        </w:tc>
        <w:tc>
          <w:tcPr>
            <w:tcW w:w="6025" w:type="dxa"/>
            <w:noWrap w:val="0"/>
            <w:vAlign w:val="center"/>
          </w:tcPr>
          <w:p w14:paraId="47919F90">
            <w:pPr>
              <w:spacing w:line="360" w:lineRule="auto"/>
              <w:rPr>
                <w:rFonts w:hint="eastAsia" w:eastAsia="宋体"/>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rPr>
              <w:t>业绩（</w:t>
            </w:r>
            <w:r>
              <w:rPr>
                <w:rFonts w:hint="eastAsia" w:cs="Times New Roman"/>
                <w:color w:val="auto"/>
                <w:sz w:val="21"/>
                <w:szCs w:val="21"/>
                <w:highlight w:val="none"/>
                <w:lang w:val="en-US" w:eastAsia="zh-CN"/>
              </w:rPr>
              <w:t>9</w:t>
            </w:r>
            <w:r>
              <w:rPr>
                <w:rFonts w:hint="eastAsia" w:ascii="Times New Roman" w:hAnsi="Times New Roman" w:eastAsia="宋体" w:cs="Times New Roman"/>
                <w:color w:val="auto"/>
                <w:sz w:val="21"/>
                <w:szCs w:val="21"/>
                <w:highlight w:val="none"/>
              </w:rPr>
              <w:t>分）：供应商提供自2022年以来</w:t>
            </w:r>
            <w:r>
              <w:rPr>
                <w:rFonts w:hint="eastAsia" w:cs="Times New Roman"/>
                <w:color w:val="auto"/>
                <w:sz w:val="21"/>
                <w:szCs w:val="21"/>
                <w:highlight w:val="none"/>
                <w:lang w:val="en-US" w:eastAsia="zh-CN"/>
              </w:rPr>
              <w:t>完成类似</w:t>
            </w:r>
            <w:r>
              <w:rPr>
                <w:rFonts w:hint="eastAsia" w:ascii="Times New Roman" w:hAnsi="Times New Roman" w:eastAsia="宋体" w:cs="Times New Roman"/>
                <w:color w:val="auto"/>
                <w:sz w:val="21"/>
                <w:szCs w:val="21"/>
                <w:highlight w:val="none"/>
                <w:lang w:val="en-US" w:eastAsia="zh-CN"/>
              </w:rPr>
              <w:t>业绩的</w:t>
            </w:r>
            <w:r>
              <w:rPr>
                <w:rFonts w:hint="eastAsia" w:ascii="Times New Roman" w:hAnsi="Times New Roman" w:eastAsia="宋体" w:cs="Times New Roman"/>
                <w:color w:val="auto"/>
                <w:sz w:val="21"/>
                <w:szCs w:val="21"/>
                <w:highlight w:val="none"/>
              </w:rPr>
              <w:t>，每个得</w:t>
            </w: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分，最多</w:t>
            </w:r>
            <w:r>
              <w:rPr>
                <w:rFonts w:hint="eastAsia" w:cs="Times New Roman"/>
                <w:color w:val="auto"/>
                <w:sz w:val="21"/>
                <w:szCs w:val="21"/>
                <w:highlight w:val="none"/>
                <w:lang w:val="en-US" w:eastAsia="zh-CN"/>
              </w:rPr>
              <w:t>9</w:t>
            </w:r>
            <w:r>
              <w:rPr>
                <w:rFonts w:hint="eastAsia" w:ascii="Times New Roman" w:hAnsi="Times New Roman" w:eastAsia="宋体" w:cs="Times New Roman"/>
                <w:color w:val="auto"/>
                <w:sz w:val="21"/>
                <w:szCs w:val="21"/>
                <w:highlight w:val="none"/>
              </w:rPr>
              <w:t>分。(</w:t>
            </w:r>
            <w:r>
              <w:rPr>
                <w:rFonts w:hint="eastAsia" w:cs="Times New Roman"/>
                <w:color w:val="auto"/>
                <w:sz w:val="21"/>
                <w:szCs w:val="21"/>
                <w:highlight w:val="none"/>
                <w:lang w:val="en-US" w:eastAsia="zh-CN"/>
              </w:rPr>
              <w:t>类似业绩指：</w:t>
            </w:r>
            <w:r>
              <w:rPr>
                <w:rFonts w:hint="eastAsia" w:ascii="Times New Roman" w:hAnsi="Times New Roman" w:eastAsia="宋体" w:cs="Times New Roman"/>
                <w:color w:val="auto"/>
                <w:sz w:val="21"/>
                <w:szCs w:val="21"/>
                <w:highlight w:val="none"/>
              </w:rPr>
              <w:t>阅卷</w:t>
            </w:r>
            <w:r>
              <w:rPr>
                <w:rFonts w:hint="eastAsia" w:cs="Times New Roman"/>
                <w:color w:val="auto"/>
                <w:sz w:val="21"/>
                <w:szCs w:val="21"/>
                <w:highlight w:val="none"/>
                <w:lang w:val="en-US" w:eastAsia="zh-CN"/>
              </w:rPr>
              <w:t>系统案例，</w:t>
            </w:r>
            <w:r>
              <w:rPr>
                <w:rFonts w:hint="eastAsia" w:ascii="Times New Roman" w:hAnsi="Times New Roman" w:eastAsia="宋体" w:cs="Times New Roman"/>
                <w:color w:val="auto"/>
                <w:sz w:val="21"/>
                <w:szCs w:val="21"/>
                <w:highlight w:val="none"/>
              </w:rPr>
              <w:t>提供合同复印件</w:t>
            </w:r>
            <w:r>
              <w:rPr>
                <w:rFonts w:hint="eastAsia" w:ascii="Times New Roman" w:hAnsi="Times New Roman" w:eastAsia="宋体" w:cs="Times New Roman"/>
                <w:color w:val="auto"/>
                <w:sz w:val="21"/>
                <w:szCs w:val="21"/>
                <w:highlight w:val="none"/>
                <w:lang w:val="en-US" w:eastAsia="zh-CN"/>
              </w:rPr>
              <w:t>或中标（成交通知书）</w:t>
            </w:r>
            <w:r>
              <w:rPr>
                <w:rFonts w:hint="eastAsia" w:ascii="Times New Roman" w:hAnsi="Times New Roman" w:eastAsia="宋体" w:cs="Times New Roman"/>
                <w:color w:val="auto"/>
                <w:sz w:val="21"/>
                <w:szCs w:val="21"/>
                <w:highlight w:val="none"/>
              </w:rPr>
              <w:t>，加盖</w:t>
            </w:r>
            <w:r>
              <w:rPr>
                <w:rFonts w:hint="eastAsia" w:ascii="Times New Roman" w:hAnsi="Times New Roman" w:eastAsia="宋体" w:cs="Times New Roman"/>
                <w:color w:val="auto"/>
                <w:sz w:val="21"/>
                <w:szCs w:val="21"/>
                <w:highlight w:val="none"/>
                <w:lang w:val="en-US" w:eastAsia="zh-CN"/>
              </w:rPr>
              <w:t>供应商</w:t>
            </w:r>
            <w:r>
              <w:rPr>
                <w:rFonts w:hint="eastAsia" w:ascii="Times New Roman" w:hAnsi="Times New Roman" w:eastAsia="宋体" w:cs="Times New Roman"/>
                <w:color w:val="auto"/>
                <w:sz w:val="21"/>
                <w:szCs w:val="21"/>
                <w:highlight w:val="none"/>
              </w:rPr>
              <w:t>公章</w:t>
            </w:r>
            <w:r>
              <w:rPr>
                <w:rFonts w:hint="eastAsia" w:ascii="Times New Roman" w:hAnsi="Times New Roman" w:eastAsia="宋体" w:cs="Times New Roman"/>
                <w:color w:val="auto"/>
                <w:sz w:val="21"/>
                <w:szCs w:val="21"/>
                <w:highlight w:val="none"/>
                <w:lang w:eastAsia="zh-CN"/>
              </w:rPr>
              <w:t>。</w:t>
            </w:r>
          </w:p>
        </w:tc>
        <w:tc>
          <w:tcPr>
            <w:tcW w:w="650" w:type="dxa"/>
            <w:noWrap w:val="0"/>
            <w:vAlign w:val="center"/>
          </w:tcPr>
          <w:p w14:paraId="78F902C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9分</w:t>
            </w:r>
          </w:p>
        </w:tc>
        <w:tc>
          <w:tcPr>
            <w:tcW w:w="880" w:type="dxa"/>
            <w:noWrap w:val="0"/>
            <w:vAlign w:val="center"/>
          </w:tcPr>
          <w:p w14:paraId="5861923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客观分</w:t>
            </w:r>
          </w:p>
        </w:tc>
      </w:tr>
      <w:tr w14:paraId="6CB9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7" w:type="dxa"/>
            <w:vMerge w:val="restart"/>
            <w:noWrap w:val="0"/>
            <w:vAlign w:val="center"/>
          </w:tcPr>
          <w:p w14:paraId="494FFE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color w:val="auto"/>
                <w:sz w:val="21"/>
                <w:szCs w:val="21"/>
                <w:highlight w:val="none"/>
                <w:lang w:val="en-US" w:eastAsia="zh-CN"/>
              </w:rPr>
            </w:pPr>
            <w:r>
              <w:rPr>
                <w:rFonts w:hint="eastAsia"/>
                <w:b/>
                <w:color w:val="auto"/>
                <w:sz w:val="21"/>
                <w:szCs w:val="21"/>
                <w:highlight w:val="none"/>
                <w:lang w:val="en-US" w:eastAsia="zh-CN"/>
              </w:rPr>
              <w:t>2</w:t>
            </w:r>
          </w:p>
        </w:tc>
        <w:tc>
          <w:tcPr>
            <w:tcW w:w="897" w:type="dxa"/>
            <w:vMerge w:val="restart"/>
            <w:noWrap w:val="0"/>
            <w:vAlign w:val="center"/>
          </w:tcPr>
          <w:p w14:paraId="4F4431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技术部分</w:t>
            </w:r>
          </w:p>
        </w:tc>
        <w:tc>
          <w:tcPr>
            <w:tcW w:w="6025" w:type="dxa"/>
            <w:noWrap w:val="0"/>
            <w:vAlign w:val="center"/>
          </w:tcPr>
          <w:p w14:paraId="617A5874">
            <w:pPr>
              <w:spacing w:line="360" w:lineRule="auto"/>
              <w:rPr>
                <w:rFonts w:hint="eastAsia" w:ascii="仿宋" w:hAnsi="仿宋" w:eastAsia="仿宋" w:cs="仿宋"/>
                <w:color w:val="auto"/>
                <w:sz w:val="28"/>
                <w:szCs w:val="28"/>
                <w:highlight w:val="none"/>
              </w:rPr>
            </w:pPr>
            <w:r>
              <w:rPr>
                <w:rFonts w:hint="eastAsia" w:ascii="Times New Roman" w:hAnsi="Times New Roman" w:eastAsia="宋体" w:cs="Times New Roman"/>
                <w:color w:val="auto"/>
                <w:sz w:val="21"/>
                <w:szCs w:val="21"/>
                <w:highlight w:val="none"/>
                <w:lang w:val="en-US" w:eastAsia="zh-CN"/>
              </w:rPr>
              <w:t>2.1</w:t>
            </w:r>
            <w:r>
              <w:rPr>
                <w:rFonts w:hint="eastAsia" w:ascii="Times New Roman" w:hAnsi="Times New Roman" w:eastAsia="宋体" w:cs="Times New Roman"/>
                <w:color w:val="auto"/>
                <w:sz w:val="21"/>
                <w:szCs w:val="21"/>
                <w:highlight w:val="none"/>
              </w:rPr>
              <w:t>技术参数（</w:t>
            </w:r>
            <w:r>
              <w:rPr>
                <w:rFonts w:hint="eastAsia" w:cs="Times New Roman"/>
                <w:color w:val="auto"/>
                <w:sz w:val="21"/>
                <w:szCs w:val="21"/>
                <w:highlight w:val="none"/>
                <w:lang w:val="en-US" w:eastAsia="zh-CN"/>
              </w:rPr>
              <w:t>14</w:t>
            </w:r>
            <w:r>
              <w:rPr>
                <w:rFonts w:hint="eastAsia" w:ascii="Times New Roman" w:hAnsi="Times New Roman" w:eastAsia="宋体" w:cs="Times New Roman"/>
                <w:color w:val="auto"/>
                <w:sz w:val="21"/>
                <w:szCs w:val="21"/>
                <w:highlight w:val="none"/>
              </w:rPr>
              <w:t>分）：由评审</w:t>
            </w:r>
            <w:r>
              <w:rPr>
                <w:rFonts w:hint="eastAsia" w:ascii="Times New Roman" w:hAnsi="Times New Roman" w:eastAsia="宋体" w:cs="Times New Roman"/>
                <w:color w:val="auto"/>
                <w:sz w:val="21"/>
                <w:szCs w:val="21"/>
                <w:highlight w:val="none"/>
                <w:lang w:val="en-US" w:eastAsia="zh-CN"/>
              </w:rPr>
              <w:t>小组</w:t>
            </w:r>
            <w:r>
              <w:rPr>
                <w:rFonts w:hint="eastAsia" w:ascii="Times New Roman" w:hAnsi="Times New Roman" w:eastAsia="宋体" w:cs="Times New Roman"/>
                <w:color w:val="auto"/>
                <w:sz w:val="21"/>
                <w:szCs w:val="21"/>
                <w:highlight w:val="none"/>
              </w:rPr>
              <w:t>会根据供应商的响应方案进行综合评议，</w:t>
            </w:r>
            <w:r>
              <w:rPr>
                <w:rFonts w:hint="eastAsia" w:cs="Times New Roman"/>
                <w:color w:val="auto"/>
                <w:sz w:val="21"/>
                <w:szCs w:val="21"/>
                <w:highlight w:val="none"/>
                <w:lang w:val="en-US" w:eastAsia="zh-CN"/>
              </w:rPr>
              <w:t>标注“</w:t>
            </w:r>
            <w:r>
              <w:rPr>
                <w:rFonts w:hint="eastAsia" w:ascii="宋体" w:hAnsi="宋体" w:cs="宋体"/>
                <w:color w:val="auto"/>
                <w:kern w:val="0"/>
                <w:szCs w:val="21"/>
                <w:highlight w:val="none"/>
                <w:lang w:eastAsia="zh-CN"/>
              </w:rPr>
              <w:t>▲</w:t>
            </w:r>
            <w:r>
              <w:rPr>
                <w:rFonts w:hint="eastAsia" w:cs="Times New Roman"/>
                <w:color w:val="auto"/>
                <w:sz w:val="21"/>
                <w:szCs w:val="21"/>
                <w:highlight w:val="none"/>
                <w:lang w:val="en-US" w:eastAsia="zh-CN"/>
              </w:rPr>
              <w:t>”参数无负偏离，其余</w:t>
            </w:r>
            <w:r>
              <w:rPr>
                <w:rFonts w:hint="eastAsia" w:ascii="Times New Roman" w:hAnsi="Times New Roman" w:eastAsia="宋体" w:cs="Times New Roman"/>
                <w:color w:val="auto"/>
                <w:sz w:val="21"/>
                <w:szCs w:val="21"/>
                <w:highlight w:val="none"/>
              </w:rPr>
              <w:t>技术参数完全符合磋商文件要求，其技术分为满分</w:t>
            </w:r>
            <w:r>
              <w:rPr>
                <w:rFonts w:hint="eastAsia" w:cs="Times New Roman"/>
                <w:color w:val="auto"/>
                <w:sz w:val="21"/>
                <w:szCs w:val="21"/>
                <w:highlight w:val="none"/>
                <w:lang w:val="en-US" w:eastAsia="zh-CN"/>
              </w:rPr>
              <w:t>14</w:t>
            </w:r>
            <w:r>
              <w:rPr>
                <w:rFonts w:hint="eastAsia" w:ascii="Times New Roman" w:hAnsi="Times New Roman" w:eastAsia="宋体" w:cs="Times New Roman"/>
                <w:color w:val="auto"/>
                <w:sz w:val="21"/>
                <w:szCs w:val="21"/>
                <w:highlight w:val="none"/>
              </w:rPr>
              <w:t>分；不满足技术参数</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即负偏离，包含</w:t>
            </w:r>
            <w:r>
              <w:rPr>
                <w:rFonts w:hint="eastAsia" w:ascii="Times New Roman" w:hAnsi="Times New Roman" w:eastAsia="宋体" w:cs="Times New Roman"/>
                <w:color w:val="auto"/>
                <w:sz w:val="21"/>
                <w:szCs w:val="21"/>
                <w:highlight w:val="none"/>
              </w:rPr>
              <w:t>配置不详、缺漏项</w:t>
            </w:r>
            <w:r>
              <w:rPr>
                <w:rFonts w:hint="eastAsia"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技术参数表述不清</w:t>
            </w:r>
            <w:r>
              <w:rPr>
                <w:rFonts w:hint="eastAsia" w:cs="Times New Roman"/>
                <w:color w:val="auto"/>
                <w:sz w:val="21"/>
                <w:szCs w:val="21"/>
                <w:highlight w:val="none"/>
                <w:lang w:val="en-US" w:eastAsia="zh-CN"/>
              </w:rPr>
              <w:t>等</w:t>
            </w:r>
            <w:r>
              <w:rPr>
                <w:rFonts w:hint="eastAsia"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每项扣</w:t>
            </w: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rPr>
              <w:t>分，扣完技术分为止。</w:t>
            </w:r>
          </w:p>
        </w:tc>
        <w:tc>
          <w:tcPr>
            <w:tcW w:w="650" w:type="dxa"/>
            <w:noWrap w:val="0"/>
            <w:vAlign w:val="center"/>
          </w:tcPr>
          <w:p w14:paraId="7A812E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14分</w:t>
            </w:r>
          </w:p>
        </w:tc>
        <w:tc>
          <w:tcPr>
            <w:tcW w:w="880" w:type="dxa"/>
            <w:noWrap w:val="0"/>
            <w:vAlign w:val="center"/>
          </w:tcPr>
          <w:p w14:paraId="06D4727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客观分</w:t>
            </w:r>
          </w:p>
        </w:tc>
      </w:tr>
      <w:tr w14:paraId="092E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757" w:type="dxa"/>
            <w:vMerge w:val="continue"/>
            <w:noWrap w:val="0"/>
            <w:vAlign w:val="center"/>
          </w:tcPr>
          <w:p w14:paraId="48193B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lang w:val="en-US" w:eastAsia="zh-CN"/>
              </w:rPr>
            </w:pPr>
          </w:p>
        </w:tc>
        <w:tc>
          <w:tcPr>
            <w:tcW w:w="897" w:type="dxa"/>
            <w:vMerge w:val="continue"/>
            <w:noWrap w:val="0"/>
            <w:vAlign w:val="center"/>
          </w:tcPr>
          <w:p w14:paraId="5CC583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highlight w:val="none"/>
                <w:lang w:val="en-US" w:eastAsia="zh-CN"/>
              </w:rPr>
            </w:pPr>
          </w:p>
        </w:tc>
        <w:tc>
          <w:tcPr>
            <w:tcW w:w="6025" w:type="dxa"/>
            <w:noWrap w:val="0"/>
            <w:vAlign w:val="center"/>
          </w:tcPr>
          <w:p w14:paraId="474E9FA0">
            <w:pPr>
              <w:spacing w:line="360" w:lineRule="auto"/>
              <w:rPr>
                <w:rFonts w:hint="eastAsia" w:ascii="仿宋" w:hAnsi="仿宋" w:eastAsia="宋体" w:cs="仿宋"/>
                <w:color w:val="auto"/>
                <w:sz w:val="28"/>
                <w:szCs w:val="28"/>
                <w:highlight w:val="none"/>
                <w:lang w:eastAsia="zh-CN"/>
              </w:rPr>
            </w:pPr>
            <w:r>
              <w:rPr>
                <w:rFonts w:hint="eastAsia" w:ascii="Times New Roman" w:hAnsi="Times New Roman" w:eastAsia="宋体" w:cs="Times New Roman"/>
                <w:color w:val="auto"/>
                <w:sz w:val="21"/>
                <w:szCs w:val="21"/>
                <w:highlight w:val="none"/>
                <w:lang w:val="en-US" w:eastAsia="zh-CN"/>
              </w:rPr>
              <w:t>2.2</w:t>
            </w:r>
            <w:r>
              <w:rPr>
                <w:rFonts w:hint="eastAsia" w:ascii="Times New Roman" w:hAnsi="Times New Roman" w:eastAsia="宋体" w:cs="Times New Roman"/>
                <w:color w:val="auto"/>
                <w:sz w:val="21"/>
                <w:szCs w:val="21"/>
                <w:highlight w:val="none"/>
              </w:rPr>
              <w:t>配套资源（</w:t>
            </w:r>
            <w:r>
              <w:rPr>
                <w:rFonts w:hint="eastAsia" w:cs="Times New Roman"/>
                <w:color w:val="auto"/>
                <w:sz w:val="21"/>
                <w:szCs w:val="21"/>
                <w:highlight w:val="none"/>
                <w:lang w:val="en-US" w:eastAsia="zh-CN"/>
              </w:rPr>
              <w:t>10</w:t>
            </w:r>
            <w:r>
              <w:rPr>
                <w:rFonts w:hint="eastAsia" w:ascii="Times New Roman" w:hAnsi="Times New Roman" w:eastAsia="宋体" w:cs="Times New Roman"/>
                <w:color w:val="auto"/>
                <w:sz w:val="21"/>
                <w:szCs w:val="21"/>
                <w:highlight w:val="none"/>
              </w:rPr>
              <w:t>分）：供应商提供的平台内自带配套试题资源，文化课试题高于或等于10万道试题，且专业课试题高于或等于5万道试题，每道试题包含答案、解析、章节等标签，得</w:t>
            </w:r>
            <w:r>
              <w:rPr>
                <w:rFonts w:hint="eastAsia" w:cs="Times New Roman"/>
                <w:color w:val="auto"/>
                <w:sz w:val="21"/>
                <w:szCs w:val="21"/>
                <w:highlight w:val="none"/>
                <w:lang w:val="en-US" w:eastAsia="zh-CN"/>
              </w:rPr>
              <w:t>10</w:t>
            </w:r>
            <w:r>
              <w:rPr>
                <w:rFonts w:hint="eastAsia" w:ascii="Times New Roman" w:hAnsi="Times New Roman" w:eastAsia="宋体" w:cs="Times New Roman"/>
                <w:color w:val="auto"/>
                <w:sz w:val="21"/>
                <w:szCs w:val="21"/>
                <w:highlight w:val="none"/>
              </w:rPr>
              <w:t>分，文化课试题</w:t>
            </w:r>
            <w:r>
              <w:rPr>
                <w:rFonts w:hint="eastAsia" w:cs="Times New Roman"/>
                <w:color w:val="auto"/>
                <w:sz w:val="21"/>
                <w:szCs w:val="21"/>
                <w:highlight w:val="none"/>
                <w:lang w:val="en-US" w:eastAsia="zh-CN"/>
              </w:rPr>
              <w:t>低于</w:t>
            </w:r>
            <w:r>
              <w:rPr>
                <w:rFonts w:hint="eastAsia" w:ascii="Times New Roman" w:hAnsi="Times New Roman" w:eastAsia="宋体" w:cs="Times New Roman"/>
                <w:color w:val="auto"/>
                <w:sz w:val="21"/>
                <w:szCs w:val="21"/>
                <w:highlight w:val="none"/>
              </w:rPr>
              <w:t>10万道试题，</w:t>
            </w:r>
            <w:r>
              <w:rPr>
                <w:rFonts w:hint="eastAsia" w:cs="Times New Roman"/>
                <w:color w:val="auto"/>
                <w:sz w:val="21"/>
                <w:szCs w:val="21"/>
                <w:highlight w:val="none"/>
                <w:lang w:val="en-US" w:eastAsia="zh-CN"/>
              </w:rPr>
              <w:t>或</w:t>
            </w:r>
            <w:r>
              <w:rPr>
                <w:rFonts w:hint="eastAsia" w:ascii="Times New Roman" w:hAnsi="Times New Roman" w:eastAsia="宋体" w:cs="Times New Roman"/>
                <w:color w:val="auto"/>
                <w:sz w:val="21"/>
                <w:szCs w:val="21"/>
                <w:highlight w:val="none"/>
              </w:rPr>
              <w:t>专业课试题</w:t>
            </w:r>
            <w:r>
              <w:rPr>
                <w:rFonts w:hint="eastAsia" w:cs="Times New Roman"/>
                <w:color w:val="auto"/>
                <w:sz w:val="21"/>
                <w:szCs w:val="21"/>
                <w:highlight w:val="none"/>
                <w:lang w:val="en-US" w:eastAsia="zh-CN"/>
              </w:rPr>
              <w:t>低于</w:t>
            </w:r>
            <w:r>
              <w:rPr>
                <w:rFonts w:hint="eastAsia" w:ascii="Times New Roman" w:hAnsi="Times New Roman" w:eastAsia="宋体" w:cs="Times New Roman"/>
                <w:color w:val="auto"/>
                <w:sz w:val="21"/>
                <w:szCs w:val="21"/>
                <w:highlight w:val="none"/>
              </w:rPr>
              <w:t>5万道试题</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得5分</w:t>
            </w:r>
            <w:r>
              <w:rPr>
                <w:rFonts w:hint="eastAsia"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未提供的不得分。</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提供显示题量的截图并加盖公章</w:t>
            </w:r>
            <w:r>
              <w:rPr>
                <w:rFonts w:hint="eastAsia" w:ascii="Times New Roman" w:hAnsi="Times New Roman" w:eastAsia="宋体" w:cs="Times New Roman"/>
                <w:color w:val="auto"/>
                <w:sz w:val="21"/>
                <w:szCs w:val="21"/>
                <w:highlight w:val="none"/>
                <w:lang w:eastAsia="zh-CN"/>
              </w:rPr>
              <w:t>）</w:t>
            </w:r>
          </w:p>
        </w:tc>
        <w:tc>
          <w:tcPr>
            <w:tcW w:w="650" w:type="dxa"/>
            <w:noWrap w:val="0"/>
            <w:vAlign w:val="center"/>
          </w:tcPr>
          <w:p w14:paraId="443CDA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10分</w:t>
            </w:r>
          </w:p>
        </w:tc>
        <w:tc>
          <w:tcPr>
            <w:tcW w:w="880" w:type="dxa"/>
            <w:noWrap w:val="0"/>
            <w:vAlign w:val="center"/>
          </w:tcPr>
          <w:p w14:paraId="44B763D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sz w:val="21"/>
                <w:szCs w:val="21"/>
                <w:highlight w:val="none"/>
                <w:lang w:val="en-US" w:eastAsia="zh-CN"/>
              </w:rPr>
            </w:pPr>
            <w:r>
              <w:rPr>
                <w:rFonts w:hint="eastAsia"/>
                <w:color w:val="auto"/>
                <w:sz w:val="21"/>
                <w:szCs w:val="21"/>
                <w:highlight w:val="none"/>
                <w:lang w:val="en-US" w:eastAsia="zh-CN"/>
              </w:rPr>
              <w:t>客观分</w:t>
            </w:r>
          </w:p>
        </w:tc>
      </w:tr>
      <w:tr w14:paraId="1CDD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vMerge w:val="continue"/>
            <w:noWrap w:val="0"/>
            <w:vAlign w:val="center"/>
          </w:tcPr>
          <w:p w14:paraId="0A686C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rPr>
            </w:pPr>
          </w:p>
        </w:tc>
        <w:tc>
          <w:tcPr>
            <w:tcW w:w="897" w:type="dxa"/>
            <w:vMerge w:val="continue"/>
            <w:noWrap w:val="0"/>
            <w:vAlign w:val="center"/>
          </w:tcPr>
          <w:p w14:paraId="727970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highlight w:val="none"/>
              </w:rPr>
            </w:pPr>
          </w:p>
        </w:tc>
        <w:tc>
          <w:tcPr>
            <w:tcW w:w="6025" w:type="dxa"/>
            <w:noWrap w:val="0"/>
            <w:vAlign w:val="center"/>
          </w:tcPr>
          <w:p w14:paraId="4C7F2C51">
            <w:pPr>
              <w:spacing w:line="360" w:lineRule="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2.3</w:t>
            </w:r>
            <w:r>
              <w:rPr>
                <w:rFonts w:hint="eastAsia" w:ascii="Times New Roman" w:hAnsi="Times New Roman" w:eastAsia="宋体" w:cs="Times New Roman"/>
                <w:color w:val="auto"/>
                <w:sz w:val="21"/>
                <w:szCs w:val="21"/>
                <w:highlight w:val="none"/>
              </w:rPr>
              <w:t>学生错题推荐（</w:t>
            </w:r>
            <w:r>
              <w:rPr>
                <w:rFonts w:hint="eastAsia" w:cs="Times New Roman"/>
                <w:color w:val="auto"/>
                <w:sz w:val="21"/>
                <w:szCs w:val="21"/>
                <w:highlight w:val="none"/>
                <w:lang w:val="en-US" w:eastAsia="zh-CN"/>
              </w:rPr>
              <w:t>10</w:t>
            </w:r>
            <w:r>
              <w:rPr>
                <w:rFonts w:hint="eastAsia" w:ascii="Times New Roman" w:hAnsi="Times New Roman" w:eastAsia="宋体" w:cs="Times New Roman"/>
                <w:color w:val="auto"/>
                <w:sz w:val="21"/>
                <w:szCs w:val="21"/>
                <w:highlight w:val="none"/>
              </w:rPr>
              <w:t>分）：供应商提供的平台举一反三错题推荐高于或等于2道，得</w:t>
            </w:r>
            <w:r>
              <w:rPr>
                <w:rFonts w:hint="eastAsia" w:cs="Times New Roman"/>
                <w:color w:val="auto"/>
                <w:sz w:val="21"/>
                <w:szCs w:val="21"/>
                <w:highlight w:val="none"/>
                <w:lang w:val="en-US" w:eastAsia="zh-CN"/>
              </w:rPr>
              <w:t>10</w:t>
            </w:r>
            <w:r>
              <w:rPr>
                <w:rFonts w:hint="eastAsia" w:ascii="Times New Roman" w:hAnsi="Times New Roman" w:eastAsia="宋体" w:cs="Times New Roman"/>
                <w:color w:val="auto"/>
                <w:sz w:val="21"/>
                <w:szCs w:val="21"/>
                <w:highlight w:val="none"/>
              </w:rPr>
              <w:t>分，低于2道的</w:t>
            </w:r>
            <w:r>
              <w:rPr>
                <w:rFonts w:hint="eastAsia" w:cs="Times New Roman"/>
                <w:color w:val="auto"/>
                <w:sz w:val="21"/>
                <w:szCs w:val="21"/>
                <w:highlight w:val="none"/>
                <w:lang w:val="en-US" w:eastAsia="zh-CN"/>
              </w:rPr>
              <w:t>得5分，</w:t>
            </w:r>
            <w:r>
              <w:rPr>
                <w:rFonts w:hint="eastAsia" w:ascii="Times New Roman" w:hAnsi="Times New Roman" w:eastAsia="宋体" w:cs="Times New Roman"/>
                <w:color w:val="auto"/>
                <w:sz w:val="21"/>
                <w:szCs w:val="21"/>
                <w:highlight w:val="none"/>
              </w:rPr>
              <w:t>未提供的不得分。</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提供截图并加盖公章</w:t>
            </w:r>
            <w:r>
              <w:rPr>
                <w:rFonts w:hint="eastAsia" w:ascii="Times New Roman" w:hAnsi="Times New Roman" w:eastAsia="宋体" w:cs="Times New Roman"/>
                <w:color w:val="auto"/>
                <w:sz w:val="21"/>
                <w:szCs w:val="21"/>
                <w:highlight w:val="none"/>
                <w:lang w:eastAsia="zh-CN"/>
              </w:rPr>
              <w:t>）</w:t>
            </w:r>
          </w:p>
        </w:tc>
        <w:tc>
          <w:tcPr>
            <w:tcW w:w="650" w:type="dxa"/>
            <w:noWrap w:val="0"/>
            <w:vAlign w:val="center"/>
          </w:tcPr>
          <w:p w14:paraId="249B92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10分</w:t>
            </w:r>
          </w:p>
        </w:tc>
        <w:tc>
          <w:tcPr>
            <w:tcW w:w="880" w:type="dxa"/>
            <w:noWrap w:val="0"/>
            <w:vAlign w:val="center"/>
          </w:tcPr>
          <w:p w14:paraId="5829F28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highlight w:val="none"/>
                <w:lang w:val="en-US" w:eastAsia="zh-CN"/>
              </w:rPr>
            </w:pPr>
            <w:r>
              <w:rPr>
                <w:rFonts w:hint="eastAsia"/>
                <w:color w:val="auto"/>
                <w:sz w:val="21"/>
                <w:szCs w:val="21"/>
                <w:highlight w:val="none"/>
                <w:lang w:val="en-US" w:eastAsia="zh-CN"/>
              </w:rPr>
              <w:t>客观分</w:t>
            </w:r>
          </w:p>
        </w:tc>
      </w:tr>
      <w:tr w14:paraId="6826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57" w:type="dxa"/>
            <w:vMerge w:val="continue"/>
            <w:noWrap w:val="0"/>
            <w:vAlign w:val="center"/>
          </w:tcPr>
          <w:p w14:paraId="4E0B5D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rPr>
            </w:pPr>
          </w:p>
        </w:tc>
        <w:tc>
          <w:tcPr>
            <w:tcW w:w="897" w:type="dxa"/>
            <w:vMerge w:val="continue"/>
            <w:noWrap w:val="0"/>
            <w:vAlign w:val="center"/>
          </w:tcPr>
          <w:p w14:paraId="68AFA1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highlight w:val="none"/>
              </w:rPr>
            </w:pPr>
          </w:p>
        </w:tc>
        <w:tc>
          <w:tcPr>
            <w:tcW w:w="6025" w:type="dxa"/>
            <w:noWrap w:val="0"/>
            <w:vAlign w:val="center"/>
          </w:tcPr>
          <w:p w14:paraId="743303A0">
            <w:pPr>
              <w:spacing w:line="400" w:lineRule="exact"/>
              <w:rPr>
                <w:rFonts w:hint="eastAsia"/>
                <w:b/>
                <w:bCs/>
                <w:color w:val="auto"/>
                <w:sz w:val="21"/>
                <w:szCs w:val="21"/>
                <w:highlight w:val="none"/>
              </w:rPr>
            </w:pPr>
            <w:r>
              <w:rPr>
                <w:rFonts w:hint="eastAsia"/>
                <w:b/>
                <w:bCs/>
                <w:color w:val="auto"/>
                <w:sz w:val="21"/>
                <w:szCs w:val="21"/>
                <w:highlight w:val="none"/>
                <w:lang w:val="en-US" w:eastAsia="zh-CN"/>
              </w:rPr>
              <w:t>2.4</w:t>
            </w:r>
            <w:r>
              <w:rPr>
                <w:rFonts w:hint="eastAsia"/>
                <w:b/>
                <w:bCs/>
                <w:color w:val="auto"/>
                <w:sz w:val="21"/>
                <w:szCs w:val="21"/>
                <w:highlight w:val="none"/>
              </w:rPr>
              <w:t>实施方案（满分20分）</w:t>
            </w:r>
          </w:p>
          <w:p w14:paraId="4496E9C2">
            <w:pPr>
              <w:spacing w:line="400" w:lineRule="exact"/>
              <w:rPr>
                <w:rFonts w:hint="eastAsia"/>
                <w:color w:val="auto"/>
                <w:sz w:val="21"/>
                <w:szCs w:val="21"/>
                <w:highlight w:val="none"/>
              </w:rPr>
            </w:pPr>
            <w:r>
              <w:rPr>
                <w:rFonts w:hint="eastAsia"/>
                <w:color w:val="auto"/>
                <w:sz w:val="21"/>
                <w:szCs w:val="21"/>
                <w:highlight w:val="none"/>
              </w:rPr>
              <w:t>由磋商小组成员根据各供应商提供的实施方案分别打分。</w:t>
            </w:r>
          </w:p>
          <w:p w14:paraId="4912C485">
            <w:pPr>
              <w:spacing w:line="400" w:lineRule="exact"/>
              <w:rPr>
                <w:rFonts w:hint="eastAsia"/>
                <w:color w:val="auto"/>
                <w:sz w:val="21"/>
                <w:szCs w:val="21"/>
                <w:highlight w:val="none"/>
              </w:rPr>
            </w:pPr>
            <w:r>
              <w:rPr>
                <w:rFonts w:hint="eastAsia"/>
                <w:color w:val="auto"/>
                <w:sz w:val="21"/>
                <w:szCs w:val="21"/>
                <w:highlight w:val="none"/>
              </w:rPr>
              <w:t>一档（4分）：实施方案内容简单，有管理组织机构及人员职能内容。</w:t>
            </w:r>
          </w:p>
          <w:p w14:paraId="2B0C4113">
            <w:pPr>
              <w:spacing w:line="400" w:lineRule="exact"/>
              <w:rPr>
                <w:rFonts w:hint="eastAsia"/>
                <w:color w:val="auto"/>
                <w:sz w:val="21"/>
                <w:szCs w:val="21"/>
                <w:highlight w:val="none"/>
              </w:rPr>
            </w:pPr>
            <w:r>
              <w:rPr>
                <w:rFonts w:hint="eastAsia"/>
                <w:color w:val="auto"/>
                <w:sz w:val="21"/>
                <w:szCs w:val="21"/>
                <w:highlight w:val="none"/>
              </w:rPr>
              <w:t>二档（8分）：实施方案完整，内容较完整。实施团队组织成员是专业技术人员，投入本项目的技术人员不少于3人，管理组织机构及人员职能详细</w:t>
            </w:r>
            <w:r>
              <w:rPr>
                <w:rFonts w:hint="eastAsia" w:asciiTheme="minorEastAsia" w:hAnsiTheme="minorEastAsia" w:eastAsiaTheme="minorEastAsia" w:cstheme="minorEastAsia"/>
                <w:color w:val="auto"/>
                <w:kern w:val="0"/>
                <w:sz w:val="21"/>
                <w:szCs w:val="21"/>
                <w:highlight w:val="none"/>
                <w:lang w:val="en-US" w:eastAsia="zh-CN" w:bidi="ar"/>
              </w:rPr>
              <w:t>，具有进度计划、项目实施管理文档计划的进入二档</w:t>
            </w:r>
            <w:r>
              <w:rPr>
                <w:rFonts w:hint="eastAsia"/>
                <w:color w:val="auto"/>
                <w:sz w:val="21"/>
                <w:szCs w:val="21"/>
                <w:highlight w:val="none"/>
              </w:rPr>
              <w:t>。</w:t>
            </w:r>
          </w:p>
          <w:p w14:paraId="4938D8A9">
            <w:pPr>
              <w:spacing w:line="400" w:lineRule="exact"/>
              <w:rPr>
                <w:rFonts w:hint="eastAsia"/>
                <w:color w:val="auto"/>
                <w:sz w:val="21"/>
                <w:szCs w:val="21"/>
                <w:highlight w:val="none"/>
              </w:rPr>
            </w:pPr>
            <w:r>
              <w:rPr>
                <w:rFonts w:hint="eastAsia"/>
                <w:color w:val="auto"/>
                <w:sz w:val="21"/>
                <w:szCs w:val="21"/>
                <w:highlight w:val="none"/>
              </w:rPr>
              <w:t>三档（13分）：实施方案完整清晰，完整、可行。实施团队组织成员是专业技术人员，投入本项目的技术人员不少于</w:t>
            </w:r>
            <w:r>
              <w:rPr>
                <w:rFonts w:hint="eastAsia"/>
                <w:color w:val="auto"/>
                <w:sz w:val="21"/>
                <w:szCs w:val="21"/>
                <w:highlight w:val="none"/>
                <w:lang w:val="en-US" w:eastAsia="zh-CN"/>
              </w:rPr>
              <w:t>3</w:t>
            </w:r>
            <w:r>
              <w:rPr>
                <w:rFonts w:hint="eastAsia"/>
                <w:color w:val="auto"/>
                <w:sz w:val="21"/>
                <w:szCs w:val="21"/>
                <w:highlight w:val="none"/>
              </w:rPr>
              <w:t>人，并且至少1人</w:t>
            </w:r>
            <w:r>
              <w:rPr>
                <w:rFonts w:hint="eastAsia" w:ascii="Times New Roman" w:hAnsi="Times New Roman" w:eastAsia="宋体" w:cs="Times New Roman"/>
                <w:color w:val="auto"/>
                <w:sz w:val="21"/>
                <w:szCs w:val="21"/>
                <w:highlight w:val="none"/>
                <w:lang w:val="en-US" w:eastAsia="zh-CN"/>
              </w:rPr>
              <w:t>教师资格证书</w:t>
            </w:r>
            <w:r>
              <w:rPr>
                <w:rFonts w:hint="eastAsia"/>
                <w:color w:val="auto"/>
                <w:sz w:val="21"/>
                <w:szCs w:val="21"/>
                <w:highlight w:val="none"/>
              </w:rPr>
              <w:t>，管理组织机构及人员职能详细、清晰</w:t>
            </w:r>
            <w:r>
              <w:rPr>
                <w:rFonts w:hint="eastAsia" w:asciiTheme="minorEastAsia" w:hAnsiTheme="minorEastAsia" w:eastAsiaTheme="minorEastAsia" w:cstheme="minorEastAsia"/>
                <w:color w:val="auto"/>
                <w:kern w:val="0"/>
                <w:sz w:val="21"/>
                <w:szCs w:val="21"/>
                <w:highlight w:val="none"/>
                <w:lang w:val="en-US" w:eastAsia="zh-CN" w:bidi="ar"/>
              </w:rPr>
              <w:t>，具有进度计划、项目实施管理文档计划、安全及质量保证措施，提供合理的进度保证措施，进入三档</w:t>
            </w:r>
            <w:r>
              <w:rPr>
                <w:rFonts w:hint="eastAsia"/>
                <w:color w:val="auto"/>
                <w:sz w:val="21"/>
                <w:szCs w:val="21"/>
                <w:highlight w:val="none"/>
              </w:rPr>
              <w:t>。</w:t>
            </w:r>
          </w:p>
          <w:p w14:paraId="129B4642">
            <w:pPr>
              <w:spacing w:line="400" w:lineRule="exact"/>
              <w:rPr>
                <w:rFonts w:hint="eastAsia" w:ascii="Times New Roman" w:hAnsi="Times New Roman" w:eastAsia="宋体" w:cs="Times New Roman"/>
                <w:color w:val="auto"/>
                <w:sz w:val="21"/>
                <w:szCs w:val="21"/>
                <w:highlight w:val="none"/>
              </w:rPr>
            </w:pPr>
            <w:r>
              <w:rPr>
                <w:rFonts w:hint="eastAsia"/>
                <w:color w:val="auto"/>
                <w:sz w:val="21"/>
                <w:szCs w:val="21"/>
                <w:highlight w:val="none"/>
              </w:rPr>
              <w:t>四档（20分）：实施方案完整清晰，完整、可行。实施团队组织成员是专业技术人员，投入本项目的技术人员不少于</w:t>
            </w:r>
            <w:r>
              <w:rPr>
                <w:rFonts w:hint="eastAsia"/>
                <w:color w:val="auto"/>
                <w:sz w:val="21"/>
                <w:szCs w:val="21"/>
                <w:highlight w:val="none"/>
                <w:lang w:val="en-US" w:eastAsia="zh-CN"/>
              </w:rPr>
              <w:t>5</w:t>
            </w:r>
            <w:r>
              <w:rPr>
                <w:rFonts w:hint="eastAsia"/>
                <w:color w:val="auto"/>
                <w:sz w:val="21"/>
                <w:szCs w:val="21"/>
                <w:highlight w:val="none"/>
              </w:rPr>
              <w:t>人，并且至少1</w:t>
            </w:r>
            <w:r>
              <w:rPr>
                <w:rFonts w:hint="eastAsia" w:ascii="Times New Roman" w:hAnsi="Times New Roman" w:eastAsia="宋体" w:cs="Times New Roman"/>
                <w:color w:val="auto"/>
                <w:sz w:val="21"/>
                <w:szCs w:val="21"/>
                <w:highlight w:val="none"/>
              </w:rPr>
              <w:t>人</w:t>
            </w:r>
            <w:r>
              <w:rPr>
                <w:rFonts w:hint="eastAsia" w:ascii="Times New Roman" w:hAnsi="Times New Roman" w:eastAsia="宋体" w:cs="Times New Roman"/>
                <w:color w:val="auto"/>
                <w:sz w:val="21"/>
                <w:szCs w:val="21"/>
                <w:highlight w:val="none"/>
                <w:lang w:val="en-US" w:eastAsia="zh-CN"/>
              </w:rPr>
              <w:t>教师资格证书</w:t>
            </w:r>
            <w:r>
              <w:rPr>
                <w:rFonts w:hint="eastAsia" w:cs="Times New Roman"/>
                <w:color w:val="auto"/>
                <w:sz w:val="21"/>
                <w:szCs w:val="21"/>
                <w:highlight w:val="none"/>
                <w:lang w:val="en-US" w:eastAsia="zh-CN"/>
              </w:rPr>
              <w:t>的</w:t>
            </w:r>
            <w:r>
              <w:rPr>
                <w:rFonts w:hint="eastAsia" w:ascii="Times New Roman" w:hAnsi="Times New Roman" w:eastAsia="宋体" w:cs="Times New Roman"/>
                <w:color w:val="auto"/>
                <w:sz w:val="21"/>
                <w:szCs w:val="21"/>
                <w:highlight w:val="none"/>
              </w:rPr>
              <w:t>，管理组织机构及人员职能详细、清晰</w:t>
            </w:r>
            <w:r>
              <w:rPr>
                <w:rFonts w:hint="eastAsia" w:asciiTheme="minorEastAsia" w:hAnsiTheme="minorEastAsia" w:eastAsiaTheme="minorEastAsia" w:cstheme="minorEastAsia"/>
                <w:color w:val="auto"/>
                <w:kern w:val="0"/>
                <w:sz w:val="21"/>
                <w:szCs w:val="21"/>
                <w:highlight w:val="none"/>
                <w:lang w:val="en-US" w:eastAsia="zh-CN" w:bidi="ar"/>
              </w:rPr>
              <w:t>，具有详细的进度计划、项目实施管理文档计划、安全及质量保证措施，提供合理的进度保证措施、项目建议的安装、调试、验收方法或方案同比更完善有效、更优化、切实可行，满足以上相关要求的</w:t>
            </w:r>
            <w:r>
              <w:rPr>
                <w:rFonts w:hint="eastAsia" w:ascii="Times New Roman" w:hAnsi="Times New Roman" w:eastAsia="宋体" w:cs="Times New Roman"/>
                <w:color w:val="auto"/>
                <w:sz w:val="21"/>
                <w:szCs w:val="21"/>
                <w:highlight w:val="none"/>
              </w:rPr>
              <w:t>，符合业主单位信息化发展要求</w:t>
            </w:r>
            <w:r>
              <w:rPr>
                <w:rFonts w:hint="eastAsia" w:asciiTheme="minorEastAsia" w:hAnsiTheme="minorEastAsia" w:eastAsiaTheme="minorEastAsia" w:cstheme="minorEastAsia"/>
                <w:color w:val="auto"/>
                <w:kern w:val="0"/>
                <w:sz w:val="21"/>
                <w:szCs w:val="21"/>
                <w:highlight w:val="none"/>
                <w:lang w:val="en-US" w:eastAsia="zh-CN" w:bidi="ar"/>
              </w:rPr>
              <w:t>，进入四档</w:t>
            </w:r>
            <w:r>
              <w:rPr>
                <w:rFonts w:hint="eastAsia" w:ascii="Times New Roman" w:hAnsi="Times New Roman" w:eastAsia="宋体" w:cs="Times New Roman"/>
                <w:color w:val="auto"/>
                <w:sz w:val="21"/>
                <w:szCs w:val="21"/>
                <w:highlight w:val="none"/>
              </w:rPr>
              <w:t>。</w:t>
            </w:r>
          </w:p>
          <w:p w14:paraId="32C02744">
            <w:pPr>
              <w:spacing w:line="400" w:lineRule="exac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说</w:t>
            </w:r>
            <w:r>
              <w:rPr>
                <w:rFonts w:hint="eastAsia" w:ascii="Times New Roman" w:hAnsi="Times New Roman" w:eastAsia="宋体" w:cs="Times New Roman"/>
                <w:color w:val="auto"/>
                <w:sz w:val="21"/>
                <w:szCs w:val="21"/>
                <w:highlight w:val="none"/>
              </w:rPr>
              <w:t>明：</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提供投入本项目的技术人员</w:t>
            </w:r>
            <w:r>
              <w:rPr>
                <w:rFonts w:hint="eastAsia" w:ascii="Times New Roman" w:hAnsi="Times New Roman" w:eastAsia="宋体" w:cs="Times New Roman"/>
                <w:color w:val="auto"/>
                <w:sz w:val="21"/>
                <w:szCs w:val="21"/>
                <w:highlight w:val="none"/>
                <w:lang w:val="en-US" w:eastAsia="zh-CN"/>
              </w:rPr>
              <w:t>教师资格证书</w:t>
            </w:r>
            <w:r>
              <w:rPr>
                <w:rFonts w:hint="eastAsia" w:cs="Times New Roman"/>
                <w:color w:val="auto"/>
                <w:sz w:val="21"/>
                <w:szCs w:val="21"/>
                <w:highlight w:val="none"/>
                <w:lang w:val="en-US" w:eastAsia="zh-CN"/>
              </w:rPr>
              <w:t>的</w:t>
            </w:r>
            <w:r>
              <w:rPr>
                <w:rFonts w:hint="eastAsia" w:ascii="Times New Roman" w:hAnsi="Times New Roman" w:eastAsia="宋体" w:cs="Times New Roman"/>
                <w:color w:val="auto"/>
                <w:sz w:val="21"/>
                <w:szCs w:val="21"/>
                <w:highlight w:val="none"/>
              </w:rPr>
              <w:t>相关证书及拟投入人员投标截止时间前半年内</w:t>
            </w:r>
            <w:r>
              <w:rPr>
                <w:rFonts w:hint="eastAsia" w:cs="Times New Roman"/>
                <w:color w:val="auto"/>
                <w:sz w:val="21"/>
                <w:szCs w:val="21"/>
                <w:highlight w:val="none"/>
                <w:lang w:eastAsia="zh-CN"/>
              </w:rPr>
              <w:t>任意</w:t>
            </w:r>
            <w:r>
              <w:rPr>
                <w:rFonts w:hint="eastAsia" w:ascii="Times New Roman" w:hAnsi="Times New Roman" w:eastAsia="宋体" w:cs="Times New Roman"/>
                <w:color w:val="auto"/>
                <w:sz w:val="21"/>
                <w:szCs w:val="21"/>
                <w:highlight w:val="none"/>
                <w:lang w:val="en-US" w:eastAsia="zh-CN"/>
              </w:rPr>
              <w:t>1个月在现任职单位依法缴纳社会保险的证明材料复印件</w:t>
            </w:r>
            <w:r>
              <w:rPr>
                <w:rFonts w:hint="eastAsia" w:ascii="Times New Roman" w:hAnsi="Times New Roman" w:eastAsia="宋体" w:cs="Times New Roman"/>
                <w:color w:val="auto"/>
                <w:sz w:val="21"/>
                <w:szCs w:val="21"/>
                <w:highlight w:val="none"/>
              </w:rPr>
              <w:t>或现任职单位承诺为该人员依法缴纳社会保险的承诺函。未提供不得分。</w:t>
            </w:r>
          </w:p>
          <w:p w14:paraId="01C2DBFA">
            <w:pPr>
              <w:spacing w:line="400" w:lineRule="exact"/>
              <w:rPr>
                <w:rFonts w:hint="eastAsia" w:ascii="Times New Roman" w:hAnsi="Times New Roman" w:eastAsia="宋体" w:cs="Times New Roman"/>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（2）未提供方案或提供的内容与本项目无关的得0分。</w:t>
            </w:r>
          </w:p>
        </w:tc>
        <w:tc>
          <w:tcPr>
            <w:tcW w:w="650" w:type="dxa"/>
            <w:noWrap w:val="0"/>
            <w:vAlign w:val="center"/>
          </w:tcPr>
          <w:p w14:paraId="09CCB3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20分</w:t>
            </w:r>
          </w:p>
        </w:tc>
        <w:tc>
          <w:tcPr>
            <w:tcW w:w="880" w:type="dxa"/>
            <w:noWrap w:val="0"/>
            <w:vAlign w:val="center"/>
          </w:tcPr>
          <w:p w14:paraId="558A33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主观分 </w:t>
            </w:r>
          </w:p>
        </w:tc>
      </w:tr>
      <w:tr w14:paraId="740F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57" w:type="dxa"/>
            <w:vMerge w:val="continue"/>
            <w:noWrap w:val="0"/>
            <w:vAlign w:val="center"/>
          </w:tcPr>
          <w:p w14:paraId="33F8B780">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tc>
        <w:tc>
          <w:tcPr>
            <w:tcW w:w="897" w:type="dxa"/>
            <w:vMerge w:val="continue"/>
            <w:noWrap w:val="0"/>
            <w:vAlign w:val="center"/>
          </w:tcPr>
          <w:p w14:paraId="0BB45B49">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tc>
        <w:tc>
          <w:tcPr>
            <w:tcW w:w="6025" w:type="dxa"/>
            <w:noWrap w:val="0"/>
            <w:vAlign w:val="center"/>
          </w:tcPr>
          <w:p w14:paraId="3F49DE48">
            <w:pPr>
              <w:spacing w:line="420" w:lineRule="exact"/>
              <w:rPr>
                <w:rFonts w:cs="宋体"/>
                <w:b/>
                <w:color w:val="auto"/>
                <w:sz w:val="21"/>
                <w:szCs w:val="21"/>
                <w:highlight w:val="none"/>
                <w:shd w:val="clear" w:color="auto" w:fill="FFFFFF"/>
              </w:rPr>
            </w:pPr>
            <w:r>
              <w:rPr>
                <w:rFonts w:hint="eastAsia" w:cs="宋体"/>
                <w:b/>
                <w:bCs/>
                <w:color w:val="auto"/>
                <w:sz w:val="21"/>
                <w:szCs w:val="21"/>
                <w:highlight w:val="none"/>
                <w:lang w:val="en-US" w:eastAsia="zh-CN"/>
              </w:rPr>
              <w:t>2.5</w:t>
            </w:r>
            <w:r>
              <w:rPr>
                <w:rFonts w:hint="eastAsia" w:cs="宋体"/>
                <w:b/>
                <w:bCs/>
                <w:color w:val="auto"/>
                <w:sz w:val="21"/>
                <w:szCs w:val="21"/>
                <w:highlight w:val="none"/>
              </w:rPr>
              <w:t>售后服务分（满分1</w:t>
            </w:r>
            <w:r>
              <w:rPr>
                <w:rFonts w:hint="eastAsia" w:cs="宋体"/>
                <w:b/>
                <w:bCs/>
                <w:color w:val="auto"/>
                <w:sz w:val="21"/>
                <w:szCs w:val="21"/>
                <w:highlight w:val="none"/>
                <w:lang w:val="en-US" w:eastAsia="zh-CN"/>
              </w:rPr>
              <w:t>8</w:t>
            </w:r>
            <w:r>
              <w:rPr>
                <w:rFonts w:hint="eastAsia" w:cs="宋体"/>
                <w:b/>
                <w:bCs/>
                <w:color w:val="auto"/>
                <w:sz w:val="21"/>
                <w:szCs w:val="21"/>
                <w:highlight w:val="none"/>
              </w:rPr>
              <w:t>分）</w:t>
            </w:r>
          </w:p>
          <w:p w14:paraId="465C7C81">
            <w:pPr>
              <w:spacing w:line="420" w:lineRule="exact"/>
              <w:rPr>
                <w:rFonts w:hint="eastAsia" w:cs="宋体"/>
                <w:bCs/>
                <w:color w:val="auto"/>
                <w:sz w:val="21"/>
                <w:szCs w:val="21"/>
                <w:highlight w:val="none"/>
                <w:shd w:val="clear" w:color="auto" w:fill="FFFFFF"/>
              </w:rPr>
            </w:pPr>
            <w:r>
              <w:rPr>
                <w:rFonts w:hint="eastAsia"/>
                <w:color w:val="auto"/>
                <w:sz w:val="21"/>
                <w:szCs w:val="21"/>
                <w:highlight w:val="none"/>
              </w:rPr>
              <w:t>由磋商小组成员根据各供应商提供的</w:t>
            </w:r>
            <w:r>
              <w:rPr>
                <w:rFonts w:hint="eastAsia" w:cs="宋体"/>
                <w:bCs/>
                <w:color w:val="auto"/>
                <w:sz w:val="21"/>
                <w:szCs w:val="21"/>
                <w:highlight w:val="none"/>
                <w:shd w:val="clear" w:color="auto" w:fill="FFFFFF"/>
              </w:rPr>
              <w:t>售后服务内容</w:t>
            </w:r>
            <w:r>
              <w:rPr>
                <w:rFonts w:hint="eastAsia"/>
                <w:color w:val="auto"/>
                <w:sz w:val="21"/>
                <w:szCs w:val="21"/>
                <w:highlight w:val="none"/>
              </w:rPr>
              <w:t>分别打分</w:t>
            </w:r>
            <w:r>
              <w:rPr>
                <w:rFonts w:hint="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bidi="ar"/>
              </w:rPr>
              <w:t>未提供方案或提供的内容与本项目无关的得0分</w:t>
            </w:r>
            <w:r>
              <w:rPr>
                <w:rFonts w:hint="eastAsia"/>
                <w:color w:val="auto"/>
                <w:sz w:val="21"/>
                <w:szCs w:val="21"/>
                <w:highlight w:val="none"/>
                <w:lang w:eastAsia="zh-CN"/>
              </w:rPr>
              <w:t>）</w:t>
            </w:r>
            <w:r>
              <w:rPr>
                <w:rFonts w:hint="eastAsia"/>
                <w:color w:val="auto"/>
                <w:sz w:val="21"/>
                <w:szCs w:val="21"/>
                <w:highlight w:val="none"/>
              </w:rPr>
              <w:t>。</w:t>
            </w:r>
          </w:p>
          <w:p w14:paraId="1F1FA66F">
            <w:pPr>
              <w:spacing w:line="420" w:lineRule="exact"/>
              <w:rPr>
                <w:rFonts w:hint="eastAsia" w:cs="宋体"/>
                <w:bCs/>
                <w:color w:val="auto"/>
                <w:sz w:val="21"/>
                <w:szCs w:val="21"/>
                <w:highlight w:val="none"/>
                <w:shd w:val="clear" w:color="auto" w:fill="FFFFFF"/>
              </w:rPr>
            </w:pPr>
            <w:r>
              <w:rPr>
                <w:rFonts w:hint="eastAsia" w:cs="宋体"/>
                <w:bCs/>
                <w:color w:val="auto"/>
                <w:sz w:val="21"/>
                <w:szCs w:val="21"/>
                <w:highlight w:val="none"/>
                <w:shd w:val="clear" w:color="auto" w:fill="FFFFFF"/>
              </w:rPr>
              <w:t>一档（5分）：基本满足商务条款，有售后服务流程图、定期回访、服务维保技术人员、服务措施、售后服务热线电话，服务方案可行的。</w:t>
            </w:r>
          </w:p>
          <w:p w14:paraId="14FD98E7">
            <w:pPr>
              <w:spacing w:line="420" w:lineRule="exact"/>
              <w:rPr>
                <w:rFonts w:hint="eastAsia" w:cs="宋体"/>
                <w:bCs/>
                <w:color w:val="auto"/>
                <w:sz w:val="21"/>
                <w:szCs w:val="21"/>
                <w:highlight w:val="none"/>
                <w:shd w:val="clear" w:color="auto" w:fill="FFFFFF"/>
              </w:rPr>
            </w:pPr>
            <w:r>
              <w:rPr>
                <w:rFonts w:hint="eastAsia" w:cs="宋体"/>
                <w:bCs/>
                <w:color w:val="auto"/>
                <w:sz w:val="21"/>
                <w:szCs w:val="21"/>
                <w:highlight w:val="none"/>
                <w:shd w:val="clear" w:color="auto" w:fill="FFFFFF"/>
              </w:rPr>
              <w:t>二挡（1</w:t>
            </w:r>
            <w:r>
              <w:rPr>
                <w:rFonts w:hint="eastAsia" w:cs="宋体"/>
                <w:bCs/>
                <w:color w:val="auto"/>
                <w:sz w:val="21"/>
                <w:szCs w:val="21"/>
                <w:highlight w:val="none"/>
                <w:shd w:val="clear" w:color="auto" w:fill="FFFFFF"/>
                <w:lang w:val="en-US" w:eastAsia="zh-CN"/>
              </w:rPr>
              <w:t>2</w:t>
            </w:r>
            <w:r>
              <w:rPr>
                <w:rFonts w:hint="eastAsia" w:cs="宋体"/>
                <w:bCs/>
                <w:color w:val="auto"/>
                <w:sz w:val="21"/>
                <w:szCs w:val="21"/>
                <w:highlight w:val="none"/>
                <w:shd w:val="clear" w:color="auto" w:fill="FFFFFF"/>
              </w:rPr>
              <w:t>分）：完全满足商务条款，有售后详细服务流程图、定期回访（注明时间）。服务维保有指定技术人员，提供有售后服务热线电话号码，有服务规定时效。有应急保障措施、且项目维护和应急保障方案有描述方法以及实现方式，方案可行较详细的。</w:t>
            </w:r>
          </w:p>
          <w:p w14:paraId="647DC0D0">
            <w:pPr>
              <w:pStyle w:val="22"/>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cs="宋体"/>
                <w:bCs/>
                <w:color w:val="auto"/>
                <w:sz w:val="21"/>
                <w:szCs w:val="21"/>
                <w:highlight w:val="none"/>
                <w:shd w:val="clear" w:color="auto" w:fill="FFFFFF"/>
              </w:rPr>
              <w:t>三挡（1</w:t>
            </w:r>
            <w:r>
              <w:rPr>
                <w:rFonts w:hint="eastAsia" w:cs="宋体"/>
                <w:bCs/>
                <w:color w:val="auto"/>
                <w:sz w:val="21"/>
                <w:szCs w:val="21"/>
                <w:highlight w:val="none"/>
                <w:shd w:val="clear" w:color="auto" w:fill="FFFFFF"/>
                <w:lang w:val="en-US" w:eastAsia="zh-CN"/>
              </w:rPr>
              <w:t>8</w:t>
            </w:r>
            <w:r>
              <w:rPr>
                <w:rFonts w:hint="eastAsia" w:cs="宋体"/>
                <w:bCs/>
                <w:color w:val="auto"/>
                <w:sz w:val="21"/>
                <w:szCs w:val="21"/>
                <w:highlight w:val="none"/>
                <w:shd w:val="clear" w:color="auto" w:fill="FFFFFF"/>
              </w:rPr>
              <w:t>分）：完全满足商务条款，有售后详细服务流程图、具体实施步骤。定期回访（注明时间）。服务维保有指定技术人员，提供有售后人员信息资料。提供有售后服务热线电话号码，有服务规定时效。有应急保障措施</w:t>
            </w:r>
            <w:r>
              <w:rPr>
                <w:rFonts w:hint="eastAsia" w:ascii="宋体" w:hAnsi="宋体" w:eastAsia="宋体" w:cs="宋体"/>
                <w:color w:val="auto"/>
                <w:kern w:val="0"/>
                <w:sz w:val="21"/>
                <w:szCs w:val="21"/>
                <w:highlight w:val="none"/>
                <w:lang w:val="en-US" w:eastAsia="zh-CN" w:bidi="ar"/>
              </w:rPr>
              <w:t>、故障处理办法等</w:t>
            </w:r>
            <w:r>
              <w:rPr>
                <w:rFonts w:hint="eastAsia" w:cs="宋体"/>
                <w:bCs/>
                <w:color w:val="auto"/>
                <w:sz w:val="21"/>
                <w:szCs w:val="21"/>
                <w:highlight w:val="none"/>
                <w:shd w:val="clear" w:color="auto" w:fill="FFFFFF"/>
                <w:lang w:eastAsia="zh-CN"/>
              </w:rPr>
              <w:t>，</w:t>
            </w:r>
            <w:r>
              <w:rPr>
                <w:rFonts w:hint="eastAsia" w:cs="宋体"/>
                <w:bCs/>
                <w:color w:val="auto"/>
                <w:sz w:val="21"/>
                <w:szCs w:val="21"/>
                <w:highlight w:val="none"/>
                <w:shd w:val="clear" w:color="auto" w:fill="FFFFFF"/>
              </w:rPr>
              <w:t>方案详细描述方法以及实现方式，考虑周全完整详细、操作性强的。</w:t>
            </w:r>
          </w:p>
        </w:tc>
        <w:tc>
          <w:tcPr>
            <w:tcW w:w="650" w:type="dxa"/>
            <w:noWrap w:val="0"/>
            <w:vAlign w:val="center"/>
          </w:tcPr>
          <w:p w14:paraId="244B5E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color w:val="auto"/>
                <w:sz w:val="21"/>
                <w:szCs w:val="21"/>
                <w:highlight w:val="none"/>
                <w:lang w:val="en-US" w:eastAsia="zh-CN"/>
              </w:rPr>
              <w:t>18分</w:t>
            </w:r>
          </w:p>
        </w:tc>
        <w:tc>
          <w:tcPr>
            <w:tcW w:w="880" w:type="dxa"/>
            <w:noWrap w:val="0"/>
            <w:vAlign w:val="center"/>
          </w:tcPr>
          <w:p w14:paraId="31D2C4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sz w:val="21"/>
                <w:szCs w:val="21"/>
                <w:highlight w:val="none"/>
                <w:lang w:val="en-US" w:eastAsia="zh-CN"/>
              </w:rPr>
            </w:pPr>
            <w:r>
              <w:rPr>
                <w:rFonts w:hint="eastAsia"/>
                <w:color w:val="auto"/>
                <w:sz w:val="21"/>
                <w:szCs w:val="21"/>
                <w:highlight w:val="none"/>
                <w:lang w:val="en-US" w:eastAsia="zh-CN"/>
              </w:rPr>
              <w:t>主观分</w:t>
            </w:r>
          </w:p>
        </w:tc>
      </w:tr>
    </w:tbl>
    <w:p w14:paraId="79065567">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color w:val="auto"/>
          <w:highlight w:val="none"/>
          <w:lang w:val="zh-CN"/>
        </w:rPr>
      </w:pPr>
    </w:p>
    <w:p w14:paraId="2CC907D3">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color w:val="auto"/>
          <w:highlight w:val="none"/>
          <w:lang w:val="zh-CN"/>
        </w:rPr>
      </w:pPr>
      <w:r>
        <w:rPr>
          <w:rFonts w:hint="eastAsia"/>
          <w:color w:val="auto"/>
          <w:highlight w:val="none"/>
          <w:lang w:val="zh-CN"/>
        </w:rPr>
        <w:t>（2）最后报价分</w:t>
      </w:r>
    </w:p>
    <w:tbl>
      <w:tblPr>
        <w:tblStyle w:val="53"/>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60"/>
        <w:gridCol w:w="4180"/>
        <w:gridCol w:w="804"/>
        <w:gridCol w:w="2169"/>
      </w:tblGrid>
      <w:tr w14:paraId="205B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804" w:type="dxa"/>
            <w:noWrap w:val="0"/>
            <w:vAlign w:val="center"/>
          </w:tcPr>
          <w:p w14:paraId="453683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b/>
                <w:color w:val="auto"/>
                <w:szCs w:val="21"/>
                <w:highlight w:val="none"/>
              </w:rPr>
              <w:t>序号</w:t>
            </w:r>
          </w:p>
        </w:tc>
        <w:tc>
          <w:tcPr>
            <w:tcW w:w="1460" w:type="dxa"/>
            <w:noWrap w:val="0"/>
            <w:vAlign w:val="center"/>
          </w:tcPr>
          <w:p w14:paraId="6A65F1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类型</w:t>
            </w:r>
          </w:p>
        </w:tc>
        <w:tc>
          <w:tcPr>
            <w:tcW w:w="4180" w:type="dxa"/>
            <w:noWrap w:val="0"/>
            <w:vAlign w:val="center"/>
          </w:tcPr>
          <w:p w14:paraId="2EAFB6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评分标准</w:t>
            </w:r>
          </w:p>
        </w:tc>
        <w:tc>
          <w:tcPr>
            <w:tcW w:w="804" w:type="dxa"/>
            <w:noWrap w:val="0"/>
            <w:vAlign w:val="center"/>
          </w:tcPr>
          <w:p w14:paraId="73B5A4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分值权重</w:t>
            </w:r>
          </w:p>
        </w:tc>
        <w:tc>
          <w:tcPr>
            <w:tcW w:w="2169" w:type="dxa"/>
            <w:noWrap w:val="0"/>
            <w:vAlign w:val="center"/>
          </w:tcPr>
          <w:p w14:paraId="5EB701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b/>
                <w:color w:val="auto"/>
                <w:szCs w:val="21"/>
                <w:highlight w:val="none"/>
              </w:rPr>
              <w:t>说明</w:t>
            </w:r>
          </w:p>
        </w:tc>
      </w:tr>
      <w:tr w14:paraId="43D0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804" w:type="dxa"/>
            <w:noWrap w:val="0"/>
            <w:vAlign w:val="center"/>
          </w:tcPr>
          <w:p w14:paraId="76BAAA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1</w:t>
            </w:r>
          </w:p>
        </w:tc>
        <w:tc>
          <w:tcPr>
            <w:tcW w:w="1460" w:type="dxa"/>
            <w:noWrap w:val="0"/>
            <w:vAlign w:val="center"/>
          </w:tcPr>
          <w:p w14:paraId="53F7AA11">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szCs w:val="21"/>
                <w:highlight w:val="none"/>
              </w:rPr>
              <w:t>响应报价分</w:t>
            </w:r>
          </w:p>
        </w:tc>
        <w:tc>
          <w:tcPr>
            <w:tcW w:w="4180" w:type="dxa"/>
            <w:noWrap w:val="0"/>
            <w:vAlign w:val="center"/>
          </w:tcPr>
          <w:p w14:paraId="4F423A67">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szCs w:val="21"/>
                <w:highlight w:val="none"/>
              </w:rPr>
              <w:t>以满足采购文件要求且响应价格最低的响应报价为评审基准价，其价格分为满分。其他供应商的价格分统一按照下列公式计算：响应报价得分</w:t>
            </w:r>
            <w:r>
              <w:rPr>
                <w:color w:val="auto"/>
                <w:szCs w:val="21"/>
                <w:highlight w:val="none"/>
              </w:rPr>
              <w:t>=（评审基准价/响应报价）×响应报价分满分分值。</w:t>
            </w:r>
          </w:p>
        </w:tc>
        <w:tc>
          <w:tcPr>
            <w:tcW w:w="804" w:type="dxa"/>
            <w:noWrap w:val="0"/>
            <w:vAlign w:val="center"/>
          </w:tcPr>
          <w:p w14:paraId="108AB7E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Cs w:val="21"/>
                <w:highlight w:val="none"/>
                <w:lang w:val="en-US" w:eastAsia="zh-CN"/>
              </w:rPr>
            </w:pPr>
            <w:r>
              <w:rPr>
                <w:rFonts w:hint="eastAsia"/>
                <w:color w:val="auto"/>
                <w:szCs w:val="21"/>
                <w:highlight w:val="none"/>
                <w:lang w:val="en-US" w:eastAsia="zh-CN"/>
              </w:rPr>
              <w:t>10</w:t>
            </w:r>
          </w:p>
        </w:tc>
        <w:tc>
          <w:tcPr>
            <w:tcW w:w="2169" w:type="dxa"/>
            <w:noWrap w:val="0"/>
            <w:vAlign w:val="center"/>
          </w:tcPr>
          <w:p w14:paraId="204BF195">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p>
        </w:tc>
      </w:tr>
    </w:tbl>
    <w:p w14:paraId="2F3CD53D">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color w:val="auto"/>
          <w:highlight w:val="none"/>
        </w:rPr>
      </w:pPr>
    </w:p>
    <w:p w14:paraId="5C38A0E5">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综合得分</w:t>
      </w:r>
    </w:p>
    <w:tbl>
      <w:tblPr>
        <w:tblStyle w:val="53"/>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136"/>
        <w:gridCol w:w="3133"/>
        <w:gridCol w:w="2145"/>
      </w:tblGrid>
      <w:tr w14:paraId="63F3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24" w:type="dxa"/>
            <w:noWrap w:val="0"/>
            <w:vAlign w:val="center"/>
          </w:tcPr>
          <w:p w14:paraId="5EAD46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分项</w:t>
            </w:r>
          </w:p>
        </w:tc>
        <w:tc>
          <w:tcPr>
            <w:tcW w:w="3136" w:type="dxa"/>
            <w:noWrap w:val="0"/>
            <w:vAlign w:val="center"/>
          </w:tcPr>
          <w:p w14:paraId="635716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技术及商务资信分</w:t>
            </w:r>
          </w:p>
        </w:tc>
        <w:tc>
          <w:tcPr>
            <w:tcW w:w="3133" w:type="dxa"/>
            <w:noWrap w:val="0"/>
            <w:vAlign w:val="center"/>
          </w:tcPr>
          <w:p w14:paraId="49293D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响应报价得分</w:t>
            </w:r>
          </w:p>
        </w:tc>
        <w:tc>
          <w:tcPr>
            <w:tcW w:w="2145" w:type="dxa"/>
            <w:noWrap w:val="0"/>
            <w:vAlign w:val="center"/>
          </w:tcPr>
          <w:p w14:paraId="24925D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总分</w:t>
            </w:r>
          </w:p>
        </w:tc>
      </w:tr>
      <w:tr w14:paraId="7869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824" w:type="dxa"/>
            <w:noWrap w:val="0"/>
            <w:vAlign w:val="center"/>
          </w:tcPr>
          <w:p w14:paraId="3540B8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分值</w:t>
            </w:r>
          </w:p>
        </w:tc>
        <w:tc>
          <w:tcPr>
            <w:tcW w:w="3136" w:type="dxa"/>
            <w:noWrap w:val="0"/>
            <w:vAlign w:val="center"/>
          </w:tcPr>
          <w:p w14:paraId="72C890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90</w:t>
            </w:r>
          </w:p>
        </w:tc>
        <w:tc>
          <w:tcPr>
            <w:tcW w:w="3133" w:type="dxa"/>
            <w:noWrap w:val="0"/>
            <w:vAlign w:val="center"/>
          </w:tcPr>
          <w:p w14:paraId="5BC2C2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10</w:t>
            </w:r>
          </w:p>
        </w:tc>
        <w:tc>
          <w:tcPr>
            <w:tcW w:w="2145" w:type="dxa"/>
            <w:noWrap w:val="0"/>
            <w:vAlign w:val="center"/>
          </w:tcPr>
          <w:p w14:paraId="178B01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100</w:t>
            </w:r>
          </w:p>
        </w:tc>
      </w:tr>
      <w:tr w14:paraId="11B9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9238" w:type="dxa"/>
            <w:gridSpan w:val="4"/>
            <w:noWrap w:val="0"/>
            <w:vAlign w:val="center"/>
          </w:tcPr>
          <w:p w14:paraId="5B833E17">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szCs w:val="21"/>
                <w:highlight w:val="none"/>
              </w:rPr>
              <w:t>综合得分</w:t>
            </w:r>
            <w:r>
              <w:rPr>
                <w:color w:val="auto"/>
                <w:szCs w:val="21"/>
                <w:highlight w:val="none"/>
              </w:rPr>
              <w:t>=</w:t>
            </w:r>
            <w:r>
              <w:rPr>
                <w:rFonts w:hint="eastAsia"/>
                <w:color w:val="auto"/>
                <w:szCs w:val="21"/>
                <w:highlight w:val="none"/>
              </w:rPr>
              <w:t>技术及商务资信分+响应报价得分（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tbl>
    <w:p w14:paraId="02121AF6">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color w:val="auto"/>
          <w:highlight w:val="none"/>
        </w:rPr>
      </w:pPr>
      <w:r>
        <w:rPr>
          <w:color w:val="auto"/>
          <w:highlight w:val="none"/>
        </w:rPr>
        <w:t>4.1</w:t>
      </w:r>
      <w:r>
        <w:rPr>
          <w:rFonts w:hint="eastAsia"/>
          <w:color w:val="auto"/>
          <w:highlight w:val="none"/>
        </w:rPr>
        <w:t>偏离认定说明</w:t>
      </w:r>
    </w:p>
    <w:p w14:paraId="69F7A5FA">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color w:val="auto"/>
          <w:szCs w:val="21"/>
          <w:highlight w:val="none"/>
        </w:rPr>
      </w:pPr>
      <w:r>
        <w:rPr>
          <w:rFonts w:hint="eastAsia"/>
          <w:color w:val="auto"/>
          <w:szCs w:val="21"/>
          <w:highlight w:val="none"/>
        </w:rPr>
        <w:t>供应商根据采购需求中技术参数为基准，填写响应表，对于响应表或证明材料与技术参数不符的，按如下规定：</w:t>
      </w:r>
    </w:p>
    <w:p w14:paraId="6E48D795">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34CF337B">
      <w:pPr>
        <w:spacing w:before="120" w:line="360" w:lineRule="auto"/>
        <w:ind w:firstLine="420" w:firstLineChars="200"/>
        <w:rPr>
          <w:color w:val="auto"/>
          <w:szCs w:val="21"/>
          <w:highlight w:val="none"/>
        </w:rPr>
      </w:pPr>
      <w:r>
        <w:rPr>
          <w:rFonts w:hint="eastAsia"/>
          <w:color w:val="auto"/>
          <w:szCs w:val="21"/>
          <w:highlight w:val="none"/>
        </w:rPr>
        <w:t>（2）响应表中响应的内容与证明材料不一致的，以证明材料为准作为评审依据。</w:t>
      </w:r>
    </w:p>
    <w:p w14:paraId="2EFD77F2">
      <w:pPr>
        <w:spacing w:before="120" w:line="360" w:lineRule="auto"/>
        <w:ind w:firstLine="420" w:firstLineChars="200"/>
        <w:rPr>
          <w:color w:val="auto"/>
          <w:szCs w:val="21"/>
          <w:highlight w:val="none"/>
        </w:rPr>
      </w:pPr>
      <w:r>
        <w:rPr>
          <w:rFonts w:hint="eastAsia"/>
          <w:color w:val="auto"/>
          <w:szCs w:val="21"/>
          <w:highlight w:val="none"/>
        </w:rPr>
        <w:t>（3）同时出现以上两种情况的，按照（1）-（2）顺序认定。</w:t>
      </w:r>
    </w:p>
    <w:p w14:paraId="50DCBF46">
      <w:pPr>
        <w:spacing w:before="120"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14:paraId="011CB613">
      <w:pPr>
        <w:spacing w:before="120"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）一项技术参数有多条小项要求的，必须全部响应。如只响应部分参数，视为漏项。评审时以每一条技术参数为评审依据。</w:t>
      </w:r>
    </w:p>
    <w:p w14:paraId="78176775">
      <w:pPr>
        <w:pStyle w:val="28"/>
        <w:snapToGrid w:val="0"/>
        <w:spacing w:before="120" w:after="120" w:line="320" w:lineRule="exact"/>
        <w:ind w:firstLine="420" w:firstLineChars="200"/>
        <w:jc w:val="both"/>
        <w:outlineLvl w:val="0"/>
        <w:rPr>
          <w:rFonts w:hint="eastAsia"/>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）如采购需求中技术参数有特殊要求与上述说明不一致的，以特殊要求为准。</w:t>
      </w:r>
    </w:p>
    <w:p w14:paraId="13AC3957">
      <w:pPr>
        <w:rPr>
          <w:color w:val="auto"/>
          <w:highlight w:val="none"/>
        </w:rPr>
      </w:pPr>
      <w:r>
        <w:rPr>
          <w:color w:val="auto"/>
          <w:highlight w:val="none"/>
        </w:rPr>
        <w:br w:type="page"/>
      </w:r>
    </w:p>
    <w:p w14:paraId="6B1BE45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eastAsia="宋体"/>
          <w:b/>
          <w:bCs/>
          <w:color w:val="auto"/>
          <w:highlight w:val="none"/>
          <w:lang w:eastAsia="zh-CN"/>
        </w:rPr>
      </w:pPr>
      <w:r>
        <w:rPr>
          <w:rFonts w:hint="eastAsia"/>
          <w:b/>
          <w:bCs/>
          <w:color w:val="auto"/>
          <w:highlight w:val="none"/>
          <w:lang w:eastAsia="zh-CN"/>
        </w:rPr>
        <w:t>标项三</w:t>
      </w:r>
    </w:p>
    <w:p w14:paraId="2FF4D2C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宋体"/>
          <w:color w:val="auto"/>
          <w:highlight w:val="none"/>
          <w:lang w:eastAsia="zh-CN"/>
        </w:rPr>
      </w:pPr>
      <w:r>
        <w:rPr>
          <w:rFonts w:hint="eastAsia"/>
          <w:color w:val="auto"/>
          <w:highlight w:val="none"/>
        </w:rPr>
        <w:t>（1）技术及商务资信分</w:t>
      </w:r>
    </w:p>
    <w:tbl>
      <w:tblPr>
        <w:tblStyle w:val="53"/>
        <w:tblpPr w:leftFromText="180" w:rightFromText="180" w:vertAnchor="text" w:horzAnchor="page" w:tblpX="1485" w:tblpY="361"/>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97"/>
        <w:gridCol w:w="6025"/>
        <w:gridCol w:w="650"/>
        <w:gridCol w:w="880"/>
      </w:tblGrid>
      <w:tr w14:paraId="5798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noWrap w:val="0"/>
            <w:vAlign w:val="center"/>
          </w:tcPr>
          <w:p w14:paraId="42DE09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b/>
                <w:color w:val="auto"/>
                <w:sz w:val="21"/>
                <w:szCs w:val="21"/>
                <w:highlight w:val="none"/>
              </w:rPr>
              <w:t>序号</w:t>
            </w:r>
          </w:p>
        </w:tc>
        <w:tc>
          <w:tcPr>
            <w:tcW w:w="897" w:type="dxa"/>
            <w:noWrap w:val="0"/>
            <w:vAlign w:val="center"/>
          </w:tcPr>
          <w:p w14:paraId="50251E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rFonts w:hint="eastAsia"/>
                <w:b/>
                <w:color w:val="auto"/>
                <w:sz w:val="21"/>
                <w:szCs w:val="21"/>
                <w:highlight w:val="none"/>
              </w:rPr>
              <w:t>类型</w:t>
            </w:r>
          </w:p>
        </w:tc>
        <w:tc>
          <w:tcPr>
            <w:tcW w:w="6025" w:type="dxa"/>
            <w:noWrap w:val="0"/>
            <w:vAlign w:val="center"/>
          </w:tcPr>
          <w:p w14:paraId="6BED70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rFonts w:hint="eastAsia"/>
                <w:b/>
                <w:color w:val="auto"/>
                <w:sz w:val="21"/>
                <w:szCs w:val="21"/>
                <w:highlight w:val="none"/>
              </w:rPr>
              <w:t>评分标准</w:t>
            </w:r>
          </w:p>
        </w:tc>
        <w:tc>
          <w:tcPr>
            <w:tcW w:w="650" w:type="dxa"/>
            <w:noWrap w:val="0"/>
            <w:vAlign w:val="center"/>
          </w:tcPr>
          <w:p w14:paraId="48B879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rFonts w:hint="eastAsia"/>
                <w:b/>
                <w:color w:val="auto"/>
                <w:sz w:val="21"/>
                <w:szCs w:val="21"/>
                <w:highlight w:val="none"/>
              </w:rPr>
              <w:t>分值权重</w:t>
            </w:r>
          </w:p>
        </w:tc>
        <w:tc>
          <w:tcPr>
            <w:tcW w:w="880" w:type="dxa"/>
            <w:noWrap w:val="0"/>
            <w:vAlign w:val="center"/>
          </w:tcPr>
          <w:p w14:paraId="747796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b/>
                <w:color w:val="auto"/>
                <w:sz w:val="21"/>
                <w:szCs w:val="21"/>
                <w:highlight w:val="none"/>
              </w:rPr>
              <w:t>说明</w:t>
            </w:r>
          </w:p>
        </w:tc>
      </w:tr>
      <w:tr w14:paraId="13F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57" w:type="dxa"/>
            <w:vMerge w:val="restart"/>
            <w:noWrap w:val="0"/>
            <w:vAlign w:val="center"/>
          </w:tcPr>
          <w:p w14:paraId="584B5A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rFonts w:hint="eastAsia"/>
                <w:b/>
                <w:color w:val="auto"/>
                <w:sz w:val="21"/>
                <w:szCs w:val="21"/>
                <w:highlight w:val="none"/>
              </w:rPr>
              <w:t>1</w:t>
            </w:r>
          </w:p>
        </w:tc>
        <w:tc>
          <w:tcPr>
            <w:tcW w:w="897" w:type="dxa"/>
            <w:vMerge w:val="restart"/>
            <w:noWrap w:val="0"/>
            <w:vAlign w:val="center"/>
          </w:tcPr>
          <w:p w14:paraId="6179CF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rPr>
            </w:pPr>
            <w:r>
              <w:rPr>
                <w:rFonts w:hint="eastAsia"/>
                <w:color w:val="auto"/>
                <w:sz w:val="21"/>
                <w:szCs w:val="21"/>
                <w:highlight w:val="none"/>
              </w:rPr>
              <w:t>商务资信分</w:t>
            </w:r>
          </w:p>
        </w:tc>
        <w:tc>
          <w:tcPr>
            <w:tcW w:w="6025" w:type="dxa"/>
            <w:noWrap w:val="0"/>
            <w:vAlign w:val="center"/>
          </w:tcPr>
          <w:p w14:paraId="0286FA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rPr>
              <w:t>1.1</w:t>
            </w:r>
          </w:p>
          <w:p w14:paraId="48DB7C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供应商</w:t>
            </w:r>
            <w:r>
              <w:rPr>
                <w:rFonts w:hint="eastAsia" w:ascii="Times New Roman" w:hAnsi="Times New Roman" w:eastAsia="宋体" w:cs="Times New Roman"/>
                <w:color w:val="auto"/>
                <w:sz w:val="21"/>
                <w:szCs w:val="21"/>
                <w:highlight w:val="none"/>
              </w:rPr>
              <w:t>提供2021年以来</w:t>
            </w:r>
            <w:r>
              <w:rPr>
                <w:rFonts w:hint="eastAsia" w:ascii="Times New Roman" w:hAnsi="Times New Roman" w:eastAsia="宋体" w:cs="Times New Roman"/>
                <w:color w:val="auto"/>
                <w:sz w:val="21"/>
                <w:szCs w:val="21"/>
                <w:highlight w:val="none"/>
                <w:lang w:val="en-US" w:eastAsia="zh-CN"/>
              </w:rPr>
              <w:t>（以合同签订时间为准）的培训、调研服务等培训指导类项目合同</w:t>
            </w:r>
            <w:r>
              <w:rPr>
                <w:rFonts w:hint="eastAsia" w:ascii="Times New Roman" w:hAnsi="Times New Roman" w:eastAsia="宋体" w:cs="Times New Roman"/>
                <w:color w:val="auto"/>
                <w:sz w:val="21"/>
                <w:szCs w:val="21"/>
                <w:highlight w:val="none"/>
              </w:rPr>
              <w:t>，每提供一份合同得</w:t>
            </w: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分，最高得</w:t>
            </w:r>
            <w:r>
              <w:rPr>
                <w:rFonts w:hint="eastAsia" w:cs="Times New Roman"/>
                <w:color w:val="auto"/>
                <w:sz w:val="21"/>
                <w:szCs w:val="21"/>
                <w:highlight w:val="none"/>
                <w:lang w:val="en-US" w:eastAsia="zh-CN"/>
              </w:rPr>
              <w:t>9</w:t>
            </w:r>
            <w:r>
              <w:rPr>
                <w:rFonts w:hint="eastAsia" w:ascii="Times New Roman" w:hAnsi="Times New Roman" w:eastAsia="宋体" w:cs="Times New Roman"/>
                <w:color w:val="auto"/>
                <w:sz w:val="21"/>
                <w:szCs w:val="21"/>
                <w:highlight w:val="none"/>
              </w:rPr>
              <w:t>分。</w:t>
            </w:r>
          </w:p>
        </w:tc>
        <w:tc>
          <w:tcPr>
            <w:tcW w:w="650" w:type="dxa"/>
            <w:noWrap w:val="0"/>
            <w:vAlign w:val="center"/>
          </w:tcPr>
          <w:p w14:paraId="49B0A8B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color w:val="auto"/>
                <w:sz w:val="21"/>
                <w:szCs w:val="21"/>
                <w:highlight w:val="none"/>
              </w:rPr>
            </w:pPr>
            <w:r>
              <w:rPr>
                <w:rFonts w:hint="eastAsia"/>
                <w:color w:val="auto"/>
                <w:sz w:val="21"/>
                <w:szCs w:val="21"/>
                <w:highlight w:val="none"/>
                <w:lang w:val="en-US" w:eastAsia="zh-CN"/>
              </w:rPr>
              <w:t>9分</w:t>
            </w:r>
          </w:p>
        </w:tc>
        <w:tc>
          <w:tcPr>
            <w:tcW w:w="880" w:type="dxa"/>
            <w:noWrap w:val="0"/>
            <w:vAlign w:val="center"/>
          </w:tcPr>
          <w:p w14:paraId="4386797F">
            <w:pPr>
              <w:keepNext w:val="0"/>
              <w:keepLines w:val="0"/>
              <w:pageBreakBefore w:val="0"/>
              <w:widowControl w:val="0"/>
              <w:kinsoku/>
              <w:wordWrap/>
              <w:overflowPunct/>
              <w:topLinePunct w:val="0"/>
              <w:autoSpaceDE/>
              <w:autoSpaceDN/>
              <w:bidi w:val="0"/>
              <w:adjustRightInd/>
              <w:snapToGrid/>
              <w:spacing w:line="360" w:lineRule="exact"/>
              <w:textAlignment w:val="auto"/>
              <w:rPr>
                <w:b/>
                <w:color w:val="auto"/>
                <w:sz w:val="21"/>
                <w:szCs w:val="21"/>
                <w:highlight w:val="none"/>
              </w:rPr>
            </w:pPr>
            <w:r>
              <w:rPr>
                <w:rFonts w:hint="eastAsia"/>
                <w:color w:val="auto"/>
                <w:sz w:val="21"/>
                <w:szCs w:val="21"/>
                <w:highlight w:val="none"/>
                <w:lang w:val="en-US" w:eastAsia="zh-CN"/>
              </w:rPr>
              <w:t>客观分</w:t>
            </w:r>
          </w:p>
        </w:tc>
      </w:tr>
      <w:tr w14:paraId="0D1C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57" w:type="dxa"/>
            <w:vMerge w:val="continue"/>
            <w:noWrap w:val="0"/>
            <w:vAlign w:val="center"/>
          </w:tcPr>
          <w:p w14:paraId="6DA0D3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rPr>
            </w:pPr>
          </w:p>
        </w:tc>
        <w:tc>
          <w:tcPr>
            <w:tcW w:w="897" w:type="dxa"/>
            <w:vMerge w:val="continue"/>
            <w:noWrap w:val="0"/>
            <w:vAlign w:val="center"/>
          </w:tcPr>
          <w:p w14:paraId="54FC84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highlight w:val="none"/>
              </w:rPr>
            </w:pPr>
          </w:p>
        </w:tc>
        <w:tc>
          <w:tcPr>
            <w:tcW w:w="6025" w:type="dxa"/>
            <w:noWrap w:val="0"/>
            <w:vAlign w:val="center"/>
          </w:tcPr>
          <w:p w14:paraId="690D2A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1.2供应商具有职业教育人才培养模式或教学模式相关的作品登记证书，提供证书复印件，每提供1份得2分，最高得4分。</w:t>
            </w:r>
          </w:p>
        </w:tc>
        <w:tc>
          <w:tcPr>
            <w:tcW w:w="650" w:type="dxa"/>
            <w:noWrap w:val="0"/>
            <w:vAlign w:val="center"/>
          </w:tcPr>
          <w:p w14:paraId="247706D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sz w:val="21"/>
                <w:szCs w:val="21"/>
                <w:highlight w:val="none"/>
                <w:lang w:val="en-US" w:eastAsia="zh-CN"/>
              </w:rPr>
            </w:pPr>
            <w:r>
              <w:rPr>
                <w:rFonts w:hint="eastAsia"/>
                <w:color w:val="auto"/>
                <w:sz w:val="21"/>
                <w:szCs w:val="21"/>
                <w:highlight w:val="none"/>
                <w:lang w:val="en-US" w:eastAsia="zh-CN"/>
              </w:rPr>
              <w:t>4分</w:t>
            </w:r>
          </w:p>
        </w:tc>
        <w:tc>
          <w:tcPr>
            <w:tcW w:w="880" w:type="dxa"/>
            <w:noWrap w:val="0"/>
            <w:vAlign w:val="center"/>
          </w:tcPr>
          <w:p w14:paraId="36C16EA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sz w:val="21"/>
                <w:szCs w:val="21"/>
                <w:highlight w:val="none"/>
                <w:lang w:val="en-US" w:eastAsia="zh-CN"/>
              </w:rPr>
            </w:pPr>
            <w:r>
              <w:rPr>
                <w:rFonts w:hint="eastAsia"/>
                <w:color w:val="auto"/>
                <w:sz w:val="21"/>
                <w:szCs w:val="21"/>
                <w:highlight w:val="none"/>
                <w:lang w:val="en-US" w:eastAsia="zh-CN"/>
              </w:rPr>
              <w:t>客观分</w:t>
            </w:r>
          </w:p>
        </w:tc>
      </w:tr>
      <w:tr w14:paraId="2417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3" w:hRule="atLeast"/>
        </w:trPr>
        <w:tc>
          <w:tcPr>
            <w:tcW w:w="757" w:type="dxa"/>
            <w:vMerge w:val="continue"/>
            <w:noWrap w:val="0"/>
            <w:vAlign w:val="center"/>
          </w:tcPr>
          <w:p w14:paraId="5CA93E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rPr>
            </w:pPr>
          </w:p>
        </w:tc>
        <w:tc>
          <w:tcPr>
            <w:tcW w:w="897" w:type="dxa"/>
            <w:vMerge w:val="continue"/>
            <w:noWrap w:val="0"/>
            <w:vAlign w:val="center"/>
          </w:tcPr>
          <w:p w14:paraId="0ED3F7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highlight w:val="none"/>
              </w:rPr>
            </w:pPr>
          </w:p>
        </w:tc>
        <w:tc>
          <w:tcPr>
            <w:tcW w:w="6025" w:type="dxa"/>
            <w:noWrap w:val="0"/>
            <w:vAlign w:val="center"/>
          </w:tcPr>
          <w:p w14:paraId="764E7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w:t>
            </w:r>
            <w:r>
              <w:rPr>
                <w:rFonts w:hint="eastAsia" w:ascii="Times New Roman" w:hAnsi="Times New Roman" w:eastAsia="宋体" w:cs="Times New Roman"/>
                <w:b/>
                <w:bCs/>
                <w:color w:val="auto"/>
                <w:sz w:val="21"/>
                <w:szCs w:val="21"/>
                <w:highlight w:val="none"/>
                <w:lang w:val="en-US" w:eastAsia="zh-CN"/>
              </w:rPr>
              <w:t>拟投入</w:t>
            </w:r>
            <w:r>
              <w:rPr>
                <w:rFonts w:hint="eastAsia" w:cs="Times New Roman"/>
                <w:b/>
                <w:bCs/>
                <w:color w:val="auto"/>
                <w:sz w:val="21"/>
                <w:szCs w:val="21"/>
                <w:highlight w:val="none"/>
                <w:lang w:val="en-US" w:eastAsia="zh-CN"/>
              </w:rPr>
              <w:t>指导专家团队</w:t>
            </w:r>
            <w:r>
              <w:rPr>
                <w:rFonts w:hint="eastAsia" w:ascii="Times New Roman" w:hAnsi="Times New Roman" w:eastAsia="宋体" w:cs="Times New Roman"/>
                <w:b/>
                <w:bCs/>
                <w:color w:val="auto"/>
                <w:sz w:val="21"/>
                <w:szCs w:val="21"/>
                <w:highlight w:val="none"/>
                <w:lang w:val="en-US" w:eastAsia="zh-CN"/>
              </w:rPr>
              <w:t>分</w:t>
            </w:r>
          </w:p>
          <w:p w14:paraId="3C8DC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1.3.1供应商提供的本项目教学指导专家，具有副教授及以上职称</w:t>
            </w:r>
            <w:r>
              <w:rPr>
                <w:rFonts w:hint="eastAsia" w:ascii="Times New Roman" w:hAnsi="Times New Roman" w:eastAsia="宋体" w:cs="Times New Roman"/>
                <w:color w:val="auto"/>
                <w:sz w:val="21"/>
                <w:szCs w:val="21"/>
                <w:highlight w:val="none"/>
                <w:lang w:val="en-US" w:eastAsia="zh-Hans"/>
              </w:rPr>
              <w:t>的，提供职称证书及身份证</w:t>
            </w:r>
            <w:r>
              <w:rPr>
                <w:rFonts w:hint="eastAsia" w:ascii="Times New Roman" w:hAnsi="Times New Roman" w:eastAsia="宋体" w:cs="Times New Roman"/>
                <w:color w:val="auto"/>
                <w:sz w:val="21"/>
                <w:szCs w:val="21"/>
                <w:highlight w:val="none"/>
                <w:lang w:val="en-US" w:eastAsia="zh-CN"/>
              </w:rPr>
              <w:t>复印件</w:t>
            </w:r>
            <w:r>
              <w:rPr>
                <w:rFonts w:hint="eastAsia" w:ascii="Times New Roman" w:hAnsi="Times New Roman" w:eastAsia="宋体" w:cs="Times New Roman"/>
                <w:color w:val="auto"/>
                <w:sz w:val="21"/>
                <w:szCs w:val="21"/>
                <w:highlight w:val="none"/>
                <w:lang w:val="en-US" w:eastAsia="zh-Hans"/>
              </w:rPr>
              <w:t>的，</w:t>
            </w:r>
            <w:r>
              <w:rPr>
                <w:rFonts w:hint="eastAsia" w:ascii="Times New Roman" w:hAnsi="Times New Roman" w:eastAsia="宋体" w:cs="Times New Roman"/>
                <w:color w:val="auto"/>
                <w:sz w:val="21"/>
                <w:szCs w:val="21"/>
                <w:highlight w:val="none"/>
                <w:lang w:val="en-US" w:eastAsia="zh-CN"/>
              </w:rPr>
              <w:t>每提供1人得2分，副教授（不含）以下职称</w:t>
            </w:r>
            <w:r>
              <w:rPr>
                <w:rFonts w:hint="eastAsia" w:ascii="Times New Roman" w:hAnsi="Times New Roman" w:eastAsia="宋体" w:cs="Times New Roman"/>
                <w:color w:val="auto"/>
                <w:sz w:val="21"/>
                <w:szCs w:val="21"/>
                <w:highlight w:val="none"/>
                <w:lang w:val="en-US" w:eastAsia="zh-Hans"/>
              </w:rPr>
              <w:t>的</w:t>
            </w:r>
            <w:r>
              <w:rPr>
                <w:rFonts w:hint="eastAsia" w:ascii="Times New Roman" w:hAnsi="Times New Roman" w:eastAsia="宋体" w:cs="Times New Roman"/>
                <w:color w:val="auto"/>
                <w:sz w:val="21"/>
                <w:szCs w:val="21"/>
                <w:highlight w:val="none"/>
                <w:lang w:val="en-US" w:eastAsia="zh-CN"/>
              </w:rPr>
              <w:t>的，每提供1人得1分，本项最高</w:t>
            </w:r>
            <w:r>
              <w:rPr>
                <w:rFonts w:hint="eastAsia" w:ascii="Times New Roman" w:hAnsi="Times New Roman" w:eastAsia="宋体" w:cs="Times New Roman"/>
                <w:color w:val="auto"/>
                <w:sz w:val="21"/>
                <w:szCs w:val="21"/>
                <w:highlight w:val="none"/>
                <w:lang w:val="en-US" w:eastAsia="zh-Hans"/>
              </w:rPr>
              <w:t>得</w:t>
            </w:r>
            <w:r>
              <w:rPr>
                <w:rFonts w:hint="eastAsia"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Hans"/>
              </w:rPr>
              <w:t>分</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Hans"/>
              </w:rPr>
              <w:t>提供职称证书及身份证</w:t>
            </w:r>
            <w:r>
              <w:rPr>
                <w:rFonts w:hint="eastAsia" w:ascii="Times New Roman" w:hAnsi="Times New Roman" w:eastAsia="宋体" w:cs="Times New Roman"/>
                <w:color w:val="auto"/>
                <w:sz w:val="21"/>
                <w:szCs w:val="21"/>
                <w:highlight w:val="none"/>
                <w:lang w:val="en-US" w:eastAsia="zh-CN"/>
              </w:rPr>
              <w:t>。</w:t>
            </w:r>
          </w:p>
          <w:p w14:paraId="058915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供应商聘请的专家</w:t>
            </w:r>
            <w:r>
              <w:rPr>
                <w:rFonts w:hint="eastAsia" w:cs="Times New Roman"/>
                <w:color w:val="auto"/>
                <w:sz w:val="21"/>
                <w:szCs w:val="21"/>
                <w:highlight w:val="none"/>
                <w:lang w:val="en-US" w:eastAsia="zh-CN"/>
              </w:rPr>
              <w:t>业绩分：（此项满分4分）</w:t>
            </w:r>
          </w:p>
          <w:p w14:paraId="7B4739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cs="Times New Roman"/>
                <w:color w:val="auto"/>
                <w:sz w:val="21"/>
                <w:szCs w:val="21"/>
                <w:highlight w:val="none"/>
                <w:lang w:val="en-US" w:eastAsia="zh-CN"/>
              </w:rPr>
            </w:pPr>
            <w:r>
              <w:rPr>
                <w:rFonts w:hint="default" w:ascii="Calibri" w:hAnsi="Calibri" w:eastAsia="宋体" w:cs="Calibri"/>
                <w:color w:val="auto"/>
                <w:sz w:val="21"/>
                <w:szCs w:val="21"/>
                <w:highlight w:val="none"/>
                <w:lang w:val="en-US" w:eastAsia="zh-CN"/>
              </w:rPr>
              <w:t>①</w:t>
            </w:r>
            <w:r>
              <w:rPr>
                <w:rFonts w:hint="eastAsia" w:ascii="Times New Roman" w:hAnsi="Times New Roman" w:eastAsia="宋体" w:cs="Times New Roman"/>
                <w:color w:val="auto"/>
                <w:sz w:val="21"/>
                <w:szCs w:val="21"/>
                <w:highlight w:val="none"/>
                <w:lang w:val="en-US" w:eastAsia="zh-CN"/>
              </w:rPr>
              <w:t>指导过国家级学生技能比赛且获得一等奖的，每个得2分；获得一等奖以下的每个得1分；</w:t>
            </w:r>
          </w:p>
          <w:p w14:paraId="45A77D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cs="Times New Roman"/>
                <w:color w:val="auto"/>
                <w:sz w:val="21"/>
                <w:szCs w:val="21"/>
                <w:highlight w:val="none"/>
                <w:lang w:val="en-US" w:eastAsia="zh-CN"/>
              </w:rPr>
            </w:pPr>
            <w:r>
              <w:rPr>
                <w:rFonts w:hint="default" w:ascii="Calibri" w:hAnsi="Calibri" w:eastAsia="宋体" w:cs="Calibri"/>
                <w:color w:val="auto"/>
                <w:sz w:val="21"/>
                <w:szCs w:val="21"/>
                <w:highlight w:val="none"/>
                <w:lang w:val="en-US" w:eastAsia="zh-CN"/>
              </w:rPr>
              <w:t>②</w:t>
            </w:r>
            <w:r>
              <w:rPr>
                <w:rFonts w:hint="eastAsia" w:ascii="Times New Roman" w:hAnsi="Times New Roman" w:eastAsia="宋体" w:cs="Times New Roman"/>
                <w:color w:val="auto"/>
                <w:sz w:val="21"/>
                <w:szCs w:val="21"/>
                <w:highlight w:val="none"/>
                <w:lang w:val="en-US" w:eastAsia="zh-CN"/>
              </w:rPr>
              <w:t>指导过省级学生技能比赛且获得一等奖的，每个得1分；获得一等奖以下的每个得0.5分；</w:t>
            </w:r>
          </w:p>
          <w:p w14:paraId="36B2A3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default" w:cs="Times New Roman"/>
                <w:color w:val="auto"/>
                <w:sz w:val="21"/>
                <w:szCs w:val="21"/>
                <w:highlight w:val="none"/>
                <w:lang w:val="en-US" w:eastAsia="zh-CN"/>
              </w:rPr>
            </w:pPr>
            <w:r>
              <w:rPr>
                <w:rFonts w:hint="default" w:ascii="Calibri" w:hAnsi="Calibri" w:eastAsia="宋体" w:cs="Calibri"/>
                <w:color w:val="auto"/>
                <w:sz w:val="21"/>
                <w:szCs w:val="21"/>
                <w:highlight w:val="none"/>
                <w:lang w:val="en-US" w:eastAsia="zh-CN"/>
              </w:rPr>
              <w:t>③</w:t>
            </w:r>
            <w:r>
              <w:rPr>
                <w:rFonts w:hint="eastAsia" w:ascii="Times New Roman" w:hAnsi="Times New Roman" w:eastAsia="宋体" w:cs="Times New Roman"/>
                <w:color w:val="auto"/>
                <w:sz w:val="21"/>
                <w:szCs w:val="21"/>
                <w:highlight w:val="none"/>
                <w:lang w:val="en-US" w:eastAsia="zh-CN"/>
              </w:rPr>
              <w:t>指导过省级以下学生技能比赛且获得一等奖的，每个得</w:t>
            </w:r>
            <w:r>
              <w:rPr>
                <w:rFonts w:hint="eastAsia" w:cs="Times New Roman"/>
                <w:color w:val="auto"/>
                <w:sz w:val="21"/>
                <w:szCs w:val="21"/>
                <w:highlight w:val="none"/>
                <w:lang w:val="en-US" w:eastAsia="zh-CN"/>
              </w:rPr>
              <w:t>0.3</w:t>
            </w:r>
            <w:r>
              <w:rPr>
                <w:rFonts w:hint="eastAsia" w:ascii="Times New Roman" w:hAnsi="Times New Roman" w:eastAsia="宋体" w:cs="Times New Roman"/>
                <w:color w:val="auto"/>
                <w:sz w:val="21"/>
                <w:szCs w:val="21"/>
                <w:highlight w:val="none"/>
                <w:lang w:val="en-US" w:eastAsia="zh-CN"/>
              </w:rPr>
              <w:t>分；获得一等奖以下的每个得0.1分；</w:t>
            </w:r>
          </w:p>
          <w:p w14:paraId="18D859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提供证明材料：包含但不限于</w:t>
            </w:r>
            <w:r>
              <w:rPr>
                <w:rFonts w:hint="eastAsia" w:ascii="Times New Roman" w:hAnsi="Times New Roman" w:eastAsia="宋体" w:cs="Times New Roman"/>
                <w:color w:val="auto"/>
                <w:sz w:val="21"/>
                <w:szCs w:val="21"/>
                <w:highlight w:val="none"/>
                <w:lang w:val="en-US" w:eastAsia="zh-CN"/>
              </w:rPr>
              <w:t>获奖证书复印件。</w:t>
            </w:r>
          </w:p>
        </w:tc>
        <w:tc>
          <w:tcPr>
            <w:tcW w:w="650" w:type="dxa"/>
            <w:noWrap w:val="0"/>
            <w:vAlign w:val="center"/>
          </w:tcPr>
          <w:p w14:paraId="34E6879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sz w:val="21"/>
                <w:szCs w:val="21"/>
                <w:highlight w:val="none"/>
                <w:lang w:val="en-US" w:eastAsia="zh-CN"/>
              </w:rPr>
            </w:pPr>
            <w:r>
              <w:rPr>
                <w:rFonts w:hint="eastAsia"/>
                <w:color w:val="auto"/>
                <w:sz w:val="21"/>
                <w:szCs w:val="21"/>
                <w:highlight w:val="none"/>
                <w:lang w:val="en-US" w:eastAsia="zh-CN"/>
              </w:rPr>
              <w:t>16分</w:t>
            </w:r>
          </w:p>
        </w:tc>
        <w:tc>
          <w:tcPr>
            <w:tcW w:w="880" w:type="dxa"/>
            <w:noWrap w:val="0"/>
            <w:vAlign w:val="center"/>
          </w:tcPr>
          <w:p w14:paraId="1D30F3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highlight w:val="none"/>
                <w:lang w:val="en-US" w:eastAsia="zh-CN"/>
              </w:rPr>
            </w:pPr>
            <w:r>
              <w:rPr>
                <w:rFonts w:hint="eastAsia"/>
                <w:color w:val="auto"/>
                <w:sz w:val="21"/>
                <w:szCs w:val="21"/>
                <w:highlight w:val="none"/>
                <w:lang w:val="en-US" w:eastAsia="zh-CN"/>
              </w:rPr>
              <w:t>客观分</w:t>
            </w:r>
          </w:p>
        </w:tc>
      </w:tr>
      <w:tr w14:paraId="2682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757" w:type="dxa"/>
            <w:vMerge w:val="restart"/>
            <w:noWrap w:val="0"/>
            <w:vAlign w:val="center"/>
          </w:tcPr>
          <w:p w14:paraId="35148D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color w:val="auto"/>
                <w:sz w:val="21"/>
                <w:szCs w:val="21"/>
                <w:highlight w:val="none"/>
                <w:lang w:val="en-US" w:eastAsia="zh-CN"/>
              </w:rPr>
            </w:pPr>
            <w:r>
              <w:rPr>
                <w:rFonts w:hint="eastAsia"/>
                <w:b/>
                <w:color w:val="auto"/>
                <w:sz w:val="21"/>
                <w:szCs w:val="21"/>
                <w:highlight w:val="none"/>
                <w:lang w:val="en-US" w:eastAsia="zh-CN"/>
              </w:rPr>
              <w:t>2</w:t>
            </w:r>
          </w:p>
        </w:tc>
        <w:tc>
          <w:tcPr>
            <w:tcW w:w="897" w:type="dxa"/>
            <w:vMerge w:val="restart"/>
            <w:noWrap w:val="0"/>
            <w:vAlign w:val="center"/>
          </w:tcPr>
          <w:p w14:paraId="3452ED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技术部分</w:t>
            </w:r>
          </w:p>
        </w:tc>
        <w:tc>
          <w:tcPr>
            <w:tcW w:w="6025" w:type="dxa"/>
            <w:noWrap w:val="0"/>
            <w:vAlign w:val="center"/>
          </w:tcPr>
          <w:p w14:paraId="7F07AB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2.1</w:t>
            </w:r>
            <w:r>
              <w:rPr>
                <w:rFonts w:hint="eastAsia" w:ascii="Times New Roman" w:hAnsi="Times New Roman" w:eastAsia="宋体" w:cs="Times New Roman"/>
                <w:color w:val="auto"/>
                <w:sz w:val="21"/>
                <w:szCs w:val="21"/>
                <w:highlight w:val="none"/>
              </w:rPr>
              <w:t>由评审</w:t>
            </w:r>
            <w:r>
              <w:rPr>
                <w:rFonts w:hint="eastAsia" w:ascii="Times New Roman" w:hAnsi="Times New Roman" w:eastAsia="宋体" w:cs="Times New Roman"/>
                <w:color w:val="auto"/>
                <w:sz w:val="21"/>
                <w:szCs w:val="21"/>
                <w:highlight w:val="none"/>
                <w:lang w:val="en-US" w:eastAsia="zh-CN"/>
              </w:rPr>
              <w:t>小组</w:t>
            </w:r>
            <w:r>
              <w:rPr>
                <w:rFonts w:hint="eastAsia" w:ascii="Times New Roman" w:hAnsi="Times New Roman" w:eastAsia="宋体" w:cs="Times New Roman"/>
                <w:color w:val="auto"/>
                <w:sz w:val="21"/>
                <w:szCs w:val="21"/>
                <w:highlight w:val="none"/>
              </w:rPr>
              <w:t>会根据供应商的响应方案进行综合评议，</w:t>
            </w:r>
            <w:r>
              <w:rPr>
                <w:rFonts w:hint="eastAsia" w:cs="Times New Roman"/>
                <w:color w:val="auto"/>
                <w:sz w:val="21"/>
                <w:szCs w:val="21"/>
                <w:highlight w:val="none"/>
                <w:lang w:val="en-US" w:eastAsia="zh-CN"/>
              </w:rPr>
              <w:t>标注“</w:t>
            </w:r>
            <w:r>
              <w:rPr>
                <w:rFonts w:hint="eastAsia" w:ascii="宋体" w:hAnsi="宋体" w:cs="宋体"/>
                <w:color w:val="auto"/>
                <w:kern w:val="0"/>
                <w:szCs w:val="21"/>
                <w:highlight w:val="none"/>
                <w:lang w:eastAsia="zh-CN"/>
              </w:rPr>
              <w:t>▲</w:t>
            </w:r>
            <w:r>
              <w:rPr>
                <w:rFonts w:hint="eastAsia" w:cs="Times New Roman"/>
                <w:color w:val="auto"/>
                <w:sz w:val="21"/>
                <w:szCs w:val="21"/>
                <w:highlight w:val="none"/>
                <w:lang w:val="en-US" w:eastAsia="zh-CN"/>
              </w:rPr>
              <w:t>”参数无负偏离，其余</w:t>
            </w:r>
            <w:r>
              <w:rPr>
                <w:rFonts w:hint="eastAsia" w:ascii="Times New Roman" w:hAnsi="Times New Roman" w:eastAsia="宋体" w:cs="Times New Roman"/>
                <w:color w:val="auto"/>
                <w:sz w:val="21"/>
                <w:szCs w:val="21"/>
                <w:highlight w:val="none"/>
              </w:rPr>
              <w:t>技术参数完全符合磋商文件要求，其技术分为满分</w:t>
            </w:r>
            <w:r>
              <w:rPr>
                <w:rFonts w:hint="eastAsia" w:cs="Times New Roman"/>
                <w:color w:val="auto"/>
                <w:sz w:val="21"/>
                <w:szCs w:val="21"/>
                <w:highlight w:val="none"/>
                <w:lang w:val="en-US" w:eastAsia="zh-CN"/>
              </w:rPr>
              <w:t>20</w:t>
            </w:r>
            <w:r>
              <w:rPr>
                <w:rFonts w:hint="eastAsia" w:ascii="Times New Roman" w:hAnsi="Times New Roman" w:eastAsia="宋体" w:cs="Times New Roman"/>
                <w:color w:val="auto"/>
                <w:sz w:val="21"/>
                <w:szCs w:val="21"/>
                <w:highlight w:val="none"/>
              </w:rPr>
              <w:t>分；不满足技术参数</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即负偏离，包含</w:t>
            </w:r>
            <w:r>
              <w:rPr>
                <w:rFonts w:hint="eastAsia" w:ascii="Times New Roman" w:hAnsi="Times New Roman" w:eastAsia="宋体" w:cs="Times New Roman"/>
                <w:color w:val="auto"/>
                <w:sz w:val="21"/>
                <w:szCs w:val="21"/>
                <w:highlight w:val="none"/>
              </w:rPr>
              <w:t>配置不详、缺漏项</w:t>
            </w:r>
            <w:r>
              <w:rPr>
                <w:rFonts w:hint="eastAsia"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技术参数表述不清</w:t>
            </w:r>
            <w:r>
              <w:rPr>
                <w:rFonts w:hint="eastAsia" w:cs="Times New Roman"/>
                <w:color w:val="auto"/>
                <w:sz w:val="21"/>
                <w:szCs w:val="21"/>
                <w:highlight w:val="none"/>
                <w:lang w:val="en-US" w:eastAsia="zh-CN"/>
              </w:rPr>
              <w:t>等</w:t>
            </w:r>
            <w:r>
              <w:rPr>
                <w:rFonts w:hint="eastAsia"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每项扣</w:t>
            </w: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rPr>
              <w:t>分，扣完技术分为止。</w:t>
            </w:r>
          </w:p>
        </w:tc>
        <w:tc>
          <w:tcPr>
            <w:tcW w:w="650" w:type="dxa"/>
            <w:noWrap w:val="0"/>
            <w:vAlign w:val="center"/>
          </w:tcPr>
          <w:p w14:paraId="466043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20分</w:t>
            </w:r>
          </w:p>
        </w:tc>
        <w:tc>
          <w:tcPr>
            <w:tcW w:w="880" w:type="dxa"/>
            <w:noWrap w:val="0"/>
            <w:vAlign w:val="center"/>
          </w:tcPr>
          <w:p w14:paraId="606B4BB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客观分</w:t>
            </w:r>
          </w:p>
        </w:tc>
      </w:tr>
      <w:tr w14:paraId="6A0F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57" w:type="dxa"/>
            <w:vMerge w:val="continue"/>
            <w:noWrap w:val="0"/>
            <w:vAlign w:val="center"/>
          </w:tcPr>
          <w:p w14:paraId="15E15D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lang w:val="en-US" w:eastAsia="zh-CN"/>
              </w:rPr>
            </w:pPr>
          </w:p>
        </w:tc>
        <w:tc>
          <w:tcPr>
            <w:tcW w:w="897" w:type="dxa"/>
            <w:vMerge w:val="continue"/>
            <w:noWrap w:val="0"/>
            <w:vAlign w:val="center"/>
          </w:tcPr>
          <w:p w14:paraId="06E217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highlight w:val="none"/>
                <w:lang w:val="en-US" w:eastAsia="zh-CN"/>
              </w:rPr>
            </w:pPr>
          </w:p>
        </w:tc>
        <w:tc>
          <w:tcPr>
            <w:tcW w:w="6025" w:type="dxa"/>
            <w:noWrap w:val="0"/>
            <w:vAlign w:val="center"/>
          </w:tcPr>
          <w:p w14:paraId="248B59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2.2提供项目建设总体方案</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根据对本次项目任务的理解</w:t>
            </w:r>
            <w:r>
              <w:rPr>
                <w:rFonts w:hint="eastAsia" w:cs="Times New Roman"/>
                <w:color w:val="auto"/>
                <w:sz w:val="21"/>
                <w:szCs w:val="21"/>
                <w:highlight w:val="none"/>
                <w:lang w:val="en-US" w:eastAsia="zh-CN"/>
              </w:rPr>
              <w:t>、组织管理、人员配置</w:t>
            </w:r>
            <w:r>
              <w:rPr>
                <w:rFonts w:hint="eastAsia" w:ascii="Times New Roman" w:hAnsi="Times New Roman" w:eastAsia="宋体" w:cs="Times New Roman"/>
                <w:color w:val="auto"/>
                <w:sz w:val="21"/>
                <w:szCs w:val="21"/>
                <w:highlight w:val="none"/>
                <w:lang w:val="en-US" w:eastAsia="zh-CN"/>
              </w:rPr>
              <w:t>等方面进行评审：</w:t>
            </w:r>
          </w:p>
          <w:p w14:paraId="03790B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一档（5分）：方案对项目建设要求描述不清晰、简单，不完全满足项目建设要求，</w:t>
            </w:r>
            <w:r>
              <w:rPr>
                <w:rFonts w:hint="eastAsia" w:cs="Times New Roman"/>
                <w:color w:val="auto"/>
                <w:sz w:val="21"/>
                <w:szCs w:val="21"/>
                <w:highlight w:val="none"/>
                <w:lang w:val="en-US" w:eastAsia="zh-CN"/>
              </w:rPr>
              <w:t>人员配置中（指导专家团队人员除外）项目负责人无职称，成员无相关职称</w:t>
            </w:r>
            <w:r>
              <w:rPr>
                <w:rFonts w:hint="eastAsia" w:ascii="Times New Roman" w:hAnsi="Times New Roman" w:eastAsia="宋体" w:cs="Times New Roman"/>
                <w:color w:val="auto"/>
                <w:sz w:val="21"/>
                <w:szCs w:val="21"/>
                <w:highlight w:val="none"/>
                <w:lang w:val="en-US" w:eastAsia="zh-CN"/>
              </w:rPr>
              <w:t>；</w:t>
            </w:r>
          </w:p>
          <w:p w14:paraId="00AFE9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二档（1</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分）：方案对项目建设要求描述基本清晰、较为详细，基本满足项目建设要求，</w:t>
            </w:r>
            <w:r>
              <w:rPr>
                <w:rFonts w:hint="eastAsia" w:cs="Times New Roman"/>
                <w:color w:val="auto"/>
                <w:sz w:val="21"/>
                <w:szCs w:val="21"/>
                <w:highlight w:val="none"/>
                <w:lang w:val="en-US" w:eastAsia="zh-CN"/>
              </w:rPr>
              <w:t>人员配置中（指导专家团队人员除外）项目负责人具有中级职称，成员具有中级职称及以上的不少于3人（提供职称证书）</w:t>
            </w:r>
            <w:r>
              <w:rPr>
                <w:rFonts w:hint="eastAsia" w:ascii="Times New Roman" w:hAnsi="Times New Roman" w:eastAsia="宋体" w:cs="Times New Roman"/>
                <w:color w:val="auto"/>
                <w:sz w:val="21"/>
                <w:szCs w:val="21"/>
                <w:highlight w:val="none"/>
                <w:lang w:val="en-US" w:eastAsia="zh-CN"/>
              </w:rPr>
              <w:t>；</w:t>
            </w:r>
          </w:p>
          <w:p w14:paraId="2F1AA005">
            <w:pPr>
              <w:pStyle w:val="20"/>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color w:val="auto"/>
                <w:sz w:val="21"/>
                <w:szCs w:val="21"/>
                <w:highlight w:val="none"/>
                <w:lang w:val="en-US" w:eastAsia="zh-CN"/>
              </w:rPr>
              <w:t>三档（</w:t>
            </w:r>
            <w:r>
              <w:rPr>
                <w:rFonts w:hint="eastAsia" w:cs="Times New Roman"/>
                <w:color w:val="auto"/>
                <w:sz w:val="21"/>
                <w:szCs w:val="21"/>
                <w:highlight w:val="none"/>
                <w:lang w:val="en-US" w:eastAsia="zh-CN"/>
              </w:rPr>
              <w:t>15</w:t>
            </w:r>
            <w:r>
              <w:rPr>
                <w:rFonts w:hint="eastAsia" w:ascii="Times New Roman" w:hAnsi="Times New Roman" w:eastAsia="宋体" w:cs="Times New Roman"/>
                <w:color w:val="auto"/>
                <w:sz w:val="21"/>
                <w:szCs w:val="21"/>
                <w:highlight w:val="none"/>
                <w:lang w:val="en-US" w:eastAsia="zh-CN"/>
              </w:rPr>
              <w:t>分）：方案对项目建设要求描述清晰、详细，完全满足项目建设要求，</w:t>
            </w:r>
            <w:r>
              <w:rPr>
                <w:rFonts w:hint="eastAsia" w:cs="Times New Roman"/>
                <w:color w:val="auto"/>
                <w:sz w:val="21"/>
                <w:szCs w:val="21"/>
                <w:highlight w:val="none"/>
                <w:lang w:val="en-US" w:eastAsia="zh-CN"/>
              </w:rPr>
              <w:t>人员配置中（指导专家团队人员除外）项目负责人具有高级职称，成员具有中级职称及以上的不少于5人（提供职称证书）</w:t>
            </w:r>
            <w:r>
              <w:rPr>
                <w:rFonts w:hint="eastAsia" w:ascii="Times New Roman" w:hAnsi="Times New Roman" w:eastAsia="宋体" w:cs="Times New Roman"/>
                <w:color w:val="auto"/>
                <w:sz w:val="21"/>
                <w:szCs w:val="21"/>
                <w:highlight w:val="none"/>
                <w:lang w:val="en-US" w:eastAsia="zh-CN"/>
              </w:rPr>
              <w:t>。</w:t>
            </w:r>
          </w:p>
          <w:p w14:paraId="1E32ABB1">
            <w:pPr>
              <w:pStyle w:val="20"/>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eastAsia="zh-CN"/>
              </w:rPr>
              <w:t>未提供方案或提供的内容与本项目无关的得0分。</w:t>
            </w:r>
          </w:p>
        </w:tc>
        <w:tc>
          <w:tcPr>
            <w:tcW w:w="650" w:type="dxa"/>
            <w:noWrap w:val="0"/>
            <w:vAlign w:val="center"/>
          </w:tcPr>
          <w:p w14:paraId="49D92A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15分</w:t>
            </w:r>
          </w:p>
        </w:tc>
        <w:tc>
          <w:tcPr>
            <w:tcW w:w="880" w:type="dxa"/>
            <w:noWrap w:val="0"/>
            <w:vAlign w:val="center"/>
          </w:tcPr>
          <w:p w14:paraId="23D3A81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sz w:val="21"/>
                <w:szCs w:val="21"/>
                <w:highlight w:val="none"/>
                <w:lang w:val="en-US" w:eastAsia="zh-CN"/>
              </w:rPr>
            </w:pPr>
            <w:r>
              <w:rPr>
                <w:rFonts w:hint="eastAsia"/>
                <w:color w:val="auto"/>
                <w:sz w:val="21"/>
                <w:szCs w:val="21"/>
                <w:highlight w:val="none"/>
                <w:lang w:val="en-US" w:eastAsia="zh-CN"/>
              </w:rPr>
              <w:t>主观分</w:t>
            </w:r>
          </w:p>
        </w:tc>
      </w:tr>
      <w:tr w14:paraId="3907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757" w:type="dxa"/>
            <w:vMerge w:val="continue"/>
            <w:noWrap w:val="0"/>
            <w:vAlign w:val="center"/>
          </w:tcPr>
          <w:p w14:paraId="2C8E55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lang w:val="en-US" w:eastAsia="zh-CN"/>
              </w:rPr>
            </w:pPr>
          </w:p>
        </w:tc>
        <w:tc>
          <w:tcPr>
            <w:tcW w:w="897" w:type="dxa"/>
            <w:vMerge w:val="continue"/>
            <w:noWrap w:val="0"/>
            <w:vAlign w:val="center"/>
          </w:tcPr>
          <w:p w14:paraId="4ADF6F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highlight w:val="none"/>
                <w:lang w:val="en-US" w:eastAsia="zh-CN"/>
              </w:rPr>
            </w:pPr>
          </w:p>
        </w:tc>
        <w:tc>
          <w:tcPr>
            <w:tcW w:w="6025" w:type="dxa"/>
            <w:noWrap w:val="0"/>
            <w:vAlign w:val="center"/>
          </w:tcPr>
          <w:p w14:paraId="38718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2.3.指导方案</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Hans"/>
              </w:rPr>
              <w:t>提供</w:t>
            </w:r>
            <w:r>
              <w:rPr>
                <w:rFonts w:hint="eastAsia" w:ascii="Times New Roman" w:hAnsi="Times New Roman" w:eastAsia="宋体" w:cs="Times New Roman"/>
                <w:color w:val="auto"/>
                <w:sz w:val="21"/>
                <w:szCs w:val="21"/>
                <w:highlight w:val="none"/>
                <w:lang w:val="en-US" w:eastAsia="zh-CN"/>
              </w:rPr>
              <w:t>职业院校技能大赛学生比赛指导方案</w:t>
            </w:r>
            <w:r>
              <w:rPr>
                <w:rFonts w:hint="eastAsia" w:ascii="Times New Roman" w:hAnsi="Times New Roman" w:eastAsia="宋体" w:cs="Times New Roman"/>
                <w:color w:val="auto"/>
                <w:sz w:val="21"/>
                <w:szCs w:val="21"/>
                <w:highlight w:val="none"/>
                <w:lang w:val="en-US" w:eastAsia="zh-Hans"/>
              </w:rPr>
              <w:t>，</w:t>
            </w:r>
            <w:r>
              <w:rPr>
                <w:rFonts w:hint="eastAsia" w:cs="Times New Roman"/>
                <w:color w:val="auto"/>
                <w:sz w:val="21"/>
                <w:szCs w:val="21"/>
                <w:highlight w:val="none"/>
                <w:lang w:val="en-US" w:eastAsia="zh-CN"/>
              </w:rPr>
              <w:t>从方案内容中的政策要求、比赛规则、训练安排和赛事准备</w:t>
            </w:r>
            <w:r>
              <w:rPr>
                <w:rFonts w:hint="eastAsia" w:ascii="Times New Roman" w:hAnsi="Times New Roman" w:eastAsia="宋体" w:cs="Times New Roman"/>
                <w:color w:val="auto"/>
                <w:sz w:val="21"/>
                <w:szCs w:val="21"/>
                <w:highlight w:val="none"/>
                <w:lang w:val="en-US" w:eastAsia="zh-CN"/>
              </w:rPr>
              <w:t>等方面等进行评审</w:t>
            </w:r>
          </w:p>
          <w:p w14:paraId="2D6DB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一档（2分）：</w:t>
            </w:r>
            <w:r>
              <w:rPr>
                <w:rFonts w:hint="eastAsia" w:cs="Times New Roman"/>
                <w:color w:val="auto"/>
                <w:sz w:val="21"/>
                <w:szCs w:val="21"/>
                <w:highlight w:val="none"/>
                <w:lang w:val="en-US" w:eastAsia="zh-CN"/>
              </w:rPr>
              <w:t>方案中未体现具体赛项指导流程的，</w:t>
            </w:r>
            <w:r>
              <w:rPr>
                <w:rFonts w:hint="eastAsia" w:ascii="Times New Roman" w:hAnsi="Times New Roman" w:eastAsia="宋体" w:cs="Times New Roman"/>
                <w:color w:val="auto"/>
                <w:sz w:val="21"/>
                <w:szCs w:val="21"/>
                <w:highlight w:val="none"/>
                <w:lang w:val="en-US" w:eastAsia="zh-CN"/>
              </w:rPr>
              <w:t>方案完整性一般，措施合理性、先进性一般，不完全符合项目内容建设的要求。</w:t>
            </w:r>
          </w:p>
          <w:p w14:paraId="65FF44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二档（6分）：</w:t>
            </w:r>
            <w:r>
              <w:rPr>
                <w:rFonts w:hint="eastAsia" w:cs="Times New Roman"/>
                <w:color w:val="auto"/>
                <w:sz w:val="21"/>
                <w:szCs w:val="21"/>
                <w:highlight w:val="none"/>
                <w:lang w:val="en-US" w:eastAsia="zh-CN"/>
              </w:rPr>
              <w:t>方案中体现3个及以下赛项指导流程的，</w:t>
            </w:r>
            <w:r>
              <w:rPr>
                <w:rFonts w:hint="eastAsia" w:ascii="Times New Roman" w:hAnsi="Times New Roman" w:eastAsia="宋体" w:cs="Times New Roman"/>
                <w:color w:val="auto"/>
                <w:sz w:val="21"/>
                <w:szCs w:val="21"/>
                <w:highlight w:val="none"/>
                <w:lang w:val="en-US" w:eastAsia="zh-CN"/>
              </w:rPr>
              <w:t>方案基本完整，措施基本合理，基本符合项目内容建设的要求；</w:t>
            </w:r>
          </w:p>
          <w:p w14:paraId="62DD4A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三档（10分）：</w:t>
            </w:r>
            <w:r>
              <w:rPr>
                <w:rFonts w:hint="eastAsia" w:cs="Times New Roman"/>
                <w:color w:val="auto"/>
                <w:sz w:val="21"/>
                <w:szCs w:val="21"/>
                <w:highlight w:val="none"/>
                <w:lang w:val="en-US" w:eastAsia="zh-CN"/>
              </w:rPr>
              <w:t>方案中体现5个赛项指导流程的，</w:t>
            </w:r>
            <w:r>
              <w:rPr>
                <w:rFonts w:hint="eastAsia" w:ascii="Times New Roman" w:hAnsi="Times New Roman" w:eastAsia="宋体" w:cs="Times New Roman"/>
                <w:color w:val="auto"/>
                <w:sz w:val="21"/>
                <w:szCs w:val="21"/>
                <w:highlight w:val="none"/>
                <w:lang w:val="en-US" w:eastAsia="zh-CN"/>
              </w:rPr>
              <w:t>方案详实、完整，措施合理、先进，完全符合项目内容建设的要求；</w:t>
            </w:r>
          </w:p>
          <w:p w14:paraId="5E6B2533">
            <w:pPr>
              <w:rPr>
                <w:rFonts w:hint="eastAsia"/>
                <w:color w:val="auto"/>
                <w:highlight w:val="none"/>
              </w:rPr>
            </w:pPr>
            <w:r>
              <w:rPr>
                <w:rFonts w:hint="eastAsia"/>
                <w:color w:val="auto"/>
                <w:sz w:val="21"/>
                <w:szCs w:val="21"/>
                <w:highlight w:val="none"/>
                <w:lang w:eastAsia="zh-CN"/>
              </w:rPr>
              <w:t>未提供方案或提供的内容与本项目无关的得0分。</w:t>
            </w:r>
          </w:p>
        </w:tc>
        <w:tc>
          <w:tcPr>
            <w:tcW w:w="650" w:type="dxa"/>
            <w:noWrap w:val="0"/>
            <w:vAlign w:val="center"/>
          </w:tcPr>
          <w:p w14:paraId="66AA51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10分</w:t>
            </w:r>
          </w:p>
        </w:tc>
        <w:tc>
          <w:tcPr>
            <w:tcW w:w="880" w:type="dxa"/>
            <w:noWrap w:val="0"/>
            <w:vAlign w:val="center"/>
          </w:tcPr>
          <w:p w14:paraId="2229905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sz w:val="21"/>
                <w:szCs w:val="21"/>
                <w:highlight w:val="none"/>
                <w:lang w:val="en-US" w:eastAsia="zh-CN"/>
              </w:rPr>
            </w:pPr>
            <w:r>
              <w:rPr>
                <w:rFonts w:hint="eastAsia"/>
                <w:color w:val="auto"/>
                <w:sz w:val="21"/>
                <w:szCs w:val="21"/>
                <w:highlight w:val="none"/>
                <w:lang w:val="en-US" w:eastAsia="zh-CN"/>
              </w:rPr>
              <w:t>主观分</w:t>
            </w:r>
          </w:p>
        </w:tc>
      </w:tr>
      <w:tr w14:paraId="3B4E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757" w:type="dxa"/>
            <w:vMerge w:val="continue"/>
            <w:noWrap w:val="0"/>
            <w:vAlign w:val="center"/>
          </w:tcPr>
          <w:p w14:paraId="65A400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lang w:val="en-US" w:eastAsia="zh-CN"/>
              </w:rPr>
            </w:pPr>
          </w:p>
        </w:tc>
        <w:tc>
          <w:tcPr>
            <w:tcW w:w="897" w:type="dxa"/>
            <w:vMerge w:val="continue"/>
            <w:noWrap w:val="0"/>
            <w:vAlign w:val="center"/>
          </w:tcPr>
          <w:p w14:paraId="036F17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highlight w:val="none"/>
                <w:lang w:val="en-US" w:eastAsia="zh-CN"/>
              </w:rPr>
            </w:pPr>
          </w:p>
        </w:tc>
        <w:tc>
          <w:tcPr>
            <w:tcW w:w="6025" w:type="dxa"/>
            <w:noWrap w:val="0"/>
            <w:vAlign w:val="center"/>
          </w:tcPr>
          <w:p w14:paraId="3332D2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2.4师资培训</w:t>
            </w:r>
            <w:r>
              <w:rPr>
                <w:rFonts w:hint="eastAsia" w:cs="Times New Roman"/>
                <w:color w:val="auto"/>
                <w:sz w:val="21"/>
                <w:szCs w:val="21"/>
                <w:highlight w:val="none"/>
                <w:lang w:val="en-US" w:eastAsia="zh-CN"/>
              </w:rPr>
              <w:t>：根据本项目涉及的培训内容从培训的目标、培训组织安排及培训评价等方面</w:t>
            </w:r>
            <w:r>
              <w:rPr>
                <w:rFonts w:hint="eastAsia" w:ascii="Times New Roman" w:hAnsi="Times New Roman" w:eastAsia="宋体" w:cs="Times New Roman"/>
                <w:color w:val="auto"/>
                <w:sz w:val="21"/>
                <w:szCs w:val="21"/>
                <w:highlight w:val="none"/>
                <w:lang w:val="en-US" w:eastAsia="zh-Hans"/>
              </w:rPr>
              <w:t>进行评审</w:t>
            </w:r>
          </w:p>
          <w:p w14:paraId="13DEB7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一档（</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分）：</w:t>
            </w:r>
            <w:r>
              <w:rPr>
                <w:rFonts w:hint="eastAsia" w:ascii="Times New Roman" w:hAnsi="Times New Roman" w:eastAsia="宋体" w:cs="Times New Roman"/>
                <w:color w:val="auto"/>
                <w:sz w:val="21"/>
                <w:szCs w:val="21"/>
                <w:highlight w:val="none"/>
                <w:lang w:val="en-US" w:eastAsia="zh-Hans"/>
              </w:rPr>
              <w:t>方案思路一般，不完全符合项目要求，可操作性不佳</w:t>
            </w:r>
            <w:r>
              <w:rPr>
                <w:rFonts w:hint="eastAsia" w:cs="Times New Roman"/>
                <w:color w:val="auto"/>
                <w:sz w:val="21"/>
                <w:szCs w:val="21"/>
                <w:highlight w:val="none"/>
                <w:lang w:val="en-US" w:eastAsia="zh-CN"/>
              </w:rPr>
              <w:t>，提供与本项目相关的培训课件5个以下（列举课件清单并提供课件完整截图证明）</w:t>
            </w:r>
            <w:r>
              <w:rPr>
                <w:rFonts w:hint="eastAsia" w:ascii="Times New Roman" w:hAnsi="Times New Roman" w:eastAsia="宋体" w:cs="Times New Roman"/>
                <w:color w:val="auto"/>
                <w:sz w:val="21"/>
                <w:szCs w:val="21"/>
                <w:highlight w:val="none"/>
                <w:lang w:val="en-US" w:eastAsia="zh-Hans"/>
              </w:rPr>
              <w:t>；</w:t>
            </w:r>
          </w:p>
          <w:p w14:paraId="2508CC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二档（</w:t>
            </w:r>
            <w:r>
              <w:rPr>
                <w:rFonts w:hint="eastAsia"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分）：</w:t>
            </w:r>
            <w:r>
              <w:rPr>
                <w:rFonts w:hint="eastAsia" w:ascii="Times New Roman" w:hAnsi="Times New Roman" w:eastAsia="宋体" w:cs="Times New Roman"/>
                <w:color w:val="auto"/>
                <w:sz w:val="21"/>
                <w:szCs w:val="21"/>
                <w:highlight w:val="none"/>
                <w:lang w:val="en-US" w:eastAsia="zh-Hans"/>
              </w:rPr>
              <w:t>方案思路尚可，基本符合项目要求，具有一定操作性</w:t>
            </w:r>
            <w:r>
              <w:rPr>
                <w:rFonts w:hint="eastAsia" w:cs="Times New Roman"/>
                <w:color w:val="auto"/>
                <w:sz w:val="21"/>
                <w:szCs w:val="21"/>
                <w:highlight w:val="none"/>
                <w:lang w:val="en-US" w:eastAsia="zh-CN"/>
              </w:rPr>
              <w:t>，提供与本项目相关的培训课件5个及以上（列举课件清单并提供课件完整截图证明）</w:t>
            </w:r>
            <w:r>
              <w:rPr>
                <w:rFonts w:hint="eastAsia" w:ascii="Times New Roman" w:hAnsi="Times New Roman" w:eastAsia="宋体" w:cs="Times New Roman"/>
                <w:color w:val="auto"/>
                <w:sz w:val="21"/>
                <w:szCs w:val="21"/>
                <w:highlight w:val="none"/>
                <w:lang w:val="en-US" w:eastAsia="zh-Hans"/>
              </w:rPr>
              <w:t>；</w:t>
            </w:r>
          </w:p>
          <w:p w14:paraId="19E327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Cs w:val="21"/>
                <w:highlight w:val="none"/>
                <w:lang w:eastAsia="zh-CN"/>
              </w:rPr>
            </w:pPr>
            <w:r>
              <w:rPr>
                <w:rFonts w:hint="eastAsia" w:ascii="Times New Roman" w:hAnsi="Times New Roman" w:eastAsia="宋体" w:cs="Times New Roman"/>
                <w:color w:val="auto"/>
                <w:sz w:val="21"/>
                <w:szCs w:val="21"/>
                <w:highlight w:val="none"/>
                <w:lang w:val="en-US" w:eastAsia="zh-CN"/>
              </w:rPr>
              <w:t>三档（</w:t>
            </w:r>
            <w:r>
              <w:rPr>
                <w:rFonts w:hint="eastAsia" w:cs="Times New Roman"/>
                <w:color w:val="auto"/>
                <w:sz w:val="21"/>
                <w:szCs w:val="21"/>
                <w:highlight w:val="none"/>
                <w:lang w:val="en-US" w:eastAsia="zh-CN"/>
              </w:rPr>
              <w:t>10</w:t>
            </w:r>
            <w:r>
              <w:rPr>
                <w:rFonts w:hint="eastAsia" w:ascii="Times New Roman" w:hAnsi="Times New Roman" w:eastAsia="宋体" w:cs="Times New Roman"/>
                <w:color w:val="auto"/>
                <w:sz w:val="21"/>
                <w:szCs w:val="21"/>
                <w:highlight w:val="none"/>
                <w:lang w:val="en-US" w:eastAsia="zh-CN"/>
              </w:rPr>
              <w:t>分）：</w:t>
            </w:r>
            <w:r>
              <w:rPr>
                <w:rFonts w:hint="eastAsia" w:ascii="Times New Roman" w:hAnsi="Times New Roman" w:eastAsia="宋体" w:cs="Times New Roman"/>
                <w:color w:val="auto"/>
                <w:sz w:val="21"/>
                <w:szCs w:val="21"/>
                <w:highlight w:val="none"/>
                <w:lang w:val="en-US" w:eastAsia="zh-Hans"/>
              </w:rPr>
              <w:t>方案思路清晰、详实，完全符合项目要求，可操作性强</w:t>
            </w:r>
            <w:r>
              <w:rPr>
                <w:rFonts w:hint="eastAsia" w:cs="Times New Roman"/>
                <w:color w:val="auto"/>
                <w:sz w:val="21"/>
                <w:szCs w:val="21"/>
                <w:highlight w:val="none"/>
                <w:lang w:val="en-US" w:eastAsia="zh-CN"/>
              </w:rPr>
              <w:t>，提供与本项目相关的培训课件10个以上（列举课件清单并提供课件完整截图证明）</w:t>
            </w:r>
            <w:r>
              <w:rPr>
                <w:rFonts w:hint="eastAsia" w:ascii="Times New Roman" w:hAnsi="Times New Roman" w:eastAsia="宋体" w:cs="Times New Roman"/>
                <w:color w:val="auto"/>
                <w:sz w:val="21"/>
                <w:szCs w:val="21"/>
                <w:highlight w:val="none"/>
                <w:lang w:val="en-US" w:eastAsia="zh-Hans"/>
              </w:rPr>
              <w:t>；</w:t>
            </w:r>
          </w:p>
          <w:p w14:paraId="22229D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val="en-US" w:eastAsia="zh-CN"/>
              </w:rPr>
            </w:pPr>
            <w:r>
              <w:rPr>
                <w:rFonts w:hint="eastAsia"/>
                <w:color w:val="auto"/>
                <w:sz w:val="21"/>
                <w:szCs w:val="21"/>
                <w:highlight w:val="none"/>
                <w:lang w:eastAsia="zh-CN"/>
              </w:rPr>
              <w:t>未提供方案或提供的内容与本项目无关的得0分。</w:t>
            </w:r>
          </w:p>
        </w:tc>
        <w:tc>
          <w:tcPr>
            <w:tcW w:w="650" w:type="dxa"/>
            <w:noWrap w:val="0"/>
            <w:vAlign w:val="center"/>
          </w:tcPr>
          <w:p w14:paraId="04584A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10分</w:t>
            </w:r>
          </w:p>
        </w:tc>
        <w:tc>
          <w:tcPr>
            <w:tcW w:w="880" w:type="dxa"/>
            <w:noWrap w:val="0"/>
            <w:vAlign w:val="center"/>
          </w:tcPr>
          <w:p w14:paraId="44CE47D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sz w:val="21"/>
                <w:szCs w:val="21"/>
                <w:highlight w:val="none"/>
                <w:lang w:val="en-US" w:eastAsia="zh-CN"/>
              </w:rPr>
            </w:pPr>
            <w:r>
              <w:rPr>
                <w:rFonts w:hint="eastAsia"/>
                <w:color w:val="auto"/>
                <w:sz w:val="21"/>
                <w:szCs w:val="21"/>
                <w:highlight w:val="none"/>
                <w:lang w:val="en-US" w:eastAsia="zh-CN"/>
              </w:rPr>
              <w:t>主观分</w:t>
            </w:r>
          </w:p>
        </w:tc>
      </w:tr>
      <w:tr w14:paraId="557A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trPr>
        <w:tc>
          <w:tcPr>
            <w:tcW w:w="757" w:type="dxa"/>
            <w:vMerge w:val="continue"/>
            <w:noWrap w:val="0"/>
            <w:vAlign w:val="center"/>
          </w:tcPr>
          <w:p w14:paraId="42FB1F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lang w:val="en-US" w:eastAsia="zh-CN"/>
              </w:rPr>
            </w:pPr>
          </w:p>
        </w:tc>
        <w:tc>
          <w:tcPr>
            <w:tcW w:w="897" w:type="dxa"/>
            <w:vMerge w:val="continue"/>
            <w:noWrap w:val="0"/>
            <w:vAlign w:val="center"/>
          </w:tcPr>
          <w:p w14:paraId="3BA45F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highlight w:val="none"/>
                <w:lang w:val="en-US" w:eastAsia="zh-CN"/>
              </w:rPr>
            </w:pPr>
          </w:p>
        </w:tc>
        <w:tc>
          <w:tcPr>
            <w:tcW w:w="6025" w:type="dxa"/>
            <w:noWrap w:val="0"/>
            <w:vAlign w:val="center"/>
          </w:tcPr>
          <w:p w14:paraId="2192B4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2.5售后服务方案</w:t>
            </w:r>
          </w:p>
          <w:p w14:paraId="75004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val="en-US" w:eastAsia="zh-Hans"/>
              </w:rPr>
            </w:pPr>
            <w:r>
              <w:rPr>
                <w:rFonts w:hint="eastAsia" w:ascii="Times New Roman" w:hAnsi="Times New Roman" w:eastAsia="宋体" w:cs="Times New Roman"/>
                <w:color w:val="auto"/>
                <w:sz w:val="21"/>
                <w:szCs w:val="21"/>
                <w:highlight w:val="none"/>
                <w:lang w:val="en-US" w:eastAsia="zh-Hans"/>
              </w:rPr>
              <w:t>一档</w:t>
            </w:r>
            <w:r>
              <w:rPr>
                <w:rFonts w:hint="eastAsia" w:ascii="Times New Roman" w:hAnsi="Times New Roman" w:eastAsia="宋体" w:cs="Times New Roman"/>
                <w:color w:val="auto"/>
                <w:sz w:val="21"/>
                <w:szCs w:val="21"/>
                <w:highlight w:val="none"/>
                <w:lang w:val="en-US" w:eastAsia="zh-CN"/>
              </w:rPr>
              <w:t>（1分）</w:t>
            </w:r>
            <w:r>
              <w:rPr>
                <w:rFonts w:hint="eastAsia" w:ascii="Times New Roman" w:hAnsi="Times New Roman" w:eastAsia="宋体" w:cs="Times New Roman"/>
                <w:color w:val="auto"/>
                <w:sz w:val="21"/>
                <w:szCs w:val="21"/>
                <w:highlight w:val="none"/>
                <w:lang w:val="en-US" w:eastAsia="zh-Hans"/>
              </w:rPr>
              <w:t>：售后服务方案及承诺</w:t>
            </w:r>
            <w:r>
              <w:rPr>
                <w:rFonts w:hint="eastAsia" w:ascii="Times New Roman" w:hAnsi="Times New Roman" w:eastAsia="宋体" w:cs="Times New Roman"/>
                <w:color w:val="auto"/>
                <w:sz w:val="21"/>
                <w:szCs w:val="21"/>
                <w:highlight w:val="none"/>
                <w:lang w:val="en-US" w:eastAsia="zh-CN"/>
              </w:rPr>
              <w:t>不能</w:t>
            </w:r>
            <w:r>
              <w:rPr>
                <w:rFonts w:hint="eastAsia" w:ascii="Times New Roman" w:hAnsi="Times New Roman" w:eastAsia="宋体" w:cs="Times New Roman"/>
                <w:color w:val="auto"/>
                <w:sz w:val="21"/>
                <w:szCs w:val="21"/>
                <w:highlight w:val="none"/>
                <w:lang w:val="en-US" w:eastAsia="zh-Hans"/>
              </w:rPr>
              <w:t>满足采购文件要求</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Hans"/>
              </w:rPr>
              <w:t>售后服务人员组织结构不合理、维护体系不健全，技术支持保障不到位，得</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Hans"/>
              </w:rPr>
              <w:t>分。</w:t>
            </w:r>
          </w:p>
          <w:p w14:paraId="45C63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Times New Roman" w:hAnsi="Times New Roman" w:eastAsia="宋体" w:cs="Times New Roman"/>
                <w:color w:val="auto"/>
                <w:sz w:val="21"/>
                <w:szCs w:val="21"/>
                <w:highlight w:val="none"/>
                <w:lang w:val="en-US" w:eastAsia="zh-Hans"/>
              </w:rPr>
            </w:pPr>
            <w:r>
              <w:rPr>
                <w:rFonts w:hint="eastAsia" w:ascii="Times New Roman" w:hAnsi="Times New Roman" w:eastAsia="宋体" w:cs="Times New Roman"/>
                <w:color w:val="auto"/>
                <w:sz w:val="21"/>
                <w:szCs w:val="21"/>
                <w:highlight w:val="none"/>
                <w:lang w:val="en-US" w:eastAsia="zh-Hans"/>
              </w:rPr>
              <w:t>二档</w:t>
            </w:r>
            <w:r>
              <w:rPr>
                <w:rFonts w:hint="eastAsia" w:ascii="Times New Roman" w:hAnsi="Times New Roman" w:eastAsia="宋体" w:cs="Times New Roman"/>
                <w:color w:val="auto"/>
                <w:sz w:val="21"/>
                <w:szCs w:val="21"/>
                <w:highlight w:val="none"/>
                <w:lang w:val="en-US" w:eastAsia="zh-CN"/>
              </w:rPr>
              <w:t>（3分）</w:t>
            </w:r>
            <w:r>
              <w:rPr>
                <w:rFonts w:hint="eastAsia" w:ascii="Times New Roman" w:hAnsi="Times New Roman" w:eastAsia="宋体" w:cs="Times New Roman"/>
                <w:color w:val="auto"/>
                <w:sz w:val="21"/>
                <w:szCs w:val="21"/>
                <w:highlight w:val="none"/>
                <w:lang w:val="en-US" w:eastAsia="zh-Hans"/>
              </w:rPr>
              <w:t>：售后服务方案及承诺</w:t>
            </w:r>
            <w:r>
              <w:rPr>
                <w:rFonts w:hint="eastAsia" w:ascii="Times New Roman" w:hAnsi="Times New Roman" w:eastAsia="宋体" w:cs="Times New Roman"/>
                <w:color w:val="auto"/>
                <w:sz w:val="21"/>
                <w:szCs w:val="21"/>
                <w:highlight w:val="none"/>
                <w:lang w:val="en-US" w:eastAsia="zh-CN"/>
              </w:rPr>
              <w:t>能</w:t>
            </w:r>
            <w:r>
              <w:rPr>
                <w:rFonts w:hint="eastAsia" w:ascii="Times New Roman" w:hAnsi="Times New Roman" w:eastAsia="宋体" w:cs="Times New Roman"/>
                <w:color w:val="auto"/>
                <w:sz w:val="21"/>
                <w:szCs w:val="21"/>
                <w:highlight w:val="none"/>
                <w:lang w:val="en-US" w:eastAsia="zh-Hans"/>
              </w:rPr>
              <w:t>满足采购文件要求</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Hans"/>
              </w:rPr>
              <w:t>售后服务人员组织结构合理性</w:t>
            </w:r>
            <w:r>
              <w:rPr>
                <w:rFonts w:hint="eastAsia" w:ascii="Times New Roman" w:hAnsi="Times New Roman" w:eastAsia="宋体" w:cs="Times New Roman"/>
                <w:color w:val="auto"/>
                <w:sz w:val="21"/>
                <w:szCs w:val="21"/>
                <w:highlight w:val="none"/>
                <w:lang w:val="en-US" w:eastAsia="zh-CN"/>
              </w:rPr>
              <w:t>能满足项目需要</w:t>
            </w:r>
            <w:r>
              <w:rPr>
                <w:rFonts w:hint="eastAsia" w:ascii="Times New Roman" w:hAnsi="Times New Roman" w:eastAsia="宋体" w:cs="Times New Roman"/>
                <w:color w:val="auto"/>
                <w:sz w:val="21"/>
                <w:szCs w:val="21"/>
                <w:highlight w:val="none"/>
                <w:lang w:val="en-US" w:eastAsia="zh-Hans"/>
              </w:rPr>
              <w:t>、维护体系健全，技术支持保障情况</w:t>
            </w:r>
            <w:r>
              <w:rPr>
                <w:rFonts w:hint="eastAsia" w:ascii="Times New Roman" w:hAnsi="Times New Roman" w:eastAsia="宋体" w:cs="Times New Roman"/>
                <w:color w:val="auto"/>
                <w:sz w:val="21"/>
                <w:szCs w:val="21"/>
                <w:highlight w:val="none"/>
                <w:lang w:val="en-US" w:eastAsia="zh-CN"/>
              </w:rPr>
              <w:t>合理</w:t>
            </w:r>
            <w:r>
              <w:rPr>
                <w:rFonts w:hint="eastAsia" w:ascii="Times New Roman" w:hAnsi="Times New Roman" w:eastAsia="宋体" w:cs="Times New Roman"/>
                <w:color w:val="auto"/>
                <w:sz w:val="21"/>
                <w:szCs w:val="21"/>
                <w:highlight w:val="none"/>
                <w:lang w:val="en-US" w:eastAsia="zh-Hans"/>
              </w:rPr>
              <w:t>，得</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Hans"/>
              </w:rPr>
              <w:t>分。</w:t>
            </w:r>
          </w:p>
          <w:p w14:paraId="3326C11A">
            <w:pPr>
              <w:pStyle w:val="20"/>
              <w:rPr>
                <w:rFonts w:hint="eastAsia" w:ascii="Times New Roman" w:hAnsi="Times New Roman" w:eastAsia="宋体" w:cs="Times New Roman"/>
                <w:color w:val="auto"/>
                <w:sz w:val="21"/>
                <w:szCs w:val="21"/>
                <w:highlight w:val="none"/>
                <w:lang w:val="en-US" w:eastAsia="zh-Hans"/>
              </w:rPr>
            </w:pPr>
            <w:r>
              <w:rPr>
                <w:rFonts w:hint="eastAsia" w:ascii="Times New Roman" w:hAnsi="Times New Roman" w:eastAsia="宋体" w:cs="Times New Roman"/>
                <w:color w:val="auto"/>
                <w:sz w:val="21"/>
                <w:szCs w:val="21"/>
                <w:highlight w:val="none"/>
                <w:lang w:val="en-US" w:eastAsia="zh-Hans"/>
              </w:rPr>
              <w:t>三档</w:t>
            </w:r>
            <w:r>
              <w:rPr>
                <w:rFonts w:hint="eastAsia" w:ascii="Times New Roman" w:hAnsi="Times New Roman" w:eastAsia="宋体" w:cs="Times New Roman"/>
                <w:color w:val="auto"/>
                <w:sz w:val="21"/>
                <w:szCs w:val="21"/>
                <w:highlight w:val="none"/>
                <w:lang w:val="en-US" w:eastAsia="zh-CN"/>
              </w:rPr>
              <w:t>（6分）</w:t>
            </w:r>
            <w:r>
              <w:rPr>
                <w:rFonts w:hint="eastAsia" w:ascii="Times New Roman" w:hAnsi="Times New Roman" w:eastAsia="宋体" w:cs="Times New Roman"/>
                <w:color w:val="auto"/>
                <w:sz w:val="21"/>
                <w:szCs w:val="21"/>
                <w:highlight w:val="none"/>
                <w:lang w:val="en-US" w:eastAsia="zh-Hans"/>
              </w:rPr>
              <w:t>：售后服务方案及承诺完全满足采购文件要求，提供至少一年免费质保服务。售后服务体系完善，承诺服务内容优越，质保期外维保内容。售后服务人员组织结构</w:t>
            </w:r>
            <w:r>
              <w:rPr>
                <w:rFonts w:hint="eastAsia" w:ascii="Times New Roman" w:hAnsi="Times New Roman" w:eastAsia="宋体" w:cs="Times New Roman"/>
                <w:color w:val="auto"/>
                <w:sz w:val="21"/>
                <w:szCs w:val="21"/>
                <w:highlight w:val="none"/>
                <w:lang w:val="en-US" w:eastAsia="zh-CN"/>
              </w:rPr>
              <w:t>科学</w:t>
            </w:r>
            <w:r>
              <w:rPr>
                <w:rFonts w:hint="eastAsia" w:ascii="Times New Roman" w:hAnsi="Times New Roman" w:eastAsia="宋体" w:cs="Times New Roman"/>
                <w:color w:val="auto"/>
                <w:sz w:val="21"/>
                <w:szCs w:val="21"/>
                <w:highlight w:val="none"/>
                <w:lang w:val="en-US" w:eastAsia="zh-Hans"/>
              </w:rPr>
              <w:t>合理、维护体系健全，技术支持保障到位，</w:t>
            </w:r>
            <w:r>
              <w:rPr>
                <w:rFonts w:hint="eastAsia" w:ascii="Times New Roman" w:hAnsi="Times New Roman" w:eastAsia="宋体" w:cs="Times New Roman"/>
                <w:color w:val="auto"/>
                <w:sz w:val="21"/>
                <w:szCs w:val="21"/>
                <w:highlight w:val="none"/>
                <w:lang w:val="en-US" w:eastAsia="zh-CN"/>
              </w:rPr>
              <w:t>完全满足项目需要，针对性强的</w:t>
            </w:r>
            <w:r>
              <w:rPr>
                <w:rFonts w:hint="eastAsia" w:ascii="Times New Roman" w:hAnsi="Times New Roman" w:eastAsia="宋体" w:cs="Times New Roman"/>
                <w:color w:val="auto"/>
                <w:sz w:val="21"/>
                <w:szCs w:val="21"/>
                <w:highlight w:val="none"/>
                <w:lang w:val="en-US" w:eastAsia="zh-Hans"/>
              </w:rPr>
              <w:t>得</w:t>
            </w:r>
            <w:r>
              <w:rPr>
                <w:rFonts w:hint="eastAsia"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Hans"/>
              </w:rPr>
              <w:t>分。</w:t>
            </w:r>
          </w:p>
          <w:p w14:paraId="3CCBB97E">
            <w:pPr>
              <w:pStyle w:val="20"/>
              <w:rPr>
                <w:rFonts w:hint="eastAsia"/>
                <w:color w:val="auto"/>
                <w:highlight w:val="none"/>
                <w:lang w:val="en-US" w:eastAsia="zh-CN"/>
              </w:rPr>
            </w:pPr>
            <w:r>
              <w:rPr>
                <w:rFonts w:hint="eastAsia"/>
                <w:color w:val="auto"/>
                <w:sz w:val="21"/>
                <w:szCs w:val="21"/>
                <w:highlight w:val="none"/>
                <w:lang w:eastAsia="zh-CN"/>
              </w:rPr>
              <w:t>未提供方案或提供的内容与本项目无关的得0分。</w:t>
            </w:r>
          </w:p>
        </w:tc>
        <w:tc>
          <w:tcPr>
            <w:tcW w:w="650" w:type="dxa"/>
            <w:noWrap w:val="0"/>
            <w:vAlign w:val="center"/>
          </w:tcPr>
          <w:p w14:paraId="5A9EF5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6分</w:t>
            </w:r>
          </w:p>
        </w:tc>
        <w:tc>
          <w:tcPr>
            <w:tcW w:w="880" w:type="dxa"/>
            <w:noWrap w:val="0"/>
            <w:vAlign w:val="center"/>
          </w:tcPr>
          <w:p w14:paraId="532A07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highlight w:val="none"/>
                <w:lang w:val="en-US" w:eastAsia="zh-CN"/>
              </w:rPr>
            </w:pPr>
            <w:r>
              <w:rPr>
                <w:rFonts w:hint="eastAsia"/>
                <w:color w:val="auto"/>
                <w:sz w:val="21"/>
                <w:szCs w:val="21"/>
                <w:highlight w:val="none"/>
                <w:lang w:val="en-US" w:eastAsia="zh-CN"/>
              </w:rPr>
              <w:t>主观分</w:t>
            </w:r>
          </w:p>
        </w:tc>
      </w:tr>
    </w:tbl>
    <w:p w14:paraId="73DEFEBD">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color w:val="auto"/>
          <w:highlight w:val="none"/>
          <w:lang w:val="zh-CN"/>
        </w:rPr>
      </w:pPr>
    </w:p>
    <w:p w14:paraId="59ADF56E">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color w:val="auto"/>
          <w:highlight w:val="none"/>
          <w:lang w:val="zh-CN"/>
        </w:rPr>
      </w:pPr>
      <w:r>
        <w:rPr>
          <w:rFonts w:hint="eastAsia"/>
          <w:color w:val="auto"/>
          <w:highlight w:val="none"/>
          <w:lang w:val="zh-CN"/>
        </w:rPr>
        <w:t>（2）最后报价分</w:t>
      </w:r>
    </w:p>
    <w:tbl>
      <w:tblPr>
        <w:tblStyle w:val="53"/>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60"/>
        <w:gridCol w:w="4180"/>
        <w:gridCol w:w="804"/>
        <w:gridCol w:w="2169"/>
      </w:tblGrid>
      <w:tr w14:paraId="2974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804" w:type="dxa"/>
            <w:noWrap w:val="0"/>
            <w:vAlign w:val="center"/>
          </w:tcPr>
          <w:p w14:paraId="3863B5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b/>
                <w:color w:val="auto"/>
                <w:szCs w:val="21"/>
                <w:highlight w:val="none"/>
              </w:rPr>
              <w:t>序号</w:t>
            </w:r>
          </w:p>
        </w:tc>
        <w:tc>
          <w:tcPr>
            <w:tcW w:w="1460" w:type="dxa"/>
            <w:noWrap w:val="0"/>
            <w:vAlign w:val="center"/>
          </w:tcPr>
          <w:p w14:paraId="74E1F0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类型</w:t>
            </w:r>
          </w:p>
        </w:tc>
        <w:tc>
          <w:tcPr>
            <w:tcW w:w="4180" w:type="dxa"/>
            <w:noWrap w:val="0"/>
            <w:vAlign w:val="center"/>
          </w:tcPr>
          <w:p w14:paraId="4452B5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评分标准</w:t>
            </w:r>
          </w:p>
        </w:tc>
        <w:tc>
          <w:tcPr>
            <w:tcW w:w="804" w:type="dxa"/>
            <w:noWrap w:val="0"/>
            <w:vAlign w:val="center"/>
          </w:tcPr>
          <w:p w14:paraId="4DF7A4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分值权重</w:t>
            </w:r>
          </w:p>
        </w:tc>
        <w:tc>
          <w:tcPr>
            <w:tcW w:w="2169" w:type="dxa"/>
            <w:noWrap w:val="0"/>
            <w:vAlign w:val="center"/>
          </w:tcPr>
          <w:p w14:paraId="08B8EA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b/>
                <w:color w:val="auto"/>
                <w:szCs w:val="21"/>
                <w:highlight w:val="none"/>
              </w:rPr>
              <w:t>说明</w:t>
            </w:r>
          </w:p>
        </w:tc>
      </w:tr>
      <w:tr w14:paraId="4E14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804" w:type="dxa"/>
            <w:noWrap w:val="0"/>
            <w:vAlign w:val="center"/>
          </w:tcPr>
          <w:p w14:paraId="71B20F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1</w:t>
            </w:r>
          </w:p>
        </w:tc>
        <w:tc>
          <w:tcPr>
            <w:tcW w:w="1460" w:type="dxa"/>
            <w:noWrap w:val="0"/>
            <w:vAlign w:val="center"/>
          </w:tcPr>
          <w:p w14:paraId="1A047AEF">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szCs w:val="21"/>
                <w:highlight w:val="none"/>
              </w:rPr>
              <w:t>响应报价分</w:t>
            </w:r>
          </w:p>
        </w:tc>
        <w:tc>
          <w:tcPr>
            <w:tcW w:w="4180" w:type="dxa"/>
            <w:noWrap w:val="0"/>
            <w:vAlign w:val="center"/>
          </w:tcPr>
          <w:p w14:paraId="3F6356CC">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szCs w:val="21"/>
                <w:highlight w:val="none"/>
              </w:rPr>
              <w:t>以满足采购文件要求且响应价格最低的响应报价为评审基准价，其价格分为满分。其他供应商的价格分统一按照下列公式计算：响应报价得分</w:t>
            </w:r>
            <w:r>
              <w:rPr>
                <w:color w:val="auto"/>
                <w:szCs w:val="21"/>
                <w:highlight w:val="none"/>
              </w:rPr>
              <w:t>=（评审基准价/响应报价）×响应报价分满分分值。</w:t>
            </w:r>
          </w:p>
        </w:tc>
        <w:tc>
          <w:tcPr>
            <w:tcW w:w="804" w:type="dxa"/>
            <w:noWrap w:val="0"/>
            <w:vAlign w:val="center"/>
          </w:tcPr>
          <w:p w14:paraId="7F10C99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Cs w:val="21"/>
                <w:highlight w:val="none"/>
                <w:lang w:val="en-US" w:eastAsia="zh-CN"/>
              </w:rPr>
            </w:pPr>
            <w:r>
              <w:rPr>
                <w:rFonts w:hint="eastAsia"/>
                <w:color w:val="auto"/>
                <w:szCs w:val="21"/>
                <w:highlight w:val="none"/>
                <w:lang w:val="en-US" w:eastAsia="zh-CN"/>
              </w:rPr>
              <w:t>10分</w:t>
            </w:r>
          </w:p>
        </w:tc>
        <w:tc>
          <w:tcPr>
            <w:tcW w:w="2169" w:type="dxa"/>
            <w:noWrap w:val="0"/>
            <w:vAlign w:val="center"/>
          </w:tcPr>
          <w:p w14:paraId="102F842D">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p>
        </w:tc>
      </w:tr>
    </w:tbl>
    <w:p w14:paraId="26E4F5DA">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color w:val="auto"/>
          <w:highlight w:val="none"/>
        </w:rPr>
      </w:pPr>
    </w:p>
    <w:p w14:paraId="3B5E87BF">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综合得分</w:t>
      </w:r>
    </w:p>
    <w:tbl>
      <w:tblPr>
        <w:tblStyle w:val="53"/>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136"/>
        <w:gridCol w:w="3133"/>
        <w:gridCol w:w="2145"/>
      </w:tblGrid>
      <w:tr w14:paraId="32F4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24" w:type="dxa"/>
            <w:noWrap w:val="0"/>
            <w:vAlign w:val="center"/>
          </w:tcPr>
          <w:p w14:paraId="2ECA94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分项</w:t>
            </w:r>
          </w:p>
        </w:tc>
        <w:tc>
          <w:tcPr>
            <w:tcW w:w="3136" w:type="dxa"/>
            <w:noWrap w:val="0"/>
            <w:vAlign w:val="center"/>
          </w:tcPr>
          <w:p w14:paraId="4F6D7F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技术及商务资信分</w:t>
            </w:r>
          </w:p>
        </w:tc>
        <w:tc>
          <w:tcPr>
            <w:tcW w:w="3133" w:type="dxa"/>
            <w:noWrap w:val="0"/>
            <w:vAlign w:val="center"/>
          </w:tcPr>
          <w:p w14:paraId="6EF46C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响应报价得分</w:t>
            </w:r>
          </w:p>
        </w:tc>
        <w:tc>
          <w:tcPr>
            <w:tcW w:w="2145" w:type="dxa"/>
            <w:noWrap w:val="0"/>
            <w:vAlign w:val="center"/>
          </w:tcPr>
          <w:p w14:paraId="2069EA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总分</w:t>
            </w:r>
          </w:p>
        </w:tc>
      </w:tr>
      <w:tr w14:paraId="77BB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824" w:type="dxa"/>
            <w:noWrap w:val="0"/>
            <w:vAlign w:val="center"/>
          </w:tcPr>
          <w:p w14:paraId="62EF64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分值</w:t>
            </w:r>
          </w:p>
        </w:tc>
        <w:tc>
          <w:tcPr>
            <w:tcW w:w="3136" w:type="dxa"/>
            <w:noWrap w:val="0"/>
            <w:vAlign w:val="center"/>
          </w:tcPr>
          <w:p w14:paraId="6DF9D8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90</w:t>
            </w:r>
          </w:p>
        </w:tc>
        <w:tc>
          <w:tcPr>
            <w:tcW w:w="3133" w:type="dxa"/>
            <w:noWrap w:val="0"/>
            <w:vAlign w:val="center"/>
          </w:tcPr>
          <w:p w14:paraId="7C6E4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10</w:t>
            </w:r>
          </w:p>
        </w:tc>
        <w:tc>
          <w:tcPr>
            <w:tcW w:w="2145" w:type="dxa"/>
            <w:noWrap w:val="0"/>
            <w:vAlign w:val="center"/>
          </w:tcPr>
          <w:p w14:paraId="0D8647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100</w:t>
            </w:r>
          </w:p>
        </w:tc>
      </w:tr>
      <w:tr w14:paraId="6974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9238" w:type="dxa"/>
            <w:gridSpan w:val="4"/>
            <w:noWrap w:val="0"/>
            <w:vAlign w:val="center"/>
          </w:tcPr>
          <w:p w14:paraId="72E56A40">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szCs w:val="21"/>
                <w:highlight w:val="none"/>
              </w:rPr>
              <w:t>综合得分</w:t>
            </w:r>
            <w:r>
              <w:rPr>
                <w:color w:val="auto"/>
                <w:szCs w:val="21"/>
                <w:highlight w:val="none"/>
              </w:rPr>
              <w:t>=</w:t>
            </w:r>
            <w:r>
              <w:rPr>
                <w:rFonts w:hint="eastAsia"/>
                <w:color w:val="auto"/>
                <w:szCs w:val="21"/>
                <w:highlight w:val="none"/>
              </w:rPr>
              <w:t>技术及商务资信分+响应报价得分（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tbl>
    <w:p w14:paraId="7461880B">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color w:val="auto"/>
          <w:highlight w:val="none"/>
        </w:rPr>
      </w:pPr>
      <w:r>
        <w:rPr>
          <w:color w:val="auto"/>
          <w:highlight w:val="none"/>
        </w:rPr>
        <w:t>4.1</w:t>
      </w:r>
      <w:r>
        <w:rPr>
          <w:rFonts w:hint="eastAsia"/>
          <w:color w:val="auto"/>
          <w:highlight w:val="none"/>
        </w:rPr>
        <w:t>偏离认定说明</w:t>
      </w:r>
    </w:p>
    <w:p w14:paraId="6FBB9F1D">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color w:val="auto"/>
          <w:szCs w:val="21"/>
          <w:highlight w:val="none"/>
        </w:rPr>
      </w:pPr>
      <w:r>
        <w:rPr>
          <w:rFonts w:hint="eastAsia"/>
          <w:color w:val="auto"/>
          <w:szCs w:val="21"/>
          <w:highlight w:val="none"/>
        </w:rPr>
        <w:t>供应商根据采购需求中技术参数为基准，填写响应表，对于响应表或证明材料与技术参数不符的，按如下规定：</w:t>
      </w:r>
    </w:p>
    <w:p w14:paraId="6803F6C2">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78D02F78">
      <w:pPr>
        <w:spacing w:before="120" w:line="360" w:lineRule="auto"/>
        <w:ind w:firstLine="420" w:firstLineChars="200"/>
        <w:rPr>
          <w:color w:val="auto"/>
          <w:szCs w:val="21"/>
          <w:highlight w:val="none"/>
        </w:rPr>
      </w:pPr>
      <w:r>
        <w:rPr>
          <w:rFonts w:hint="eastAsia"/>
          <w:color w:val="auto"/>
          <w:szCs w:val="21"/>
          <w:highlight w:val="none"/>
        </w:rPr>
        <w:t>（2）响应表中响应的内容与证明材料不一致的，以证明材料为准作为评审依据。</w:t>
      </w:r>
    </w:p>
    <w:p w14:paraId="04B06A3B">
      <w:pPr>
        <w:spacing w:before="120" w:line="360" w:lineRule="auto"/>
        <w:ind w:firstLine="420" w:firstLineChars="200"/>
        <w:rPr>
          <w:color w:val="auto"/>
          <w:szCs w:val="21"/>
          <w:highlight w:val="none"/>
        </w:rPr>
      </w:pPr>
      <w:r>
        <w:rPr>
          <w:rFonts w:hint="eastAsia"/>
          <w:color w:val="auto"/>
          <w:szCs w:val="21"/>
          <w:highlight w:val="none"/>
        </w:rPr>
        <w:t>（3）同时出现以上两种情况的，按照（1）-（2）顺序认定。</w:t>
      </w:r>
    </w:p>
    <w:p w14:paraId="2E53E816">
      <w:pPr>
        <w:spacing w:before="120"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14:paraId="754E1C5C">
      <w:pPr>
        <w:spacing w:before="120"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）一项技术参数有多条小项要求的，必须全部响应。如只响应部分参数，视为漏项。评审时以每一条技术参数为评审依据。</w:t>
      </w:r>
    </w:p>
    <w:p w14:paraId="4E5504F8">
      <w:pPr>
        <w:pStyle w:val="28"/>
        <w:snapToGrid w:val="0"/>
        <w:spacing w:before="120" w:after="120" w:line="320" w:lineRule="exact"/>
        <w:ind w:firstLine="420" w:firstLineChars="200"/>
        <w:jc w:val="both"/>
        <w:outlineLvl w:val="0"/>
        <w:rPr>
          <w:rFonts w:hint="eastAsia"/>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）如采购需求中技术参数有特殊要求与上述说明不一致的，以特殊要求为准。</w:t>
      </w:r>
    </w:p>
    <w:p w14:paraId="2C42A7C2">
      <w:pPr>
        <w:jc w:val="center"/>
        <w:outlineLvl w:val="0"/>
        <w:rPr>
          <w:rFonts w:ascii="Times New Roman" w:hAnsi="Times New Roman" w:cs="Times New Roman"/>
          <w:color w:val="auto"/>
          <w:sz w:val="32"/>
          <w:szCs w:val="32"/>
          <w:highlight w:val="none"/>
        </w:rPr>
      </w:pPr>
      <w:r>
        <w:rPr>
          <w:color w:val="auto"/>
          <w:highlight w:val="none"/>
        </w:rPr>
        <w:br w:type="page"/>
      </w:r>
      <w:bookmarkStart w:id="91" w:name="_Toc30217"/>
      <w:r>
        <w:rPr>
          <w:rFonts w:ascii="Times New Roman" w:hAnsi="Times New Roman" w:cs="Times New Roman"/>
          <w:color w:val="auto"/>
          <w:sz w:val="32"/>
          <w:szCs w:val="32"/>
          <w:highlight w:val="none"/>
        </w:rPr>
        <w:t>第五章  合同主要条款格式</w:t>
      </w:r>
      <w:bookmarkEnd w:id="91"/>
    </w:p>
    <w:p w14:paraId="5CDCA716">
      <w:pPr>
        <w:spacing w:before="64" w:line="228" w:lineRule="auto"/>
        <w:ind w:left="3206"/>
        <w:outlineLvl w:val="1"/>
        <w:rPr>
          <w:rFonts w:hint="eastAsia" w:ascii="宋体" w:hAnsi="宋体" w:eastAsia="宋体" w:cs="宋体"/>
          <w:color w:val="auto"/>
          <w:sz w:val="31"/>
          <w:szCs w:val="31"/>
          <w:highlight w:val="none"/>
        </w:rPr>
      </w:pPr>
      <w:r>
        <w:rPr>
          <w:rFonts w:hint="eastAsia" w:ascii="宋体" w:hAnsi="宋体" w:cs="宋体"/>
          <w:color w:val="auto"/>
          <w:spacing w:val="7"/>
          <w:sz w:val="31"/>
          <w:szCs w:val="31"/>
          <w:highlight w:val="none"/>
          <w:lang w:val="en-US" w:eastAsia="zh-CN"/>
        </w:rPr>
        <w:t>参考</w:t>
      </w:r>
      <w:r>
        <w:rPr>
          <w:rFonts w:hint="eastAsia" w:ascii="宋体" w:hAnsi="宋体" w:eastAsia="宋体" w:cs="宋体"/>
          <w:color w:val="auto"/>
          <w:spacing w:val="7"/>
          <w:sz w:val="31"/>
          <w:szCs w:val="31"/>
          <w:highlight w:val="none"/>
        </w:rPr>
        <w:t>合同文本</w:t>
      </w:r>
    </w:p>
    <w:p w14:paraId="12347F2B">
      <w:pPr>
        <w:spacing w:before="220" w:line="231" w:lineRule="auto"/>
        <w:jc w:val="right"/>
        <w:outlineLvl w:val="1"/>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合同编号：</w:t>
      </w:r>
      <w:r>
        <w:rPr>
          <w:rFonts w:hint="eastAsia" w:ascii="宋体" w:hAnsi="宋体" w:eastAsia="宋体" w:cs="宋体"/>
          <w:color w:val="auto"/>
          <w:spacing w:val="-39"/>
          <w:sz w:val="20"/>
          <w:szCs w:val="20"/>
          <w:highlight w:val="none"/>
        </w:rPr>
        <w:t xml:space="preserve"> </w:t>
      </w:r>
    </w:p>
    <w:p w14:paraId="746A5B09">
      <w:pPr>
        <w:pStyle w:val="20"/>
        <w:spacing w:line="249" w:lineRule="auto"/>
        <w:rPr>
          <w:rFonts w:hint="eastAsia" w:ascii="宋体" w:hAnsi="宋体" w:eastAsia="宋体" w:cs="宋体"/>
          <w:color w:val="auto"/>
          <w:highlight w:val="none"/>
        </w:rPr>
      </w:pPr>
    </w:p>
    <w:p w14:paraId="45C3BCB0">
      <w:pPr>
        <w:spacing w:before="65" w:line="229" w:lineRule="auto"/>
        <w:ind w:left="1"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采购单位（甲方</w:t>
      </w:r>
      <w:r>
        <w:rPr>
          <w:rFonts w:hint="eastAsia" w:ascii="宋体" w:hAnsi="宋体" w:eastAsia="宋体" w:cs="宋体"/>
          <w:color w:val="auto"/>
          <w:spacing w:val="-2"/>
          <w:sz w:val="20"/>
          <w:szCs w:val="20"/>
          <w:highlight w:val="none"/>
        </w:rPr>
        <w:t>）</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2"/>
          <w:sz w:val="20"/>
          <w:szCs w:val="20"/>
          <w:highlight w:val="none"/>
        </w:rPr>
        <w:t>：</w:t>
      </w:r>
      <w:r>
        <w:rPr>
          <w:rFonts w:hint="eastAsia" w:ascii="宋体" w:hAnsi="宋体" w:cs="宋体"/>
          <w:color w:val="auto"/>
          <w:spacing w:val="-2"/>
          <w:sz w:val="20"/>
          <w:szCs w:val="20"/>
          <w:highlight w:val="none"/>
          <w:u w:val="single"/>
          <w:lang w:eastAsia="zh-CN"/>
        </w:rPr>
        <w:t>贵港市职业教育中心</w:t>
      </w:r>
      <w:r>
        <w:rPr>
          <w:rFonts w:hint="eastAsia" w:ascii="宋体" w:hAnsi="宋体" w:eastAsia="宋体" w:cs="宋体"/>
          <w:color w:val="auto"/>
          <w:spacing w:val="5"/>
          <w:sz w:val="20"/>
          <w:szCs w:val="20"/>
          <w:highlight w:val="none"/>
          <w:u w:val="single"/>
        </w:rPr>
        <w:t xml:space="preserve">  </w:t>
      </w:r>
      <w:r>
        <w:rPr>
          <w:rFonts w:hint="eastAsia" w:ascii="宋体" w:hAnsi="宋体" w:eastAsia="宋体" w:cs="宋体"/>
          <w:color w:val="auto"/>
          <w:spacing w:val="5"/>
          <w:sz w:val="20"/>
          <w:szCs w:val="20"/>
          <w:highlight w:val="none"/>
        </w:rPr>
        <w:t xml:space="preserve">      </w:t>
      </w:r>
      <w:r>
        <w:rPr>
          <w:rFonts w:hint="eastAsia" w:ascii="宋体" w:hAnsi="宋体" w:eastAsia="宋体" w:cs="宋体"/>
          <w:color w:val="auto"/>
          <w:spacing w:val="4"/>
          <w:sz w:val="20"/>
          <w:szCs w:val="20"/>
          <w:highlight w:val="none"/>
        </w:rPr>
        <w:t xml:space="preserve">  采购计划号：</w:t>
      </w:r>
      <w:r>
        <w:rPr>
          <w:rFonts w:hint="eastAsia" w:ascii="宋体" w:hAnsi="宋体" w:eastAsia="宋体" w:cs="宋体"/>
          <w:color w:val="auto"/>
          <w:spacing w:val="4"/>
          <w:sz w:val="20"/>
          <w:szCs w:val="20"/>
          <w:highlight w:val="none"/>
          <w:u w:val="single" w:color="auto"/>
        </w:rPr>
        <w:t xml:space="preserve">                    </w:t>
      </w:r>
    </w:p>
    <w:p w14:paraId="30EB6AB7">
      <w:pPr>
        <w:spacing w:before="159" w:line="232" w:lineRule="auto"/>
        <w:ind w:firstLine="376" w:firstLineChars="200"/>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供</w:t>
      </w:r>
      <w:r>
        <w:rPr>
          <w:rFonts w:hint="eastAsia" w:ascii="宋体" w:hAnsi="宋体" w:eastAsia="宋体" w:cs="宋体"/>
          <w:color w:val="auto"/>
          <w:spacing w:val="20"/>
          <w:sz w:val="20"/>
          <w:szCs w:val="20"/>
          <w:highlight w:val="none"/>
        </w:rPr>
        <w:t xml:space="preserve"> </w:t>
      </w:r>
      <w:r>
        <w:rPr>
          <w:rFonts w:hint="eastAsia" w:ascii="宋体" w:hAnsi="宋体" w:eastAsia="宋体" w:cs="宋体"/>
          <w:color w:val="auto"/>
          <w:spacing w:val="-6"/>
          <w:sz w:val="20"/>
          <w:szCs w:val="20"/>
          <w:highlight w:val="none"/>
        </w:rPr>
        <w:t>应</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6"/>
          <w:sz w:val="20"/>
          <w:szCs w:val="20"/>
          <w:highlight w:val="none"/>
        </w:rPr>
        <w:t>商（乙方</w:t>
      </w:r>
      <w:r>
        <w:rPr>
          <w:rFonts w:hint="eastAsia" w:ascii="宋体" w:hAnsi="宋体" w:eastAsia="宋体" w:cs="宋体"/>
          <w:color w:val="auto"/>
          <w:spacing w:val="-2"/>
          <w:sz w:val="20"/>
          <w:szCs w:val="20"/>
          <w:highlight w:val="none"/>
        </w:rPr>
        <w:t>）</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2"/>
          <w:sz w:val="20"/>
          <w:szCs w:val="20"/>
          <w:highlight w:val="none"/>
        </w:rPr>
        <w:t>：</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6"/>
          <w:sz w:val="20"/>
          <w:szCs w:val="20"/>
          <w:highlight w:val="none"/>
        </w:rPr>
        <w:t>项 目</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6"/>
          <w:sz w:val="20"/>
          <w:szCs w:val="20"/>
          <w:highlight w:val="none"/>
        </w:rPr>
        <w:t>编</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6"/>
          <w:sz w:val="20"/>
          <w:szCs w:val="20"/>
          <w:highlight w:val="none"/>
        </w:rPr>
        <w:t xml:space="preserve">号 ： </w:t>
      </w:r>
      <w:r>
        <w:rPr>
          <w:rFonts w:hint="eastAsia" w:ascii="宋体" w:hAnsi="宋体" w:eastAsia="宋体" w:cs="宋体"/>
          <w:color w:val="auto"/>
          <w:spacing w:val="-6"/>
          <w:sz w:val="20"/>
          <w:szCs w:val="20"/>
          <w:highlight w:val="none"/>
          <w:u w:val="single" w:color="auto"/>
        </w:rPr>
        <w:t xml:space="preserve">                    </w:t>
      </w:r>
    </w:p>
    <w:p w14:paraId="458DC68F">
      <w:pPr>
        <w:spacing w:before="157" w:line="231" w:lineRule="auto"/>
        <w:ind w:left="5" w:firstLine="404" w:firstLineChars="200"/>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签  订</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1"/>
          <w:sz w:val="20"/>
          <w:szCs w:val="20"/>
          <w:highlight w:val="none"/>
        </w:rPr>
        <w:t>地</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1"/>
          <w:sz w:val="20"/>
          <w:szCs w:val="20"/>
          <w:highlight w:val="none"/>
          <w:u w:val="none" w:color="auto"/>
        </w:rPr>
        <w:t>点</w:t>
      </w:r>
      <w:r>
        <w:rPr>
          <w:rFonts w:hint="eastAsia" w:ascii="宋体" w:hAnsi="宋体" w:eastAsia="宋体" w:cs="宋体"/>
          <w:color w:val="auto"/>
          <w:spacing w:val="1"/>
          <w:sz w:val="20"/>
          <w:szCs w:val="20"/>
          <w:highlight w:val="none"/>
          <w:u w:val="single" w:color="auto"/>
        </w:rPr>
        <w:t>：</w:t>
      </w:r>
      <w:r>
        <w:rPr>
          <w:rFonts w:hint="eastAsia" w:ascii="宋体" w:hAnsi="宋体" w:cs="宋体"/>
          <w:color w:val="auto"/>
          <w:spacing w:val="1"/>
          <w:sz w:val="20"/>
          <w:szCs w:val="20"/>
          <w:highlight w:val="none"/>
          <w:u w:val="single" w:color="auto"/>
          <w:lang w:eastAsia="zh-CN"/>
        </w:rPr>
        <w:t>贵港市职业教育中心</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u w:val="none" w:color="auto"/>
        </w:rPr>
        <w:t xml:space="preserve">    </w:t>
      </w:r>
      <w:r>
        <w:rPr>
          <w:rFonts w:hint="eastAsia" w:ascii="宋体" w:hAnsi="宋体" w:eastAsia="宋体" w:cs="宋体"/>
          <w:color w:val="auto"/>
          <w:spacing w:val="1"/>
          <w:sz w:val="20"/>
          <w:szCs w:val="20"/>
          <w:highlight w:val="none"/>
        </w:rPr>
        <w:t xml:space="preserve">       签</w:t>
      </w:r>
      <w:r>
        <w:rPr>
          <w:rFonts w:hint="eastAsia" w:ascii="宋体" w:hAnsi="宋体" w:eastAsia="宋体" w:cs="宋体"/>
          <w:color w:val="auto"/>
          <w:sz w:val="20"/>
          <w:szCs w:val="20"/>
          <w:highlight w:val="none"/>
        </w:rPr>
        <w:t xml:space="preserve"> 订</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z w:val="20"/>
          <w:szCs w:val="20"/>
          <w:highlight w:val="none"/>
        </w:rPr>
        <w:t>时</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z w:val="20"/>
          <w:szCs w:val="20"/>
          <w:highlight w:val="none"/>
        </w:rPr>
        <w:t xml:space="preserve">间; </w:t>
      </w:r>
      <w:r>
        <w:rPr>
          <w:rFonts w:hint="eastAsia" w:ascii="宋体" w:hAnsi="宋体" w:eastAsia="宋体" w:cs="宋体"/>
          <w:color w:val="auto"/>
          <w:sz w:val="20"/>
          <w:szCs w:val="20"/>
          <w:highlight w:val="none"/>
          <w:u w:val="single" w:color="auto"/>
        </w:rPr>
        <w:t xml:space="preserve">                   </w:t>
      </w:r>
    </w:p>
    <w:bookmarkEnd w:id="0"/>
    <w:bookmarkEnd w:id="1"/>
    <w:bookmarkEnd w:id="85"/>
    <w:bookmarkEnd w:id="86"/>
    <w:p w14:paraId="7E74046E">
      <w:pPr>
        <w:pStyle w:val="28"/>
        <w:spacing w:line="420" w:lineRule="exact"/>
        <w:ind w:firstLine="420" w:firstLineChars="200"/>
        <w:rPr>
          <w:rFonts w:hint="eastAsia" w:ascii="宋体" w:hAnsi="宋体" w:eastAsia="宋体" w:cs="宋体"/>
          <w:color w:val="auto"/>
          <w:highlight w:val="none"/>
        </w:rPr>
      </w:pPr>
      <w:bookmarkStart w:id="92" w:name="_Toc26903"/>
      <w:r>
        <w:rPr>
          <w:rFonts w:hint="eastAsia" w:ascii="宋体" w:hAnsi="宋体" w:eastAsia="宋体" w:cs="宋体"/>
          <w:color w:val="auto"/>
          <w:highlight w:val="none"/>
        </w:rPr>
        <w:t>根据《中华人民共和国政府采购法》等法律、法规规定，按照采购文件规定条款和乙方响应文件及其承诺，甲乙双方签订本合同。</w:t>
      </w:r>
    </w:p>
    <w:p w14:paraId="47F41755">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项目概况及服务范围</w:t>
      </w:r>
    </w:p>
    <w:p w14:paraId="4E0B7F64">
      <w:pPr>
        <w:snapToGrid w:val="0"/>
        <w:spacing w:line="36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1.项目名</w:t>
      </w:r>
      <w:r>
        <w:rPr>
          <w:rFonts w:hint="eastAsia" w:ascii="宋体" w:hAnsi="宋体" w:eastAsia="宋体" w:cs="宋体"/>
          <w:color w:val="auto"/>
          <w:szCs w:val="21"/>
          <w:highlight w:val="none"/>
          <w:u w:val="single"/>
        </w:rPr>
        <w:t>称：</w:t>
      </w:r>
      <w:r>
        <w:rPr>
          <w:rFonts w:hint="eastAsia" w:ascii="宋体" w:hAnsi="宋体" w:cs="宋体"/>
          <w:color w:val="auto"/>
          <w:szCs w:val="21"/>
          <w:highlight w:val="none"/>
          <w:u w:val="single"/>
          <w:lang w:val="en-US" w:eastAsia="zh-CN"/>
        </w:rPr>
        <w:t xml:space="preserve">                     </w:t>
      </w:r>
    </w:p>
    <w:p w14:paraId="60BDF078">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2.服务内容及范围：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B788F1F">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E755644">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4.交付时间及地点：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D785986">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合同价格</w:t>
      </w:r>
      <w:r>
        <w:rPr>
          <w:rFonts w:hint="eastAsia" w:ascii="宋体" w:hAnsi="宋体" w:eastAsia="宋体" w:cs="宋体"/>
          <w:color w:val="auto"/>
          <w:szCs w:val="21"/>
          <w:highlight w:val="none"/>
        </w:rPr>
        <w:t>：</w:t>
      </w:r>
      <w:r>
        <w:rPr>
          <w:rFonts w:hint="eastAsia" w:cs="宋体"/>
          <w:color w:val="auto"/>
          <w:sz w:val="21"/>
          <w:szCs w:val="21"/>
          <w:highlight w:val="none"/>
        </w:rPr>
        <w:t>包含服务人员报酬及社会保险费用、管理费、培训费、利润、税费、风险及其他相关费用等全部费用</w:t>
      </w:r>
      <w:r>
        <w:rPr>
          <w:rFonts w:hint="eastAsia" w:ascii="宋体" w:hAnsi="宋体" w:eastAsia="宋体" w:cs="宋体"/>
          <w:color w:val="auto"/>
          <w:szCs w:val="21"/>
          <w:highlight w:val="none"/>
        </w:rPr>
        <w:t>。如采购文件对其另有规定的，从其规定。</w:t>
      </w:r>
    </w:p>
    <w:p w14:paraId="45E408F1">
      <w:pPr>
        <w:pStyle w:val="28"/>
        <w:spacing w:line="300" w:lineRule="exact"/>
        <w:ind w:firstLine="420" w:firstLineChars="200"/>
        <w:rPr>
          <w:rFonts w:hint="eastAsia" w:ascii="宋体" w:hAnsi="宋体" w:eastAsia="宋体" w:cs="宋体"/>
          <w:color w:val="auto"/>
          <w:highlight w:val="none"/>
        </w:rPr>
      </w:pPr>
      <w:bookmarkStart w:id="93" w:name="_Hlk77611311"/>
      <w:r>
        <w:rPr>
          <w:rFonts w:hint="eastAsia" w:ascii="宋体" w:hAnsi="宋体" w:eastAsia="宋体" w:cs="宋体"/>
          <w:color w:val="auto"/>
          <w:highlight w:val="none"/>
        </w:rPr>
        <w:t>6.合同价格形式：</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固定总价  □固定单价 □成本补偿 □绩效激励</w:t>
      </w:r>
      <w:bookmarkEnd w:id="93"/>
    </w:p>
    <w:p w14:paraId="5278A775">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服务交付成果（产品）清单</w:t>
      </w:r>
    </w:p>
    <w:tbl>
      <w:tblPr>
        <w:tblStyle w:val="5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83"/>
        <w:gridCol w:w="816"/>
        <w:gridCol w:w="1311"/>
        <w:gridCol w:w="1311"/>
        <w:gridCol w:w="1748"/>
        <w:gridCol w:w="1748"/>
      </w:tblGrid>
      <w:tr w14:paraId="17EB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02" w:type="dxa"/>
            <w:vAlign w:val="center"/>
          </w:tcPr>
          <w:p w14:paraId="5A32BB2C">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83" w:type="dxa"/>
            <w:vAlign w:val="center"/>
          </w:tcPr>
          <w:p w14:paraId="5DC1E20C">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服务（产品）名称</w:t>
            </w:r>
          </w:p>
        </w:tc>
        <w:tc>
          <w:tcPr>
            <w:tcW w:w="816" w:type="dxa"/>
            <w:vAlign w:val="center"/>
          </w:tcPr>
          <w:p w14:paraId="1A84E10C">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1311" w:type="dxa"/>
            <w:vAlign w:val="center"/>
          </w:tcPr>
          <w:p w14:paraId="22AAD030">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311" w:type="dxa"/>
            <w:vAlign w:val="center"/>
          </w:tcPr>
          <w:p w14:paraId="2FEA5B84">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价</w:t>
            </w:r>
          </w:p>
          <w:p w14:paraId="266C1220">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1748" w:type="dxa"/>
            <w:vAlign w:val="center"/>
          </w:tcPr>
          <w:p w14:paraId="3052A68F">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  价</w:t>
            </w:r>
          </w:p>
          <w:p w14:paraId="41BF2808">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1748" w:type="dxa"/>
          </w:tcPr>
          <w:p w14:paraId="5136639D">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245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3E00A8DE">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83" w:type="dxa"/>
            <w:vAlign w:val="center"/>
          </w:tcPr>
          <w:p w14:paraId="2ABB55F0">
            <w:pPr>
              <w:snapToGrid w:val="0"/>
              <w:spacing w:line="360" w:lineRule="exact"/>
              <w:jc w:val="center"/>
              <w:rPr>
                <w:rFonts w:hint="eastAsia" w:ascii="宋体" w:hAnsi="宋体" w:eastAsia="宋体" w:cs="宋体"/>
                <w:color w:val="auto"/>
                <w:szCs w:val="21"/>
                <w:highlight w:val="none"/>
              </w:rPr>
            </w:pPr>
          </w:p>
        </w:tc>
        <w:tc>
          <w:tcPr>
            <w:tcW w:w="816" w:type="dxa"/>
          </w:tcPr>
          <w:p w14:paraId="60B1E29D">
            <w:pPr>
              <w:snapToGrid w:val="0"/>
              <w:spacing w:line="360" w:lineRule="exact"/>
              <w:jc w:val="center"/>
              <w:rPr>
                <w:rFonts w:hint="eastAsia" w:ascii="宋体" w:hAnsi="宋体" w:eastAsia="宋体" w:cs="宋体"/>
                <w:color w:val="auto"/>
                <w:szCs w:val="21"/>
                <w:highlight w:val="none"/>
              </w:rPr>
            </w:pPr>
          </w:p>
        </w:tc>
        <w:tc>
          <w:tcPr>
            <w:tcW w:w="1311" w:type="dxa"/>
          </w:tcPr>
          <w:p w14:paraId="6BE906F5">
            <w:pPr>
              <w:snapToGrid w:val="0"/>
              <w:spacing w:line="360" w:lineRule="exact"/>
              <w:jc w:val="center"/>
              <w:rPr>
                <w:rFonts w:hint="eastAsia" w:ascii="宋体" w:hAnsi="宋体" w:eastAsia="宋体" w:cs="宋体"/>
                <w:color w:val="auto"/>
                <w:szCs w:val="21"/>
                <w:highlight w:val="none"/>
              </w:rPr>
            </w:pPr>
          </w:p>
        </w:tc>
        <w:tc>
          <w:tcPr>
            <w:tcW w:w="1311" w:type="dxa"/>
            <w:vAlign w:val="center"/>
          </w:tcPr>
          <w:p w14:paraId="1D61F750">
            <w:pPr>
              <w:snapToGrid w:val="0"/>
              <w:spacing w:line="360" w:lineRule="exact"/>
              <w:jc w:val="center"/>
              <w:rPr>
                <w:rFonts w:hint="eastAsia" w:ascii="宋体" w:hAnsi="宋体" w:eastAsia="宋体" w:cs="宋体"/>
                <w:color w:val="auto"/>
                <w:szCs w:val="21"/>
                <w:highlight w:val="none"/>
              </w:rPr>
            </w:pPr>
          </w:p>
        </w:tc>
        <w:tc>
          <w:tcPr>
            <w:tcW w:w="1748" w:type="dxa"/>
            <w:vAlign w:val="center"/>
          </w:tcPr>
          <w:p w14:paraId="66BDD840">
            <w:pPr>
              <w:snapToGrid w:val="0"/>
              <w:spacing w:line="360" w:lineRule="exact"/>
              <w:jc w:val="center"/>
              <w:rPr>
                <w:rFonts w:hint="eastAsia" w:ascii="宋体" w:hAnsi="宋体" w:eastAsia="宋体" w:cs="宋体"/>
                <w:color w:val="auto"/>
                <w:szCs w:val="21"/>
                <w:highlight w:val="none"/>
              </w:rPr>
            </w:pPr>
          </w:p>
        </w:tc>
        <w:tc>
          <w:tcPr>
            <w:tcW w:w="1748" w:type="dxa"/>
            <w:vMerge w:val="restart"/>
          </w:tcPr>
          <w:p w14:paraId="66A9B3FA">
            <w:pPr>
              <w:snapToGrid w:val="0"/>
              <w:spacing w:line="360" w:lineRule="exact"/>
              <w:jc w:val="left"/>
              <w:rPr>
                <w:rFonts w:hint="eastAsia" w:ascii="宋体" w:hAnsi="宋体" w:eastAsia="宋体" w:cs="宋体"/>
                <w:color w:val="auto"/>
                <w:szCs w:val="21"/>
                <w:highlight w:val="none"/>
              </w:rPr>
            </w:pPr>
          </w:p>
        </w:tc>
      </w:tr>
      <w:tr w14:paraId="569A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31477347">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83" w:type="dxa"/>
            <w:vAlign w:val="center"/>
          </w:tcPr>
          <w:p w14:paraId="7DE3D513">
            <w:pPr>
              <w:snapToGrid w:val="0"/>
              <w:spacing w:line="360" w:lineRule="exact"/>
              <w:jc w:val="center"/>
              <w:rPr>
                <w:rFonts w:hint="eastAsia" w:ascii="宋体" w:hAnsi="宋体" w:eastAsia="宋体" w:cs="宋体"/>
                <w:color w:val="auto"/>
                <w:szCs w:val="21"/>
                <w:highlight w:val="none"/>
              </w:rPr>
            </w:pPr>
          </w:p>
        </w:tc>
        <w:tc>
          <w:tcPr>
            <w:tcW w:w="816" w:type="dxa"/>
          </w:tcPr>
          <w:p w14:paraId="017BDE05">
            <w:pPr>
              <w:snapToGrid w:val="0"/>
              <w:spacing w:line="360" w:lineRule="exact"/>
              <w:jc w:val="center"/>
              <w:rPr>
                <w:rFonts w:hint="eastAsia" w:ascii="宋体" w:hAnsi="宋体" w:eastAsia="宋体" w:cs="宋体"/>
                <w:color w:val="auto"/>
                <w:szCs w:val="21"/>
                <w:highlight w:val="none"/>
              </w:rPr>
            </w:pPr>
          </w:p>
        </w:tc>
        <w:tc>
          <w:tcPr>
            <w:tcW w:w="1311" w:type="dxa"/>
          </w:tcPr>
          <w:p w14:paraId="075F8F6D">
            <w:pPr>
              <w:snapToGrid w:val="0"/>
              <w:spacing w:line="360" w:lineRule="exact"/>
              <w:jc w:val="center"/>
              <w:rPr>
                <w:rFonts w:hint="eastAsia" w:ascii="宋体" w:hAnsi="宋体" w:eastAsia="宋体" w:cs="宋体"/>
                <w:color w:val="auto"/>
                <w:szCs w:val="21"/>
                <w:highlight w:val="none"/>
              </w:rPr>
            </w:pPr>
          </w:p>
        </w:tc>
        <w:tc>
          <w:tcPr>
            <w:tcW w:w="1311" w:type="dxa"/>
            <w:vAlign w:val="center"/>
          </w:tcPr>
          <w:p w14:paraId="40A51EA2">
            <w:pPr>
              <w:snapToGrid w:val="0"/>
              <w:spacing w:line="360" w:lineRule="exact"/>
              <w:jc w:val="center"/>
              <w:rPr>
                <w:rFonts w:hint="eastAsia" w:ascii="宋体" w:hAnsi="宋体" w:eastAsia="宋体" w:cs="宋体"/>
                <w:color w:val="auto"/>
                <w:szCs w:val="21"/>
                <w:highlight w:val="none"/>
              </w:rPr>
            </w:pPr>
          </w:p>
        </w:tc>
        <w:tc>
          <w:tcPr>
            <w:tcW w:w="1748" w:type="dxa"/>
            <w:vAlign w:val="center"/>
          </w:tcPr>
          <w:p w14:paraId="2970E351">
            <w:pPr>
              <w:snapToGrid w:val="0"/>
              <w:spacing w:line="360" w:lineRule="exact"/>
              <w:jc w:val="center"/>
              <w:rPr>
                <w:rFonts w:hint="eastAsia" w:ascii="宋体" w:hAnsi="宋体" w:eastAsia="宋体" w:cs="宋体"/>
                <w:color w:val="auto"/>
                <w:szCs w:val="21"/>
                <w:highlight w:val="none"/>
              </w:rPr>
            </w:pPr>
          </w:p>
        </w:tc>
        <w:tc>
          <w:tcPr>
            <w:tcW w:w="1748" w:type="dxa"/>
            <w:vMerge w:val="continue"/>
          </w:tcPr>
          <w:p w14:paraId="504218C3">
            <w:pPr>
              <w:snapToGrid w:val="0"/>
              <w:spacing w:line="360" w:lineRule="exact"/>
              <w:jc w:val="center"/>
              <w:rPr>
                <w:rFonts w:hint="eastAsia" w:ascii="宋体" w:hAnsi="宋体" w:eastAsia="宋体" w:cs="宋体"/>
                <w:color w:val="auto"/>
                <w:szCs w:val="21"/>
                <w:highlight w:val="none"/>
              </w:rPr>
            </w:pPr>
          </w:p>
        </w:tc>
      </w:tr>
      <w:tr w14:paraId="734B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6CBFC9E8">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3" w:type="dxa"/>
            <w:vAlign w:val="center"/>
          </w:tcPr>
          <w:p w14:paraId="639DEF1C">
            <w:pPr>
              <w:snapToGrid w:val="0"/>
              <w:spacing w:line="360" w:lineRule="exact"/>
              <w:jc w:val="center"/>
              <w:rPr>
                <w:rFonts w:hint="eastAsia" w:ascii="宋体" w:hAnsi="宋体" w:eastAsia="宋体" w:cs="宋体"/>
                <w:color w:val="auto"/>
                <w:szCs w:val="21"/>
                <w:highlight w:val="none"/>
              </w:rPr>
            </w:pPr>
          </w:p>
        </w:tc>
        <w:tc>
          <w:tcPr>
            <w:tcW w:w="816" w:type="dxa"/>
          </w:tcPr>
          <w:p w14:paraId="1F553A55">
            <w:pPr>
              <w:snapToGrid w:val="0"/>
              <w:spacing w:line="360" w:lineRule="exact"/>
              <w:jc w:val="center"/>
              <w:rPr>
                <w:rFonts w:hint="eastAsia" w:ascii="宋体" w:hAnsi="宋体" w:eastAsia="宋体" w:cs="宋体"/>
                <w:color w:val="auto"/>
                <w:szCs w:val="21"/>
                <w:highlight w:val="none"/>
              </w:rPr>
            </w:pPr>
          </w:p>
        </w:tc>
        <w:tc>
          <w:tcPr>
            <w:tcW w:w="1311" w:type="dxa"/>
          </w:tcPr>
          <w:p w14:paraId="77357A8C">
            <w:pPr>
              <w:snapToGrid w:val="0"/>
              <w:spacing w:line="360" w:lineRule="exact"/>
              <w:jc w:val="center"/>
              <w:rPr>
                <w:rFonts w:hint="eastAsia" w:ascii="宋体" w:hAnsi="宋体" w:eastAsia="宋体" w:cs="宋体"/>
                <w:color w:val="auto"/>
                <w:szCs w:val="21"/>
                <w:highlight w:val="none"/>
              </w:rPr>
            </w:pPr>
          </w:p>
        </w:tc>
        <w:tc>
          <w:tcPr>
            <w:tcW w:w="1311" w:type="dxa"/>
            <w:vAlign w:val="center"/>
          </w:tcPr>
          <w:p w14:paraId="7D712A56">
            <w:pPr>
              <w:snapToGrid w:val="0"/>
              <w:spacing w:line="360" w:lineRule="exact"/>
              <w:jc w:val="center"/>
              <w:rPr>
                <w:rFonts w:hint="eastAsia" w:ascii="宋体" w:hAnsi="宋体" w:eastAsia="宋体" w:cs="宋体"/>
                <w:color w:val="auto"/>
                <w:szCs w:val="21"/>
                <w:highlight w:val="none"/>
              </w:rPr>
            </w:pPr>
          </w:p>
        </w:tc>
        <w:tc>
          <w:tcPr>
            <w:tcW w:w="1748" w:type="dxa"/>
            <w:vAlign w:val="center"/>
          </w:tcPr>
          <w:p w14:paraId="4ACC713A">
            <w:pPr>
              <w:snapToGrid w:val="0"/>
              <w:spacing w:line="360" w:lineRule="exact"/>
              <w:jc w:val="center"/>
              <w:rPr>
                <w:rFonts w:hint="eastAsia" w:ascii="宋体" w:hAnsi="宋体" w:eastAsia="宋体" w:cs="宋体"/>
                <w:color w:val="auto"/>
                <w:szCs w:val="21"/>
                <w:highlight w:val="none"/>
              </w:rPr>
            </w:pPr>
          </w:p>
        </w:tc>
        <w:tc>
          <w:tcPr>
            <w:tcW w:w="1748" w:type="dxa"/>
            <w:vMerge w:val="continue"/>
          </w:tcPr>
          <w:p w14:paraId="682E1240">
            <w:pPr>
              <w:snapToGrid w:val="0"/>
              <w:spacing w:line="360" w:lineRule="exact"/>
              <w:jc w:val="center"/>
              <w:rPr>
                <w:rFonts w:hint="eastAsia" w:ascii="宋体" w:hAnsi="宋体" w:eastAsia="宋体" w:cs="宋体"/>
                <w:color w:val="auto"/>
                <w:szCs w:val="21"/>
                <w:highlight w:val="none"/>
              </w:rPr>
            </w:pPr>
          </w:p>
        </w:tc>
      </w:tr>
      <w:tr w14:paraId="36D5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66E00445">
            <w:pPr>
              <w:snapToGrid w:val="0"/>
              <w:spacing w:line="360" w:lineRule="exact"/>
              <w:jc w:val="center"/>
              <w:rPr>
                <w:rFonts w:hint="eastAsia" w:ascii="宋体" w:hAnsi="宋体" w:eastAsia="宋体" w:cs="宋体"/>
                <w:color w:val="auto"/>
                <w:szCs w:val="21"/>
                <w:highlight w:val="none"/>
              </w:rPr>
            </w:pPr>
          </w:p>
        </w:tc>
        <w:tc>
          <w:tcPr>
            <w:tcW w:w="8517" w:type="dxa"/>
            <w:gridSpan w:val="6"/>
            <w:vAlign w:val="center"/>
          </w:tcPr>
          <w:p w14:paraId="72D1521D">
            <w:pPr>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人民币合计金额（大写）                          （小写）</w:t>
            </w:r>
          </w:p>
        </w:tc>
      </w:tr>
    </w:tbl>
    <w:p w14:paraId="2EA837F5">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  甲方权利和义务</w:t>
      </w:r>
    </w:p>
    <w:p w14:paraId="76CF089F">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甲方有权要求乙方按时、按质、按量、按计划与合同协议约定完成本项目，并有权对乙方工作情况进行监督。</w:t>
      </w:r>
    </w:p>
    <w:p w14:paraId="04068181">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根据项目进度，甲方有权及时对乙方提交的方案提出修改意见，并要求乙方按修改意见完成服务工作。</w:t>
      </w:r>
    </w:p>
    <w:p w14:paraId="73337C0D">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乙方配备的项目投入人员应得到甲方的认可。</w:t>
      </w:r>
    </w:p>
    <w:p w14:paraId="17953609">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4.甲方有权要求乙方更换不合格的工作人员。</w:t>
      </w:r>
    </w:p>
    <w:p w14:paraId="58D7A764">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按合同要求及时向乙方支付产品和服务费用。</w:t>
      </w:r>
    </w:p>
    <w:p w14:paraId="2A48032B">
      <w:pPr>
        <w:snapToGrid w:val="0"/>
        <w:spacing w:line="360" w:lineRule="exact"/>
        <w:ind w:firstLine="420" w:firstLineChars="200"/>
        <w:rPr>
          <w:rFonts w:hint="eastAsia" w:ascii="宋体" w:hAnsi="宋体" w:eastAsia="宋体" w:cs="宋体"/>
          <w:color w:val="auto"/>
          <w:szCs w:val="21"/>
          <w:highlight w:val="none"/>
        </w:rPr>
      </w:pPr>
      <w:bookmarkStart w:id="94" w:name="_Hlk77611324"/>
      <w:r>
        <w:rPr>
          <w:rFonts w:hint="eastAsia" w:ascii="宋体" w:hAnsi="宋体" w:eastAsia="宋体" w:cs="宋体"/>
          <w:color w:val="auto"/>
          <w:szCs w:val="21"/>
          <w:highlight w:val="none"/>
        </w:rPr>
        <w:t>6.</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如采购项目涉及采购标的的知识产权归属的，产权归属为：</w:t>
      </w:r>
      <w:r>
        <w:rPr>
          <w:rFonts w:hint="eastAsia" w:ascii="宋体" w:hAnsi="宋体" w:eastAsia="宋体" w:cs="宋体"/>
          <w:color w:val="auto"/>
          <w:szCs w:val="21"/>
          <w:highlight w:val="none"/>
          <w:u w:val="single"/>
        </w:rPr>
        <w:t xml:space="preserve">    甲方    </w:t>
      </w:r>
      <w:r>
        <w:rPr>
          <w:rFonts w:hint="eastAsia" w:ascii="宋体" w:hAnsi="宋体" w:eastAsia="宋体" w:cs="宋体"/>
          <w:color w:val="auto"/>
          <w:szCs w:val="21"/>
          <w:highlight w:val="none"/>
        </w:rPr>
        <w:t xml:space="preserve">    </w:t>
      </w:r>
    </w:p>
    <w:p w14:paraId="3840CD97">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处理方式：</w:t>
      </w:r>
      <w:r>
        <w:rPr>
          <w:rFonts w:hint="eastAsia" w:ascii="宋体" w:hAnsi="宋体" w:eastAsia="宋体" w:cs="宋体"/>
          <w:color w:val="auto"/>
          <w:szCs w:val="21"/>
          <w:highlight w:val="none"/>
          <w:u w:val="single"/>
        </w:rPr>
        <w:t>采购人在中华人民共和国境内使用供应商提供的产品及服务时免受第三方提出的侵犯其专利权或其它知识产权的起诉。如果第三方提出侵权指控，乙方应承担由此而引起的一切法律责任和费用。</w:t>
      </w:r>
      <w:bookmarkEnd w:id="94"/>
    </w:p>
    <w:p w14:paraId="5BB914D9">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乙方权利和义务</w:t>
      </w:r>
    </w:p>
    <w:p w14:paraId="6ED9FA12">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严格履行合同文件（含采购文件、响应文件等）约定和承诺的服务内容和质量标准，保证甲方项目的相关工作质量和进度。</w:t>
      </w:r>
    </w:p>
    <w:p w14:paraId="52C62195">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必须严格实施乙方响应文件中承诺的人力资源配置。在必须补充或更换人员时，必须补充或更换优于或等同于响应文件所承诺资质的服务人员，并需取得甲方书面同意。</w:t>
      </w:r>
    </w:p>
    <w:p w14:paraId="0C8CC93A">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乙方项目负责人及服务团队成员须与响应文件保持一致。合同存续期内，未经甲方书面要求或同意，项目负责人不应调整。</w:t>
      </w:r>
    </w:p>
    <w:p w14:paraId="304F96DC">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4AD2640A">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乙方服务人员应履行保密义务。如乙方因违反本条约定给甲方造成损失的，乙方应当承担相应的法律责任，并赔偿由此给甲方造成的一切损失。</w:t>
      </w:r>
    </w:p>
    <w:p w14:paraId="543F9DF1">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 按照合同约定收取服务费，当甲方出现无故拖欠费用时，乙方有权采取适当方式进行催缴，若甲方仍未支付费用，乙方有权停止工作。</w:t>
      </w:r>
    </w:p>
    <w:p w14:paraId="0C2BCF44">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包装和运输</w:t>
      </w:r>
    </w:p>
    <w:p w14:paraId="3966ECF2">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1.乙方提供的服务交付成果均应按采购文件要求的包装材料、包装标准、包装方式进行包装，每一包装单元内应附详细的交付清单。</w:t>
      </w:r>
    </w:p>
    <w:p w14:paraId="6AA403EB">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乙方负责服务交付成果、产品的运输。服务交付成果、产品的运输方式由乙方自定。服务交付成果、产品运输合理损耗及计算方法由乙方负责。</w:t>
      </w:r>
    </w:p>
    <w:p w14:paraId="3C96BCF0">
      <w:pPr>
        <w:pStyle w:val="28"/>
        <w:spacing w:line="300" w:lineRule="exact"/>
        <w:ind w:firstLine="420" w:firstLineChars="200"/>
        <w:rPr>
          <w:rFonts w:hint="eastAsia" w:ascii="宋体" w:hAnsi="宋体" w:eastAsia="宋体" w:cs="宋体"/>
          <w:color w:val="auto"/>
          <w:highlight w:val="none"/>
        </w:rPr>
      </w:pPr>
      <w:bookmarkStart w:id="95" w:name="_Hlk60651149"/>
      <w:r>
        <w:rPr>
          <w:rFonts w:hint="eastAsia" w:ascii="宋体" w:hAnsi="宋体" w:eastAsia="宋体" w:cs="宋体"/>
          <w:color w:val="auto"/>
          <w:highlight w:val="none"/>
        </w:rPr>
        <w:t>3.乙方提供的产品包装及快递包装应满足《财政部等三部门联合印发商品包装和快递包装政府采购需求标准（试行）》财办库【2020】123号文要求。</w:t>
      </w:r>
      <w:bookmarkEnd w:id="95"/>
    </w:p>
    <w:p w14:paraId="62601A11">
      <w:pP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第六条  交付和验收</w:t>
      </w:r>
    </w:p>
    <w:p w14:paraId="13341DD7">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1.交付使用时间：按乙方响应文件中所承诺的时间；地点：甲方指定地点。</w:t>
      </w:r>
    </w:p>
    <w:p w14:paraId="7273BDBA">
      <w:pPr>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2.乙方提供不符合采购文件和本合同规定的交付成果，甲方有权拒绝接受。</w:t>
      </w:r>
    </w:p>
    <w:p w14:paraId="1049E86E">
      <w:pPr>
        <w:snapToGrid w:val="0"/>
        <w:spacing w:line="360" w:lineRule="exact"/>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3.甲方应当在服务成果提交并检验完后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日内</w:t>
      </w:r>
      <w:r>
        <w:rPr>
          <w:rFonts w:hint="eastAsia" w:ascii="宋体" w:hAnsi="宋体" w:eastAsia="宋体" w:cs="宋体"/>
          <w:color w:val="auto"/>
          <w:szCs w:val="21"/>
          <w:highlight w:val="none"/>
        </w:rPr>
        <w:t>进行评审，逾期不评审的，乙方可视同评审合格。</w:t>
      </w:r>
    </w:p>
    <w:p w14:paraId="34EEA7F1">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其他未尽事宜应严格按照《关于印发广西壮族自治区政府采购项目履约验收管理办法的通知》[桂财采〔2015〕22号]以及《财政部关于进一步加强政府采购需求和履约验收管理的指导意见》[财库〔2016〕205号]规定执行。</w:t>
      </w:r>
    </w:p>
    <w:p w14:paraId="1DEC7D41">
      <w:pPr>
        <w:pStyle w:val="28"/>
        <w:snapToGrid w:val="0"/>
        <w:spacing w:before="120" w:after="120" w:line="300" w:lineRule="exact"/>
        <w:ind w:firstLine="420" w:firstLineChars="200"/>
        <w:jc w:val="left"/>
        <w:rPr>
          <w:rFonts w:hint="eastAsia" w:ascii="宋体" w:hAnsi="宋体" w:eastAsia="宋体" w:cs="宋体"/>
          <w:color w:val="auto"/>
          <w:highlight w:val="none"/>
        </w:rPr>
      </w:pPr>
      <w:bookmarkStart w:id="96" w:name="_Hlk77611338"/>
      <w:r>
        <w:rPr>
          <w:rFonts w:hint="eastAsia" w:ascii="宋体" w:hAnsi="宋体" w:eastAsia="宋体" w:cs="宋体"/>
          <w:color w:val="auto"/>
          <w:highlight w:val="none"/>
        </w:rPr>
        <w:t>5.履约验收方案详见附件。</w:t>
      </w:r>
      <w:bookmarkEnd w:id="96"/>
    </w:p>
    <w:p w14:paraId="7C773EB4">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服务和培训</w:t>
      </w:r>
    </w:p>
    <w:p w14:paraId="41243BB5">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1.甲方应提供必要服务条件（如为乙方工作提供介绍信、人员陪同等）。</w:t>
      </w:r>
    </w:p>
    <w:p w14:paraId="6519A9D9">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2.乙方负责甲方有关人员的培训。培训时间、地点：</w:t>
      </w:r>
      <w:r>
        <w:rPr>
          <w:rFonts w:hint="eastAsia" w:ascii="宋体" w:hAnsi="宋体" w:eastAsia="宋体" w:cs="宋体"/>
          <w:color w:val="auto"/>
          <w:szCs w:val="21"/>
          <w:highlight w:val="none"/>
          <w:u w:val="single"/>
        </w:rPr>
        <w:t xml:space="preserve"> 由甲方决定。</w:t>
      </w:r>
    </w:p>
    <w:p w14:paraId="29F006D4">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售后服务、质保期</w:t>
      </w:r>
    </w:p>
    <w:p w14:paraId="411E270C">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1.乙方应按照国家有关法律法规和“三包”规定以及采购文件和本合同附件，为甲方提供售后服务。</w:t>
      </w:r>
    </w:p>
    <w:p w14:paraId="7E89B50F">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2.服务成果质保期：</w:t>
      </w:r>
      <w:r>
        <w:rPr>
          <w:rFonts w:hint="eastAsia" w:ascii="宋体" w:hAnsi="宋体" w:eastAsia="宋体" w:cs="宋体"/>
          <w:b/>
          <w:color w:val="auto"/>
          <w:szCs w:val="21"/>
          <w:highlight w:val="none"/>
          <w:u w:val="single"/>
        </w:rPr>
        <w:t>按乙方承诺，但是不得低于国家相关标准</w:t>
      </w:r>
      <w:r>
        <w:rPr>
          <w:rFonts w:hint="eastAsia" w:ascii="宋体" w:hAnsi="宋体" w:eastAsia="宋体" w:cs="宋体"/>
          <w:color w:val="auto"/>
          <w:szCs w:val="21"/>
          <w:highlight w:val="none"/>
        </w:rPr>
        <w:t>。</w:t>
      </w:r>
    </w:p>
    <w:p w14:paraId="7317B229">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按采购文件规定的服务质量标准，并达到或优于成交供应商承诺的标准。</w:t>
      </w:r>
    </w:p>
    <w:p w14:paraId="0C56991D">
      <w:pP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第九条　付款方式</w:t>
      </w:r>
    </w:p>
    <w:p w14:paraId="52603230">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1.资金性质：</w:t>
      </w:r>
      <w:r>
        <w:rPr>
          <w:rFonts w:hint="eastAsia" w:ascii="宋体" w:hAnsi="宋体" w:eastAsia="宋体" w:cs="宋体"/>
          <w:color w:val="auto"/>
          <w:szCs w:val="21"/>
          <w:highlight w:val="none"/>
          <w:u w:val="single"/>
        </w:rPr>
        <w:t>财政性资金</w:t>
      </w:r>
      <w:r>
        <w:rPr>
          <w:rFonts w:hint="eastAsia" w:ascii="宋体" w:hAnsi="宋体" w:eastAsia="宋体" w:cs="宋体"/>
          <w:color w:val="auto"/>
          <w:szCs w:val="21"/>
          <w:highlight w:val="none"/>
        </w:rPr>
        <w:t>。</w:t>
      </w:r>
    </w:p>
    <w:p w14:paraId="38FEC1EA">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2.付款方式：</w:t>
      </w:r>
    </w:p>
    <w:p w14:paraId="26F4D9F8">
      <w:pPr>
        <w:spacing w:line="300" w:lineRule="exact"/>
        <w:rPr>
          <w:rFonts w:hint="default" w:ascii="宋体" w:hAnsi="宋体" w:eastAsia="宋体" w:cs="宋体"/>
          <w:b/>
          <w:bCs/>
          <w:color w:val="auto"/>
          <w:szCs w:val="21"/>
          <w:highlight w:val="none"/>
          <w:u w:val="single"/>
          <w:lang w:val="en-US" w:eastAsia="zh-CN"/>
        </w:rPr>
      </w:pPr>
      <w:bookmarkStart w:id="97" w:name="_Hlk47715495"/>
      <w:bookmarkStart w:id="98" w:name="_Hlk48146882"/>
      <w:r>
        <w:rPr>
          <w:rFonts w:hint="eastAsia" w:ascii="宋体" w:hAnsi="宋体" w:eastAsia="宋体" w:cs="宋体"/>
          <w:color w:val="auto"/>
          <w:szCs w:val="21"/>
          <w:highlight w:val="none"/>
          <w:lang w:val="en-US" w:eastAsia="zh-CN"/>
        </w:rPr>
        <w:t>见采购需求</w:t>
      </w:r>
    </w:p>
    <w:p w14:paraId="2C50C0CC">
      <w:pPr>
        <w:spacing w:line="300" w:lineRule="exact"/>
        <w:rPr>
          <w:rFonts w:hint="eastAsia" w:ascii="宋体" w:hAnsi="宋体" w:eastAsia="宋体" w:cs="宋体"/>
          <w:b/>
          <w:bCs/>
          <w:color w:val="auto"/>
          <w:szCs w:val="21"/>
          <w:highlight w:val="none"/>
          <w:u w:val="single"/>
          <w:lang w:val="en-US" w:eastAsia="zh-CN"/>
        </w:rPr>
      </w:pPr>
    </w:p>
    <w:p w14:paraId="116023B3">
      <w:pPr>
        <w:spacing w:line="3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（5）本合同使用货币币制如未作特别说明均为人民币。</w:t>
      </w:r>
    </w:p>
    <w:bookmarkEnd w:id="97"/>
    <w:bookmarkEnd w:id="98"/>
    <w:p w14:paraId="5A38DAD4">
      <w:pPr>
        <w:snapToGrid w:val="0"/>
        <w:spacing w:line="360" w:lineRule="exact"/>
        <w:ind w:firstLine="316" w:firstLineChars="1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第十条履约保证金    </w:t>
      </w:r>
    </w:p>
    <w:p w14:paraId="3FFBA952">
      <w:pPr>
        <w:spacing w:line="300" w:lineRule="exact"/>
        <w:ind w:firstLine="420" w:firstLineChars="200"/>
        <w:jc w:val="left"/>
        <w:rPr>
          <w:rFonts w:hint="eastAsia" w:ascii="宋体" w:hAnsi="宋体" w:eastAsia="宋体" w:cs="宋体"/>
          <w:color w:val="auto"/>
          <w:szCs w:val="21"/>
          <w:highlight w:val="none"/>
        </w:rPr>
      </w:pPr>
      <w:bookmarkStart w:id="99" w:name="_Hlk19106598"/>
      <w:r>
        <w:rPr>
          <w:rFonts w:hint="eastAsia" w:ascii="宋体" w:hAnsi="宋体" w:eastAsia="宋体" w:cs="宋体"/>
          <w:color w:val="auto"/>
          <w:szCs w:val="21"/>
          <w:highlight w:val="none"/>
        </w:rPr>
        <w:t>1.履约保证金金额：</w:t>
      </w:r>
      <w:r>
        <w:rPr>
          <w:rFonts w:hint="eastAsia" w:ascii="宋体" w:hAnsi="宋体" w:eastAsia="宋体" w:cs="宋体"/>
          <w:color w:val="auto"/>
          <w:szCs w:val="21"/>
          <w:highlight w:val="none"/>
          <w:u w:val="single"/>
        </w:rPr>
        <w:t xml:space="preserve">     无          </w:t>
      </w:r>
    </w:p>
    <w:p w14:paraId="53A844F5">
      <w:pPr>
        <w:spacing w:line="3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履约保证金缴纳形式：供应商可以选择电汇、转账、支票、汇票、本票、保函等形式缴纳或提交；采用保函形式缴纳的，采购人在保证期限届满后及时对收取的保证金进行核实和结算。</w:t>
      </w:r>
    </w:p>
    <w:p w14:paraId="67ABB46D">
      <w:pPr>
        <w:spacing w:line="276"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保证金缴纳的账号信息：</w:t>
      </w:r>
      <w:r>
        <w:rPr>
          <w:rFonts w:hint="eastAsia" w:ascii="宋体" w:hAnsi="宋体" w:eastAsia="宋体" w:cs="宋体"/>
          <w:color w:val="auto"/>
          <w:szCs w:val="21"/>
          <w:highlight w:val="none"/>
          <w:u w:val="single"/>
        </w:rPr>
        <w:t xml:space="preserve">                </w:t>
      </w:r>
    </w:p>
    <w:p w14:paraId="377EC66D">
      <w:pPr>
        <w:spacing w:line="276"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rPr>
        <w:t xml:space="preserve">                     </w:t>
      </w:r>
    </w:p>
    <w:p w14:paraId="12936579">
      <w:pPr>
        <w:spacing w:line="276"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p>
    <w:p w14:paraId="24942C44">
      <w:pPr>
        <w:spacing w:line="276"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 xml:space="preserve">                       </w:t>
      </w:r>
    </w:p>
    <w:p w14:paraId="63792A3C">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还方式及时间、条件、不予退还的情形：履约保证金自合同生效之日起生效至合同材料验收证书或进度款支付函签署之日起28天后失效，项目验收合格后，成交供应商可向采购人申请办理履约保证金的退付手续；</w:t>
      </w:r>
      <w:r>
        <w:rPr>
          <w:rFonts w:hint="eastAsia" w:ascii="宋体" w:hAnsi="宋体" w:eastAsia="宋体" w:cs="宋体"/>
          <w:color w:val="auto"/>
          <w:highlight w:val="none"/>
        </w:rPr>
        <w:t>如果成交供应商不履行合同约定的义务或其履行不符合合同的 约定，采购人有权扣划全部或相应金额的履约保证金。</w:t>
      </w:r>
      <w:r>
        <w:rPr>
          <w:rFonts w:hint="eastAsia" w:ascii="宋体" w:hAnsi="宋体" w:eastAsia="宋体" w:cs="宋体"/>
          <w:color w:val="auto"/>
          <w:szCs w:val="21"/>
          <w:highlight w:val="none"/>
        </w:rPr>
        <w:t xml:space="preserve"> </w:t>
      </w:r>
    </w:p>
    <w:p w14:paraId="2868C6E4">
      <w:pPr>
        <w:snapToGrid w:val="0"/>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履约保证金符合退还条件的，采购人在收到成交供应商提交的履约保证金退付申请之日起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天内退还履约保证金，如未在规定时间内退还的，成交供应商可予以催告，经成交供应商催告后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天内仍未退还履约保证金的，采购人应按中国人民银行发布的同期同类贷款基准利率向成交供应商支付自催告日期起的利息。</w:t>
      </w:r>
    </w:p>
    <w:bookmarkEnd w:id="99"/>
    <w:p w14:paraId="2C7B6CDD">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第十一条 税费</w:t>
      </w:r>
    </w:p>
    <w:p w14:paraId="71C762EB">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14:paraId="59EDCFD0">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第十二条　违约责任</w:t>
      </w:r>
    </w:p>
    <w:p w14:paraId="003D83E3">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若因乙方原因而未能履行合同或未达到合同约定的要求，甲方有权书面督促乙方履行合同，乙方应在收到甲方书面通知之日起七日内给予书面答复并进行整改；如乙方在上述时间未答复，或无故拖延履行合同超过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日，或经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次整改后仍未达到甲方要求，甲方有权书面通知乙方解除服务合同，且无需支付合同解除后的合同后续费用。同时，乙方必须退还甲方已付出的所有服务费用，并赔偿由此给甲方造成的全部损失。</w:t>
      </w:r>
    </w:p>
    <w:p w14:paraId="36A35A20">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14:paraId="6884B454">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3.乙方或乙方人员违反保密义务时，甲方有权书面通知乙方解除合同，且无需支付合同解除后的合同后续费用。同时，乙方必须退还甲方已付出的所有费用，并赔偿由此给甲方造成的全部损失。</w:t>
      </w:r>
    </w:p>
    <w:p w14:paraId="0773ED3C">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4.乙方提供的交付成果或服务如侵犯了第三方合法权益而引发的任何纠纷或诉讼，均由乙方负责交涉并承担全部责任。</w:t>
      </w:r>
    </w:p>
    <w:p w14:paraId="23ACAF12">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5.甲方无故延期接收服务交付成果、乙方逾期交付的，每天向对方偿付违约交付成果或服务费用金额的3‰违约金，但违约金累计不得超过违约交付成果或服务费用金额的5%，超过 30 天对方有权解除合同，违约方承担因此给对方造成经济损失；甲方延期付交付成果或服务费用金额的，每天向乙方偿付延期交付成果或服务费用金额的3‰ 作为滞纳金，但滞纳金累计不得超过延期交付成果或服务费用金额的5%。</w:t>
      </w:r>
    </w:p>
    <w:p w14:paraId="7D1320C3">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6.乙方未按本合同和响应文件中规定的服务承诺提供售后服务的，乙方应按本合同合计金额 5%向甲方支付违约金。</w:t>
      </w:r>
    </w:p>
    <w:p w14:paraId="303F1D49">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7.其它违约行为按违约服务成果费用金额5%收取违约金并赔偿经济损失。</w:t>
      </w:r>
    </w:p>
    <w:p w14:paraId="05D1D495">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8.因甲方原因导致变更、中止或者终止政府采购合同的，应当依照合同约定对乙方受到的损失予以赔偿或者补偿。赔偿（补偿）标准：按实际损失赔偿</w:t>
      </w:r>
    </w:p>
    <w:p w14:paraId="721F04D8">
      <w:pPr>
        <w:snapToGrid w:val="0"/>
        <w:spacing w:line="300" w:lineRule="exact"/>
        <w:ind w:firstLine="420" w:firstLineChars="200"/>
        <w:rPr>
          <w:rFonts w:hint="eastAsia" w:ascii="宋体" w:hAnsi="宋体" w:eastAsia="宋体" w:cs="宋体"/>
          <w:color w:val="auto"/>
          <w:szCs w:val="21"/>
          <w:highlight w:val="none"/>
        </w:rPr>
      </w:pPr>
      <w:bookmarkStart w:id="100" w:name="_Hlk19199013"/>
      <w:r>
        <w:rPr>
          <w:rFonts w:hint="eastAsia" w:ascii="宋体" w:hAnsi="宋体" w:eastAsia="宋体" w:cs="宋体"/>
          <w:color w:val="auto"/>
          <w:szCs w:val="21"/>
          <w:highlight w:val="none"/>
        </w:rPr>
        <w:t>9.因甲方原因导致变更、中止或者终止政府采购合同的，应当依照合同约定对乙方受到的损失予以赔偿或者补偿。赔偿（补偿）标准：</w:t>
      </w:r>
      <w:r>
        <w:rPr>
          <w:rFonts w:hint="eastAsia" w:ascii="宋体" w:hAnsi="宋体" w:eastAsia="宋体" w:cs="宋体"/>
          <w:color w:val="auto"/>
          <w:szCs w:val="21"/>
          <w:highlight w:val="none"/>
          <w:u w:val="single"/>
        </w:rPr>
        <w:t xml:space="preserve">按实际损失赔偿    </w:t>
      </w:r>
    </w:p>
    <w:bookmarkEnd w:id="100"/>
    <w:p w14:paraId="1362D5F1">
      <w:pPr>
        <w:snapToGrid w:val="0"/>
        <w:spacing w:line="30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第十三条 不可抗力事件处理</w:t>
      </w:r>
    </w:p>
    <w:p w14:paraId="04E33867">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在合同有效期内，任何一方因不可抗力事件导致不能履行合同，则合同履行期可延长，其延长期与不可抗力影响期相同。</w:t>
      </w:r>
    </w:p>
    <w:p w14:paraId="6DCCF3EF">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不可抗力事件发生后，应立即通知对方，并寄送有关权威机构出具的证明。</w:t>
      </w:r>
    </w:p>
    <w:p w14:paraId="02B53513">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不可抗力事件延续一百二十天以上，双方应通过友好协商，确定是否继续履行合同。</w:t>
      </w:r>
    </w:p>
    <w:p w14:paraId="39B96466">
      <w:pP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第十四条  合同争议解决</w:t>
      </w:r>
    </w:p>
    <w:p w14:paraId="7F90E034">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因交付成果或服务质量问题发生争议的，应邀请国家认定的质量检测机构按照国家标准对交付成果或服务质量进行验收。交付成果或服务符合国家标准的，鉴定费由甲方承担；交付成果或服务不符合国家标准的，鉴定费由乙方承担。</w:t>
      </w:r>
    </w:p>
    <w:p w14:paraId="6393CF40">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因履行本合同引起的或与本合同有关的争议，甲乙双方应首先通过友好协商解决，如果协商不能解决，可向甲方所在地人民法院提起诉讼。</w:t>
      </w:r>
    </w:p>
    <w:p w14:paraId="6740A62E">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诉讼期间，本合同继续履行。</w:t>
      </w:r>
    </w:p>
    <w:p w14:paraId="4017AE0E">
      <w:pPr>
        <w:pStyle w:val="28"/>
        <w:snapToGrid w:val="0"/>
        <w:spacing w:before="120" w:after="120" w:line="36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第十五条 合同生效及其它</w:t>
      </w:r>
    </w:p>
    <w:p w14:paraId="5FAE1F45">
      <w:pPr>
        <w:snapToGrid w:val="0"/>
        <w:spacing w:line="300" w:lineRule="exact"/>
        <w:ind w:firstLine="420" w:firstLineChars="200"/>
        <w:rPr>
          <w:rFonts w:hint="eastAsia" w:ascii="宋体" w:hAnsi="宋体" w:eastAsia="宋体" w:cs="宋体"/>
          <w:color w:val="auto"/>
          <w:szCs w:val="21"/>
          <w:highlight w:val="none"/>
        </w:rPr>
      </w:pPr>
      <w:bookmarkStart w:id="101" w:name="_Hlk19199032"/>
      <w:r>
        <w:rPr>
          <w:rFonts w:hint="eastAsia" w:ascii="宋体" w:hAnsi="宋体" w:eastAsia="宋体" w:cs="宋体"/>
          <w:color w:val="auto"/>
          <w:szCs w:val="21"/>
          <w:highlight w:val="none"/>
        </w:rPr>
        <w:t>1．本合同履行期限为</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合同履行地点为：</w:t>
      </w:r>
      <w:r>
        <w:rPr>
          <w:rFonts w:hint="eastAsia" w:ascii="宋体" w:hAnsi="宋体" w:eastAsia="宋体" w:cs="宋体"/>
          <w:color w:val="auto"/>
          <w:szCs w:val="21"/>
          <w:highlight w:val="none"/>
          <w:u w:val="single"/>
        </w:rPr>
        <w:t xml:space="preserve">  贵港市  </w:t>
      </w:r>
      <w:r>
        <w:rPr>
          <w:rFonts w:hint="eastAsia" w:ascii="宋体" w:hAnsi="宋体" w:eastAsia="宋体" w:cs="宋体"/>
          <w:color w:val="auto"/>
          <w:szCs w:val="21"/>
          <w:highlight w:val="none"/>
        </w:rPr>
        <w:t>；合同履行的方式：</w:t>
      </w:r>
      <w:r>
        <w:rPr>
          <w:rFonts w:hint="eastAsia" w:ascii="宋体" w:hAnsi="宋体" w:eastAsia="宋体" w:cs="宋体"/>
          <w:color w:val="auto"/>
          <w:szCs w:val="21"/>
          <w:highlight w:val="none"/>
          <w:u w:val="single"/>
        </w:rPr>
        <w:t xml:space="preserve"> 按照本合同约定  </w:t>
      </w:r>
      <w:r>
        <w:rPr>
          <w:rFonts w:hint="eastAsia" w:ascii="宋体" w:hAnsi="宋体" w:eastAsia="宋体" w:cs="宋体"/>
          <w:color w:val="auto"/>
          <w:szCs w:val="21"/>
          <w:highlight w:val="none"/>
        </w:rPr>
        <w:t>。</w:t>
      </w:r>
    </w:p>
    <w:bookmarkEnd w:id="101"/>
    <w:p w14:paraId="4063A448">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2．合同经双方法定代表人或授权代表签字并加盖单位公章后生效。</w:t>
      </w:r>
    </w:p>
    <w:p w14:paraId="2FFF49C1">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3．合同执行中涉及采购资金和采购内容修改或补充的，须经财政部门审批，并签书面补充协议报财政部门备案，方可作为主合同不可分割的一部分。</w:t>
      </w:r>
    </w:p>
    <w:p w14:paraId="496994A0">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4．本合同未尽事宜，遵照《民法典》有关条文执行。</w:t>
      </w:r>
    </w:p>
    <w:p w14:paraId="445D435F">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第十六条　合同的变更、终止与转让</w:t>
      </w:r>
    </w:p>
    <w:p w14:paraId="535C0FF5">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6E966045">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2.未经甲方书面同意，乙方不得擅自转让其应履行的合同义务。。</w:t>
      </w:r>
    </w:p>
    <w:p w14:paraId="2A31C5ED">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第十七条　签订本合同依据</w:t>
      </w:r>
    </w:p>
    <w:p w14:paraId="498B9679">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1.政府采购采购文件；</w:t>
      </w:r>
    </w:p>
    <w:p w14:paraId="7CF9968A">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2.乙方提供的响应文件；</w:t>
      </w:r>
    </w:p>
    <w:p w14:paraId="7F78E4A3">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3.响应承诺书；</w:t>
      </w:r>
    </w:p>
    <w:p w14:paraId="54167EC9">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4.成交通知书。</w:t>
      </w:r>
    </w:p>
    <w:p w14:paraId="04F45522">
      <w:pP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第十八条　</w:t>
      </w:r>
      <w:r>
        <w:rPr>
          <w:rFonts w:hint="eastAsia" w:ascii="宋体" w:hAnsi="宋体" w:eastAsia="宋体" w:cs="宋体"/>
          <w:color w:val="auto"/>
          <w:szCs w:val="21"/>
          <w:highlight w:val="none"/>
        </w:rPr>
        <w:t>本合同一式五份，具有同等法律效力。</w:t>
      </w:r>
      <w:r>
        <w:rPr>
          <w:rFonts w:hint="eastAsia" w:ascii="宋体" w:hAnsi="宋体" w:eastAsia="宋体" w:cs="宋体"/>
          <w:color w:val="auto"/>
          <w:spacing w:val="4"/>
          <w:szCs w:val="21"/>
          <w:highlight w:val="none"/>
        </w:rPr>
        <w:t>政府采购监督管理部门、采购代理机构</w:t>
      </w:r>
      <w:r>
        <w:rPr>
          <w:rFonts w:hint="eastAsia" w:ascii="宋体" w:hAnsi="宋体" w:eastAsia="宋体" w:cs="宋体"/>
          <w:color w:val="auto"/>
          <w:szCs w:val="21"/>
          <w:highlight w:val="none"/>
        </w:rPr>
        <w:t>各一份，甲方两份，乙方一份。</w:t>
      </w:r>
    </w:p>
    <w:p w14:paraId="16AD1B7B">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本合同经甲乙双方法定代表人或被授权代表签字并加盖单位公章后生效。</w:t>
      </w:r>
    </w:p>
    <w:p w14:paraId="15EDD306">
      <w:pPr>
        <w:snapToGrid w:val="0"/>
        <w:spacing w:line="360" w:lineRule="exact"/>
        <w:ind w:firstLine="420" w:firstLineChars="200"/>
        <w:rPr>
          <w:rFonts w:hint="eastAsia" w:ascii="宋体" w:hAnsi="宋体" w:eastAsia="宋体" w:cs="宋体"/>
          <w:color w:val="auto"/>
          <w:szCs w:val="21"/>
          <w:highlight w:val="none"/>
        </w:rPr>
      </w:pPr>
    </w:p>
    <w:tbl>
      <w:tblPr>
        <w:tblStyle w:val="53"/>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7"/>
        <w:gridCol w:w="4932"/>
      </w:tblGrid>
      <w:tr w14:paraId="0B5D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4667" w:type="dxa"/>
            <w:vAlign w:val="center"/>
          </w:tcPr>
          <w:p w14:paraId="56AC1EBD">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14:paraId="5A4F4CC0">
            <w:pPr>
              <w:snapToGrid w:val="0"/>
              <w:spacing w:line="360" w:lineRule="exact"/>
              <w:ind w:firstLine="945" w:firstLineChars="450"/>
              <w:jc w:val="right"/>
              <w:rPr>
                <w:rFonts w:hint="eastAsia" w:ascii="宋体" w:hAnsi="宋体" w:eastAsia="宋体" w:cs="宋体"/>
                <w:color w:val="auto"/>
                <w:szCs w:val="21"/>
                <w:highlight w:val="none"/>
              </w:rPr>
            </w:pPr>
          </w:p>
        </w:tc>
        <w:tc>
          <w:tcPr>
            <w:tcW w:w="4932" w:type="dxa"/>
            <w:vAlign w:val="center"/>
          </w:tcPr>
          <w:p w14:paraId="2FF1DC54">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25B7B5FA">
            <w:pPr>
              <w:snapToGrid w:val="0"/>
              <w:spacing w:line="360" w:lineRule="exact"/>
              <w:jc w:val="right"/>
              <w:rPr>
                <w:rFonts w:hint="eastAsia" w:ascii="宋体" w:hAnsi="宋体" w:eastAsia="宋体" w:cs="宋体"/>
                <w:color w:val="auto"/>
                <w:szCs w:val="21"/>
                <w:highlight w:val="none"/>
              </w:rPr>
            </w:pPr>
          </w:p>
        </w:tc>
      </w:tr>
      <w:tr w14:paraId="4B8D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4667" w:type="dxa"/>
            <w:vAlign w:val="center"/>
          </w:tcPr>
          <w:p w14:paraId="2D093642">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932" w:type="dxa"/>
            <w:vAlign w:val="center"/>
          </w:tcPr>
          <w:p w14:paraId="49E8FE3A">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14:paraId="4F97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vAlign w:val="center"/>
          </w:tcPr>
          <w:p w14:paraId="1CF1628A">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932" w:type="dxa"/>
            <w:vAlign w:val="center"/>
          </w:tcPr>
          <w:p w14:paraId="7504191E">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14:paraId="5ACD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vAlign w:val="center"/>
          </w:tcPr>
          <w:p w14:paraId="21B87D83">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932" w:type="dxa"/>
            <w:vAlign w:val="center"/>
          </w:tcPr>
          <w:p w14:paraId="4B710C52">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0D5A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4667" w:type="dxa"/>
            <w:vAlign w:val="center"/>
          </w:tcPr>
          <w:p w14:paraId="0DBB1B14">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932" w:type="dxa"/>
            <w:vAlign w:val="center"/>
          </w:tcPr>
          <w:p w14:paraId="0AFCFC13">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0C31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4667" w:type="dxa"/>
            <w:vAlign w:val="center"/>
          </w:tcPr>
          <w:p w14:paraId="5FE288C1">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932" w:type="dxa"/>
            <w:vAlign w:val="center"/>
          </w:tcPr>
          <w:p w14:paraId="585DCBA9">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00F0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vAlign w:val="center"/>
          </w:tcPr>
          <w:p w14:paraId="6D97191A">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932" w:type="dxa"/>
            <w:vAlign w:val="center"/>
          </w:tcPr>
          <w:p w14:paraId="536D7DEC">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696E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667" w:type="dxa"/>
            <w:vAlign w:val="center"/>
          </w:tcPr>
          <w:p w14:paraId="5518C720">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932" w:type="dxa"/>
            <w:vAlign w:val="center"/>
          </w:tcPr>
          <w:p w14:paraId="59B6CBEE">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38AF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667" w:type="dxa"/>
            <w:vAlign w:val="center"/>
          </w:tcPr>
          <w:p w14:paraId="7B55F113">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932" w:type="dxa"/>
            <w:vAlign w:val="center"/>
          </w:tcPr>
          <w:p w14:paraId="444588EB">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r w14:paraId="4512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trPr>
        <w:tc>
          <w:tcPr>
            <w:tcW w:w="9599" w:type="dxa"/>
            <w:gridSpan w:val="2"/>
          </w:tcPr>
          <w:p w14:paraId="6C238925">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w:t>
            </w:r>
          </w:p>
          <w:p w14:paraId="60704390">
            <w:pPr>
              <w:snapToGrid w:val="0"/>
              <w:spacing w:line="360" w:lineRule="exact"/>
              <w:ind w:firstLine="630" w:firstLineChars="300"/>
              <w:jc w:val="right"/>
              <w:rPr>
                <w:rFonts w:hint="eastAsia" w:ascii="宋体" w:hAnsi="宋体" w:eastAsia="宋体" w:cs="宋体"/>
                <w:color w:val="auto"/>
                <w:szCs w:val="21"/>
                <w:highlight w:val="none"/>
              </w:rPr>
            </w:pPr>
          </w:p>
          <w:p w14:paraId="4B1DBA34">
            <w:pPr>
              <w:snapToGrid w:val="0"/>
              <w:spacing w:line="360" w:lineRule="exact"/>
              <w:ind w:firstLine="630" w:firstLineChars="300"/>
              <w:jc w:val="right"/>
              <w:rPr>
                <w:rFonts w:hint="eastAsia" w:ascii="宋体" w:hAnsi="宋体" w:eastAsia="宋体" w:cs="宋体"/>
                <w:color w:val="auto"/>
                <w:szCs w:val="21"/>
                <w:highlight w:val="none"/>
              </w:rPr>
            </w:pPr>
          </w:p>
          <w:p w14:paraId="33471BA8">
            <w:pPr>
              <w:snapToGrid w:val="0"/>
              <w:spacing w:line="360" w:lineRule="exact"/>
              <w:ind w:firstLine="630" w:firstLineChars="3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bl>
    <w:p w14:paraId="79F7EE21">
      <w:pPr>
        <w:spacing w:before="120" w:line="320" w:lineRule="atLeast"/>
        <w:jc w:val="left"/>
        <w:outlineLvl w:val="1"/>
        <w:rPr>
          <w:rFonts w:hint="eastAsia" w:ascii="宋体" w:hAnsi="宋体" w:eastAsia="宋体" w:cs="宋体"/>
          <w:b/>
          <w:bCs/>
          <w:color w:val="auto"/>
          <w:kern w:val="0"/>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kern w:val="0"/>
          <w:szCs w:val="21"/>
          <w:highlight w:val="none"/>
        </w:rPr>
        <w:t>合同附件1</w:t>
      </w:r>
    </w:p>
    <w:p w14:paraId="3EF1C59C">
      <w:pPr>
        <w:spacing w:before="120" w:line="320" w:lineRule="atLeast"/>
        <w:jc w:val="left"/>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合同附件2</w:t>
      </w:r>
    </w:p>
    <w:p w14:paraId="24395DD5">
      <w:pPr>
        <w:snapToGrid w:val="0"/>
        <w:spacing w:line="360" w:lineRule="exact"/>
        <w:jc w:val="center"/>
        <w:rPr>
          <w:rFonts w:hint="eastAsia" w:ascii="宋体" w:hAnsi="宋体" w:eastAsia="宋体" w:cs="宋体"/>
          <w:b/>
          <w:bCs/>
          <w:color w:val="auto"/>
          <w:szCs w:val="21"/>
          <w:highlight w:val="none"/>
        </w:rPr>
      </w:pPr>
      <w:bookmarkStart w:id="102" w:name="_Hlk80978015"/>
    </w:p>
    <w:p w14:paraId="5A9AE9D4">
      <w:pPr>
        <w:snapToGrid w:val="0"/>
        <w:spacing w:line="360" w:lineRule="exact"/>
        <w:jc w:val="center"/>
        <w:rPr>
          <w:rFonts w:hint="eastAsia" w:ascii="宋体" w:hAnsi="宋体" w:eastAsia="宋体" w:cs="宋体"/>
          <w:b/>
          <w:bCs/>
          <w:color w:val="auto"/>
          <w:szCs w:val="21"/>
          <w:highlight w:val="none"/>
        </w:rPr>
      </w:pPr>
      <w:bookmarkStart w:id="103" w:name="_Hlk77607667"/>
      <w:r>
        <w:rPr>
          <w:rFonts w:hint="eastAsia" w:ascii="宋体" w:hAnsi="宋体" w:eastAsia="宋体" w:cs="宋体"/>
          <w:b/>
          <w:bCs/>
          <w:color w:val="auto"/>
          <w:szCs w:val="21"/>
          <w:highlight w:val="none"/>
        </w:rPr>
        <w:t>履约验收方案</w:t>
      </w:r>
    </w:p>
    <w:p w14:paraId="00B7F54B">
      <w:pPr>
        <w:widowControl/>
        <w:jc w:val="left"/>
        <w:rPr>
          <w:rFonts w:hint="eastAsia" w:ascii="宋体" w:hAnsi="宋体" w:eastAsia="宋体" w:cs="宋体"/>
          <w:color w:val="auto"/>
          <w:szCs w:val="21"/>
          <w:highlight w:val="none"/>
        </w:rPr>
      </w:pPr>
    </w:p>
    <w:p w14:paraId="54DCDE40">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1.履约验收工作参加人员</w:t>
      </w:r>
    </w:p>
    <w:p w14:paraId="4575BE6A">
      <w:pPr>
        <w:spacing w:before="120" w:line="320" w:lineRule="exact"/>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1.1履约验收主体单位</w:t>
      </w:r>
    </w:p>
    <w:p w14:paraId="4F0700FA">
      <w:pPr>
        <w:spacing w:before="120" w:line="320" w:lineRule="exact"/>
        <w:ind w:firstLine="420" w:firstLineChars="200"/>
        <w:jc w:val="left"/>
        <w:rPr>
          <w:rFonts w:hint="eastAsia" w:ascii="宋体" w:hAnsi="宋体" w:eastAsia="宋体" w:cs="宋体"/>
          <w:color w:val="auto"/>
          <w:szCs w:val="21"/>
          <w:highlight w:val="none"/>
          <w:u w:val="single"/>
        </w:rPr>
      </w:pPr>
      <w:r>
        <w:rPr>
          <w:rStyle w:val="60"/>
          <w:rFonts w:hint="eastAsia" w:ascii="宋体" w:hAnsi="宋体" w:eastAsia="宋体" w:cs="宋体"/>
          <w:color w:val="auto"/>
          <w:highlight w:val="none"/>
        </w:rPr>
        <w:t>采购人或采购人委托的机构（如委托第三方机构签订，应注明收费方式）</w:t>
      </w:r>
    </w:p>
    <w:p w14:paraId="4DE158EC">
      <w:pPr>
        <w:spacing w:before="120" w:line="320" w:lineRule="exact"/>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1.2履约验收参加人员</w:t>
      </w:r>
    </w:p>
    <w:p w14:paraId="15EF1CE2">
      <w:pPr>
        <w:spacing w:before="120" w:line="32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highlight w:val="none"/>
        </w:rPr>
        <w:t>采购人代表、委托机构代表、成交供应商代表及采购人邀请的其他人员</w:t>
      </w:r>
    </w:p>
    <w:p w14:paraId="30DFFF5E">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2.履约验收时间</w:t>
      </w:r>
    </w:p>
    <w:p w14:paraId="0844BCB2">
      <w:pPr>
        <w:spacing w:before="120"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20XX年XX月XX日</w:t>
      </w:r>
    </w:p>
    <w:p w14:paraId="38C371EE">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3.履约验收地点</w:t>
      </w:r>
    </w:p>
    <w:p w14:paraId="6511BDA8">
      <w:pPr>
        <w:spacing w:before="120"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XX市XX区XX路XX号</w:t>
      </w:r>
    </w:p>
    <w:p w14:paraId="39C0F02B">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4.履约验收方式</w:t>
      </w:r>
    </w:p>
    <w:p w14:paraId="0C080D27">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采购人自行验收</w:t>
      </w:r>
    </w:p>
    <w:p w14:paraId="4CB01519">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5.履约验收程序</w:t>
      </w:r>
    </w:p>
    <w:p w14:paraId="5B6D85FF">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5.1成立验收小组</w:t>
      </w:r>
    </w:p>
    <w:p w14:paraId="41BA555D">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5.2量化验收标准</w:t>
      </w:r>
    </w:p>
    <w:p w14:paraId="14B5F3BC">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5.3组织验收</w:t>
      </w:r>
    </w:p>
    <w:p w14:paraId="666B0771">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5.4出具验收报告</w:t>
      </w:r>
    </w:p>
    <w:p w14:paraId="70A4C3A8">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5.5验收结果公告</w:t>
      </w:r>
    </w:p>
    <w:p w14:paraId="32E6D788">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5.6验收资料归档</w:t>
      </w:r>
    </w:p>
    <w:p w14:paraId="2F146756">
      <w:pPr>
        <w:spacing w:before="120"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采购合同项目完成验收后，采购人整理好验收原始记录、验收书等资料后妥善保管，不得变造、隐匿或者销毁，验收资料保存期为采购结束之日起至少保存15年。</w:t>
      </w:r>
    </w:p>
    <w:p w14:paraId="5F629088">
      <w:pPr>
        <w:spacing w:before="120" w:line="320" w:lineRule="exact"/>
        <w:jc w:val="left"/>
        <w:rPr>
          <w:rFonts w:hint="eastAsia" w:ascii="宋体" w:hAnsi="宋体" w:eastAsia="宋体" w:cs="宋体"/>
          <w:b/>
          <w:bCs/>
          <w:iCs/>
          <w:color w:val="auto"/>
          <w:szCs w:val="21"/>
          <w:highlight w:val="none"/>
        </w:rPr>
      </w:pPr>
      <w:r>
        <w:rPr>
          <w:rFonts w:hint="eastAsia" w:ascii="宋体" w:hAnsi="宋体" w:eastAsia="宋体" w:cs="宋体"/>
          <w:b/>
          <w:bCs/>
          <w:color w:val="auto"/>
          <w:szCs w:val="21"/>
          <w:highlight w:val="none"/>
        </w:rPr>
        <w:t>6.履约验收内容</w:t>
      </w:r>
    </w:p>
    <w:p w14:paraId="7FAC264D">
      <w:pPr>
        <w:spacing w:before="120" w:line="320" w:lineRule="exact"/>
        <w:jc w:val="left"/>
        <w:rPr>
          <w:rFonts w:hint="eastAsia" w:ascii="宋体" w:hAnsi="宋体" w:eastAsia="宋体" w:cs="宋体"/>
          <w:iCs/>
          <w:color w:val="auto"/>
          <w:szCs w:val="21"/>
          <w:highlight w:val="none"/>
        </w:rPr>
      </w:pPr>
      <w:r>
        <w:rPr>
          <w:rFonts w:hint="eastAsia" w:ascii="宋体" w:hAnsi="宋体" w:eastAsia="宋体" w:cs="宋体"/>
          <w:b/>
          <w:bCs/>
          <w:color w:val="auto"/>
          <w:szCs w:val="21"/>
          <w:highlight w:val="none"/>
        </w:rPr>
        <w:t>6.1商务验收内容</w:t>
      </w:r>
    </w:p>
    <w:p w14:paraId="278D84E4">
      <w:pPr>
        <w:spacing w:before="120" w:line="32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对采购标的交付的情况、财务和服务要求，包括交付（实施）的时间（期限）和地点（范围），付款条件（进度和方式），包装和运输，售后服务，保险等进行验收。</w:t>
      </w:r>
    </w:p>
    <w:p w14:paraId="05305F99">
      <w:pPr>
        <w:spacing w:before="120" w:line="320" w:lineRule="exact"/>
        <w:jc w:val="left"/>
        <w:rPr>
          <w:rFonts w:hint="eastAsia" w:ascii="宋体" w:hAnsi="宋体" w:eastAsia="宋体" w:cs="宋体"/>
          <w:iCs/>
          <w:color w:val="auto"/>
          <w:szCs w:val="21"/>
          <w:highlight w:val="none"/>
        </w:rPr>
      </w:pPr>
      <w:r>
        <w:rPr>
          <w:rFonts w:hint="eastAsia" w:ascii="宋体" w:hAnsi="宋体" w:eastAsia="宋体" w:cs="宋体"/>
          <w:b/>
          <w:bCs/>
          <w:color w:val="auto"/>
          <w:szCs w:val="21"/>
          <w:highlight w:val="none"/>
        </w:rPr>
        <w:t>6.2技术验收内容</w:t>
      </w:r>
    </w:p>
    <w:p w14:paraId="22CDFD97">
      <w:pPr>
        <w:spacing w:before="120" w:line="32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对采购标的的功能和质量要求，包括性能、材料、结构、外观、安全，或者服务内容和标准等进行验收。</w:t>
      </w:r>
    </w:p>
    <w:p w14:paraId="7BB9D93E">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7.履约验收标准</w:t>
      </w:r>
    </w:p>
    <w:p w14:paraId="03783323">
      <w:pPr>
        <w:pStyle w:val="177"/>
        <w:spacing w:before="120"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货物（服务）类验收标准：</w:t>
      </w:r>
    </w:p>
    <w:p w14:paraId="7517D515">
      <w:pPr>
        <w:pStyle w:val="177"/>
        <w:spacing w:before="120"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（1）中标（成交）供应商应提供完备的技术或服务资料、装箱单和合格证等。验收合格条件如下：</w:t>
      </w:r>
    </w:p>
    <w:p w14:paraId="54F36E1A">
      <w:pPr>
        <w:spacing w:before="12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服务技术参数与响应文件中响应表或证明材料一致，性能或指标达到规定的标准。否则，以服务技术参数与响应文件响应表参数或证明材料比较，按如下情况处理：</w:t>
      </w:r>
    </w:p>
    <w:p w14:paraId="155E97FF">
      <w:pPr>
        <w:spacing w:before="12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①供应商响应文件响应表或证明材料中满足或优于的技术参数，在验收时实际不满足技术参数要求的，视为供货商违约，采购人有权终止合同拒收货物，并追究供应商责任，同时报财政部门备案。</w:t>
      </w:r>
    </w:p>
    <w:p w14:paraId="22B8A620">
      <w:pPr>
        <w:spacing w:before="12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②供应商响应文件响应表或证明材料中优于的技术参数，在验收时实际仅满足并未优于技术参数要求的，视为供货商违约，采购人有权终止合同拒收货物，并追究供应商责任，同时报财政部门备案。</w:t>
      </w:r>
    </w:p>
    <w:p w14:paraId="0DF2EC57">
      <w:pPr>
        <w:spacing w:before="12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③供应商响应文件响应表或证明材料中不满足的技术参数，在验收时实际满足技术参数的要求，以满足技术参数的要求验收。 </w:t>
      </w:r>
    </w:p>
    <w:p w14:paraId="3F124BCD">
      <w:pPr>
        <w:spacing w:before="12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④供应商响应文件响应表或证明材料中满足的技术参数，在验收时实际优于技术参数的要求，以满足技术参数的要求验收。</w:t>
      </w:r>
    </w:p>
    <w:p w14:paraId="5C2FF26C">
      <w:pPr>
        <w:spacing w:before="12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⑤供应商响应文件响应表或证明材料中优于的技术参数，在验收时实际也优于技术参数的要求，但没有达到响应表或证明材料中优于的程度，由采购人与供应商协商按是否满足要求验收。</w:t>
      </w:r>
    </w:p>
    <w:p w14:paraId="5BB563DB">
      <w:pPr>
        <w:spacing w:before="120"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（2）技术资料等资料齐全。</w:t>
      </w:r>
    </w:p>
    <w:p w14:paraId="01DF41B3">
      <w:pPr>
        <w:spacing w:before="120"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（3）在规定时间内完成服务及验收，并经采购人确认。</w:t>
      </w:r>
    </w:p>
    <w:p w14:paraId="393CEB7B">
      <w:pPr>
        <w:spacing w:before="120"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（4）成交供应商提供的服务未达到采购文件规定要求，且对采购人造成损失的，由成交供应商承担一切责任，并赔偿所造成的损失。</w:t>
      </w:r>
    </w:p>
    <w:p w14:paraId="62D46F21">
      <w:pPr>
        <w:spacing w:before="120"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（5）产品包装材料归采购人所有。</w:t>
      </w:r>
    </w:p>
    <w:p w14:paraId="30A2FF3D">
      <w:pPr>
        <w:spacing w:before="120"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（6）政府采购合同约定的其他要求及响应文件响应的其他标准。</w:t>
      </w:r>
    </w:p>
    <w:p w14:paraId="44746AF5">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8.履约验收其他事项</w:t>
      </w:r>
    </w:p>
    <w:p w14:paraId="74FE6A83">
      <w:pPr>
        <w:spacing w:before="12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br w:type="page"/>
      </w:r>
    </w:p>
    <w:bookmarkEnd w:id="102"/>
    <w:bookmarkEnd w:id="103"/>
    <w:p w14:paraId="4BC981EA">
      <w:pPr>
        <w:snapToGrid w:val="0"/>
        <w:spacing w:line="360" w:lineRule="exact"/>
        <w:jc w:val="center"/>
        <w:outlineLvl w:val="0"/>
        <w:rPr>
          <w:rFonts w:hint="eastAsia" w:ascii="宋体" w:hAnsi="宋体" w:eastAsia="宋体" w:cs="宋体"/>
          <w:b/>
          <w:bCs/>
          <w:color w:val="auto"/>
          <w:szCs w:val="21"/>
          <w:highlight w:val="none"/>
        </w:rPr>
      </w:pPr>
      <w:bookmarkStart w:id="104" w:name="_Toc2969"/>
      <w:r>
        <w:rPr>
          <w:rFonts w:hint="eastAsia" w:ascii="宋体" w:hAnsi="宋体" w:eastAsia="宋体" w:cs="宋体"/>
          <w:b/>
          <w:bCs/>
          <w:color w:val="auto"/>
          <w:szCs w:val="21"/>
          <w:highlight w:val="none"/>
        </w:rPr>
        <w:t>广西壮族自治区政府采购项目合同验收书</w:t>
      </w:r>
      <w:bookmarkEnd w:id="104"/>
    </w:p>
    <w:p w14:paraId="4D21995B">
      <w:pPr>
        <w:widowControl/>
        <w:snapToGrid w:val="0"/>
        <w:spacing w:before="100" w:beforeAutospacing="1" w:after="100" w:afterAutospacing="1" w:line="320" w:lineRule="exact"/>
        <w:ind w:left="-359" w:leftChars="-171"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szCs w:val="21"/>
          <w:highlight w:val="none"/>
          <w:u w:val="single"/>
        </w:rPr>
        <w:t>XXXX采购项目</w:t>
      </w:r>
      <w:r>
        <w:rPr>
          <w:rFonts w:hint="eastAsia" w:ascii="宋体" w:hAnsi="宋体" w:eastAsia="宋体" w:cs="宋体"/>
          <w:color w:val="auto"/>
          <w:kern w:val="0"/>
          <w:szCs w:val="21"/>
          <w:highlight w:val="none"/>
        </w:rPr>
        <w:t>）政府采购项目中标（或成交）供应商</w:t>
      </w:r>
      <w:r>
        <w:rPr>
          <w:rFonts w:hint="eastAsia" w:ascii="宋体" w:hAnsi="宋体" w:eastAsia="宋体" w:cs="宋体"/>
          <w:color w:val="auto"/>
          <w:kern w:val="0"/>
          <w:szCs w:val="21"/>
          <w:highlight w:val="none"/>
          <w:u w:val="single"/>
        </w:rPr>
        <w:t>XX公司（填写供应商名称）</w:t>
      </w:r>
      <w:r>
        <w:rPr>
          <w:rFonts w:hint="eastAsia" w:ascii="宋体" w:hAnsi="宋体" w:eastAsia="宋体" w:cs="宋体"/>
          <w:color w:val="auto"/>
          <w:kern w:val="0"/>
          <w:szCs w:val="21"/>
          <w:highlight w:val="none"/>
        </w:rPr>
        <w:t>提供的货物（或工程、服务）进行了验收，验收情况如下：</w:t>
      </w:r>
    </w:p>
    <w:tbl>
      <w:tblPr>
        <w:tblStyle w:val="53"/>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78FA7A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5E140DE3">
            <w:pPr>
              <w:widowControl/>
              <w:snapToGrid w:val="0"/>
              <w:spacing w:before="100" w:beforeAutospacing="1" w:after="100" w:afterAutospacing="1" w:line="320" w:lineRule="exact"/>
              <w:ind w:left="-3" w:firstLine="4" w:firstLineChars="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36A95394">
            <w:pPr>
              <w:widowControl/>
              <w:snapToGrid w:val="0"/>
              <w:spacing w:before="100" w:beforeAutospacing="1" w:after="100" w:afterAutospacing="1" w:line="320" w:lineRule="exact"/>
              <w:ind w:left="-3" w:firstLine="420" w:firstLineChars="20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自行验收        </w:t>
            </w:r>
            <w:r>
              <w:rPr>
                <w:rFonts w:hint="eastAsia" w:ascii="宋体" w:hAnsi="宋体" w:eastAsia="宋体" w:cs="宋体"/>
                <w:color w:val="auto"/>
                <w:szCs w:val="21"/>
                <w:highlight w:val="none"/>
              </w:rPr>
              <w:sym w:font="Wingdings 2" w:char="00A3"/>
            </w:r>
            <w:r>
              <w:rPr>
                <w:rFonts w:hint="eastAsia" w:ascii="宋体" w:hAnsi="宋体" w:eastAsia="宋体" w:cs="宋体"/>
                <w:color w:val="auto"/>
                <w:kern w:val="0"/>
                <w:szCs w:val="21"/>
                <w:highlight w:val="none"/>
              </w:rPr>
              <w:t>委托验收</w:t>
            </w:r>
          </w:p>
        </w:tc>
      </w:tr>
      <w:tr w14:paraId="00E09E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588607C7">
            <w:pPr>
              <w:widowControl/>
              <w:snapToGrid w:val="0"/>
              <w:spacing w:before="100" w:beforeAutospacing="1" w:after="100" w:afterAutospacing="1" w:line="320" w:lineRule="exact"/>
              <w:ind w:firstLine="2" w:firstLineChars="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62C036E0">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0433A26D">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354D7578">
            <w:pPr>
              <w:widowControl/>
              <w:snapToGrid w:val="0"/>
              <w:spacing w:before="100" w:beforeAutospacing="1" w:after="100" w:afterAutospacing="1"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2BC21026">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507F7E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06117688">
            <w:pPr>
              <w:widowControl/>
              <w:snapToGrid w:val="0"/>
              <w:spacing w:before="100" w:beforeAutospacing="1" w:after="100" w:afterAutospacing="1" w:line="320" w:lineRule="exact"/>
              <w:ind w:left="-3" w:firstLine="4" w:firstLineChars="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4AE60C08">
            <w:pPr>
              <w:widowControl/>
              <w:snapToGrid w:val="0"/>
              <w:spacing w:before="100" w:beforeAutospacing="1" w:after="100" w:afterAutospacing="1" w:line="320" w:lineRule="exact"/>
              <w:ind w:left="-3"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XXXX</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44CEEB66">
            <w:pPr>
              <w:pStyle w:val="179"/>
              <w:ind w:firstLine="0" w:firstLineChars="0"/>
              <w:rPr>
                <w:rFonts w:hint="eastAsia" w:ascii="宋体" w:hAnsi="宋体" w:eastAsia="宋体" w:cs="宋体"/>
                <w:color w:val="auto"/>
                <w:kern w:val="0"/>
                <w:szCs w:val="21"/>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14:paraId="13BBE4C6">
            <w:pPr>
              <w:widowControl/>
              <w:snapToGrid w:val="0"/>
              <w:spacing w:before="100" w:beforeAutospacing="1" w:after="100" w:afterAutospacing="1" w:line="320" w:lineRule="exact"/>
              <w:jc w:val="center"/>
              <w:rPr>
                <w:rFonts w:hint="eastAsia" w:ascii="宋体" w:hAnsi="宋体" w:eastAsia="宋体" w:cs="宋体"/>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2DB3350F">
            <w:pPr>
              <w:pStyle w:val="179"/>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¥0.00元</w:t>
            </w:r>
          </w:p>
        </w:tc>
      </w:tr>
      <w:tr w14:paraId="319F3C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6250023A">
            <w:pPr>
              <w:pStyle w:val="179"/>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773751C2">
            <w:pPr>
              <w:widowControl/>
              <w:snapToGrid w:val="0"/>
              <w:spacing w:before="100" w:beforeAutospacing="1" w:after="100" w:afterAutospacing="1" w:line="320" w:lineRule="exact"/>
              <w:jc w:val="center"/>
              <w:rPr>
                <w:rFonts w:hint="eastAsia" w:ascii="宋体" w:hAnsi="宋体" w:eastAsia="宋体" w:cs="宋体"/>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01C07117">
            <w:pPr>
              <w:pStyle w:val="179"/>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¥0.00元</w:t>
            </w:r>
          </w:p>
        </w:tc>
      </w:tr>
      <w:tr w14:paraId="007136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4FDF170C">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合计大写金额：人民币元整</w:t>
            </w:r>
          </w:p>
        </w:tc>
      </w:tr>
      <w:tr w14:paraId="1DA8E1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0AA8D237">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3258370D">
            <w:pPr>
              <w:snapToGrid w:val="0"/>
              <w:spacing w:before="100" w:beforeAutospacing="1" w:after="100" w:afterAutospacing="1" w:line="3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56193249">
            <w:pPr>
              <w:snapToGrid w:val="0"/>
              <w:spacing w:before="100" w:beforeAutospacing="1" w:after="100" w:afterAutospacing="1" w:line="320" w:lineRule="exact"/>
              <w:ind w:firstLine="39" w:firstLineChars="19"/>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4BA0B1FA">
            <w:pPr>
              <w:snapToGrid w:val="0"/>
              <w:spacing w:before="100" w:beforeAutospacing="1" w:after="100" w:afterAutospacing="1" w:line="3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  年  月  日</w:t>
            </w:r>
          </w:p>
        </w:tc>
      </w:tr>
      <w:tr w14:paraId="0B3B7E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C7159F">
            <w:pPr>
              <w:widowControl/>
              <w:snapToGrid w:val="0"/>
              <w:spacing w:before="100" w:beforeAutospacing="1" w:after="100" w:afterAutospacing="1"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373F11">
            <w:pPr>
              <w:pStyle w:val="179"/>
              <w:ind w:firstLine="0" w:firstLineChars="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待完善合同内容后，按合同第二条服务交付成果清单的内容</w:t>
            </w:r>
          </w:p>
        </w:tc>
      </w:tr>
      <w:tr w14:paraId="5071E0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056F11">
            <w:pPr>
              <w:widowControl/>
              <w:spacing w:before="100" w:beforeAutospacing="1" w:after="100" w:afterAutospacing="1"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4719A932">
            <w:pPr>
              <w:widowControl/>
              <w:spacing w:before="100" w:beforeAutospacing="1" w:after="100" w:afterAutospacing="1"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验收结论性意见：同意（不同意）通过项目验收</w:t>
            </w:r>
          </w:p>
        </w:tc>
      </w:tr>
      <w:tr w14:paraId="5180D6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28A589A6">
            <w:pPr>
              <w:widowControl/>
              <w:spacing w:line="320" w:lineRule="exact"/>
              <w:jc w:val="left"/>
              <w:rPr>
                <w:rFonts w:hint="eastAsia" w:ascii="宋体" w:hAnsi="宋体" w:eastAsia="宋体" w:cs="宋体"/>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301F85D0">
            <w:pPr>
              <w:pStyle w:val="179"/>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6D0D4072">
            <w:pPr>
              <w:pStyle w:val="179"/>
              <w:ind w:firstLine="5880" w:firstLineChars="28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2D652F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38BA3B">
            <w:pPr>
              <w:widowControl/>
              <w:spacing w:before="100" w:beforeAutospacing="1" w:after="100" w:afterAutospacing="1"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p w14:paraId="404B854E">
            <w:pPr>
              <w:widowControl/>
              <w:spacing w:before="100" w:beforeAutospacing="1" w:after="100" w:afterAutospacing="1" w:line="320" w:lineRule="exact"/>
              <w:jc w:val="left"/>
              <w:rPr>
                <w:rFonts w:hint="eastAsia" w:ascii="宋体" w:hAnsi="宋体" w:eastAsia="宋体" w:cs="宋体"/>
                <w:color w:val="auto"/>
                <w:kern w:val="0"/>
                <w:szCs w:val="21"/>
                <w:highlight w:val="none"/>
              </w:rPr>
            </w:pPr>
          </w:p>
        </w:tc>
      </w:tr>
      <w:tr w14:paraId="2A066B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EFE8C2">
            <w:pPr>
              <w:widowControl/>
              <w:spacing w:before="100" w:beforeAutospacing="1" w:after="100" w:afterAutospacing="1"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监督人员或其他相关人员签字：</w:t>
            </w:r>
          </w:p>
          <w:p w14:paraId="33D882F6">
            <w:pPr>
              <w:widowControl/>
              <w:spacing w:before="100" w:beforeAutospacing="1" w:after="100" w:afterAutospacing="1" w:line="320" w:lineRule="exact"/>
              <w:ind w:firstLine="65" w:firstLineChars="3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或受邀机构的意见（盖章）：</w:t>
            </w:r>
          </w:p>
        </w:tc>
      </w:tr>
      <w:tr w14:paraId="2B7E18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3DF58D78">
            <w:pPr>
              <w:widowControl/>
              <w:spacing w:before="100" w:beforeAutospacing="1" w:after="100" w:afterAutospacing="1" w:line="320" w:lineRule="exact"/>
              <w:ind w:firstLine="65" w:firstLineChars="3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中标或者成交供应商负责人签字或盖章：</w:t>
            </w:r>
          </w:p>
          <w:p w14:paraId="07FAD47E">
            <w:pPr>
              <w:widowControl/>
              <w:spacing w:before="100" w:beforeAutospacing="1" w:after="100" w:afterAutospacing="1"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p w14:paraId="5BD3D93B">
            <w:pPr>
              <w:widowControl/>
              <w:spacing w:before="100" w:beforeAutospacing="1" w:after="100" w:afterAutospacing="1" w:line="320" w:lineRule="exact"/>
              <w:jc w:val="left"/>
              <w:rPr>
                <w:rFonts w:hint="eastAsia" w:ascii="宋体" w:hAnsi="宋体" w:eastAsia="宋体" w:cs="宋体"/>
                <w:color w:val="auto"/>
                <w:kern w:val="0"/>
                <w:szCs w:val="21"/>
                <w:highlight w:val="none"/>
              </w:rPr>
            </w:pPr>
          </w:p>
          <w:p w14:paraId="645C70F5">
            <w:pPr>
              <w:widowControl/>
              <w:spacing w:before="100" w:beforeAutospacing="1" w:after="100" w:afterAutospacing="1" w:line="320" w:lineRule="exact"/>
              <w:ind w:firstLine="65" w:firstLineChars="3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采购人签字或盖章：</w:t>
            </w:r>
          </w:p>
          <w:p w14:paraId="0D26CBA0">
            <w:pPr>
              <w:widowControl/>
              <w:spacing w:before="100" w:beforeAutospacing="1" w:after="100" w:afterAutospacing="1"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7436857B">
            <w:pPr>
              <w:widowControl/>
              <w:spacing w:before="100" w:beforeAutospacing="1" w:after="100" w:afterAutospacing="1"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受托机构的意见（盖章）：</w:t>
            </w:r>
          </w:p>
          <w:p w14:paraId="6F4E0B34">
            <w:pPr>
              <w:widowControl/>
              <w:spacing w:before="100" w:beforeAutospacing="1" w:after="100" w:afterAutospacing="1"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p w14:paraId="35B9B4AD">
            <w:pPr>
              <w:widowControl/>
              <w:spacing w:before="100" w:beforeAutospacing="1" w:after="100" w:afterAutospacing="1" w:line="320" w:lineRule="exact"/>
              <w:jc w:val="left"/>
              <w:rPr>
                <w:rFonts w:hint="eastAsia" w:ascii="宋体" w:hAnsi="宋体" w:eastAsia="宋体" w:cs="宋体"/>
                <w:color w:val="auto"/>
                <w:kern w:val="0"/>
                <w:szCs w:val="21"/>
                <w:highlight w:val="none"/>
              </w:rPr>
            </w:pPr>
          </w:p>
          <w:p w14:paraId="19D86E22">
            <w:pPr>
              <w:widowControl/>
              <w:spacing w:before="100" w:beforeAutospacing="1" w:after="100" w:afterAutospacing="1" w:line="320" w:lineRule="exact"/>
              <w:jc w:val="left"/>
              <w:rPr>
                <w:rFonts w:hint="eastAsia" w:ascii="宋体" w:hAnsi="宋体" w:eastAsia="宋体" w:cs="宋体"/>
                <w:color w:val="auto"/>
                <w:kern w:val="0"/>
                <w:szCs w:val="21"/>
                <w:highlight w:val="none"/>
              </w:rPr>
            </w:pPr>
          </w:p>
          <w:p w14:paraId="04DB4B36">
            <w:pPr>
              <w:widowControl/>
              <w:spacing w:before="100" w:beforeAutospacing="1" w:after="100" w:afterAutospacing="1" w:line="320" w:lineRule="exact"/>
              <w:jc w:val="left"/>
              <w:rPr>
                <w:rFonts w:hint="eastAsia" w:ascii="宋体" w:hAnsi="宋体" w:eastAsia="宋体" w:cs="宋体"/>
                <w:color w:val="auto"/>
                <w:kern w:val="0"/>
                <w:szCs w:val="21"/>
                <w:highlight w:val="none"/>
              </w:rPr>
            </w:pPr>
          </w:p>
        </w:tc>
      </w:tr>
    </w:tbl>
    <w:p w14:paraId="7F6A1341">
      <w:pPr>
        <w:widowControl/>
        <w:jc w:val="left"/>
        <w:rPr>
          <w:rFonts w:hint="eastAsia" w:ascii="宋体" w:hAnsi="宋体" w:eastAsia="宋体" w:cs="宋体"/>
          <w:color w:val="auto"/>
          <w:szCs w:val="21"/>
          <w:highlight w:val="none"/>
          <w:u w:val="single"/>
        </w:rPr>
      </w:pPr>
      <w:r>
        <w:rPr>
          <w:rFonts w:hint="eastAsia" w:ascii="宋体" w:hAnsi="宋体" w:eastAsia="宋体" w:cs="宋体"/>
          <w:color w:val="auto"/>
          <w:spacing w:val="-10"/>
          <w:kern w:val="0"/>
          <w:szCs w:val="21"/>
          <w:highlight w:val="none"/>
        </w:rPr>
        <w:t>备注：本报告单一式4份（采购单位1份、供应商1份、采购监督部门备案1份、采购代理机构1份）</w:t>
      </w:r>
      <w:r>
        <w:rPr>
          <w:rFonts w:hint="eastAsia" w:ascii="宋体" w:hAnsi="宋体" w:eastAsia="宋体" w:cs="宋体"/>
          <w:color w:val="auto"/>
          <w:szCs w:val="21"/>
          <w:highlight w:val="none"/>
        </w:rPr>
        <w:t xml:space="preserve"> </w:t>
      </w:r>
    </w:p>
    <w:p w14:paraId="2B23FCDB">
      <w:pPr>
        <w:spacing w:before="120" w:line="320" w:lineRule="atLeast"/>
        <w:jc w:val="left"/>
        <w:outlineLvl w:val="9"/>
        <w:rPr>
          <w:rFonts w:hint="eastAsia" w:ascii="宋体" w:hAnsi="宋体" w:eastAsia="宋体" w:cs="宋体"/>
          <w:color w:val="auto"/>
          <w:kern w:val="0"/>
          <w:highlight w:val="none"/>
        </w:rPr>
      </w:pPr>
      <w:r>
        <w:rPr>
          <w:rFonts w:hint="eastAsia" w:ascii="宋体" w:hAnsi="宋体" w:eastAsia="宋体" w:cs="宋体"/>
          <w:b/>
          <w:color w:val="auto"/>
          <w:sz w:val="32"/>
          <w:szCs w:val="32"/>
          <w:highlight w:val="none"/>
        </w:rPr>
        <w:br w:type="page"/>
      </w:r>
      <w:bookmarkStart w:id="105" w:name="_Hlk48147045"/>
    </w:p>
    <w:bookmarkEnd w:id="105"/>
    <w:p w14:paraId="34C64976">
      <w:pPr>
        <w:widowControl/>
        <w:jc w:val="center"/>
        <w:outlineLvl w:val="0"/>
        <w:rPr>
          <w:color w:val="auto"/>
          <w:sz w:val="32"/>
          <w:szCs w:val="32"/>
          <w:highlight w:val="none"/>
        </w:rPr>
      </w:pPr>
      <w:bookmarkStart w:id="106" w:name="_Toc17396"/>
      <w:r>
        <w:rPr>
          <w:color w:val="auto"/>
          <w:sz w:val="32"/>
          <w:szCs w:val="32"/>
          <w:highlight w:val="none"/>
        </w:rPr>
        <w:t>第六章  响应文件格式</w:t>
      </w:r>
      <w:bookmarkEnd w:id="92"/>
      <w:bookmarkEnd w:id="106"/>
    </w:p>
    <w:p w14:paraId="46E55F27">
      <w:pPr>
        <w:rPr>
          <w:rFonts w:hint="eastAsia"/>
          <w:color w:val="auto"/>
          <w:sz w:val="28"/>
          <w:szCs w:val="28"/>
          <w:highlight w:val="none"/>
        </w:rPr>
      </w:pPr>
      <w:bookmarkStart w:id="107" w:name="_Toc254970697"/>
      <w:bookmarkStart w:id="108" w:name="_Toc254970556"/>
    </w:p>
    <w:bookmarkEnd w:id="107"/>
    <w:bookmarkEnd w:id="108"/>
    <w:p w14:paraId="79E89105">
      <w:pPr>
        <w:rPr>
          <w:rFonts w:hint="eastAsia"/>
          <w:color w:val="auto"/>
          <w:sz w:val="28"/>
          <w:szCs w:val="28"/>
          <w:highlight w:val="none"/>
        </w:rPr>
      </w:pPr>
    </w:p>
    <w:p w14:paraId="0925D8ED">
      <w:pPr>
        <w:spacing w:line="500" w:lineRule="exact"/>
        <w:ind w:firstLine="560" w:firstLineChars="200"/>
        <w:rPr>
          <w:rFonts w:ascii="宋体" w:hAnsi="宋体"/>
          <w:color w:val="auto"/>
          <w:sz w:val="24"/>
          <w:highlight w:val="none"/>
        </w:rPr>
      </w:pPr>
      <w:bookmarkStart w:id="109" w:name="_Hlk19199063"/>
      <w:r>
        <w:rPr>
          <w:rFonts w:hint="eastAsia"/>
          <w:color w:val="auto"/>
          <w:sz w:val="28"/>
          <w:szCs w:val="28"/>
          <w:highlight w:val="none"/>
        </w:rPr>
        <w:t>注：有签字、盖章要求的应按要求</w:t>
      </w:r>
      <w:bookmarkEnd w:id="109"/>
      <w:r>
        <w:rPr>
          <w:rFonts w:hint="eastAsia"/>
          <w:color w:val="auto"/>
          <w:sz w:val="28"/>
          <w:szCs w:val="28"/>
          <w:highlight w:val="none"/>
        </w:rPr>
        <w:t>签字（签章）、盖章（签章）。</w:t>
      </w:r>
      <w:r>
        <w:rPr>
          <w:bCs/>
          <w:color w:val="auto"/>
          <w:sz w:val="24"/>
          <w:highlight w:val="none"/>
        </w:rPr>
        <w:t xml:space="preserve"> </w:t>
      </w:r>
    </w:p>
    <w:p w14:paraId="3EBCA420">
      <w:pPr>
        <w:snapToGrid w:val="0"/>
        <w:spacing w:before="120" w:beforeLines="50" w:after="50" w:line="440" w:lineRule="exact"/>
        <w:jc w:val="left"/>
        <w:outlineLvl w:val="1"/>
        <w:rPr>
          <w:rFonts w:ascii="Times New Roman" w:hAnsi="Times New Roman" w:eastAsia="宋体" w:cs="Times New Roman"/>
          <w:b/>
          <w:color w:val="auto"/>
          <w:sz w:val="24"/>
          <w:highlight w:val="none"/>
        </w:rPr>
      </w:pPr>
      <w:r>
        <w:rPr>
          <w:color w:val="auto"/>
          <w:sz w:val="24"/>
          <w:highlight w:val="none"/>
        </w:rPr>
        <w:br w:type="page"/>
      </w:r>
      <w:r>
        <w:rPr>
          <w:rFonts w:hint="eastAsia" w:ascii="Times New Roman" w:hAnsi="Times New Roman" w:eastAsia="宋体" w:cs="Times New Roman"/>
          <w:b w:val="0"/>
          <w:bCs w:val="0"/>
          <w:color w:val="auto"/>
          <w:sz w:val="24"/>
          <w:highlight w:val="none"/>
        </w:rPr>
        <w:t>1.</w:t>
      </w:r>
      <w:r>
        <w:rPr>
          <w:rFonts w:ascii="Times New Roman" w:hAnsi="Times New Roman" w:eastAsia="宋体" w:cs="Times New Roman"/>
          <w:b w:val="0"/>
          <w:bCs w:val="0"/>
          <w:color w:val="auto"/>
          <w:sz w:val="24"/>
          <w:highlight w:val="none"/>
        </w:rPr>
        <w:t>响应文件封面</w:t>
      </w:r>
      <w:r>
        <w:rPr>
          <w:rFonts w:hint="eastAsia" w:ascii="Times New Roman" w:hAnsi="Times New Roman" w:eastAsia="宋体" w:cs="Times New Roman"/>
          <w:b w:val="0"/>
          <w:bCs w:val="0"/>
          <w:color w:val="auto"/>
          <w:sz w:val="24"/>
          <w:highlight w:val="none"/>
          <w:lang w:val="en-US" w:eastAsia="zh-CN"/>
        </w:rPr>
        <w:t>参考</w:t>
      </w:r>
      <w:r>
        <w:rPr>
          <w:rFonts w:ascii="Times New Roman" w:hAnsi="Times New Roman" w:eastAsia="宋体" w:cs="Times New Roman"/>
          <w:b w:val="0"/>
          <w:bCs w:val="0"/>
          <w:color w:val="auto"/>
          <w:sz w:val="24"/>
          <w:highlight w:val="none"/>
        </w:rPr>
        <w:t>格式</w:t>
      </w:r>
      <w:bookmarkStart w:id="110" w:name="_Hlk92966991"/>
      <w:r>
        <w:rPr>
          <w:rFonts w:hint="eastAsia" w:ascii="Times New Roman" w:hAnsi="Times New Roman" w:eastAsia="宋体" w:cs="Times New Roman"/>
          <w:b w:val="0"/>
          <w:bCs w:val="0"/>
          <w:color w:val="auto"/>
          <w:sz w:val="24"/>
          <w:highlight w:val="none"/>
        </w:rPr>
        <w:t>（资格证明文件）</w:t>
      </w:r>
      <w:bookmarkEnd w:id="110"/>
      <w:r>
        <w:rPr>
          <w:rFonts w:ascii="Times New Roman" w:hAnsi="Times New Roman" w:eastAsia="宋体" w:cs="Times New Roman"/>
          <w:b w:val="0"/>
          <w:bCs w:val="0"/>
          <w:color w:val="auto"/>
          <w:sz w:val="24"/>
          <w:highlight w:val="none"/>
        </w:rPr>
        <w:t>：</w:t>
      </w:r>
      <w:r>
        <w:rPr>
          <w:rFonts w:ascii="Times New Roman" w:hAnsi="Times New Roman" w:eastAsia="宋体" w:cs="Times New Roman"/>
          <w:b/>
          <w:bCs/>
          <w:color w:val="auto"/>
          <w:sz w:val="24"/>
          <w:highlight w:val="none"/>
        </w:rPr>
        <w:t xml:space="preserve"> </w:t>
      </w:r>
    </w:p>
    <w:p w14:paraId="0EDFE727">
      <w:pPr>
        <w:snapToGrid w:val="0"/>
        <w:spacing w:before="120" w:beforeLines="50" w:after="50" w:line="360" w:lineRule="exact"/>
        <w:rPr>
          <w:rFonts w:ascii="Times New Roman" w:hAnsi="Times New Roman" w:eastAsia="宋体" w:cs="Times New Roman"/>
          <w:color w:val="auto"/>
          <w:sz w:val="24"/>
          <w:highlight w:val="none"/>
        </w:rPr>
      </w:pPr>
    </w:p>
    <w:p w14:paraId="4A94A0F7">
      <w:pPr>
        <w:snapToGrid w:val="0"/>
        <w:spacing w:before="120" w:beforeLines="50" w:after="50" w:line="360" w:lineRule="exact"/>
        <w:jc w:val="right"/>
        <w:rPr>
          <w:rFonts w:hint="eastAsia" w:ascii="Times New Roman" w:hAnsi="Times New Roman" w:eastAsia="宋体" w:cs="Times New Roman"/>
          <w:bCs/>
          <w:color w:val="auto"/>
          <w:sz w:val="24"/>
          <w:highlight w:val="none"/>
        </w:rPr>
      </w:pPr>
    </w:p>
    <w:p w14:paraId="2A25ACBE">
      <w:pPr>
        <w:snapToGrid w:val="0"/>
        <w:spacing w:before="120" w:beforeLines="50" w:after="50" w:line="360" w:lineRule="exact"/>
        <w:jc w:val="center"/>
        <w:rPr>
          <w:rFonts w:ascii="Times New Roman" w:hAnsi="Times New Roman" w:eastAsia="宋体" w:cs="Times New Roman"/>
          <w:bCs/>
          <w:color w:val="auto"/>
          <w:sz w:val="24"/>
          <w:highlight w:val="none"/>
        </w:rPr>
      </w:pPr>
      <w:r>
        <w:rPr>
          <w:rFonts w:hint="eastAsia" w:ascii="宋体" w:hAnsi="宋体" w:eastAsia="宋体" w:cs="Times New Roman"/>
          <w:b/>
          <w:color w:val="auto"/>
          <w:sz w:val="44"/>
          <w:szCs w:val="24"/>
          <w:highlight w:val="none"/>
        </w:rPr>
        <w:t>电子响应文件</w:t>
      </w:r>
    </w:p>
    <w:p w14:paraId="6777A031">
      <w:pPr>
        <w:snapToGrid w:val="0"/>
        <w:spacing w:before="120" w:beforeLines="50" w:after="50" w:line="360" w:lineRule="exact"/>
        <w:jc w:val="center"/>
        <w:rPr>
          <w:rFonts w:ascii="Times New Roman" w:hAnsi="Times New Roman" w:eastAsia="宋体" w:cs="Times New Roman"/>
          <w:b/>
          <w:bCs/>
          <w:color w:val="auto"/>
          <w:sz w:val="44"/>
          <w:szCs w:val="44"/>
          <w:highlight w:val="none"/>
        </w:rPr>
      </w:pPr>
    </w:p>
    <w:p w14:paraId="176FAEAC">
      <w:pPr>
        <w:snapToGrid w:val="0"/>
        <w:spacing w:before="120" w:beforeLines="50" w:after="50" w:line="360" w:lineRule="exact"/>
        <w:jc w:val="center"/>
        <w:rPr>
          <w:rFonts w:ascii="Times New Roman" w:hAnsi="Times New Roman" w:eastAsia="宋体" w:cs="Times New Roman"/>
          <w:b/>
          <w:bCs/>
          <w:color w:val="auto"/>
          <w:sz w:val="44"/>
          <w:szCs w:val="44"/>
          <w:highlight w:val="none"/>
        </w:rPr>
      </w:pPr>
    </w:p>
    <w:p w14:paraId="460F4782">
      <w:pPr>
        <w:snapToGrid w:val="0"/>
        <w:spacing w:before="120" w:beforeLines="50" w:after="50" w:line="360" w:lineRule="exact"/>
        <w:jc w:val="center"/>
        <w:rPr>
          <w:rFonts w:ascii="Times New Roman" w:hAnsi="Times New Roman" w:eastAsia="宋体" w:cs="Times New Roman"/>
          <w:b/>
          <w:bCs/>
          <w:color w:val="auto"/>
          <w:sz w:val="44"/>
          <w:szCs w:val="44"/>
          <w:highlight w:val="none"/>
        </w:rPr>
      </w:pPr>
      <w:bookmarkStart w:id="111" w:name="_Hlk92967018"/>
      <w:r>
        <w:rPr>
          <w:rFonts w:ascii="Times New Roman" w:hAnsi="Times New Roman" w:eastAsia="宋体" w:cs="Times New Roman"/>
          <w:b/>
          <w:bCs/>
          <w:color w:val="auto"/>
          <w:sz w:val="44"/>
          <w:szCs w:val="44"/>
          <w:highlight w:val="none"/>
        </w:rPr>
        <w:t>资格</w:t>
      </w:r>
      <w:r>
        <w:rPr>
          <w:rFonts w:hint="eastAsia" w:ascii="Times New Roman" w:hAnsi="Times New Roman" w:eastAsia="宋体" w:cs="Times New Roman"/>
          <w:b/>
          <w:bCs/>
          <w:color w:val="auto"/>
          <w:sz w:val="44"/>
          <w:szCs w:val="44"/>
          <w:highlight w:val="none"/>
        </w:rPr>
        <w:t>证明文件</w:t>
      </w:r>
    </w:p>
    <w:bookmarkEnd w:id="111"/>
    <w:p w14:paraId="24D238E1">
      <w:pPr>
        <w:snapToGrid w:val="0"/>
        <w:spacing w:before="120" w:beforeLines="50" w:after="50" w:line="360" w:lineRule="exact"/>
        <w:jc w:val="center"/>
        <w:rPr>
          <w:rFonts w:ascii="Times New Roman" w:hAnsi="Times New Roman" w:eastAsia="宋体" w:cs="Times New Roman"/>
          <w:b/>
          <w:bCs/>
          <w:color w:val="auto"/>
          <w:sz w:val="44"/>
          <w:szCs w:val="44"/>
          <w:highlight w:val="none"/>
        </w:rPr>
      </w:pPr>
    </w:p>
    <w:p w14:paraId="1CEB80B7">
      <w:pPr>
        <w:snapToGrid w:val="0"/>
        <w:spacing w:before="120" w:beforeLines="50" w:after="50" w:line="360" w:lineRule="exact"/>
        <w:rPr>
          <w:rFonts w:ascii="Times New Roman" w:hAnsi="Times New Roman" w:eastAsia="宋体" w:cs="Times New Roman"/>
          <w:bCs/>
          <w:color w:val="auto"/>
          <w:sz w:val="24"/>
          <w:highlight w:val="none"/>
        </w:rPr>
      </w:pPr>
    </w:p>
    <w:p w14:paraId="6D489593">
      <w:pPr>
        <w:snapToGrid w:val="0"/>
        <w:spacing w:before="120" w:beforeLines="50" w:after="50" w:line="36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 xml:space="preserve">项目名称： </w:t>
      </w:r>
    </w:p>
    <w:p w14:paraId="5DC48398">
      <w:pPr>
        <w:snapToGrid w:val="0"/>
        <w:spacing w:before="120" w:beforeLines="50" w:after="50" w:line="36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项目编号：</w:t>
      </w:r>
    </w:p>
    <w:p w14:paraId="72A14725">
      <w:pPr>
        <w:snapToGrid w:val="0"/>
        <w:spacing w:before="120" w:beforeLines="50" w:after="50" w:line="44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分标号：（若无</w:t>
      </w:r>
      <w:r>
        <w:rPr>
          <w:rFonts w:hint="eastAsia" w:ascii="Times New Roman" w:hAnsi="Times New Roman" w:eastAsia="宋体" w:cs="Times New Roman"/>
          <w:bCs/>
          <w:color w:val="auto"/>
          <w:sz w:val="24"/>
          <w:highlight w:val="none"/>
        </w:rPr>
        <w:t>留空或写</w:t>
      </w:r>
      <w:r>
        <w:rPr>
          <w:rFonts w:ascii="Times New Roman" w:hAnsi="Times New Roman" w:eastAsia="宋体" w:cs="Times New Roman"/>
          <w:bCs/>
          <w:color w:val="auto"/>
          <w:sz w:val="24"/>
          <w:highlight w:val="none"/>
        </w:rPr>
        <w:t>“/”）</w:t>
      </w:r>
    </w:p>
    <w:p w14:paraId="67457D1D">
      <w:pPr>
        <w:snapToGrid w:val="0"/>
        <w:spacing w:before="120" w:beforeLines="50" w:after="50" w:line="36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供应商名称：</w:t>
      </w:r>
    </w:p>
    <w:p w14:paraId="6558F844">
      <w:pPr>
        <w:snapToGrid w:val="0"/>
        <w:spacing w:before="120" w:beforeLines="50" w:after="50" w:line="36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供应商地址：</w:t>
      </w:r>
    </w:p>
    <w:p w14:paraId="49F49A75">
      <w:pPr>
        <w:pStyle w:val="8"/>
        <w:snapToGrid w:val="0"/>
        <w:spacing w:before="50" w:after="50" w:line="360" w:lineRule="exact"/>
        <w:ind w:firstLine="960" w:firstLineChars="400"/>
        <w:rPr>
          <w:rFonts w:ascii="Times New Roman" w:hAnsi="Times New Roman" w:eastAsia="宋体" w:cs="Times New Roman"/>
          <w:bCs/>
          <w:color w:val="auto"/>
          <w:sz w:val="24"/>
          <w:szCs w:val="24"/>
          <w:highlight w:val="none"/>
        </w:rPr>
      </w:pPr>
    </w:p>
    <w:p w14:paraId="4CF2C040">
      <w:pPr>
        <w:snapToGrid w:val="0"/>
        <w:spacing w:before="120" w:beforeLines="50" w:after="50" w:line="360" w:lineRule="exact"/>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                        年  月  日</w:t>
      </w:r>
    </w:p>
    <w:p w14:paraId="24A78B87">
      <w:pPr>
        <w:snapToGrid w:val="0"/>
        <w:spacing w:before="50" w:after="50" w:line="440" w:lineRule="exact"/>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 xml:space="preserve"> </w:t>
      </w:r>
    </w:p>
    <w:p w14:paraId="653D0442">
      <w:pPr>
        <w:snapToGrid w:val="0"/>
        <w:spacing w:before="120" w:beforeLines="50" w:after="50" w:line="360" w:lineRule="exact"/>
        <w:jc w:val="center"/>
        <w:rPr>
          <w:color w:val="auto"/>
          <w:sz w:val="24"/>
          <w:highlight w:val="none"/>
        </w:rPr>
      </w:pPr>
    </w:p>
    <w:p w14:paraId="4DCE5B62">
      <w:pPr>
        <w:snapToGrid w:val="0"/>
        <w:spacing w:before="120" w:beforeLines="50" w:after="50" w:line="440" w:lineRule="exact"/>
        <w:jc w:val="center"/>
        <w:outlineLvl w:val="9"/>
        <w:rPr>
          <w:b/>
          <w:bCs/>
          <w:color w:val="auto"/>
          <w:sz w:val="24"/>
          <w:highlight w:val="none"/>
        </w:rPr>
      </w:pPr>
      <w:bookmarkStart w:id="112" w:name="_Toc254970698"/>
      <w:bookmarkStart w:id="113" w:name="_Toc254970557"/>
      <w:r>
        <w:rPr>
          <w:color w:val="auto"/>
          <w:sz w:val="24"/>
          <w:highlight w:val="none"/>
        </w:rPr>
        <w:br w:type="page"/>
      </w:r>
      <w:bookmarkEnd w:id="112"/>
      <w:bookmarkEnd w:id="113"/>
    </w:p>
    <w:p w14:paraId="0CEFC040">
      <w:pPr>
        <w:snapToGrid w:val="0"/>
        <w:spacing w:before="120" w:beforeLines="50" w:after="50" w:line="440" w:lineRule="exact"/>
        <w:jc w:val="center"/>
        <w:rPr>
          <w:color w:val="auto"/>
          <w:sz w:val="24"/>
          <w:highlight w:val="none"/>
        </w:rPr>
      </w:pPr>
    </w:p>
    <w:p w14:paraId="4DC01EC5">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289F7BB4">
      <w:pPr>
        <w:jc w:val="center"/>
        <w:rPr>
          <w:b/>
          <w:color w:val="auto"/>
          <w:sz w:val="24"/>
          <w:highlight w:val="none"/>
        </w:rPr>
      </w:pPr>
      <w:r>
        <w:rPr>
          <w:b/>
          <w:color w:val="auto"/>
          <w:sz w:val="24"/>
          <w:highlight w:val="none"/>
        </w:rPr>
        <w:t>（需有页码）</w:t>
      </w:r>
    </w:p>
    <w:p w14:paraId="55CA6776">
      <w:pPr>
        <w:jc w:val="center"/>
        <w:outlineLvl w:val="9"/>
        <w:rPr>
          <w:rFonts w:hint="eastAsia"/>
          <w:bCs/>
          <w:vanish/>
          <w:color w:val="auto"/>
          <w:sz w:val="24"/>
          <w:highlight w:val="none"/>
        </w:rPr>
      </w:pPr>
      <w:r>
        <w:rPr>
          <w:color w:val="auto"/>
          <w:highlight w:val="none"/>
        </w:rPr>
        <w:br w:type="page"/>
      </w:r>
      <w:r>
        <w:rPr>
          <w:bCs/>
          <w:color w:val="auto"/>
          <w:sz w:val="24"/>
          <w:highlight w:val="none"/>
        </w:rPr>
        <w:t>第一部分 资格</w:t>
      </w:r>
      <w:r>
        <w:rPr>
          <w:rFonts w:hint="eastAsia"/>
          <w:bCs/>
          <w:color w:val="auto"/>
          <w:sz w:val="24"/>
          <w:highlight w:val="none"/>
        </w:rPr>
        <w:t>证明</w:t>
      </w:r>
      <w:r>
        <w:rPr>
          <w:bCs/>
          <w:color w:val="auto"/>
          <w:sz w:val="24"/>
          <w:highlight w:val="none"/>
        </w:rPr>
        <w:t>文件</w:t>
      </w:r>
    </w:p>
    <w:p w14:paraId="5F01FC77">
      <w:pPr>
        <w:snapToGrid w:val="0"/>
        <w:spacing w:before="50" w:after="120" w:afterLines="50" w:line="400" w:lineRule="exact"/>
        <w:jc w:val="left"/>
        <w:rPr>
          <w:b/>
          <w:color w:val="auto"/>
          <w:szCs w:val="21"/>
          <w:highlight w:val="none"/>
        </w:rPr>
      </w:pPr>
      <w:bookmarkStart w:id="114" w:name="_Hlk19199154"/>
    </w:p>
    <w:p w14:paraId="769BF4FA">
      <w:pPr>
        <w:snapToGrid w:val="0"/>
        <w:spacing w:before="50" w:after="120" w:afterLines="50" w:line="400" w:lineRule="exact"/>
        <w:jc w:val="left"/>
        <w:rPr>
          <w:rFonts w:hint="eastAsia"/>
          <w:b/>
          <w:color w:val="auto"/>
          <w:szCs w:val="21"/>
          <w:highlight w:val="none"/>
        </w:rPr>
      </w:pPr>
      <w:r>
        <w:rPr>
          <w:b/>
          <w:color w:val="auto"/>
          <w:szCs w:val="21"/>
          <w:highlight w:val="none"/>
        </w:rPr>
        <w:t>1．响应声明书格式：</w:t>
      </w:r>
      <w:bookmarkEnd w:id="114"/>
    </w:p>
    <w:p w14:paraId="7AF8AEC9">
      <w:pPr>
        <w:snapToGrid w:val="0"/>
        <w:spacing w:before="120" w:beforeLines="50" w:after="50" w:line="360" w:lineRule="exact"/>
        <w:jc w:val="center"/>
        <w:rPr>
          <w:b/>
          <w:color w:val="auto"/>
          <w:szCs w:val="21"/>
          <w:highlight w:val="none"/>
        </w:rPr>
      </w:pPr>
      <w:r>
        <w:rPr>
          <w:b/>
          <w:color w:val="auto"/>
          <w:szCs w:val="21"/>
          <w:highlight w:val="none"/>
        </w:rPr>
        <w:t>响应声明书</w:t>
      </w:r>
    </w:p>
    <w:p w14:paraId="4A6F5087">
      <w:pPr>
        <w:snapToGrid w:val="0"/>
        <w:spacing w:before="120" w:beforeLines="50" w:after="50" w:line="360" w:lineRule="exact"/>
        <w:jc w:val="center"/>
        <w:rPr>
          <w:color w:val="auto"/>
          <w:szCs w:val="21"/>
          <w:highlight w:val="none"/>
        </w:rPr>
      </w:pPr>
    </w:p>
    <w:p w14:paraId="55803A4B">
      <w:pPr>
        <w:snapToGrid w:val="0"/>
        <w:spacing w:before="120" w:beforeLines="50" w:after="50" w:line="360" w:lineRule="exact"/>
        <w:rPr>
          <w:color w:val="auto"/>
          <w:szCs w:val="21"/>
          <w:highlight w:val="none"/>
        </w:rPr>
      </w:pPr>
      <w:bookmarkStart w:id="115" w:name="_Hlk19199166"/>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12C9778D">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5DCA7D98">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i/>
          <w:iCs/>
          <w:color w:val="auto"/>
          <w:szCs w:val="21"/>
          <w:highlight w:val="none"/>
          <w:u w:val="single"/>
        </w:rPr>
        <w:t>（项目名称）</w:t>
      </w:r>
      <w:r>
        <w:rPr>
          <w:color w:val="auto"/>
          <w:szCs w:val="21"/>
          <w:highlight w:val="none"/>
        </w:rPr>
        <w:t>项目的磋商，为便于贵方公正、择优地确定成交供应商及其响应产品和服务，我方就本次磋商有关事项郑重声明如下：</w:t>
      </w:r>
    </w:p>
    <w:p w14:paraId="0099A26A">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（1）我方向贵方提交的所有响应文件、资料都是准确的和真实的。</w:t>
      </w:r>
    </w:p>
    <w:p w14:paraId="2FD085C1">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17E83254">
      <w:pPr>
        <w:snapToGrid w:val="0"/>
        <w:spacing w:before="120" w:beforeLines="50" w:line="360" w:lineRule="exact"/>
        <w:ind w:firstLine="420" w:firstLineChars="200"/>
        <w:rPr>
          <w:color w:val="auto"/>
          <w:szCs w:val="21"/>
          <w:highlight w:val="none"/>
        </w:rPr>
      </w:pPr>
      <w:r>
        <w:rPr>
          <w:color w:val="auto"/>
          <w:szCs w:val="21"/>
          <w:highlight w:val="none"/>
        </w:rPr>
        <w:t>（3） 我方承诺在参加本政府采购项目活动前，没有被纳入政府部门或银行认定的失信名单，我方具有良好的商业信誉。</w:t>
      </w:r>
    </w:p>
    <w:p w14:paraId="6620B56B">
      <w:pPr>
        <w:snapToGrid w:val="0"/>
        <w:spacing w:before="120" w:beforeLines="50" w:line="360" w:lineRule="exact"/>
        <w:ind w:firstLine="420" w:firstLineChars="200"/>
        <w:rPr>
          <w:rFonts w:hint="eastAsia"/>
          <w:color w:val="auto"/>
          <w:szCs w:val="21"/>
          <w:highlight w:val="none"/>
        </w:rPr>
      </w:pPr>
      <w:r>
        <w:rPr>
          <w:color w:val="auto"/>
          <w:szCs w:val="21"/>
          <w:highlight w:val="none"/>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2A5B3A3E">
      <w:pPr>
        <w:snapToGrid w:val="0"/>
        <w:spacing w:before="120" w:beforeLines="50" w:line="360" w:lineRule="exact"/>
        <w:ind w:firstLine="420" w:firstLineChars="200"/>
        <w:rPr>
          <w:color w:val="auto"/>
          <w:szCs w:val="21"/>
          <w:highlight w:val="none"/>
          <w:lang w:val="zh-CN"/>
        </w:rPr>
      </w:pPr>
      <w:r>
        <w:rPr>
          <w:color w:val="auto"/>
          <w:szCs w:val="21"/>
          <w:highlight w:val="none"/>
        </w:rPr>
        <w:t>（5）</w:t>
      </w:r>
      <w:r>
        <w:rPr>
          <w:color w:val="auto"/>
          <w:szCs w:val="21"/>
          <w:highlight w:val="none"/>
          <w:lang w:val="zh-CN"/>
        </w:rPr>
        <w:t>我方</w:t>
      </w:r>
      <w:r>
        <w:rPr>
          <w:color w:val="auto"/>
          <w:szCs w:val="21"/>
          <w:highlight w:val="none"/>
        </w:rPr>
        <w:t>承诺</w:t>
      </w:r>
      <w:r>
        <w:rPr>
          <w:color w:val="auto"/>
          <w:szCs w:val="21"/>
          <w:highlight w:val="none"/>
          <w:lang w:val="zh-CN"/>
        </w:rPr>
        <w:t>具有履行本项目合同所必需的设备和专业技术能力。</w:t>
      </w:r>
    </w:p>
    <w:p w14:paraId="109C8DEA">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，如我方提供的声明不实，则接受本次响应作为响应无效的处理，</w:t>
      </w:r>
      <w:r>
        <w:rPr>
          <w:color w:val="auto"/>
          <w:szCs w:val="21"/>
          <w:highlight w:val="none"/>
        </w:rPr>
        <w:t>并根据财库〔2016〕125号《财政部关于在政府采购活动中查询及使用信用记录有关问题的通知》规定接受失信联合惩戒。</w:t>
      </w:r>
    </w:p>
    <w:p w14:paraId="009C81C0">
      <w:pPr>
        <w:snapToGrid w:val="0"/>
        <w:spacing w:before="120" w:beforeLines="50" w:line="360" w:lineRule="exact"/>
        <w:ind w:firstLine="420" w:firstLineChars="200"/>
        <w:rPr>
          <w:color w:val="auto"/>
          <w:szCs w:val="21"/>
          <w:highlight w:val="none"/>
        </w:rPr>
      </w:pPr>
      <w:r>
        <w:rPr>
          <w:rFonts w:hint="eastAsia"/>
          <w:color w:val="auto"/>
          <w:szCs w:val="21"/>
          <w:highlight w:val="none"/>
        </w:rPr>
        <w:t>（7）我方承诺中标后按规定缴纳代理服务费。如未按时缴纳，贵方有权对我方在贵方辖区内的人民法院提出诉讼。由此产生的一切后果由我方承担。后果包含但不限于：列入失信被执行人等。</w:t>
      </w:r>
    </w:p>
    <w:p w14:paraId="3519EF65">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bookmarkEnd w:id="115"/>
    <w:p w14:paraId="371C8134">
      <w:pPr>
        <w:snapToGrid w:val="0"/>
        <w:spacing w:before="120" w:beforeLines="50" w:line="360" w:lineRule="exact"/>
        <w:ind w:firstLine="420" w:firstLineChars="200"/>
        <w:rPr>
          <w:color w:val="auto"/>
          <w:szCs w:val="21"/>
          <w:highlight w:val="none"/>
        </w:rPr>
      </w:pPr>
    </w:p>
    <w:p w14:paraId="379EBBD7">
      <w:pPr>
        <w:snapToGrid w:val="0"/>
        <w:spacing w:before="120" w:beforeLines="50" w:after="50" w:line="360" w:lineRule="exact"/>
        <w:ind w:firstLine="3570" w:firstLineChars="17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517EB697">
      <w:pPr>
        <w:snapToGrid w:val="0"/>
        <w:spacing w:before="120" w:beforeLines="50" w:after="50" w:line="360" w:lineRule="exact"/>
        <w:ind w:firstLine="210" w:firstLineChars="100"/>
        <w:rPr>
          <w:color w:val="auto"/>
          <w:szCs w:val="21"/>
          <w:highlight w:val="none"/>
        </w:rPr>
      </w:pPr>
      <w:r>
        <w:rPr>
          <w:color w:val="auto"/>
          <w:szCs w:val="21"/>
          <w:highlight w:val="none"/>
        </w:rPr>
        <w:t xml:space="preserve">                                          年    月    日</w:t>
      </w:r>
    </w:p>
    <w:p w14:paraId="274F2F01">
      <w:pPr>
        <w:numPr>
          <w:ilvl w:val="0"/>
          <w:numId w:val="0"/>
        </w:numPr>
        <w:snapToGrid w:val="0"/>
        <w:spacing w:before="120" w:beforeLines="50" w:after="50" w:line="440" w:lineRule="exact"/>
        <w:rPr>
          <w:b/>
          <w:bCs/>
          <w:color w:val="auto"/>
          <w:szCs w:val="21"/>
          <w:highlight w:val="none"/>
        </w:rPr>
      </w:pPr>
      <w:r>
        <w:rPr>
          <w:color w:val="auto"/>
          <w:szCs w:val="21"/>
          <w:highlight w:val="none"/>
        </w:rPr>
        <w:br w:type="page"/>
      </w:r>
      <w:r>
        <w:rPr>
          <w:rFonts w:hint="eastAsia"/>
          <w:color w:val="auto"/>
          <w:szCs w:val="21"/>
          <w:highlight w:val="none"/>
          <w:lang w:val="en-US" w:eastAsia="zh-CN"/>
        </w:rPr>
        <w:t>2.</w:t>
      </w:r>
      <w:r>
        <w:rPr>
          <w:rFonts w:hint="eastAsia"/>
          <w:color w:val="auto"/>
          <w:szCs w:val="21"/>
          <w:highlight w:val="none"/>
        </w:rPr>
        <w:t>具有独立承担民事责任的能力。</w:t>
      </w:r>
      <w:r>
        <w:rPr>
          <w:rFonts w:hint="eastAsia"/>
          <w:b/>
          <w:bCs/>
          <w:color w:val="auto"/>
          <w:szCs w:val="21"/>
          <w:highlight w:val="none"/>
        </w:rPr>
        <w:t>（提供：政府采购项目投标资格承诺函（详见附件一））</w:t>
      </w:r>
    </w:p>
    <w:p w14:paraId="7AFF1030">
      <w:pPr>
        <w:snapToGrid w:val="0"/>
        <w:spacing w:before="120" w:beforeLines="50" w:after="50" w:line="440" w:lineRule="exact"/>
        <w:rPr>
          <w:b/>
          <w:bCs/>
          <w:color w:val="auto"/>
          <w:szCs w:val="21"/>
          <w:highlight w:val="none"/>
        </w:rPr>
      </w:pPr>
      <w:r>
        <w:rPr>
          <w:b/>
          <w:bCs/>
          <w:color w:val="auto"/>
          <w:szCs w:val="21"/>
          <w:highlight w:val="none"/>
        </w:rPr>
        <w:t>（加盖</w:t>
      </w:r>
      <w:bookmarkStart w:id="116" w:name="_Hlk89177738"/>
      <w:r>
        <w:rPr>
          <w:b/>
          <w:bCs/>
          <w:color w:val="auto"/>
          <w:szCs w:val="21"/>
          <w:highlight w:val="none"/>
        </w:rPr>
        <w:t>供应商</w:t>
      </w:r>
      <w:r>
        <w:rPr>
          <w:rFonts w:hint="eastAsia"/>
          <w:b/>
          <w:bCs/>
          <w:color w:val="auto"/>
          <w:szCs w:val="21"/>
          <w:highlight w:val="none"/>
        </w:rPr>
        <w:t>电子签章</w:t>
      </w:r>
      <w:bookmarkEnd w:id="116"/>
      <w:r>
        <w:rPr>
          <w:rFonts w:hint="eastAsia"/>
          <w:b/>
          <w:bCs/>
          <w:color w:val="auto"/>
          <w:szCs w:val="21"/>
          <w:highlight w:val="none"/>
        </w:rPr>
        <w:t>，必须提供</w:t>
      </w:r>
      <w:r>
        <w:rPr>
          <w:b/>
          <w:bCs/>
          <w:color w:val="auto"/>
          <w:szCs w:val="21"/>
          <w:highlight w:val="none"/>
        </w:rPr>
        <w:t>）</w:t>
      </w:r>
      <w:r>
        <w:rPr>
          <w:rFonts w:hint="eastAsia"/>
          <w:b/>
          <w:bCs/>
          <w:color w:val="auto"/>
          <w:szCs w:val="21"/>
          <w:highlight w:val="none"/>
        </w:rPr>
        <w:t>。</w:t>
      </w:r>
    </w:p>
    <w:p w14:paraId="75FECE19">
      <w:pPr>
        <w:snapToGrid w:val="0"/>
        <w:spacing w:before="120" w:beforeLines="50" w:after="50" w:line="440" w:lineRule="exact"/>
        <w:rPr>
          <w:b/>
          <w:color w:val="auto"/>
          <w:szCs w:val="21"/>
          <w:highlight w:val="none"/>
        </w:rPr>
      </w:pPr>
    </w:p>
    <w:p w14:paraId="066411E0">
      <w:pPr>
        <w:snapToGrid w:val="0"/>
        <w:spacing w:before="120" w:beforeLines="50" w:after="50" w:line="440" w:lineRule="exact"/>
        <w:rPr>
          <w:b/>
          <w:bCs/>
          <w:color w:val="auto"/>
          <w:szCs w:val="21"/>
          <w:highlight w:val="none"/>
        </w:rPr>
      </w:pPr>
      <w:r>
        <w:rPr>
          <w:rFonts w:hint="eastAsia"/>
          <w:color w:val="auto"/>
          <w:szCs w:val="21"/>
          <w:highlight w:val="none"/>
          <w:lang w:val="en-US" w:eastAsia="zh-CN"/>
        </w:rPr>
        <w:t>3</w:t>
      </w:r>
      <w:r>
        <w:rPr>
          <w:color w:val="auto"/>
          <w:szCs w:val="21"/>
          <w:highlight w:val="none"/>
        </w:rPr>
        <w:t>．具有良好的商业信誉和健全的财务会计制度</w:t>
      </w:r>
      <w:r>
        <w:rPr>
          <w:rFonts w:hint="eastAsia"/>
          <w:color w:val="auto"/>
          <w:szCs w:val="21"/>
          <w:highlight w:val="none"/>
        </w:rPr>
        <w:t>。</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2F36E8FD">
      <w:pPr>
        <w:snapToGrid w:val="0"/>
        <w:spacing w:before="50" w:after="120" w:afterLines="50" w:line="440" w:lineRule="exact"/>
        <w:jc w:val="left"/>
        <w:rPr>
          <w:color w:val="auto"/>
          <w:szCs w:val="21"/>
          <w:highlight w:val="none"/>
        </w:rPr>
      </w:pPr>
    </w:p>
    <w:p w14:paraId="377BE102">
      <w:pPr>
        <w:snapToGrid w:val="0"/>
        <w:spacing w:before="50" w:after="120" w:afterLines="50" w:line="440" w:lineRule="exact"/>
        <w:jc w:val="left"/>
        <w:rPr>
          <w:b/>
          <w:bCs/>
          <w:color w:val="auto"/>
          <w:szCs w:val="21"/>
          <w:highlight w:val="none"/>
          <w:lang w:val="zh-CN"/>
        </w:rPr>
      </w:pPr>
      <w:r>
        <w:rPr>
          <w:rFonts w:hint="eastAsia"/>
          <w:color w:val="auto"/>
          <w:szCs w:val="21"/>
          <w:highlight w:val="none"/>
          <w:lang w:val="en-US" w:eastAsia="zh-CN"/>
        </w:rPr>
        <w:t>4</w:t>
      </w:r>
      <w:r>
        <w:rPr>
          <w:color w:val="auto"/>
          <w:szCs w:val="21"/>
          <w:highlight w:val="none"/>
        </w:rPr>
        <w:t>．</w:t>
      </w:r>
      <w:r>
        <w:rPr>
          <w:color w:val="auto"/>
          <w:szCs w:val="21"/>
          <w:highlight w:val="none"/>
          <w:lang w:val="zh-CN"/>
        </w:rPr>
        <w:t>有依法缴纳税收和社会保障金的良好记录</w:t>
      </w:r>
      <w:r>
        <w:rPr>
          <w:rFonts w:hint="eastAsia"/>
          <w:color w:val="auto"/>
          <w:szCs w:val="21"/>
          <w:highlight w:val="none"/>
          <w:lang w:val="zh-CN"/>
        </w:rPr>
        <w:t>。</w:t>
      </w:r>
      <w:r>
        <w:rPr>
          <w:rFonts w:hint="eastAsia"/>
          <w:b/>
          <w:bCs/>
          <w:color w:val="auto"/>
          <w:szCs w:val="21"/>
          <w:highlight w:val="none"/>
        </w:rPr>
        <w:t>（提供：政府采购项目投标资格承诺函（详见附件一））</w:t>
      </w:r>
    </w:p>
    <w:p w14:paraId="3F287E16">
      <w:pPr>
        <w:snapToGrid w:val="0"/>
        <w:spacing w:before="50" w:after="120" w:afterLines="50" w:line="440" w:lineRule="exact"/>
        <w:jc w:val="left"/>
        <w:rPr>
          <w:b/>
          <w:bCs/>
          <w:color w:val="auto"/>
          <w:szCs w:val="21"/>
          <w:highlight w:val="none"/>
        </w:rPr>
      </w:pP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65651145">
      <w:pPr>
        <w:pStyle w:val="20"/>
        <w:rPr>
          <w:color w:val="auto"/>
          <w:highlight w:val="none"/>
        </w:rPr>
      </w:pPr>
    </w:p>
    <w:p w14:paraId="4B2ADA3F">
      <w:pPr>
        <w:snapToGrid w:val="0"/>
        <w:spacing w:before="120" w:beforeLines="50" w:after="50" w:line="440" w:lineRule="exact"/>
        <w:rPr>
          <w:b/>
          <w:bCs/>
          <w:color w:val="auto"/>
          <w:szCs w:val="21"/>
          <w:highlight w:val="none"/>
        </w:rPr>
      </w:pPr>
      <w:r>
        <w:rPr>
          <w:rFonts w:hint="eastAsia"/>
          <w:color w:val="auto"/>
          <w:highlight w:val="none"/>
          <w:lang w:val="en-US" w:eastAsia="zh-CN"/>
        </w:rPr>
        <w:t>5</w:t>
      </w:r>
      <w:r>
        <w:rPr>
          <w:color w:val="auto"/>
          <w:highlight w:val="none"/>
        </w:rPr>
        <w:t>．</w:t>
      </w:r>
      <w:r>
        <w:rPr>
          <w:color w:val="auto"/>
          <w:szCs w:val="21"/>
          <w:highlight w:val="none"/>
          <w:lang w:val="zh-CN"/>
        </w:rPr>
        <w:t>具有履行合同所必需的设备和专业技术能力</w:t>
      </w:r>
      <w:r>
        <w:rPr>
          <w:rFonts w:hint="eastAsia"/>
          <w:color w:val="auto"/>
          <w:szCs w:val="21"/>
          <w:highlight w:val="none"/>
        </w:rPr>
        <w:t>。</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6EB4E005">
      <w:pPr>
        <w:snapToGrid w:val="0"/>
        <w:spacing w:before="120" w:beforeLines="50" w:after="50" w:line="440" w:lineRule="exact"/>
        <w:rPr>
          <w:color w:val="auto"/>
          <w:szCs w:val="21"/>
          <w:highlight w:val="none"/>
        </w:rPr>
      </w:pPr>
    </w:p>
    <w:p w14:paraId="4D409128">
      <w:pPr>
        <w:snapToGrid w:val="0"/>
        <w:spacing w:before="120" w:beforeLines="50" w:after="50" w:line="440" w:lineRule="exact"/>
        <w:rPr>
          <w:b/>
          <w:bCs/>
          <w:color w:val="auto"/>
          <w:szCs w:val="21"/>
          <w:highlight w:val="none"/>
        </w:rPr>
      </w:pPr>
      <w:r>
        <w:rPr>
          <w:rFonts w:hint="eastAsia"/>
          <w:color w:val="auto"/>
          <w:szCs w:val="21"/>
          <w:highlight w:val="none"/>
          <w:lang w:val="en-US" w:eastAsia="zh-CN"/>
        </w:rPr>
        <w:t>6</w:t>
      </w:r>
      <w:r>
        <w:rPr>
          <w:color w:val="auto"/>
          <w:szCs w:val="21"/>
          <w:highlight w:val="none"/>
        </w:rPr>
        <w:t>．参加政府采购活动前三年内，在经营活动中没有重大违法记录</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738992CC">
      <w:pPr>
        <w:pStyle w:val="20"/>
        <w:rPr>
          <w:color w:val="auto"/>
          <w:highlight w:val="none"/>
        </w:rPr>
      </w:pPr>
    </w:p>
    <w:p w14:paraId="2B7276C1">
      <w:pPr>
        <w:snapToGrid w:val="0"/>
        <w:spacing w:before="120" w:beforeLines="50" w:after="50" w:line="440" w:lineRule="exact"/>
        <w:rPr>
          <w:b/>
          <w:bCs/>
          <w:color w:val="auto"/>
          <w:sz w:val="24"/>
          <w:highlight w:val="none"/>
          <w:u w:val="single"/>
        </w:rPr>
      </w:pPr>
      <w:r>
        <w:rPr>
          <w:rFonts w:hint="eastAsia"/>
          <w:b/>
          <w:bCs/>
          <w:color w:val="auto"/>
          <w:sz w:val="24"/>
          <w:highlight w:val="none"/>
          <w:u w:val="single"/>
        </w:rPr>
        <w:t>注：以上</w:t>
      </w:r>
      <w:r>
        <w:rPr>
          <w:rFonts w:hint="eastAsia"/>
          <w:b/>
          <w:bCs/>
          <w:color w:val="auto"/>
          <w:sz w:val="24"/>
          <w:highlight w:val="none"/>
          <w:u w:val="single"/>
          <w:lang w:val="en-US" w:eastAsia="zh-CN"/>
        </w:rPr>
        <w:t>2</w:t>
      </w:r>
      <w:r>
        <w:rPr>
          <w:rFonts w:hint="eastAsia"/>
          <w:b/>
          <w:bCs/>
          <w:color w:val="auto"/>
          <w:sz w:val="24"/>
          <w:highlight w:val="none"/>
          <w:u w:val="single"/>
        </w:rPr>
        <w:t>-</w:t>
      </w:r>
      <w:r>
        <w:rPr>
          <w:rFonts w:hint="eastAsia"/>
          <w:b/>
          <w:bCs/>
          <w:color w:val="auto"/>
          <w:sz w:val="24"/>
          <w:highlight w:val="none"/>
          <w:u w:val="single"/>
          <w:lang w:val="en-US" w:eastAsia="zh-CN"/>
        </w:rPr>
        <w:t>6</w:t>
      </w:r>
      <w:r>
        <w:rPr>
          <w:rFonts w:hint="eastAsia"/>
          <w:b/>
          <w:bCs/>
          <w:color w:val="auto"/>
          <w:sz w:val="24"/>
          <w:highlight w:val="none"/>
          <w:u w:val="single"/>
        </w:rPr>
        <w:t>项，只须提供一份完整的《政府采购项目投标资格承诺函》即可。</w:t>
      </w:r>
    </w:p>
    <w:p w14:paraId="4B8DCC5B">
      <w:pPr>
        <w:snapToGrid w:val="0"/>
        <w:spacing w:before="50" w:after="120" w:afterLines="50" w:line="440" w:lineRule="exact"/>
        <w:jc w:val="left"/>
        <w:rPr>
          <w:rFonts w:hint="eastAsia"/>
          <w:b/>
          <w:color w:val="auto"/>
          <w:szCs w:val="21"/>
          <w:highlight w:val="none"/>
        </w:rPr>
      </w:pPr>
    </w:p>
    <w:p w14:paraId="3E4C3CC8">
      <w:pPr>
        <w:snapToGrid w:val="0"/>
        <w:spacing w:before="50" w:after="120" w:afterLines="50" w:line="440" w:lineRule="exact"/>
        <w:jc w:val="left"/>
        <w:rPr>
          <w:b/>
          <w:color w:val="auto"/>
          <w:szCs w:val="21"/>
          <w:highlight w:val="none"/>
        </w:rPr>
      </w:pPr>
      <w:r>
        <w:rPr>
          <w:rFonts w:hint="eastAsia"/>
          <w:color w:val="auto"/>
          <w:szCs w:val="21"/>
          <w:highlight w:val="none"/>
          <w:lang w:val="en-US" w:eastAsia="zh-CN"/>
        </w:rPr>
        <w:t>7</w:t>
      </w:r>
      <w:r>
        <w:rPr>
          <w:color w:val="auto"/>
          <w:szCs w:val="21"/>
          <w:highlight w:val="none"/>
        </w:rPr>
        <w:t>．具备法律、行政法规规定的其他要求的证明材料</w:t>
      </w:r>
      <w:r>
        <w:rPr>
          <w:color w:val="auto"/>
          <w:highlight w:val="none"/>
        </w:rPr>
        <w:t>（</w:t>
      </w:r>
      <w:r>
        <w:rPr>
          <w:color w:val="auto"/>
          <w:szCs w:val="21"/>
          <w:highlight w:val="none"/>
        </w:rPr>
        <w:t>按“评审方法及标准” “资格性检查表”规定提供</w:t>
      </w:r>
      <w:r>
        <w:rPr>
          <w:color w:val="auto"/>
          <w:highlight w:val="none"/>
        </w:rPr>
        <w:t>）。</w:t>
      </w:r>
      <w:r>
        <w:rPr>
          <w:rFonts w:hint="eastAsia"/>
          <w:b/>
          <w:color w:val="auto"/>
          <w:szCs w:val="21"/>
          <w:highlight w:val="none"/>
        </w:rPr>
        <w:t>（如采购文件有要求时提供）</w:t>
      </w:r>
    </w:p>
    <w:p w14:paraId="029029CC">
      <w:pPr>
        <w:snapToGrid w:val="0"/>
        <w:spacing w:before="50" w:after="120" w:afterLines="50" w:line="440" w:lineRule="exact"/>
        <w:jc w:val="left"/>
        <w:rPr>
          <w:color w:val="auto"/>
          <w:szCs w:val="21"/>
          <w:highlight w:val="none"/>
        </w:rPr>
      </w:pPr>
    </w:p>
    <w:p w14:paraId="1E403247">
      <w:pPr>
        <w:snapToGrid w:val="0"/>
        <w:spacing w:before="50" w:after="120" w:afterLines="50" w:line="440" w:lineRule="exact"/>
        <w:jc w:val="left"/>
        <w:rPr>
          <w:rFonts w:hint="eastAsia"/>
          <w:color w:val="auto"/>
          <w:highlight w:val="none"/>
        </w:rPr>
      </w:pPr>
      <w:r>
        <w:rPr>
          <w:rFonts w:hint="eastAsia"/>
          <w:color w:val="auto"/>
          <w:szCs w:val="21"/>
          <w:highlight w:val="none"/>
          <w:lang w:val="en-US" w:eastAsia="zh-CN"/>
        </w:rPr>
        <w:t>8</w:t>
      </w:r>
      <w:r>
        <w:rPr>
          <w:color w:val="auto"/>
          <w:szCs w:val="21"/>
          <w:highlight w:val="none"/>
        </w:rPr>
        <w:t>．</w:t>
      </w:r>
      <w:r>
        <w:rPr>
          <w:rFonts w:hint="eastAsia"/>
          <w:color w:val="auto"/>
          <w:highlight w:val="none"/>
        </w:rPr>
        <w:t>落实政府采购政策需满足的资格要求</w:t>
      </w:r>
      <w:r>
        <w:rPr>
          <w:color w:val="auto"/>
          <w:highlight w:val="none"/>
        </w:rPr>
        <w:t>（</w:t>
      </w:r>
      <w:r>
        <w:rPr>
          <w:color w:val="auto"/>
          <w:szCs w:val="21"/>
          <w:highlight w:val="none"/>
        </w:rPr>
        <w:t>按“评审方法及标准” “资格审查表”规定提供</w:t>
      </w:r>
      <w:r>
        <w:rPr>
          <w:color w:val="auto"/>
          <w:highlight w:val="none"/>
        </w:rPr>
        <w:t>）。</w:t>
      </w:r>
      <w:r>
        <w:rPr>
          <w:rFonts w:hint="eastAsia"/>
          <w:b/>
          <w:color w:val="auto"/>
          <w:szCs w:val="21"/>
          <w:highlight w:val="none"/>
        </w:rPr>
        <w:t>（如采购文件有要求时提供）</w:t>
      </w:r>
    </w:p>
    <w:p w14:paraId="5719D3C1">
      <w:pPr>
        <w:rPr>
          <w:color w:val="auto"/>
          <w:szCs w:val="21"/>
          <w:highlight w:val="none"/>
        </w:rPr>
      </w:pPr>
      <w:r>
        <w:rPr>
          <w:color w:val="auto"/>
          <w:highlight w:val="none"/>
        </w:rPr>
        <w:br w:type="page"/>
      </w:r>
      <w:r>
        <w:rPr>
          <w:rFonts w:hint="eastAsia"/>
          <w:color w:val="auto"/>
          <w:szCs w:val="21"/>
          <w:highlight w:val="none"/>
          <w:lang w:val="en-US" w:eastAsia="zh-CN"/>
        </w:rPr>
        <w:t>8.</w:t>
      </w:r>
      <w:r>
        <w:rPr>
          <w:color w:val="auto"/>
          <w:szCs w:val="21"/>
          <w:highlight w:val="none"/>
        </w:rPr>
        <w:t>1</w:t>
      </w:r>
      <w:r>
        <w:rPr>
          <w:rFonts w:hint="eastAsia"/>
          <w:bCs/>
          <w:color w:val="auto"/>
          <w:szCs w:val="21"/>
          <w:highlight w:val="none"/>
        </w:rPr>
        <w:t>中小企业声明函</w:t>
      </w:r>
      <w:r>
        <w:rPr>
          <w:color w:val="auto"/>
          <w:szCs w:val="21"/>
          <w:highlight w:val="none"/>
        </w:rPr>
        <w:t>。</w:t>
      </w:r>
    </w:p>
    <w:p w14:paraId="76CBFC1C">
      <w:pPr>
        <w:spacing w:line="360" w:lineRule="auto"/>
        <w:ind w:firstLine="3584" w:firstLineChars="1700"/>
        <w:rPr>
          <w:b/>
          <w:color w:val="auto"/>
          <w:szCs w:val="21"/>
          <w:highlight w:val="none"/>
        </w:rPr>
      </w:pPr>
    </w:p>
    <w:p w14:paraId="6BDC3AA0">
      <w:pPr>
        <w:spacing w:line="360" w:lineRule="auto"/>
        <w:ind w:firstLine="3584" w:firstLineChars="1700"/>
        <w:rPr>
          <w:b/>
          <w:color w:val="auto"/>
          <w:szCs w:val="21"/>
          <w:highlight w:val="none"/>
        </w:rPr>
      </w:pPr>
      <w:r>
        <w:rPr>
          <w:rFonts w:hint="eastAsia"/>
          <w:b/>
          <w:color w:val="auto"/>
          <w:szCs w:val="21"/>
          <w:highlight w:val="none"/>
        </w:rPr>
        <w:t>中小企业声明函（服务）</w:t>
      </w:r>
    </w:p>
    <w:p w14:paraId="79B8C411">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采购活动，服务全部由符合政策要求的中小企业承接。相关企业（含联合体中的中小企业、签订分包意向协议的中小企业） 的具体情况如下：</w:t>
      </w:r>
    </w:p>
    <w:p w14:paraId="33BD9FAC">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5CF4F028">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330C3AF6">
      <w:pPr>
        <w:spacing w:line="360" w:lineRule="auto"/>
        <w:ind w:firstLine="420"/>
        <w:rPr>
          <w:bCs/>
          <w:color w:val="auto"/>
          <w:szCs w:val="21"/>
          <w:highlight w:val="none"/>
        </w:rPr>
      </w:pPr>
      <w:r>
        <w:rPr>
          <w:rFonts w:hint="eastAsia"/>
          <w:bCs/>
          <w:color w:val="auto"/>
          <w:szCs w:val="21"/>
          <w:highlight w:val="none"/>
        </w:rPr>
        <w:t>……</w:t>
      </w:r>
    </w:p>
    <w:p w14:paraId="7CF07C20">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7AF54853">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6B62DD38">
      <w:pPr>
        <w:spacing w:line="360" w:lineRule="auto"/>
        <w:ind w:firstLine="3150" w:firstLineChars="1500"/>
        <w:rPr>
          <w:bCs/>
          <w:color w:val="auto"/>
          <w:szCs w:val="21"/>
          <w:highlight w:val="none"/>
        </w:rPr>
      </w:pPr>
      <w:r>
        <w:rPr>
          <w:rFonts w:hint="eastAsia"/>
          <w:bCs/>
          <w:color w:val="auto"/>
          <w:szCs w:val="21"/>
          <w:highlight w:val="none"/>
        </w:rPr>
        <w:t xml:space="preserve">企业名称（电子签章）： </w:t>
      </w:r>
      <w:r>
        <w:rPr>
          <w:bCs/>
          <w:color w:val="auto"/>
          <w:szCs w:val="21"/>
          <w:highlight w:val="none"/>
        </w:rPr>
        <w:t xml:space="preserve"> </w:t>
      </w:r>
      <w:r>
        <w:rPr>
          <w:rFonts w:hint="eastAsia"/>
          <w:bCs/>
          <w:color w:val="auto"/>
          <w:szCs w:val="21"/>
          <w:highlight w:val="none"/>
        </w:rPr>
        <w:t>日期：</w:t>
      </w:r>
    </w:p>
    <w:p w14:paraId="27239BC7">
      <w:pPr>
        <w:spacing w:line="360" w:lineRule="auto"/>
        <w:jc w:val="left"/>
        <w:rPr>
          <w:bCs/>
          <w:color w:val="auto"/>
          <w:szCs w:val="21"/>
          <w:highlight w:val="none"/>
        </w:rPr>
      </w:pPr>
      <w:r>
        <w:rPr>
          <w:rFonts w:hint="eastAsia"/>
          <w:bCs/>
          <w:color w:val="auto"/>
          <w:szCs w:val="21"/>
          <w:highlight w:val="none"/>
        </w:rPr>
        <w:t>注：</w:t>
      </w:r>
    </w:p>
    <w:p w14:paraId="55ECF139">
      <w:pPr>
        <w:spacing w:line="360" w:lineRule="auto"/>
        <w:jc w:val="left"/>
        <w:rPr>
          <w:bCs/>
          <w:color w:val="auto"/>
          <w:szCs w:val="21"/>
          <w:highlight w:val="none"/>
        </w:rPr>
      </w:pPr>
      <w:r>
        <w:rPr>
          <w:rFonts w:hint="eastAsia"/>
          <w:bCs/>
          <w:color w:val="auto"/>
          <w:szCs w:val="21"/>
          <w:highlight w:val="none"/>
        </w:rPr>
        <w:t>（1）标的名称按照第二章采购需求一览表中的名称填写，</w:t>
      </w:r>
      <w:r>
        <w:rPr>
          <w:color w:val="auto"/>
          <w:szCs w:val="21"/>
          <w:highlight w:val="none"/>
        </w:rPr>
        <w:t>所属行业标明“/”的</w:t>
      </w:r>
      <w:r>
        <w:rPr>
          <w:rFonts w:hint="eastAsia"/>
          <w:bCs/>
          <w:color w:val="auto"/>
          <w:szCs w:val="21"/>
          <w:highlight w:val="none"/>
        </w:rPr>
        <w:t>，无需在上表填写。</w:t>
      </w:r>
    </w:p>
    <w:p w14:paraId="37D113C3">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3100DAFA">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1F84D704">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7D709257">
      <w:pPr>
        <w:spacing w:line="360" w:lineRule="auto"/>
        <w:jc w:val="left"/>
        <w:rPr>
          <w:rFonts w:hint="eastAsia"/>
          <w:bCs/>
          <w:color w:val="auto"/>
          <w:szCs w:val="21"/>
          <w:highlight w:val="none"/>
        </w:rPr>
      </w:pPr>
      <w:r>
        <w:rPr>
          <w:rFonts w:hint="eastAsia"/>
          <w:bCs/>
          <w:color w:val="auto"/>
          <w:szCs w:val="21"/>
          <w:highlight w:val="none"/>
        </w:rPr>
        <w:t>（5）根据国际统计局《劳动工资统计报表制度》，从业人员数是指本单位工作，并取得工资或其他形式劳动报酬的人员数，是在岗职工、劳务派遣人员及其他从业人员之和。</w:t>
      </w:r>
    </w:p>
    <w:p w14:paraId="351B5912">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76ACE453">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23CF01BB">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79E275AE">
      <w:pPr>
        <w:snapToGrid w:val="0"/>
        <w:spacing w:before="50" w:after="120" w:afterLines="50"/>
        <w:jc w:val="left"/>
        <w:rPr>
          <w:color w:val="auto"/>
          <w:szCs w:val="21"/>
          <w:highlight w:val="none"/>
        </w:rPr>
      </w:pPr>
    </w:p>
    <w:p w14:paraId="3702CE12">
      <w:pPr>
        <w:snapToGrid w:val="0"/>
        <w:spacing w:before="50" w:after="120" w:afterLines="50"/>
        <w:jc w:val="left"/>
        <w:rPr>
          <w:color w:val="auto"/>
          <w:szCs w:val="21"/>
          <w:highlight w:val="none"/>
        </w:rPr>
      </w:pPr>
      <w:r>
        <w:rPr>
          <w:rFonts w:hint="eastAsia"/>
          <w:color w:val="auto"/>
          <w:szCs w:val="21"/>
          <w:highlight w:val="none"/>
          <w:lang w:val="en-US" w:eastAsia="zh-CN"/>
        </w:rPr>
        <w:t>8</w:t>
      </w:r>
      <w:r>
        <w:rPr>
          <w:color w:val="auto"/>
          <w:szCs w:val="21"/>
          <w:highlight w:val="none"/>
        </w:rPr>
        <w:t>.2监狱企业须提供最新一期《XX省监狱企业产品目录》或其他监狱企业证明材料。（非监狱企业无需提供）</w:t>
      </w:r>
    </w:p>
    <w:p w14:paraId="270FA6FB">
      <w:pPr>
        <w:snapToGrid w:val="0"/>
        <w:spacing w:before="50" w:after="120" w:afterLines="50"/>
        <w:jc w:val="left"/>
        <w:rPr>
          <w:color w:val="auto"/>
          <w:szCs w:val="21"/>
          <w:highlight w:val="none"/>
        </w:rPr>
      </w:pPr>
    </w:p>
    <w:p w14:paraId="030CE43F">
      <w:pPr>
        <w:widowControl/>
        <w:jc w:val="left"/>
        <w:rPr>
          <w:color w:val="auto"/>
          <w:szCs w:val="21"/>
          <w:highlight w:val="none"/>
        </w:rPr>
      </w:pPr>
      <w:r>
        <w:rPr>
          <w:rFonts w:hint="eastAsia"/>
          <w:color w:val="auto"/>
          <w:szCs w:val="21"/>
          <w:highlight w:val="none"/>
          <w:lang w:val="en-US" w:eastAsia="zh-CN"/>
        </w:rPr>
        <w:t>8</w:t>
      </w:r>
      <w:r>
        <w:rPr>
          <w:color w:val="auto"/>
          <w:szCs w:val="21"/>
          <w:highlight w:val="none"/>
        </w:rPr>
        <w:t>.3</w:t>
      </w:r>
      <w:r>
        <w:rPr>
          <w:color w:val="auto"/>
          <w:highlight w:val="none"/>
        </w:rPr>
        <w:t>残疾人福利性单位须提供《残疾人福利性单位声明函》，格式如下。</w:t>
      </w:r>
      <w:r>
        <w:rPr>
          <w:color w:val="auto"/>
          <w:szCs w:val="21"/>
          <w:highlight w:val="none"/>
        </w:rPr>
        <w:t>（非残疾人福利性单位无需提供）</w:t>
      </w:r>
    </w:p>
    <w:p w14:paraId="6A1BA235">
      <w:pPr>
        <w:spacing w:line="360" w:lineRule="auto"/>
        <w:jc w:val="center"/>
        <w:rPr>
          <w:b/>
          <w:color w:val="auto"/>
          <w:szCs w:val="21"/>
          <w:highlight w:val="none"/>
        </w:rPr>
      </w:pPr>
    </w:p>
    <w:p w14:paraId="2A5476E3">
      <w:pPr>
        <w:spacing w:line="360" w:lineRule="auto"/>
        <w:jc w:val="center"/>
        <w:rPr>
          <w:b/>
          <w:color w:val="auto"/>
          <w:szCs w:val="21"/>
          <w:highlight w:val="none"/>
        </w:rPr>
      </w:pPr>
      <w:r>
        <w:rPr>
          <w:b/>
          <w:color w:val="auto"/>
          <w:szCs w:val="21"/>
          <w:highlight w:val="none"/>
        </w:rPr>
        <w:t>残疾人福利性单位声明函</w:t>
      </w:r>
    </w:p>
    <w:p w14:paraId="67E233EA">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28CDB8AA">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28EC0F30">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427D28B3">
      <w:pPr>
        <w:spacing w:line="360" w:lineRule="auto"/>
        <w:ind w:firstLine="420"/>
        <w:jc w:val="righ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2CA19F26">
      <w:pPr>
        <w:spacing w:line="360" w:lineRule="auto"/>
        <w:rPr>
          <w:color w:val="auto"/>
          <w:szCs w:val="21"/>
          <w:highlight w:val="none"/>
        </w:rPr>
      </w:pPr>
    </w:p>
    <w:p w14:paraId="1D215960">
      <w:pPr>
        <w:snapToGrid w:val="0"/>
        <w:spacing w:before="50" w:after="120" w:afterLines="50" w:line="440" w:lineRule="exact"/>
        <w:jc w:val="left"/>
        <w:rPr>
          <w:color w:val="auto"/>
          <w:highlight w:val="none"/>
        </w:rPr>
      </w:pPr>
      <w:r>
        <w:rPr>
          <w:color w:val="auto"/>
          <w:szCs w:val="21"/>
          <w:highlight w:val="none"/>
        </w:rPr>
        <w:br w:type="page"/>
      </w:r>
      <w:r>
        <w:rPr>
          <w:rFonts w:hint="eastAsia"/>
          <w:color w:val="auto"/>
          <w:szCs w:val="21"/>
          <w:highlight w:val="none"/>
          <w:lang w:val="en-US" w:eastAsia="zh-CN"/>
        </w:rPr>
        <w:t>9</w:t>
      </w:r>
      <w:r>
        <w:rPr>
          <w:color w:val="auto"/>
          <w:szCs w:val="21"/>
          <w:highlight w:val="none"/>
        </w:rPr>
        <w:t>．</w:t>
      </w:r>
      <w:r>
        <w:rPr>
          <w:color w:val="auto"/>
          <w:highlight w:val="none"/>
        </w:rPr>
        <w:t>满足供应商特定资格条件的其他证明材料</w:t>
      </w:r>
      <w:r>
        <w:rPr>
          <w:color w:val="auto"/>
          <w:szCs w:val="21"/>
          <w:highlight w:val="none"/>
        </w:rPr>
        <w:t>加盖供应商</w:t>
      </w:r>
      <w:r>
        <w:rPr>
          <w:rFonts w:hint="eastAsia"/>
          <w:color w:val="auto"/>
          <w:szCs w:val="21"/>
          <w:highlight w:val="none"/>
        </w:rPr>
        <w:t>电子签章</w:t>
      </w:r>
      <w:r>
        <w:rPr>
          <w:color w:val="auto"/>
          <w:highlight w:val="none"/>
        </w:rPr>
        <w:t>（</w:t>
      </w:r>
      <w:r>
        <w:rPr>
          <w:color w:val="auto"/>
          <w:szCs w:val="21"/>
          <w:highlight w:val="none"/>
        </w:rPr>
        <w:t>按“评审方法及标准” “资格性检查表”“</w:t>
      </w:r>
      <w:r>
        <w:rPr>
          <w:color w:val="auto"/>
          <w:szCs w:val="21"/>
          <w:highlight w:val="none"/>
          <w:lang w:val="zh-CN"/>
        </w:rPr>
        <w:t xml:space="preserve"> 供应商应符合的</w:t>
      </w:r>
      <w:r>
        <w:rPr>
          <w:color w:val="auto"/>
          <w:szCs w:val="21"/>
          <w:highlight w:val="none"/>
        </w:rPr>
        <w:t>特定资格条件”规定提供</w:t>
      </w:r>
      <w:r>
        <w:rPr>
          <w:color w:val="auto"/>
          <w:highlight w:val="none"/>
        </w:rPr>
        <w:t>）。</w:t>
      </w:r>
      <w:r>
        <w:rPr>
          <w:rFonts w:hint="eastAsia"/>
          <w:b/>
          <w:color w:val="auto"/>
          <w:szCs w:val="21"/>
          <w:highlight w:val="none"/>
        </w:rPr>
        <w:t>（如采购文件有要求时提供）</w:t>
      </w:r>
    </w:p>
    <w:p w14:paraId="3B2C96FD">
      <w:pPr>
        <w:snapToGrid w:val="0"/>
        <w:spacing w:before="50" w:after="120" w:afterLines="50" w:line="360" w:lineRule="auto"/>
        <w:jc w:val="left"/>
        <w:rPr>
          <w:color w:val="auto"/>
          <w:szCs w:val="21"/>
          <w:highlight w:val="none"/>
        </w:rPr>
      </w:pPr>
      <w:r>
        <w:rPr>
          <w:b/>
          <w:color w:val="auto"/>
          <w:szCs w:val="21"/>
          <w:highlight w:val="none"/>
        </w:rPr>
        <w:br w:type="page"/>
      </w:r>
      <w:r>
        <w:rPr>
          <w:rFonts w:hint="eastAsia"/>
          <w:color w:val="auto"/>
          <w:szCs w:val="21"/>
          <w:highlight w:val="none"/>
          <w:lang w:val="en-US" w:eastAsia="zh-CN"/>
        </w:rPr>
        <w:t>9</w:t>
      </w:r>
      <w:r>
        <w:rPr>
          <w:color w:val="auto"/>
          <w:szCs w:val="21"/>
          <w:highlight w:val="none"/>
        </w:rPr>
        <w:t>.1</w:t>
      </w:r>
      <w:r>
        <w:rPr>
          <w:rFonts w:hint="eastAsia"/>
          <w:color w:val="auto"/>
          <w:szCs w:val="21"/>
          <w:highlight w:val="none"/>
        </w:rPr>
        <w:t>供应商直接控股股东信息表</w:t>
      </w:r>
    </w:p>
    <w:tbl>
      <w:tblPr>
        <w:tblStyle w:val="53"/>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46112190">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FD76621">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F295073">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1DCD417">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8A4F080">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17B946B">
            <w:pPr>
              <w:spacing w:line="360" w:lineRule="auto"/>
              <w:jc w:val="center"/>
              <w:rPr>
                <w:color w:val="auto"/>
                <w:szCs w:val="21"/>
                <w:highlight w:val="none"/>
              </w:rPr>
            </w:pPr>
            <w:r>
              <w:rPr>
                <w:rFonts w:hint="eastAsia"/>
                <w:color w:val="auto"/>
                <w:szCs w:val="21"/>
                <w:highlight w:val="none"/>
              </w:rPr>
              <w:t>备注</w:t>
            </w:r>
          </w:p>
        </w:tc>
      </w:tr>
      <w:tr w14:paraId="7A7050E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EBBC3A4">
            <w:pPr>
              <w:spacing w:line="360" w:lineRule="auto"/>
              <w:jc w:val="center"/>
              <w:rPr>
                <w:color w:val="auto"/>
                <w:szCs w:val="21"/>
                <w:highlight w:val="none"/>
              </w:rPr>
            </w:pPr>
            <w:r>
              <w:rPr>
                <w:rFonts w:hint="eastAsia"/>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F2A1959">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210F941">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099BB19">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1746A07">
            <w:pPr>
              <w:spacing w:line="360" w:lineRule="auto"/>
              <w:jc w:val="center"/>
              <w:rPr>
                <w:color w:val="auto"/>
                <w:szCs w:val="21"/>
                <w:highlight w:val="none"/>
              </w:rPr>
            </w:pPr>
          </w:p>
        </w:tc>
      </w:tr>
      <w:tr w14:paraId="6F127A7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DFABACB">
            <w:pPr>
              <w:spacing w:line="360" w:lineRule="auto"/>
              <w:jc w:val="center"/>
              <w:rPr>
                <w:color w:val="auto"/>
                <w:szCs w:val="21"/>
                <w:highlight w:val="none"/>
              </w:rPr>
            </w:pPr>
            <w:r>
              <w:rPr>
                <w:rFonts w:hint="eastAsia"/>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652DBEA">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A701CF3">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C1D967B">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15C8322">
            <w:pPr>
              <w:spacing w:line="360" w:lineRule="auto"/>
              <w:jc w:val="center"/>
              <w:rPr>
                <w:color w:val="auto"/>
                <w:szCs w:val="21"/>
                <w:highlight w:val="none"/>
              </w:rPr>
            </w:pPr>
          </w:p>
        </w:tc>
      </w:tr>
      <w:tr w14:paraId="61FE159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1BDD127">
            <w:pPr>
              <w:spacing w:line="360" w:lineRule="auto"/>
              <w:jc w:val="center"/>
              <w:rPr>
                <w:color w:val="auto"/>
                <w:szCs w:val="21"/>
                <w:highlight w:val="none"/>
              </w:rPr>
            </w:pPr>
            <w:r>
              <w:rPr>
                <w:rFonts w:hint="eastAsia"/>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415BB0F">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A51A248">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638BE46">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47CAB6A">
            <w:pPr>
              <w:spacing w:line="360" w:lineRule="auto"/>
              <w:jc w:val="center"/>
              <w:rPr>
                <w:color w:val="auto"/>
                <w:szCs w:val="21"/>
                <w:highlight w:val="none"/>
              </w:rPr>
            </w:pPr>
          </w:p>
        </w:tc>
      </w:tr>
      <w:tr w14:paraId="51E0F24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6B33DA6">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71E1814">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F11D744">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12ABC28">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0647008">
            <w:pPr>
              <w:spacing w:line="360" w:lineRule="auto"/>
              <w:jc w:val="center"/>
              <w:rPr>
                <w:color w:val="auto"/>
                <w:szCs w:val="21"/>
                <w:highlight w:val="none"/>
              </w:rPr>
            </w:pPr>
          </w:p>
        </w:tc>
      </w:tr>
    </w:tbl>
    <w:p w14:paraId="544B746E">
      <w:pPr>
        <w:snapToGrid w:val="0"/>
        <w:spacing w:line="360" w:lineRule="auto"/>
        <w:jc w:val="left"/>
        <w:rPr>
          <w:color w:val="auto"/>
          <w:szCs w:val="21"/>
          <w:highlight w:val="none"/>
        </w:rPr>
      </w:pPr>
      <w:r>
        <w:rPr>
          <w:rFonts w:hint="eastAsia"/>
          <w:color w:val="auto"/>
          <w:szCs w:val="21"/>
          <w:highlight w:val="none"/>
        </w:rPr>
        <w:t>注：</w:t>
      </w:r>
    </w:p>
    <w:p w14:paraId="38127F8C">
      <w:pPr>
        <w:snapToGrid w:val="0"/>
        <w:spacing w:line="360" w:lineRule="auto"/>
        <w:jc w:val="left"/>
        <w:rPr>
          <w:color w:val="auto"/>
          <w:szCs w:val="21"/>
          <w:highlight w:val="none"/>
        </w:rPr>
      </w:pPr>
      <w:r>
        <w:rPr>
          <w:rFonts w:hint="eastAsia"/>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E71F5F3">
      <w:pPr>
        <w:snapToGrid w:val="0"/>
        <w:spacing w:line="360" w:lineRule="auto"/>
        <w:jc w:val="left"/>
        <w:rPr>
          <w:color w:val="auto"/>
          <w:szCs w:val="21"/>
          <w:highlight w:val="none"/>
        </w:rPr>
      </w:pPr>
      <w:r>
        <w:rPr>
          <w:rFonts w:hint="eastAsia"/>
          <w:color w:val="auto"/>
          <w:szCs w:val="21"/>
          <w:highlight w:val="none"/>
        </w:rPr>
        <w:t>2.本表所指的控股关系仅限于直接控股关系，不包括间接的控股关系。公司实际控制人与公司之间的关系不属于本表所指的直接控股关系。</w:t>
      </w:r>
    </w:p>
    <w:p w14:paraId="2EC332E6">
      <w:pPr>
        <w:snapToGrid w:val="0"/>
        <w:spacing w:line="360" w:lineRule="auto"/>
        <w:jc w:val="left"/>
        <w:rPr>
          <w:color w:val="auto"/>
          <w:szCs w:val="21"/>
          <w:highlight w:val="none"/>
        </w:rPr>
      </w:pPr>
      <w:r>
        <w:rPr>
          <w:rFonts w:hint="eastAsia"/>
          <w:color w:val="auto"/>
          <w:szCs w:val="21"/>
          <w:highlight w:val="none"/>
        </w:rPr>
        <w:t>3.供应商不存在直接控股股东的，则填“无”。</w:t>
      </w:r>
    </w:p>
    <w:p w14:paraId="2C706AB0">
      <w:pPr>
        <w:snapToGrid w:val="0"/>
        <w:spacing w:line="360" w:lineRule="auto"/>
        <w:jc w:val="left"/>
        <w:rPr>
          <w:color w:val="auto"/>
          <w:szCs w:val="21"/>
          <w:highlight w:val="none"/>
        </w:rPr>
      </w:pPr>
    </w:p>
    <w:p w14:paraId="4278C968">
      <w:pPr>
        <w:snapToGrid w:val="0"/>
        <w:spacing w:line="360" w:lineRule="auto"/>
        <w:jc w:val="left"/>
        <w:rPr>
          <w:color w:val="auto"/>
          <w:szCs w:val="21"/>
          <w:highlight w:val="none"/>
        </w:rPr>
      </w:pPr>
    </w:p>
    <w:p w14:paraId="42AAF9B7">
      <w:pPr>
        <w:snapToGrid w:val="0"/>
        <w:spacing w:line="360" w:lineRule="auto"/>
        <w:jc w:val="left"/>
        <w:rPr>
          <w:color w:val="auto"/>
          <w:szCs w:val="21"/>
          <w:highlight w:val="none"/>
        </w:rPr>
      </w:pPr>
    </w:p>
    <w:p w14:paraId="159DE791">
      <w:pPr>
        <w:snapToGrid w:val="0"/>
        <w:spacing w:line="360" w:lineRule="auto"/>
        <w:jc w:val="left"/>
        <w:rPr>
          <w:color w:val="auto"/>
          <w:szCs w:val="21"/>
          <w:highlight w:val="none"/>
        </w:rPr>
      </w:pPr>
    </w:p>
    <w:p w14:paraId="17E1729B">
      <w:pPr>
        <w:snapToGrid w:val="0"/>
        <w:spacing w:line="360" w:lineRule="auto"/>
        <w:jc w:val="left"/>
        <w:rPr>
          <w:color w:val="auto"/>
          <w:szCs w:val="21"/>
          <w:highlight w:val="none"/>
        </w:rPr>
      </w:pPr>
    </w:p>
    <w:p w14:paraId="11E0BC45">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31152FC3">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0D407781">
      <w:pPr>
        <w:snapToGrid w:val="0"/>
        <w:jc w:val="left"/>
        <w:rPr>
          <w:color w:val="auto"/>
          <w:szCs w:val="21"/>
          <w:highlight w:val="none"/>
        </w:rPr>
      </w:pPr>
      <w:r>
        <w:rPr>
          <w:rFonts w:ascii="宋体" w:hAnsi="宋体"/>
          <w:b/>
          <w:color w:val="auto"/>
          <w:sz w:val="28"/>
          <w:szCs w:val="28"/>
          <w:highlight w:val="none"/>
        </w:rPr>
        <w:br w:type="page"/>
      </w:r>
      <w:r>
        <w:rPr>
          <w:rFonts w:hint="eastAsia"/>
          <w:color w:val="auto"/>
          <w:szCs w:val="21"/>
          <w:highlight w:val="none"/>
          <w:lang w:val="en-US" w:eastAsia="zh-CN"/>
        </w:rPr>
        <w:t>9</w:t>
      </w:r>
      <w:r>
        <w:rPr>
          <w:color w:val="auto"/>
          <w:szCs w:val="21"/>
          <w:highlight w:val="none"/>
        </w:rPr>
        <w:t>.2</w:t>
      </w:r>
      <w:r>
        <w:rPr>
          <w:rFonts w:hint="eastAsia"/>
          <w:color w:val="auto"/>
          <w:szCs w:val="21"/>
          <w:highlight w:val="none"/>
        </w:rPr>
        <w:t>供应商直接管理关系信息表</w:t>
      </w:r>
    </w:p>
    <w:tbl>
      <w:tblPr>
        <w:tblStyle w:val="53"/>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4C3CDB0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F693A6">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3BF2C2">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BA59A0">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B316E7">
            <w:pPr>
              <w:spacing w:line="360" w:lineRule="auto"/>
              <w:jc w:val="center"/>
              <w:rPr>
                <w:color w:val="auto"/>
                <w:szCs w:val="21"/>
                <w:highlight w:val="none"/>
              </w:rPr>
            </w:pPr>
            <w:r>
              <w:rPr>
                <w:rFonts w:hint="eastAsia"/>
                <w:color w:val="auto"/>
                <w:szCs w:val="21"/>
                <w:highlight w:val="none"/>
              </w:rPr>
              <w:t>备注</w:t>
            </w:r>
          </w:p>
        </w:tc>
      </w:tr>
      <w:tr w14:paraId="64FD3DF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875A53">
            <w:pPr>
              <w:spacing w:line="360" w:lineRule="auto"/>
              <w:jc w:val="center"/>
              <w:rPr>
                <w:color w:val="auto"/>
                <w:szCs w:val="21"/>
                <w:highlight w:val="none"/>
              </w:rPr>
            </w:pPr>
            <w:r>
              <w:rPr>
                <w:rFonts w:hint="eastAsia"/>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12C5DC">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A80CC2">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6EAB42">
            <w:pPr>
              <w:spacing w:line="360" w:lineRule="auto"/>
              <w:jc w:val="center"/>
              <w:rPr>
                <w:color w:val="auto"/>
                <w:szCs w:val="21"/>
                <w:highlight w:val="none"/>
              </w:rPr>
            </w:pPr>
          </w:p>
        </w:tc>
      </w:tr>
      <w:tr w14:paraId="5FCE1AC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1D3528">
            <w:pPr>
              <w:spacing w:line="360" w:lineRule="auto"/>
              <w:jc w:val="center"/>
              <w:rPr>
                <w:color w:val="auto"/>
                <w:szCs w:val="21"/>
                <w:highlight w:val="none"/>
              </w:rPr>
            </w:pPr>
            <w:r>
              <w:rPr>
                <w:rFonts w:hint="eastAsia"/>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D1338F">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5EAF17">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2F9F52">
            <w:pPr>
              <w:spacing w:line="360" w:lineRule="auto"/>
              <w:jc w:val="center"/>
              <w:rPr>
                <w:color w:val="auto"/>
                <w:szCs w:val="21"/>
                <w:highlight w:val="none"/>
              </w:rPr>
            </w:pPr>
          </w:p>
        </w:tc>
      </w:tr>
      <w:tr w14:paraId="1275D79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DCC5F7">
            <w:pPr>
              <w:spacing w:line="360" w:lineRule="auto"/>
              <w:jc w:val="center"/>
              <w:rPr>
                <w:color w:val="auto"/>
                <w:szCs w:val="21"/>
                <w:highlight w:val="none"/>
              </w:rPr>
            </w:pPr>
            <w:r>
              <w:rPr>
                <w:rFonts w:hint="eastAsia"/>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4476D1">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58A20C">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B5AD74">
            <w:pPr>
              <w:spacing w:line="360" w:lineRule="auto"/>
              <w:jc w:val="center"/>
              <w:rPr>
                <w:color w:val="auto"/>
                <w:szCs w:val="21"/>
                <w:highlight w:val="none"/>
              </w:rPr>
            </w:pPr>
          </w:p>
        </w:tc>
      </w:tr>
      <w:tr w14:paraId="68889FB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D5AC1B">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419B3C">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6E11C9">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C76004">
            <w:pPr>
              <w:spacing w:line="360" w:lineRule="auto"/>
              <w:jc w:val="center"/>
              <w:rPr>
                <w:color w:val="auto"/>
                <w:szCs w:val="21"/>
                <w:highlight w:val="none"/>
              </w:rPr>
            </w:pPr>
          </w:p>
        </w:tc>
      </w:tr>
    </w:tbl>
    <w:p w14:paraId="54EAD6DE">
      <w:pPr>
        <w:snapToGrid w:val="0"/>
        <w:spacing w:line="360" w:lineRule="auto"/>
        <w:jc w:val="left"/>
        <w:rPr>
          <w:color w:val="auto"/>
          <w:szCs w:val="21"/>
          <w:highlight w:val="none"/>
        </w:rPr>
      </w:pPr>
      <w:r>
        <w:rPr>
          <w:rFonts w:hint="eastAsia"/>
          <w:color w:val="auto"/>
          <w:szCs w:val="21"/>
          <w:highlight w:val="none"/>
        </w:rPr>
        <w:t>注：</w:t>
      </w:r>
    </w:p>
    <w:p w14:paraId="7B5ABF54">
      <w:pPr>
        <w:snapToGrid w:val="0"/>
        <w:spacing w:line="360" w:lineRule="auto"/>
        <w:ind w:firstLine="420" w:firstLineChars="200"/>
        <w:jc w:val="left"/>
        <w:rPr>
          <w:color w:val="auto"/>
          <w:szCs w:val="21"/>
          <w:highlight w:val="none"/>
        </w:rPr>
      </w:pPr>
      <w:r>
        <w:rPr>
          <w:rFonts w:hint="eastAsia"/>
          <w:color w:val="auto"/>
          <w:szCs w:val="21"/>
          <w:highlight w:val="none"/>
        </w:rPr>
        <w:t>1.管理关系：是指不具有出资持股关系的其他单位之间存在的管理与被管理关系，如一些上下级关系的事业单位和团体组织。</w:t>
      </w:r>
    </w:p>
    <w:p w14:paraId="214FC40C">
      <w:pPr>
        <w:snapToGrid w:val="0"/>
        <w:spacing w:line="360" w:lineRule="auto"/>
        <w:ind w:firstLine="420" w:firstLineChars="200"/>
        <w:jc w:val="left"/>
        <w:rPr>
          <w:color w:val="auto"/>
          <w:szCs w:val="21"/>
          <w:highlight w:val="none"/>
        </w:rPr>
      </w:pPr>
      <w:r>
        <w:rPr>
          <w:rFonts w:hint="eastAsia"/>
          <w:color w:val="auto"/>
          <w:szCs w:val="21"/>
          <w:highlight w:val="none"/>
        </w:rPr>
        <w:t>2.本表所指的管理关系仅限于直接管理关系，不包括间接的管理关系。</w:t>
      </w:r>
    </w:p>
    <w:p w14:paraId="1E12B9C6">
      <w:pPr>
        <w:snapToGrid w:val="0"/>
        <w:spacing w:line="360" w:lineRule="auto"/>
        <w:ind w:firstLine="420" w:firstLineChars="200"/>
        <w:jc w:val="left"/>
        <w:rPr>
          <w:color w:val="auto"/>
          <w:szCs w:val="21"/>
          <w:highlight w:val="none"/>
        </w:rPr>
      </w:pPr>
      <w:r>
        <w:rPr>
          <w:rFonts w:hint="eastAsia"/>
          <w:color w:val="auto"/>
          <w:szCs w:val="21"/>
          <w:highlight w:val="none"/>
        </w:rPr>
        <w:t>3.供应商不存在直接管理关系的，则填“无”。</w:t>
      </w:r>
    </w:p>
    <w:p w14:paraId="295C4F78">
      <w:pPr>
        <w:snapToGrid w:val="0"/>
        <w:spacing w:line="360" w:lineRule="auto"/>
        <w:jc w:val="left"/>
        <w:rPr>
          <w:color w:val="auto"/>
          <w:szCs w:val="21"/>
          <w:highlight w:val="none"/>
        </w:rPr>
      </w:pPr>
    </w:p>
    <w:p w14:paraId="3C065D3B">
      <w:pPr>
        <w:snapToGrid w:val="0"/>
        <w:spacing w:line="360" w:lineRule="auto"/>
        <w:jc w:val="left"/>
        <w:rPr>
          <w:color w:val="auto"/>
          <w:szCs w:val="21"/>
          <w:highlight w:val="none"/>
        </w:rPr>
      </w:pPr>
    </w:p>
    <w:p w14:paraId="435FB228">
      <w:pPr>
        <w:snapToGrid w:val="0"/>
        <w:spacing w:line="360" w:lineRule="auto"/>
        <w:jc w:val="left"/>
        <w:rPr>
          <w:color w:val="auto"/>
          <w:szCs w:val="21"/>
          <w:highlight w:val="none"/>
        </w:rPr>
      </w:pPr>
    </w:p>
    <w:p w14:paraId="5B0536FB">
      <w:pPr>
        <w:snapToGrid w:val="0"/>
        <w:spacing w:line="360" w:lineRule="auto"/>
        <w:jc w:val="left"/>
        <w:rPr>
          <w:color w:val="auto"/>
          <w:szCs w:val="21"/>
          <w:highlight w:val="none"/>
        </w:rPr>
      </w:pPr>
    </w:p>
    <w:p w14:paraId="059A3D90">
      <w:pPr>
        <w:snapToGrid w:val="0"/>
        <w:spacing w:line="360" w:lineRule="auto"/>
        <w:jc w:val="left"/>
        <w:rPr>
          <w:color w:val="auto"/>
          <w:szCs w:val="21"/>
          <w:highlight w:val="none"/>
        </w:rPr>
      </w:pPr>
    </w:p>
    <w:p w14:paraId="2E04DC69">
      <w:pPr>
        <w:snapToGrid w:val="0"/>
        <w:spacing w:line="360" w:lineRule="auto"/>
        <w:jc w:val="left"/>
        <w:rPr>
          <w:color w:val="auto"/>
          <w:szCs w:val="21"/>
          <w:highlight w:val="none"/>
        </w:rPr>
      </w:pPr>
    </w:p>
    <w:p w14:paraId="575B9F1A">
      <w:pPr>
        <w:snapToGrid w:val="0"/>
        <w:spacing w:line="360" w:lineRule="auto"/>
        <w:jc w:val="left"/>
        <w:rPr>
          <w:color w:val="auto"/>
          <w:szCs w:val="21"/>
          <w:highlight w:val="none"/>
        </w:rPr>
      </w:pPr>
    </w:p>
    <w:p w14:paraId="35D6B035">
      <w:pPr>
        <w:snapToGrid w:val="0"/>
        <w:spacing w:line="360" w:lineRule="auto"/>
        <w:jc w:val="left"/>
        <w:rPr>
          <w:color w:val="auto"/>
          <w:szCs w:val="21"/>
          <w:highlight w:val="none"/>
        </w:rPr>
      </w:pPr>
    </w:p>
    <w:p w14:paraId="16154A45">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10C6908D">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61F6B6D9">
      <w:pPr>
        <w:pStyle w:val="28"/>
        <w:tabs>
          <w:tab w:val="left" w:pos="2127"/>
        </w:tabs>
        <w:spacing w:line="340" w:lineRule="exact"/>
        <w:rPr>
          <w:rFonts w:ascii="Times New Roman" w:hAnsi="Times New Roman" w:cs="Times New Roman"/>
          <w:color w:val="auto"/>
          <w:highlight w:val="none"/>
        </w:rPr>
      </w:pPr>
    </w:p>
    <w:p w14:paraId="60ED23EA">
      <w:pPr>
        <w:snapToGrid w:val="0"/>
        <w:spacing w:before="50" w:after="120" w:afterLines="50" w:line="440" w:lineRule="exact"/>
        <w:jc w:val="left"/>
        <w:rPr>
          <w:rFonts w:hint="eastAsia"/>
          <w:b/>
          <w:color w:val="auto"/>
          <w:szCs w:val="21"/>
          <w:highlight w:val="none"/>
        </w:rPr>
      </w:pPr>
      <w:r>
        <w:rPr>
          <w:color w:val="auto"/>
          <w:highlight w:val="none"/>
        </w:rPr>
        <w:br w:type="page"/>
      </w:r>
      <w:r>
        <w:rPr>
          <w:rFonts w:hint="eastAsia"/>
          <w:color w:val="auto"/>
          <w:szCs w:val="21"/>
          <w:highlight w:val="none"/>
          <w:lang w:val="en-US" w:eastAsia="zh-CN"/>
        </w:rPr>
        <w:t>9.3</w:t>
      </w:r>
      <w:r>
        <w:rPr>
          <w:color w:val="auto"/>
          <w:szCs w:val="21"/>
          <w:highlight w:val="none"/>
        </w:rPr>
        <w:t>．</w:t>
      </w:r>
      <w:r>
        <w:rPr>
          <w:rFonts w:hint="eastAsia"/>
          <w:color w:val="auto"/>
          <w:szCs w:val="21"/>
          <w:highlight w:val="none"/>
        </w:rPr>
        <w:t>磋商</w:t>
      </w:r>
      <w:r>
        <w:rPr>
          <w:color w:val="auto"/>
          <w:szCs w:val="21"/>
          <w:highlight w:val="none"/>
        </w:rPr>
        <w:t>保证金缴纳证明</w:t>
      </w:r>
      <w:r>
        <w:rPr>
          <w:rFonts w:hint="eastAsia"/>
          <w:color w:val="auto"/>
          <w:szCs w:val="21"/>
          <w:highlight w:val="none"/>
        </w:rPr>
        <w:t>。</w:t>
      </w:r>
      <w:r>
        <w:rPr>
          <w:rFonts w:hint="eastAsia"/>
          <w:b/>
          <w:color w:val="auto"/>
          <w:szCs w:val="21"/>
          <w:highlight w:val="none"/>
        </w:rPr>
        <w:t>（如采购文件有要求时提供）</w:t>
      </w:r>
    </w:p>
    <w:p w14:paraId="7AC5215E">
      <w:pPr>
        <w:snapToGrid w:val="0"/>
        <w:spacing w:before="50" w:after="120" w:afterLines="50" w:line="440" w:lineRule="exact"/>
        <w:jc w:val="left"/>
        <w:rPr>
          <w:color w:val="auto"/>
          <w:highlight w:val="none"/>
        </w:rPr>
      </w:pPr>
      <w:r>
        <w:rPr>
          <w:rFonts w:hint="eastAsia"/>
          <w:color w:val="auto"/>
          <w:sz w:val="28"/>
          <w:szCs w:val="28"/>
          <w:highlight w:val="none"/>
          <w:lang w:val="en-US" w:eastAsia="zh-CN"/>
        </w:rPr>
        <w:t>本项目不要求缴纳磋商保证金</w:t>
      </w:r>
      <w:r>
        <w:rPr>
          <w:color w:val="auto"/>
          <w:highlight w:val="none"/>
        </w:rPr>
        <w:br w:type="page"/>
      </w:r>
      <w:r>
        <w:rPr>
          <w:rFonts w:hint="eastAsia"/>
          <w:color w:val="auto"/>
          <w:szCs w:val="21"/>
          <w:highlight w:val="none"/>
          <w:lang w:val="en-US" w:eastAsia="zh-CN"/>
        </w:rPr>
        <w:t>10</w:t>
      </w:r>
      <w:r>
        <w:rPr>
          <w:color w:val="auto"/>
          <w:szCs w:val="21"/>
          <w:highlight w:val="none"/>
        </w:rPr>
        <w:t>．供应商认为应当要提交的资格证明材料。</w:t>
      </w:r>
    </w:p>
    <w:p w14:paraId="1AB2D03A">
      <w:pPr>
        <w:rPr>
          <w:color w:val="auto"/>
          <w:szCs w:val="21"/>
          <w:highlight w:val="none"/>
        </w:rPr>
      </w:pPr>
      <w:r>
        <w:rPr>
          <w:color w:val="auto"/>
          <w:szCs w:val="21"/>
          <w:highlight w:val="none"/>
        </w:rPr>
        <w:br w:type="page"/>
      </w:r>
    </w:p>
    <w:p w14:paraId="1BB50F8F">
      <w:pPr>
        <w:widowControl/>
        <w:jc w:val="left"/>
        <w:rPr>
          <w:rFonts w:ascii="宋体" w:hAnsi="宋体" w:cs="宋体"/>
          <w:b/>
          <w:bCs/>
          <w:color w:val="auto"/>
          <w:kern w:val="0"/>
          <w:sz w:val="28"/>
          <w:szCs w:val="28"/>
          <w:highlight w:val="none"/>
          <w:lang w:bidi="ar"/>
        </w:rPr>
      </w:pPr>
      <w:r>
        <w:rPr>
          <w:rFonts w:hint="eastAsia" w:ascii="宋体" w:hAnsi="宋体" w:cs="宋体"/>
          <w:b/>
          <w:bCs/>
          <w:color w:val="auto"/>
          <w:kern w:val="0"/>
          <w:sz w:val="28"/>
          <w:szCs w:val="28"/>
          <w:highlight w:val="none"/>
          <w:lang w:bidi="ar"/>
        </w:rPr>
        <w:t>附件一：</w:t>
      </w:r>
    </w:p>
    <w:p w14:paraId="1C60585F">
      <w:pPr>
        <w:widowControl/>
        <w:jc w:val="center"/>
        <w:rPr>
          <w:rFonts w:ascii="宋体" w:hAnsi="宋体" w:cs="宋体"/>
          <w:b/>
          <w:bCs/>
          <w:color w:val="auto"/>
          <w:highlight w:val="none"/>
        </w:rPr>
      </w:pPr>
      <w:r>
        <w:rPr>
          <w:rFonts w:hint="eastAsia" w:ascii="宋体" w:hAnsi="宋体" w:cs="宋体"/>
          <w:b/>
          <w:bCs/>
          <w:color w:val="auto"/>
          <w:kern w:val="0"/>
          <w:sz w:val="36"/>
          <w:szCs w:val="36"/>
          <w:highlight w:val="none"/>
          <w:lang w:bidi="ar"/>
        </w:rPr>
        <w:t>政府采购项目投标资格承诺函</w:t>
      </w:r>
    </w:p>
    <w:p w14:paraId="01893FB2">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本公司郑重承诺，根据《中华人民共和国政府采购法》第二十二条的规定，本公司为参加政府采购活动的合格供应商。即本公司同时满足以下条件： </w:t>
      </w:r>
    </w:p>
    <w:p w14:paraId="6032FECF">
      <w:pPr>
        <w:snapToGrid w:val="0"/>
        <w:spacing w:before="50" w:after="120" w:afterLines="50" w:line="440" w:lineRule="exact"/>
        <w:jc w:val="left"/>
        <w:rPr>
          <w:color w:val="auto"/>
          <w:highlight w:val="none"/>
        </w:rPr>
      </w:pPr>
      <w:r>
        <w:rPr>
          <w:rFonts w:hint="eastAsia"/>
          <w:color w:val="auto"/>
          <w:highlight w:val="none"/>
        </w:rPr>
        <w:t xml:space="preserve">1.具有独立承担民事责任的能力。 </w:t>
      </w:r>
    </w:p>
    <w:p w14:paraId="58E93D9D">
      <w:pPr>
        <w:snapToGrid w:val="0"/>
        <w:spacing w:before="50" w:after="120" w:afterLines="50" w:line="440" w:lineRule="exact"/>
        <w:jc w:val="left"/>
        <w:rPr>
          <w:color w:val="auto"/>
          <w:highlight w:val="none"/>
        </w:rPr>
      </w:pPr>
      <w:r>
        <w:rPr>
          <w:rFonts w:hint="eastAsia"/>
          <w:color w:val="auto"/>
          <w:highlight w:val="none"/>
        </w:rPr>
        <w:t xml:space="preserve">2.具有良好的商业信誉和健全的财务会计制度。 </w:t>
      </w:r>
    </w:p>
    <w:p w14:paraId="4BD0FBBE">
      <w:pPr>
        <w:snapToGrid w:val="0"/>
        <w:spacing w:before="50" w:after="120" w:afterLines="50" w:line="440" w:lineRule="exact"/>
        <w:jc w:val="left"/>
        <w:rPr>
          <w:color w:val="auto"/>
          <w:highlight w:val="none"/>
        </w:rPr>
      </w:pPr>
      <w:r>
        <w:rPr>
          <w:rFonts w:hint="eastAsia"/>
          <w:color w:val="auto"/>
          <w:highlight w:val="none"/>
        </w:rPr>
        <w:t xml:space="preserve">3.具有履行合同所必需的设备和专业技术能力。 </w:t>
      </w:r>
    </w:p>
    <w:p w14:paraId="10DAD443">
      <w:pPr>
        <w:snapToGrid w:val="0"/>
        <w:spacing w:before="50" w:after="120" w:afterLines="50" w:line="440" w:lineRule="exact"/>
        <w:jc w:val="left"/>
        <w:rPr>
          <w:color w:val="auto"/>
          <w:highlight w:val="none"/>
        </w:rPr>
      </w:pPr>
      <w:r>
        <w:rPr>
          <w:rFonts w:hint="eastAsia"/>
          <w:color w:val="auto"/>
          <w:highlight w:val="none"/>
        </w:rPr>
        <w:t xml:space="preserve">4.有依法缴纳税收和社会保障资金的良好记录。 </w:t>
      </w:r>
    </w:p>
    <w:p w14:paraId="40FC5261">
      <w:pPr>
        <w:snapToGrid w:val="0"/>
        <w:spacing w:before="50" w:after="120" w:afterLines="50" w:line="440" w:lineRule="exact"/>
        <w:jc w:val="left"/>
        <w:rPr>
          <w:color w:val="auto"/>
          <w:highlight w:val="none"/>
        </w:rPr>
      </w:pPr>
      <w:r>
        <w:rPr>
          <w:rFonts w:hint="eastAsia"/>
          <w:color w:val="auto"/>
          <w:highlight w:val="none"/>
        </w:rPr>
        <w:t xml:space="preserve">5. 提交响应文件截止日期前三年内，在经营活动中没有重大违法记录。 </w:t>
      </w:r>
    </w:p>
    <w:p w14:paraId="51DC7B3D">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本公司对上述承诺的真实性负责，并接受政府采购、税务、社会保障等监督管理部门、采购文件规定的资格审查机构、社会公众的监督和检查。如有虚假，将依法承担相应责任。 </w:t>
      </w:r>
    </w:p>
    <w:p w14:paraId="143A60E4">
      <w:pPr>
        <w:snapToGrid w:val="0"/>
        <w:spacing w:before="50" w:after="120" w:afterLines="50" w:line="440" w:lineRule="exact"/>
        <w:jc w:val="left"/>
        <w:rPr>
          <w:color w:val="auto"/>
          <w:highlight w:val="none"/>
        </w:rPr>
      </w:pPr>
    </w:p>
    <w:p w14:paraId="0FB28D18">
      <w:pPr>
        <w:snapToGrid w:val="0"/>
        <w:spacing w:before="50" w:after="120" w:afterLines="50" w:line="440" w:lineRule="exact"/>
        <w:ind w:firstLine="4216" w:firstLineChars="2000"/>
        <w:jc w:val="left"/>
        <w:rPr>
          <w:b/>
          <w:bCs/>
          <w:color w:val="auto"/>
          <w:highlight w:val="none"/>
          <w:u w:val="single"/>
        </w:rPr>
      </w:pPr>
      <w:r>
        <w:rPr>
          <w:rFonts w:hint="eastAsia"/>
          <w:b/>
          <w:bCs/>
          <w:color w:val="auto"/>
          <w:highlight w:val="none"/>
        </w:rPr>
        <w:t>供应商名称（盖章）：</w:t>
      </w:r>
      <w:r>
        <w:rPr>
          <w:rFonts w:hint="eastAsia"/>
          <w:b/>
          <w:bCs/>
          <w:color w:val="auto"/>
          <w:highlight w:val="none"/>
          <w:u w:val="single"/>
        </w:rPr>
        <w:t xml:space="preserve">                   </w:t>
      </w:r>
    </w:p>
    <w:p w14:paraId="266AA976">
      <w:pPr>
        <w:snapToGrid w:val="0"/>
        <w:spacing w:before="50" w:after="120" w:afterLines="50" w:line="440" w:lineRule="exact"/>
        <w:ind w:firstLine="4006" w:firstLineChars="1900"/>
        <w:jc w:val="left"/>
        <w:rPr>
          <w:b/>
          <w:bCs/>
          <w:color w:val="auto"/>
          <w:highlight w:val="none"/>
          <w:u w:val="single"/>
        </w:rPr>
      </w:pPr>
      <w:r>
        <w:rPr>
          <w:rFonts w:hint="eastAsia"/>
          <w:b/>
          <w:bCs/>
          <w:color w:val="auto"/>
          <w:highlight w:val="none"/>
        </w:rPr>
        <w:t>法定代表人（签名）：</w:t>
      </w:r>
      <w:r>
        <w:rPr>
          <w:rFonts w:hint="eastAsia"/>
          <w:b/>
          <w:bCs/>
          <w:color w:val="auto"/>
          <w:highlight w:val="none"/>
          <w:u w:val="single"/>
        </w:rPr>
        <w:t xml:space="preserve">                   </w:t>
      </w:r>
    </w:p>
    <w:p w14:paraId="0762552E">
      <w:pPr>
        <w:snapToGrid w:val="0"/>
        <w:spacing w:before="50" w:after="120" w:afterLines="50" w:line="440" w:lineRule="exact"/>
        <w:ind w:firstLine="4200" w:firstLineChars="2000"/>
        <w:jc w:val="left"/>
        <w:rPr>
          <w:color w:val="auto"/>
          <w:highlight w:val="none"/>
        </w:rPr>
      </w:pPr>
      <w:r>
        <w:rPr>
          <w:rFonts w:hint="eastAsia"/>
          <w:color w:val="auto"/>
          <w:highlight w:val="none"/>
        </w:rPr>
        <w:t>日期： 年 月   日</w:t>
      </w:r>
    </w:p>
    <w:p w14:paraId="3D572AEC">
      <w:pPr>
        <w:snapToGrid w:val="0"/>
        <w:spacing w:before="50" w:after="120" w:afterLines="50" w:line="440" w:lineRule="exact"/>
        <w:jc w:val="left"/>
        <w:rPr>
          <w:color w:val="auto"/>
          <w:highlight w:val="none"/>
        </w:rPr>
      </w:pPr>
    </w:p>
    <w:p w14:paraId="4512CD1D">
      <w:pPr>
        <w:snapToGrid w:val="0"/>
        <w:spacing w:before="50" w:after="120" w:afterLines="50" w:line="400" w:lineRule="exact"/>
        <w:jc w:val="left"/>
        <w:rPr>
          <w:bCs/>
          <w:color w:val="auto"/>
          <w:sz w:val="24"/>
          <w:highlight w:val="none"/>
        </w:rPr>
      </w:pPr>
    </w:p>
    <w:p w14:paraId="04B112D2">
      <w:pPr>
        <w:pStyle w:val="8"/>
        <w:overflowPunct w:val="0"/>
        <w:ind w:firstLine="0"/>
        <w:rPr>
          <w:color w:val="auto"/>
          <w:highlight w:val="none"/>
        </w:rPr>
      </w:pPr>
    </w:p>
    <w:p w14:paraId="796CC4C1">
      <w:pPr>
        <w:snapToGrid w:val="0"/>
        <w:spacing w:before="50" w:after="120" w:afterLines="50" w:line="400" w:lineRule="exact"/>
        <w:jc w:val="left"/>
        <w:rPr>
          <w:b/>
          <w:bCs/>
          <w:i/>
          <w:iCs/>
          <w:color w:val="auto"/>
          <w:sz w:val="30"/>
          <w:szCs w:val="30"/>
          <w:highlight w:val="none"/>
          <w:u w:val="single"/>
        </w:rPr>
      </w:pPr>
      <w:r>
        <w:rPr>
          <w:rFonts w:hint="eastAsia"/>
          <w:b/>
          <w:bCs/>
          <w:i/>
          <w:iCs/>
          <w:color w:val="auto"/>
          <w:sz w:val="30"/>
          <w:szCs w:val="30"/>
          <w:highlight w:val="none"/>
          <w:u w:val="single"/>
        </w:rPr>
        <w:t>附：供应商有效的营业执照复印件以及法人身份证复印件并加盖公章。</w:t>
      </w:r>
    </w:p>
    <w:p w14:paraId="695B0569">
      <w:pPr>
        <w:snapToGrid w:val="0"/>
        <w:spacing w:before="50" w:after="120" w:afterLines="50" w:line="440" w:lineRule="exact"/>
        <w:jc w:val="left"/>
        <w:rPr>
          <w:color w:val="auto"/>
          <w:highlight w:val="none"/>
        </w:rPr>
      </w:pPr>
    </w:p>
    <w:p w14:paraId="5331AB9F">
      <w:pPr>
        <w:spacing w:line="276" w:lineRule="auto"/>
        <w:rPr>
          <w:color w:val="auto"/>
          <w:szCs w:val="21"/>
          <w:highlight w:val="none"/>
        </w:rPr>
      </w:pPr>
    </w:p>
    <w:p w14:paraId="16EA686F">
      <w:pPr>
        <w:pStyle w:val="8"/>
        <w:overflowPunct w:val="0"/>
        <w:ind w:firstLine="0"/>
        <w:rPr>
          <w:rFonts w:hint="eastAsia"/>
          <w:color w:val="auto"/>
          <w:highlight w:val="none"/>
        </w:rPr>
      </w:pPr>
    </w:p>
    <w:p w14:paraId="0236AFEB">
      <w:pPr>
        <w:snapToGrid w:val="0"/>
        <w:spacing w:before="50" w:after="120" w:afterLines="50" w:line="400" w:lineRule="exact"/>
        <w:jc w:val="left"/>
        <w:rPr>
          <w:bCs/>
          <w:color w:val="auto"/>
          <w:sz w:val="24"/>
          <w:highlight w:val="none"/>
        </w:rPr>
      </w:pPr>
    </w:p>
    <w:p w14:paraId="5FD6C2F1">
      <w:pPr>
        <w:spacing w:line="276" w:lineRule="auto"/>
        <w:rPr>
          <w:color w:val="auto"/>
          <w:szCs w:val="21"/>
          <w:highlight w:val="none"/>
        </w:rPr>
      </w:pPr>
      <w:r>
        <w:rPr>
          <w:color w:val="auto"/>
          <w:highlight w:val="none"/>
        </w:rPr>
        <w:br w:type="page"/>
      </w:r>
    </w:p>
    <w:p w14:paraId="1C97B57A">
      <w:pPr>
        <w:snapToGrid w:val="0"/>
        <w:spacing w:before="120" w:beforeLines="50" w:after="50" w:afterLines="0" w:line="440" w:lineRule="exact"/>
        <w:jc w:val="left"/>
        <w:outlineLvl w:val="1"/>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rPr>
        <w:t>.</w:t>
      </w:r>
      <w:r>
        <w:rPr>
          <w:rFonts w:hint="eastAsia" w:ascii="宋体" w:hAnsi="宋体" w:eastAsia="宋体" w:cs="Times New Roman"/>
          <w:b w:val="0"/>
          <w:bCs w:val="0"/>
          <w:color w:val="auto"/>
          <w:sz w:val="24"/>
          <w:szCs w:val="24"/>
          <w:highlight w:val="none"/>
        </w:rPr>
        <w:t xml:space="preserve">响应文件封面参考格式（商务技术文件）： </w:t>
      </w:r>
    </w:p>
    <w:p w14:paraId="72A63176">
      <w:pPr>
        <w:snapToGrid w:val="0"/>
        <w:spacing w:before="120" w:beforeLines="50" w:after="50" w:afterLines="0" w:line="360" w:lineRule="exact"/>
        <w:rPr>
          <w:rFonts w:hint="default" w:ascii="Times New Roman" w:hAnsi="Times New Roman" w:eastAsia="宋体" w:cs="Times New Roman"/>
          <w:color w:val="auto"/>
          <w:sz w:val="24"/>
          <w:szCs w:val="24"/>
          <w:highlight w:val="none"/>
        </w:rPr>
      </w:pPr>
    </w:p>
    <w:p w14:paraId="5E4DF0E6">
      <w:pPr>
        <w:snapToGrid w:val="0"/>
        <w:spacing w:before="120" w:beforeLines="50" w:after="50" w:afterLines="0" w:line="360" w:lineRule="exact"/>
        <w:jc w:val="right"/>
        <w:rPr>
          <w:rFonts w:hint="default" w:ascii="Times New Roman" w:hAnsi="Times New Roman" w:eastAsia="宋体" w:cs="Times New Roman"/>
          <w:color w:val="auto"/>
          <w:sz w:val="24"/>
          <w:szCs w:val="24"/>
          <w:highlight w:val="none"/>
        </w:rPr>
      </w:pPr>
    </w:p>
    <w:p w14:paraId="5ACA8B7E">
      <w:pPr>
        <w:snapToGrid w:val="0"/>
        <w:spacing w:before="120" w:beforeLines="50" w:after="50" w:afterLines="0" w:line="360" w:lineRule="exact"/>
        <w:jc w:val="center"/>
        <w:rPr>
          <w:rFonts w:hint="default" w:ascii="Times New Roman" w:hAnsi="Times New Roman" w:eastAsia="宋体" w:cs="Times New Roman"/>
          <w:color w:val="auto"/>
          <w:sz w:val="24"/>
          <w:szCs w:val="24"/>
          <w:highlight w:val="none"/>
        </w:rPr>
      </w:pPr>
      <w:r>
        <w:rPr>
          <w:rFonts w:hint="eastAsia" w:ascii="宋体" w:hAnsi="宋体" w:eastAsia="宋体" w:cs="Times New Roman"/>
          <w:b/>
          <w:color w:val="auto"/>
          <w:sz w:val="44"/>
          <w:szCs w:val="24"/>
          <w:highlight w:val="none"/>
        </w:rPr>
        <w:t>电子响应文件</w:t>
      </w:r>
    </w:p>
    <w:p w14:paraId="0DCAAF93">
      <w:pPr>
        <w:snapToGrid w:val="0"/>
        <w:spacing w:before="120" w:beforeLines="50" w:after="50" w:afterLines="0" w:line="360" w:lineRule="exact"/>
        <w:jc w:val="center"/>
        <w:rPr>
          <w:rFonts w:hint="default" w:ascii="Times New Roman" w:hAnsi="Times New Roman" w:eastAsia="宋体" w:cs="Times New Roman"/>
          <w:b/>
          <w:color w:val="auto"/>
          <w:sz w:val="44"/>
          <w:szCs w:val="24"/>
          <w:highlight w:val="none"/>
        </w:rPr>
      </w:pPr>
    </w:p>
    <w:p w14:paraId="753FD8F6">
      <w:pPr>
        <w:snapToGrid w:val="0"/>
        <w:spacing w:before="120" w:beforeLines="50" w:after="50" w:afterLines="0" w:line="360" w:lineRule="exact"/>
        <w:jc w:val="center"/>
        <w:rPr>
          <w:rFonts w:hint="default" w:ascii="Times New Roman" w:hAnsi="Times New Roman" w:eastAsia="宋体" w:cs="Times New Roman"/>
          <w:b/>
          <w:color w:val="auto"/>
          <w:sz w:val="44"/>
          <w:szCs w:val="24"/>
          <w:highlight w:val="none"/>
        </w:rPr>
      </w:pPr>
    </w:p>
    <w:p w14:paraId="1F1E743F">
      <w:pPr>
        <w:snapToGrid w:val="0"/>
        <w:spacing w:before="120" w:beforeLines="50" w:after="50" w:afterLines="0" w:line="360" w:lineRule="exact"/>
        <w:jc w:val="center"/>
        <w:rPr>
          <w:rFonts w:hint="default" w:ascii="Times New Roman" w:hAnsi="Times New Roman" w:eastAsia="宋体" w:cs="Times New Roman"/>
          <w:b/>
          <w:color w:val="auto"/>
          <w:sz w:val="44"/>
          <w:szCs w:val="24"/>
          <w:highlight w:val="none"/>
        </w:rPr>
      </w:pPr>
      <w:r>
        <w:rPr>
          <w:rFonts w:hint="eastAsia" w:ascii="Times New Roman" w:hAnsi="Times New Roman" w:eastAsia="宋体" w:cs="Times New Roman"/>
          <w:b/>
          <w:color w:val="auto"/>
          <w:sz w:val="44"/>
          <w:szCs w:val="24"/>
          <w:highlight w:val="none"/>
          <w:lang w:val="en-US" w:eastAsia="zh-CN"/>
        </w:rPr>
        <w:t>商</w:t>
      </w:r>
      <w:r>
        <w:rPr>
          <w:rFonts w:hint="eastAsia" w:ascii="Times New Roman" w:hAnsi="Times New Roman" w:eastAsia="宋体" w:cs="Times New Roman"/>
          <w:b/>
          <w:color w:val="auto"/>
          <w:sz w:val="44"/>
          <w:szCs w:val="24"/>
          <w:highlight w:val="none"/>
        </w:rPr>
        <w:t>务技术文件</w:t>
      </w:r>
    </w:p>
    <w:p w14:paraId="6FDCAB13">
      <w:pPr>
        <w:snapToGrid w:val="0"/>
        <w:spacing w:before="120" w:beforeLines="50" w:after="50" w:afterLines="0" w:line="360" w:lineRule="exact"/>
        <w:jc w:val="center"/>
        <w:rPr>
          <w:rFonts w:hint="default" w:ascii="Times New Roman" w:hAnsi="Times New Roman" w:eastAsia="宋体" w:cs="Times New Roman"/>
          <w:b/>
          <w:color w:val="auto"/>
          <w:sz w:val="44"/>
          <w:szCs w:val="24"/>
          <w:highlight w:val="none"/>
        </w:rPr>
      </w:pPr>
    </w:p>
    <w:p w14:paraId="2B7DEB4C">
      <w:pPr>
        <w:snapToGrid w:val="0"/>
        <w:spacing w:before="120" w:beforeLines="50" w:after="50" w:afterLines="0" w:line="360" w:lineRule="exact"/>
        <w:rPr>
          <w:rFonts w:hint="default" w:ascii="Times New Roman" w:hAnsi="Times New Roman" w:eastAsia="宋体" w:cs="Times New Roman"/>
          <w:color w:val="auto"/>
          <w:sz w:val="24"/>
          <w:szCs w:val="24"/>
          <w:highlight w:val="none"/>
        </w:rPr>
      </w:pPr>
    </w:p>
    <w:p w14:paraId="07375F2F">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项目名称： </w:t>
      </w:r>
    </w:p>
    <w:p w14:paraId="356FE39E">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项目编号：</w:t>
      </w:r>
    </w:p>
    <w:p w14:paraId="324CF7D9">
      <w:pPr>
        <w:snapToGrid w:val="0"/>
        <w:spacing w:before="120" w:beforeLines="50" w:after="50" w:afterLines="0" w:line="44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分标号：（若无留空或写</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w:t>
      </w:r>
    </w:p>
    <w:p w14:paraId="535CE0FB">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供应商名称：</w:t>
      </w:r>
    </w:p>
    <w:p w14:paraId="1C99423D">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供应商地址：</w:t>
      </w:r>
    </w:p>
    <w:p w14:paraId="0DCA0AD0">
      <w:pPr>
        <w:pStyle w:val="8"/>
        <w:snapToGrid w:val="0"/>
        <w:spacing w:before="50" w:beforeLines="0" w:after="50" w:afterLines="0" w:line="360" w:lineRule="exact"/>
        <w:ind w:firstLine="960" w:firstLineChars="400"/>
        <w:rPr>
          <w:rFonts w:hint="default" w:ascii="Times New Roman" w:hAnsi="Times New Roman" w:eastAsia="宋体" w:cs="Times New Roman"/>
          <w:color w:val="auto"/>
          <w:sz w:val="24"/>
          <w:szCs w:val="24"/>
          <w:highlight w:val="none"/>
        </w:rPr>
      </w:pPr>
    </w:p>
    <w:p w14:paraId="1ECC2634">
      <w:pPr>
        <w:snapToGrid w:val="0"/>
        <w:spacing w:before="120" w:beforeLines="50" w:after="50" w:afterLines="0" w:line="3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年  月  日</w:t>
      </w:r>
    </w:p>
    <w:p w14:paraId="5831B417">
      <w:pPr>
        <w:snapToGrid w:val="0"/>
        <w:spacing w:before="120" w:beforeLines="50" w:after="50" w:line="440" w:lineRule="exact"/>
        <w:jc w:val="center"/>
        <w:outlineLvl w:val="9"/>
        <w:rPr>
          <w:bCs/>
          <w:color w:val="auto"/>
          <w:sz w:val="24"/>
          <w:highlight w:val="none"/>
        </w:rPr>
        <w:sectPr>
          <w:headerReference r:id="rId20" w:type="default"/>
          <w:footerReference r:id="rId21" w:type="default"/>
          <w:pgSz w:w="11906" w:h="16838"/>
          <w:pgMar w:top="1418" w:right="1274" w:bottom="1418" w:left="1418" w:header="851" w:footer="992" w:gutter="0"/>
          <w:pgNumType w:fmt="decimal"/>
          <w:cols w:space="720" w:num="1"/>
          <w:docGrid w:linePitch="312" w:charSpace="0"/>
        </w:sectPr>
      </w:pPr>
    </w:p>
    <w:p w14:paraId="7D5D4A8F">
      <w:pPr>
        <w:snapToGrid w:val="0"/>
        <w:spacing w:before="120" w:beforeLines="50" w:after="50" w:line="440" w:lineRule="exact"/>
        <w:jc w:val="center"/>
        <w:outlineLvl w:val="9"/>
        <w:rPr>
          <w:rFonts w:ascii="Times New Roman" w:hAnsi="Times New Roman" w:eastAsia="宋体" w:cs="Times New Roman"/>
          <w:b/>
          <w:bCs/>
          <w:color w:val="auto"/>
          <w:sz w:val="24"/>
          <w:highlight w:val="none"/>
        </w:rPr>
      </w:pPr>
    </w:p>
    <w:p w14:paraId="217D74BA">
      <w:pPr>
        <w:snapToGrid w:val="0"/>
        <w:spacing w:before="120" w:beforeLines="50" w:after="50" w:line="440" w:lineRule="exact"/>
        <w:jc w:val="center"/>
        <w:rPr>
          <w:rFonts w:ascii="Times New Roman" w:hAnsi="Times New Roman" w:eastAsia="宋体" w:cs="Times New Roman"/>
          <w:color w:val="auto"/>
          <w:sz w:val="24"/>
          <w:highlight w:val="none"/>
        </w:rPr>
      </w:pPr>
    </w:p>
    <w:p w14:paraId="3F7F300E">
      <w:pPr>
        <w:snapToGrid w:val="0"/>
        <w:spacing w:before="50" w:after="50" w:line="440" w:lineRule="exact"/>
        <w:ind w:firstLine="138" w:firstLineChars="49"/>
        <w:jc w:val="cente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t>目录</w:t>
      </w:r>
    </w:p>
    <w:p w14:paraId="1D8E922C">
      <w:pPr>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（需有页码）</w:t>
      </w:r>
    </w:p>
    <w:p w14:paraId="01670FAF">
      <w:pPr>
        <w:snapToGrid w:val="0"/>
        <w:spacing w:before="120" w:beforeLines="50" w:after="50" w:line="440" w:lineRule="exact"/>
        <w:jc w:val="center"/>
        <w:outlineLvl w:val="9"/>
        <w:rPr>
          <w:bCs/>
          <w:color w:val="auto"/>
          <w:sz w:val="24"/>
          <w:highlight w:val="none"/>
        </w:rPr>
        <w:sectPr>
          <w:headerReference r:id="rId22" w:type="default"/>
          <w:pgSz w:w="11906" w:h="16838"/>
          <w:pgMar w:top="1304" w:right="1418" w:bottom="1304" w:left="1418" w:header="851" w:footer="992" w:gutter="0"/>
          <w:pgNumType w:fmt="decimal"/>
          <w:cols w:space="720" w:num="1"/>
          <w:docGrid w:linePitch="312" w:charSpace="0"/>
        </w:sectPr>
      </w:pPr>
    </w:p>
    <w:p w14:paraId="34BE3FC5">
      <w:pPr>
        <w:snapToGrid w:val="0"/>
        <w:spacing w:before="120" w:beforeLines="50" w:after="50" w:line="440" w:lineRule="exact"/>
        <w:jc w:val="center"/>
        <w:outlineLvl w:val="9"/>
        <w:rPr>
          <w:bCs/>
          <w:color w:val="auto"/>
          <w:sz w:val="24"/>
          <w:highlight w:val="none"/>
        </w:rPr>
      </w:pPr>
      <w:r>
        <w:rPr>
          <w:bCs/>
          <w:color w:val="auto"/>
          <w:sz w:val="24"/>
          <w:highlight w:val="none"/>
        </w:rPr>
        <w:t>第二部分 商务</w:t>
      </w:r>
      <w:r>
        <w:rPr>
          <w:rFonts w:hint="eastAsia"/>
          <w:bCs/>
          <w:color w:val="auto"/>
          <w:sz w:val="24"/>
          <w:highlight w:val="none"/>
        </w:rPr>
        <w:t>技术</w:t>
      </w:r>
      <w:r>
        <w:rPr>
          <w:bCs/>
          <w:color w:val="auto"/>
          <w:sz w:val="24"/>
          <w:highlight w:val="none"/>
        </w:rPr>
        <w:t>文件</w:t>
      </w:r>
    </w:p>
    <w:p w14:paraId="74BBB3AA">
      <w:pPr>
        <w:snapToGrid w:val="0"/>
        <w:spacing w:before="120" w:beforeLines="50" w:after="50" w:line="360" w:lineRule="exact"/>
        <w:rPr>
          <w:b/>
          <w:color w:val="auto"/>
          <w:szCs w:val="21"/>
          <w:highlight w:val="none"/>
        </w:rPr>
      </w:pPr>
      <w:bookmarkStart w:id="117" w:name="_Hlk19199735"/>
      <w:r>
        <w:rPr>
          <w:rFonts w:hint="eastAsia"/>
          <w:b/>
          <w:color w:val="auto"/>
          <w:szCs w:val="21"/>
          <w:highlight w:val="none"/>
        </w:rPr>
        <w:t>1</w:t>
      </w:r>
      <w:r>
        <w:rPr>
          <w:b/>
          <w:color w:val="auto"/>
          <w:szCs w:val="21"/>
          <w:highlight w:val="none"/>
        </w:rPr>
        <w:t>．</w:t>
      </w:r>
      <w:r>
        <w:rPr>
          <w:color w:val="auto"/>
          <w:szCs w:val="21"/>
          <w:highlight w:val="none"/>
        </w:rPr>
        <w:t>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时提供）</w:t>
      </w:r>
      <w:r>
        <w:rPr>
          <w:b/>
          <w:color w:val="auto"/>
          <w:szCs w:val="21"/>
          <w:highlight w:val="none"/>
        </w:rPr>
        <w:t>：</w:t>
      </w:r>
    </w:p>
    <w:bookmarkEnd w:id="117"/>
    <w:p w14:paraId="0E7961ED">
      <w:pPr>
        <w:jc w:val="center"/>
        <w:rPr>
          <w:color w:val="auto"/>
          <w:highlight w:val="none"/>
        </w:rPr>
      </w:pPr>
      <w:bookmarkStart w:id="118" w:name="_Toc462320613"/>
      <w:bookmarkStart w:id="119" w:name="_Toc462223472"/>
      <w:bookmarkStart w:id="120" w:name="_Toc455309222"/>
    </w:p>
    <w:bookmarkEnd w:id="118"/>
    <w:bookmarkEnd w:id="119"/>
    <w:bookmarkEnd w:id="120"/>
    <w:p w14:paraId="57B08A83">
      <w:pPr>
        <w:snapToGrid w:val="0"/>
        <w:spacing w:before="120" w:beforeLines="50" w:after="50" w:line="440" w:lineRule="exact"/>
        <w:jc w:val="center"/>
        <w:rPr>
          <w:b/>
          <w:color w:val="auto"/>
          <w:szCs w:val="21"/>
          <w:highlight w:val="none"/>
        </w:rPr>
      </w:pPr>
      <w:r>
        <w:rPr>
          <w:b/>
          <w:color w:val="auto"/>
          <w:szCs w:val="21"/>
          <w:highlight w:val="none"/>
        </w:rPr>
        <w:t>法定代表人身份证明</w:t>
      </w:r>
    </w:p>
    <w:p w14:paraId="2E701902">
      <w:pPr>
        <w:spacing w:line="360" w:lineRule="auto"/>
        <w:rPr>
          <w:color w:val="auto"/>
          <w:highlight w:val="none"/>
        </w:rPr>
      </w:pPr>
    </w:p>
    <w:p w14:paraId="47D42EDA">
      <w:pPr>
        <w:spacing w:line="360" w:lineRule="auto"/>
        <w:rPr>
          <w:color w:val="auto"/>
          <w:highlight w:val="none"/>
        </w:rPr>
      </w:pPr>
    </w:p>
    <w:p w14:paraId="641667F1">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164CB009">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1B1DAC5C">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09886799">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67DA41BA">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4983DEC3">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7193C5CB">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5C06959D">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078DC376">
      <w:pPr>
        <w:spacing w:line="540" w:lineRule="exact"/>
        <w:rPr>
          <w:rFonts w:hint="eastAsia"/>
          <w:color w:val="auto"/>
          <w:szCs w:val="21"/>
          <w:highlight w:val="none"/>
        </w:rPr>
      </w:pPr>
    </w:p>
    <w:p w14:paraId="579EBEAE">
      <w:pPr>
        <w:spacing w:line="540" w:lineRule="exact"/>
        <w:ind w:firstLine="420" w:firstLineChars="200"/>
        <w:rPr>
          <w:color w:val="auto"/>
          <w:szCs w:val="21"/>
          <w:highlight w:val="none"/>
        </w:rPr>
      </w:pPr>
      <w:r>
        <w:rPr>
          <w:color w:val="auto"/>
          <w:szCs w:val="21"/>
          <w:highlight w:val="none"/>
        </w:rPr>
        <w:t>特此证明。</w:t>
      </w:r>
    </w:p>
    <w:p w14:paraId="130FF427">
      <w:pPr>
        <w:spacing w:line="540" w:lineRule="exact"/>
        <w:rPr>
          <w:rFonts w:hint="eastAsia"/>
          <w:color w:val="auto"/>
          <w:szCs w:val="21"/>
          <w:highlight w:val="none"/>
        </w:rPr>
      </w:pPr>
    </w:p>
    <w:p w14:paraId="3BE7A53C">
      <w:pPr>
        <w:spacing w:line="360" w:lineRule="auto"/>
        <w:ind w:firstLine="4830" w:firstLineChars="23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69CCE733">
      <w:pPr>
        <w:spacing w:line="360" w:lineRule="auto"/>
        <w:rPr>
          <w:color w:val="auto"/>
          <w:szCs w:val="21"/>
          <w:highlight w:val="none"/>
        </w:rPr>
      </w:pPr>
      <w:r>
        <w:rPr>
          <w:color w:val="auto"/>
          <w:szCs w:val="21"/>
          <w:highlight w:val="none"/>
        </w:rPr>
        <w:t xml:space="preserve">                                                   年       月       日 </w:t>
      </w:r>
    </w:p>
    <w:p w14:paraId="1ECE30EE">
      <w:pPr>
        <w:spacing w:line="540" w:lineRule="exact"/>
        <w:rPr>
          <w:rFonts w:hint="eastAsia"/>
          <w:color w:val="auto"/>
          <w:szCs w:val="21"/>
          <w:highlight w:val="none"/>
        </w:rPr>
      </w:pPr>
    </w:p>
    <w:p w14:paraId="005422EE">
      <w:pPr>
        <w:spacing w:line="360" w:lineRule="auto"/>
        <w:rPr>
          <w:color w:val="auto"/>
          <w:szCs w:val="21"/>
          <w:highlight w:val="none"/>
        </w:rPr>
      </w:pPr>
      <w:bookmarkStart w:id="121" w:name="_Hlk19199756"/>
      <w:r>
        <w:rPr>
          <w:color w:val="auto"/>
          <w:szCs w:val="21"/>
          <w:highlight w:val="none"/>
        </w:rPr>
        <w:t>附件：法定代表人身份证复印件</w:t>
      </w:r>
    </w:p>
    <w:p w14:paraId="306C6E88">
      <w:pPr>
        <w:spacing w:line="360" w:lineRule="auto"/>
        <w:rPr>
          <w:color w:val="auto"/>
          <w:szCs w:val="21"/>
          <w:highlight w:val="none"/>
        </w:rPr>
      </w:pPr>
    </w:p>
    <w:bookmarkEnd w:id="121"/>
    <w:p w14:paraId="07AF006A">
      <w:pPr>
        <w:snapToGrid w:val="0"/>
        <w:spacing w:before="120" w:beforeLines="50" w:after="50" w:line="360" w:lineRule="exact"/>
        <w:jc w:val="left"/>
        <w:rPr>
          <w:rFonts w:hint="eastAsia"/>
          <w:color w:val="auto"/>
          <w:highlight w:val="none"/>
        </w:rPr>
      </w:pPr>
      <w:r>
        <w:rPr>
          <w:b/>
          <w:color w:val="auto"/>
          <w:szCs w:val="21"/>
          <w:highlight w:val="none"/>
        </w:rPr>
        <w:br w:type="page"/>
      </w:r>
      <w:bookmarkStart w:id="122" w:name="_Hlk19199766"/>
      <w:r>
        <w:rPr>
          <w:rFonts w:hint="eastAsia"/>
          <w:b/>
          <w:color w:val="auto"/>
          <w:szCs w:val="21"/>
          <w:highlight w:val="none"/>
        </w:rPr>
        <w:t>1</w:t>
      </w:r>
      <w:r>
        <w:rPr>
          <w:b/>
          <w:color w:val="auto"/>
          <w:szCs w:val="21"/>
          <w:highlight w:val="none"/>
        </w:rPr>
        <w:t>．</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bookmarkEnd w:id="122"/>
    <w:p w14:paraId="73819614">
      <w:pPr>
        <w:snapToGrid w:val="0"/>
        <w:spacing w:before="120" w:beforeLines="50" w:after="50" w:line="360" w:lineRule="exact"/>
        <w:jc w:val="center"/>
        <w:rPr>
          <w:b/>
          <w:color w:val="auto"/>
          <w:szCs w:val="21"/>
          <w:highlight w:val="none"/>
        </w:rPr>
      </w:pPr>
      <w:r>
        <w:rPr>
          <w:b/>
          <w:color w:val="auto"/>
          <w:szCs w:val="21"/>
          <w:highlight w:val="none"/>
        </w:rPr>
        <w:t>法定代表人授权委托书</w:t>
      </w:r>
    </w:p>
    <w:p w14:paraId="6DE60356">
      <w:pPr>
        <w:snapToGrid w:val="0"/>
        <w:spacing w:before="120" w:beforeLines="50" w:after="50" w:line="440" w:lineRule="exact"/>
        <w:rPr>
          <w:rFonts w:hint="eastAsia"/>
          <w:b/>
          <w:bCs/>
          <w:color w:val="auto"/>
          <w:szCs w:val="21"/>
          <w:highlight w:val="none"/>
        </w:rPr>
      </w:pPr>
      <w:r>
        <w:rPr>
          <w:bCs/>
          <w:color w:val="auto"/>
          <w:szCs w:val="21"/>
          <w:highlight w:val="none"/>
        </w:rPr>
        <w:t>致：</w:t>
      </w:r>
      <w:r>
        <w:rPr>
          <w:i/>
          <w:iCs/>
          <w:color w:val="auto"/>
          <w:szCs w:val="21"/>
          <w:highlight w:val="none"/>
          <w:u w:val="single"/>
        </w:rPr>
        <w:t>（采购人名称）</w:t>
      </w:r>
    </w:p>
    <w:p w14:paraId="1C3D6517">
      <w:pPr>
        <w:snapToGrid w:val="0"/>
        <w:spacing w:before="120" w:beforeLines="50" w:after="50" w:line="440" w:lineRule="exact"/>
        <w:ind w:firstLine="420" w:firstLineChars="200"/>
        <w:rPr>
          <w:color w:val="auto"/>
          <w:szCs w:val="21"/>
          <w:highlight w:val="none"/>
        </w:rPr>
      </w:pPr>
      <w:r>
        <w:rPr>
          <w:color w:val="auto"/>
          <w:szCs w:val="21"/>
          <w:highlight w:val="none"/>
        </w:rPr>
        <w:t>我</w:t>
      </w:r>
      <w:r>
        <w:rPr>
          <w:rFonts w:hint="eastAsia"/>
          <w:color w:val="auto"/>
          <w:szCs w:val="21"/>
          <w:highlight w:val="none"/>
        </w:rPr>
        <w:t xml:space="preserve"> </w:t>
      </w:r>
      <w:r>
        <w:rPr>
          <w:i/>
          <w:iCs/>
          <w:color w:val="auto"/>
          <w:szCs w:val="21"/>
          <w:highlight w:val="none"/>
          <w:u w:val="single"/>
        </w:rPr>
        <w:t>（姓名）</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的法定代表人，现授权委托本单位在职职工</w:t>
      </w:r>
      <w:r>
        <w:rPr>
          <w:i/>
          <w:iCs/>
          <w:color w:val="auto"/>
          <w:szCs w:val="21"/>
          <w:highlight w:val="none"/>
          <w:u w:val="single"/>
        </w:rPr>
        <w:t>（姓名）</w:t>
      </w:r>
      <w:r>
        <w:rPr>
          <w:color w:val="auto"/>
          <w:szCs w:val="21"/>
          <w:highlight w:val="none"/>
        </w:rPr>
        <w:t>以我方的名义参加</w:t>
      </w:r>
      <w:r>
        <w:rPr>
          <w:rFonts w:hint="eastAsia"/>
          <w:i/>
          <w:iCs/>
          <w:color w:val="auto"/>
          <w:szCs w:val="21"/>
          <w:highlight w:val="none"/>
          <w:u w:val="single"/>
        </w:rPr>
        <w:t>（项目名称 ）</w:t>
      </w:r>
      <w:r>
        <w:rPr>
          <w:color w:val="auto"/>
          <w:szCs w:val="21"/>
          <w:highlight w:val="none"/>
        </w:rPr>
        <w:t>项目的磋商活动，并代表我方全权办理针对上述项目的磋商、截标、评审、签约等具体事务和签署相关文件。</w:t>
      </w:r>
    </w:p>
    <w:p w14:paraId="5585EEA4">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514CC678">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4DAFB250">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0E6722AA">
      <w:pPr>
        <w:snapToGrid w:val="0"/>
        <w:spacing w:before="120" w:beforeLines="50" w:after="50" w:line="440" w:lineRule="exact"/>
        <w:rPr>
          <w:color w:val="auto"/>
          <w:szCs w:val="21"/>
          <w:highlight w:val="none"/>
          <w:u w:val="single"/>
        </w:rPr>
      </w:pPr>
      <w:r>
        <w:rPr>
          <w:color w:val="auto"/>
          <w:szCs w:val="21"/>
          <w:highlight w:val="none"/>
        </w:rPr>
        <w:t>被授权人签名或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r>
        <w:rPr>
          <w:color w:val="auto"/>
          <w:szCs w:val="21"/>
          <w:highlight w:val="none"/>
        </w:rPr>
        <w:t xml:space="preserve">                     法定代表人签名或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p>
    <w:p w14:paraId="3657ED9C">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w:t>
      </w:r>
    </w:p>
    <w:p w14:paraId="0C1BF131">
      <w:pPr>
        <w:snapToGrid w:val="0"/>
        <w:spacing w:before="120" w:beforeLines="50" w:after="50" w:line="440" w:lineRule="exact"/>
        <w:rPr>
          <w:color w:val="auto"/>
          <w:szCs w:val="21"/>
          <w:highlight w:val="none"/>
        </w:rPr>
      </w:pPr>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7B1AD0F6">
      <w:pPr>
        <w:snapToGrid w:val="0"/>
        <w:spacing w:before="120" w:beforeLines="50" w:after="50" w:line="440" w:lineRule="exact"/>
        <w:rPr>
          <w:color w:val="auto"/>
          <w:szCs w:val="21"/>
          <w:highlight w:val="none"/>
        </w:rPr>
      </w:pPr>
      <w:r>
        <w:rPr>
          <w:rFonts w:hint="eastAsia"/>
          <w:color w:val="auto"/>
          <w:szCs w:val="21"/>
          <w:highlight w:val="none"/>
        </w:rPr>
        <w:t>被授权人手机号码及邮箱</w:t>
      </w:r>
      <w:r>
        <w:rPr>
          <w:color w:val="auto"/>
          <w:szCs w:val="21"/>
          <w:highlight w:val="none"/>
        </w:rPr>
        <w:t>：</w:t>
      </w:r>
      <w:r>
        <w:rPr>
          <w:color w:val="auto"/>
          <w:szCs w:val="21"/>
          <w:highlight w:val="none"/>
          <w:u w:val="single"/>
        </w:rPr>
        <w:t xml:space="preserve">                   </w:t>
      </w:r>
      <w:r>
        <w:rPr>
          <w:color w:val="auto"/>
          <w:szCs w:val="21"/>
          <w:highlight w:val="none"/>
        </w:rPr>
        <w:t xml:space="preserve">            授权人身份证号码：</w:t>
      </w:r>
      <w:r>
        <w:rPr>
          <w:color w:val="auto"/>
          <w:szCs w:val="21"/>
          <w:highlight w:val="none"/>
          <w:u w:val="single"/>
        </w:rPr>
        <w:t xml:space="preserve">                 </w:t>
      </w:r>
    </w:p>
    <w:p w14:paraId="5CEC0ED1">
      <w:pPr>
        <w:snapToGrid w:val="0"/>
        <w:spacing w:before="120" w:beforeLines="50" w:after="50" w:line="440" w:lineRule="exact"/>
        <w:rPr>
          <w:rFonts w:hint="eastAsia"/>
          <w:color w:val="auto"/>
          <w:szCs w:val="21"/>
          <w:highlight w:val="none"/>
        </w:rPr>
      </w:pPr>
      <w:r>
        <w:rPr>
          <w:color w:val="auto"/>
          <w:szCs w:val="21"/>
          <w:highlight w:val="none"/>
        </w:rPr>
        <w:t xml:space="preserve">                                </w:t>
      </w:r>
    </w:p>
    <w:p w14:paraId="4C9D4FCB">
      <w:pPr>
        <w:snapToGrid w:val="0"/>
        <w:spacing w:before="120" w:beforeLines="50" w:after="50" w:line="440" w:lineRule="exact"/>
        <w:ind w:firstLine="5670" w:firstLineChars="27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5816C127">
      <w:pPr>
        <w:snapToGrid w:val="0"/>
        <w:spacing w:before="120" w:beforeLines="50" w:after="50" w:line="440" w:lineRule="exact"/>
        <w:jc w:val="center"/>
        <w:rPr>
          <w:color w:val="auto"/>
          <w:szCs w:val="21"/>
          <w:highlight w:val="none"/>
        </w:rPr>
      </w:pPr>
      <w:r>
        <w:rPr>
          <w:color w:val="auto"/>
          <w:szCs w:val="21"/>
          <w:highlight w:val="none"/>
        </w:rPr>
        <w:t xml:space="preserve">                                        年    月    日</w:t>
      </w:r>
    </w:p>
    <w:p w14:paraId="711D9485">
      <w:pPr>
        <w:spacing w:line="360" w:lineRule="auto"/>
        <w:rPr>
          <w:color w:val="auto"/>
          <w:szCs w:val="21"/>
          <w:highlight w:val="none"/>
        </w:rPr>
      </w:pPr>
      <w:r>
        <w:rPr>
          <w:color w:val="auto"/>
          <w:szCs w:val="21"/>
          <w:highlight w:val="none"/>
        </w:rPr>
        <w:t>附件：法定代表人身份证复印件及授权代表身份证复印件</w:t>
      </w:r>
    </w:p>
    <w:p w14:paraId="16A16C83">
      <w:pPr>
        <w:jc w:val="center"/>
        <w:rPr>
          <w:bCs/>
          <w:color w:val="auto"/>
          <w:sz w:val="24"/>
          <w:highlight w:val="none"/>
        </w:rPr>
      </w:pPr>
      <w:r>
        <w:rPr>
          <w:color w:val="auto"/>
          <w:highlight w:val="none"/>
        </w:rPr>
        <w:br w:type="page"/>
      </w:r>
      <w:r>
        <w:rPr>
          <w:color w:val="auto"/>
          <w:highlight w:val="none"/>
        </w:rPr>
        <w:t>（本商务文件供应商可自行编写，也可参照下述提纲编写）</w:t>
      </w:r>
    </w:p>
    <w:p w14:paraId="2F808CF2">
      <w:pPr>
        <w:snapToGrid w:val="0"/>
        <w:spacing w:before="50" w:after="120" w:afterLines="50"/>
        <w:jc w:val="left"/>
        <w:rPr>
          <w:rFonts w:hint="eastAsia"/>
          <w:color w:val="auto"/>
          <w:szCs w:val="21"/>
          <w:highlight w:val="none"/>
        </w:rPr>
      </w:pPr>
    </w:p>
    <w:p w14:paraId="09EE3ADF">
      <w:pPr>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》技术</w:t>
      </w:r>
      <w:r>
        <w:rPr>
          <w:color w:val="auto"/>
          <w:szCs w:val="21"/>
          <w:highlight w:val="none"/>
        </w:rPr>
        <w:t>要求的</w:t>
      </w:r>
      <w:r>
        <w:rPr>
          <w:rFonts w:hint="eastAsia"/>
          <w:color w:val="auto"/>
          <w:szCs w:val="21"/>
          <w:highlight w:val="none"/>
        </w:rPr>
        <w:t>响应表</w:t>
      </w:r>
      <w:r>
        <w:rPr>
          <w:color w:val="auto"/>
          <w:szCs w:val="21"/>
          <w:highlight w:val="none"/>
        </w:rPr>
        <w:t>：</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52F4F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D66B89E">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2FF0CEDB">
            <w:pPr>
              <w:snapToGrid w:val="0"/>
              <w:spacing w:before="120" w:beforeLines="50"/>
              <w:jc w:val="center"/>
              <w:rPr>
                <w:color w:val="auto"/>
                <w:szCs w:val="21"/>
                <w:highlight w:val="none"/>
              </w:rPr>
            </w:pPr>
            <w:r>
              <w:rPr>
                <w:rFonts w:hint="eastAsia"/>
                <w:color w:val="auto"/>
                <w:szCs w:val="21"/>
                <w:highlight w:val="none"/>
              </w:rPr>
              <w:t>采购文件</w:t>
            </w:r>
            <w:r>
              <w:rPr>
                <w:color w:val="auto"/>
                <w:szCs w:val="21"/>
                <w:highlight w:val="none"/>
              </w:rPr>
              <w:t>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7D9B8DD">
            <w:pPr>
              <w:snapToGrid w:val="0"/>
              <w:spacing w:before="120" w:beforeLines="50"/>
              <w:jc w:val="center"/>
              <w:rPr>
                <w:color w:val="auto"/>
                <w:szCs w:val="21"/>
                <w:highlight w:val="none"/>
              </w:rPr>
            </w:pPr>
            <w:r>
              <w:rPr>
                <w:rFonts w:hint="eastAsia"/>
                <w:color w:val="auto"/>
                <w:szCs w:val="21"/>
                <w:highlight w:val="none"/>
              </w:rPr>
              <w:t>响应</w:t>
            </w:r>
            <w:r>
              <w:rPr>
                <w:color w:val="auto"/>
                <w:szCs w:val="21"/>
                <w:highlight w:val="none"/>
              </w:rPr>
              <w:t>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5564AEF">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2BDC2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2A93B3C6">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D495BC1">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C404054">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557645D">
            <w:pPr>
              <w:snapToGrid w:val="0"/>
              <w:spacing w:before="120" w:beforeLines="50"/>
              <w:jc w:val="center"/>
              <w:rPr>
                <w:color w:val="auto"/>
                <w:szCs w:val="21"/>
                <w:highlight w:val="none"/>
              </w:rPr>
            </w:pPr>
          </w:p>
        </w:tc>
      </w:tr>
      <w:tr w14:paraId="7D0A9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158AD00">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AA80E32">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A26537C">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FD5440D">
            <w:pPr>
              <w:snapToGrid w:val="0"/>
              <w:spacing w:before="120" w:beforeLines="50"/>
              <w:jc w:val="center"/>
              <w:rPr>
                <w:color w:val="auto"/>
                <w:szCs w:val="21"/>
                <w:highlight w:val="none"/>
              </w:rPr>
            </w:pPr>
          </w:p>
        </w:tc>
      </w:tr>
      <w:tr w14:paraId="4FE35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C462DFE">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268BAA3F">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92DDD5A">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9D79858">
            <w:pPr>
              <w:snapToGrid w:val="0"/>
              <w:spacing w:before="120" w:beforeLines="50"/>
              <w:jc w:val="center"/>
              <w:rPr>
                <w:color w:val="auto"/>
                <w:szCs w:val="21"/>
                <w:highlight w:val="none"/>
              </w:rPr>
            </w:pPr>
          </w:p>
        </w:tc>
      </w:tr>
      <w:tr w14:paraId="711D7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A8CFBD5">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18905A88">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8FE8C0C">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6366DB1E">
            <w:pPr>
              <w:snapToGrid w:val="0"/>
              <w:spacing w:before="120" w:beforeLines="50"/>
              <w:jc w:val="center"/>
              <w:rPr>
                <w:color w:val="auto"/>
                <w:szCs w:val="21"/>
                <w:highlight w:val="none"/>
              </w:rPr>
            </w:pPr>
          </w:p>
        </w:tc>
      </w:tr>
    </w:tbl>
    <w:p w14:paraId="79D61255">
      <w:pPr>
        <w:rPr>
          <w:color w:val="auto"/>
          <w:szCs w:val="21"/>
          <w:highlight w:val="none"/>
        </w:rPr>
      </w:pPr>
    </w:p>
    <w:p w14:paraId="3AABD640">
      <w:pPr>
        <w:pStyle w:val="28"/>
        <w:tabs>
          <w:tab w:val="left" w:pos="2127"/>
        </w:tabs>
        <w:spacing w:line="340" w:lineRule="exact"/>
        <w:jc w:val="left"/>
        <w:rPr>
          <w:rFonts w:ascii="Times New Roman" w:hAnsi="Times New Roman" w:cs="Times New Roman"/>
          <w:color w:val="auto"/>
          <w:highlight w:val="none"/>
        </w:rPr>
      </w:pPr>
      <w:r>
        <w:rPr>
          <w:color w:val="auto"/>
          <w:highlight w:val="none"/>
        </w:rPr>
        <w:t>注：（1）</w:t>
      </w:r>
      <w:r>
        <w:rPr>
          <w:rFonts w:ascii="Times New Roman" w:hAnsi="Times New Roman" w:cs="Times New Roman"/>
          <w:color w:val="auto"/>
          <w:highlight w:val="none"/>
        </w:rPr>
        <w:t>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w:t>
      </w:r>
      <w:r>
        <w:rPr>
          <w:rFonts w:ascii="Times New Roman" w:hAnsi="Times New Roman" w:cs="Times New Roman"/>
          <w:color w:val="auto"/>
          <w:highlight w:val="none"/>
        </w:rPr>
        <w:t>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465418C5">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43BA77A4">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53EB4A7C">
      <w:pPr>
        <w:rPr>
          <w:color w:val="auto"/>
          <w:highlight w:val="none"/>
        </w:rPr>
      </w:pPr>
      <w:r>
        <w:rPr>
          <w:color w:val="auto"/>
          <w:highlight w:val="none"/>
        </w:rPr>
        <w:t>（4）本表可扩展。</w:t>
      </w:r>
    </w:p>
    <w:p w14:paraId="29831C44">
      <w:pPr>
        <w:rPr>
          <w:color w:val="auto"/>
          <w:szCs w:val="21"/>
          <w:highlight w:val="none"/>
        </w:rPr>
      </w:pPr>
    </w:p>
    <w:p w14:paraId="548E0DFB">
      <w:pPr>
        <w:rPr>
          <w:color w:val="auto"/>
          <w:spacing w:val="20"/>
          <w:szCs w:val="21"/>
          <w:highlight w:val="none"/>
          <w:u w:val="single"/>
        </w:rPr>
      </w:pPr>
    </w:p>
    <w:p w14:paraId="09F783C8">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65D7D6BF">
      <w:pPr>
        <w:rPr>
          <w:color w:val="auto"/>
          <w:spacing w:val="20"/>
          <w:szCs w:val="21"/>
          <w:highlight w:val="none"/>
          <w:u w:val="single"/>
        </w:rPr>
      </w:pPr>
    </w:p>
    <w:p w14:paraId="546FF9B3">
      <w:pPr>
        <w:pStyle w:val="22"/>
        <w:rPr>
          <w:rFonts w:hint="default"/>
          <w:color w:val="auto"/>
          <w:highlight w:val="none"/>
          <w:lang w:val="en-US" w:eastAsia="zh-CN"/>
        </w:rPr>
      </w:pPr>
    </w:p>
    <w:p w14:paraId="0BC61BC3">
      <w:pPr>
        <w:rPr>
          <w:rFonts w:hint="eastAsia"/>
          <w:color w:val="auto"/>
          <w:szCs w:val="21"/>
          <w:highlight w:val="none"/>
        </w:rPr>
      </w:pPr>
    </w:p>
    <w:p w14:paraId="3433EBEB">
      <w:pPr>
        <w:snapToGrid w:val="0"/>
        <w:spacing w:before="50" w:after="120" w:afterLines="5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2.人员保障</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可参考以下《项目拟投入服务团队人员结构表》</w:t>
      </w:r>
      <w:r>
        <w:rPr>
          <w:rFonts w:hint="eastAsia" w:ascii="宋体" w:hAnsi="宋体" w:eastAsia="宋体" w:cs="宋体"/>
          <w:b/>
          <w:bCs/>
          <w:color w:val="auto"/>
          <w:szCs w:val="21"/>
          <w:highlight w:val="none"/>
          <w:lang w:eastAsia="zh-CN"/>
        </w:rPr>
        <w:t>）</w:t>
      </w:r>
    </w:p>
    <w:p w14:paraId="6FC1AACC">
      <w:pPr>
        <w:snapToGrid w:val="0"/>
        <w:spacing w:before="50" w:after="120" w:afterLines="50"/>
        <w:jc w:val="left"/>
        <w:rPr>
          <w:color w:val="auto"/>
          <w:szCs w:val="21"/>
          <w:highlight w:val="none"/>
        </w:rPr>
      </w:pPr>
      <w:r>
        <w:rPr>
          <w:color w:val="auto"/>
          <w:szCs w:val="21"/>
          <w:highlight w:val="none"/>
        </w:rPr>
        <w:t>项目拟投入服务团队人员结构表（包括但不限于学历、证书情况、职称、年龄等）</w:t>
      </w:r>
    </w:p>
    <w:p w14:paraId="51975897">
      <w:pPr>
        <w:snapToGrid w:val="0"/>
        <w:spacing w:before="120" w:beforeLines="50" w:after="50" w:line="400" w:lineRule="exact"/>
        <w:jc w:val="center"/>
        <w:rPr>
          <w:color w:val="auto"/>
          <w:szCs w:val="21"/>
          <w:highlight w:val="none"/>
        </w:rPr>
      </w:pPr>
      <w:r>
        <w:rPr>
          <w:color w:val="auto"/>
          <w:szCs w:val="21"/>
          <w:highlight w:val="none"/>
        </w:rPr>
        <w:t>项目拟投入服务团队人员（含项目负责人）一览表</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tblGrid>
      <w:tr w14:paraId="60CD0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center"/>
          </w:tcPr>
          <w:p w14:paraId="3EB230C0">
            <w:pPr>
              <w:snapToGrid w:val="0"/>
              <w:spacing w:before="120" w:beforeLines="50" w:after="50"/>
              <w:jc w:val="center"/>
              <w:rPr>
                <w:color w:val="auto"/>
                <w:szCs w:val="21"/>
                <w:highlight w:val="none"/>
              </w:rPr>
            </w:pPr>
            <w:r>
              <w:rPr>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5DEE545">
            <w:pPr>
              <w:snapToGrid w:val="0"/>
              <w:spacing w:before="120" w:beforeLines="50" w:after="50"/>
              <w:jc w:val="center"/>
              <w:rPr>
                <w:color w:val="auto"/>
                <w:szCs w:val="21"/>
                <w:highlight w:val="none"/>
              </w:rPr>
            </w:pPr>
            <w:r>
              <w:rPr>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31044C9">
            <w:pPr>
              <w:snapToGrid w:val="0"/>
              <w:spacing w:before="120" w:beforeLines="50" w:after="50"/>
              <w:jc w:val="center"/>
              <w:rPr>
                <w:color w:val="auto"/>
                <w:szCs w:val="21"/>
                <w:highlight w:val="none"/>
              </w:rPr>
            </w:pPr>
            <w:r>
              <w:rPr>
                <w:color w:val="auto"/>
                <w:szCs w:val="21"/>
                <w:highlight w:val="none"/>
              </w:rPr>
              <w:t>分配岗位</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629EC07">
            <w:pPr>
              <w:snapToGrid w:val="0"/>
              <w:spacing w:before="120" w:beforeLines="50" w:after="50"/>
              <w:jc w:val="center"/>
              <w:rPr>
                <w:color w:val="auto"/>
                <w:szCs w:val="21"/>
                <w:highlight w:val="none"/>
              </w:rPr>
            </w:pPr>
            <w:r>
              <w:rPr>
                <w:color w:val="auto"/>
                <w:szCs w:val="21"/>
                <w:highlight w:val="none"/>
              </w:rPr>
              <w:t>持证情况</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5517999">
            <w:pPr>
              <w:snapToGrid w:val="0"/>
              <w:spacing w:before="120" w:beforeLines="50" w:after="50"/>
              <w:jc w:val="center"/>
              <w:rPr>
                <w:color w:val="auto"/>
                <w:szCs w:val="21"/>
                <w:highlight w:val="none"/>
              </w:rPr>
            </w:pPr>
            <w:r>
              <w:rPr>
                <w:color w:val="auto"/>
                <w:szCs w:val="21"/>
                <w:highlight w:val="none"/>
              </w:rPr>
              <w:t>年龄</w:t>
            </w:r>
          </w:p>
        </w:tc>
      </w:tr>
      <w:tr w14:paraId="49D13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0F853C00">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E4F7FB4">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CF96B41">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649941C7">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80756D0">
            <w:pPr>
              <w:snapToGrid w:val="0"/>
              <w:spacing w:before="120" w:beforeLines="50" w:after="50"/>
              <w:rPr>
                <w:color w:val="auto"/>
                <w:szCs w:val="21"/>
                <w:highlight w:val="none"/>
              </w:rPr>
            </w:pPr>
          </w:p>
        </w:tc>
      </w:tr>
      <w:tr w14:paraId="18D82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65930ECA">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6C6735B">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27289A9">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4A8A0DED">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BC3540A">
            <w:pPr>
              <w:snapToGrid w:val="0"/>
              <w:spacing w:before="120" w:beforeLines="50" w:after="50"/>
              <w:rPr>
                <w:color w:val="auto"/>
                <w:szCs w:val="21"/>
                <w:highlight w:val="none"/>
              </w:rPr>
            </w:pPr>
          </w:p>
        </w:tc>
      </w:tr>
    </w:tbl>
    <w:p w14:paraId="10B90EAC">
      <w:pPr>
        <w:snapToGrid w:val="0"/>
        <w:spacing w:before="50" w:after="120" w:afterLines="50" w:line="440" w:lineRule="exact"/>
        <w:jc w:val="left"/>
        <w:rPr>
          <w:color w:val="auto"/>
          <w:szCs w:val="21"/>
          <w:highlight w:val="none"/>
        </w:rPr>
      </w:pPr>
      <w:r>
        <w:rPr>
          <w:color w:val="auto"/>
          <w:szCs w:val="21"/>
          <w:highlight w:val="none"/>
        </w:rPr>
        <w:t>注：在填写时，如本表格不适合供应商的实际情况，可根据本表格式自行划表填写。</w:t>
      </w:r>
    </w:p>
    <w:p w14:paraId="644C818D">
      <w:pPr>
        <w:snapToGrid w:val="0"/>
        <w:spacing w:before="50" w:after="50" w:line="440" w:lineRule="exact"/>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1AFE1FC9">
      <w:pPr>
        <w:rPr>
          <w:rFonts w:hint="eastAsia"/>
          <w:color w:val="auto"/>
          <w:highlight w:val="none"/>
        </w:rPr>
      </w:pPr>
      <w:r>
        <w:rPr>
          <w:rFonts w:hint="eastAsia"/>
          <w:color w:val="auto"/>
          <w:highlight w:val="none"/>
        </w:rPr>
        <w:br w:type="page"/>
      </w:r>
    </w:p>
    <w:p w14:paraId="12E450C1">
      <w:pPr>
        <w:snapToGrid w:val="0"/>
        <w:spacing w:before="50" w:after="120" w:afterLines="50"/>
        <w:jc w:val="left"/>
        <w:rPr>
          <w:rFonts w:hint="default" w:ascii="宋体" w:hAnsi="宋体" w:eastAsia="宋体" w:cs="宋体"/>
          <w:b/>
          <w:bCs/>
          <w:color w:val="auto"/>
          <w:szCs w:val="21"/>
          <w:highlight w:val="none"/>
          <w:lang w:val="en-US" w:eastAsia="zh-CN"/>
        </w:rPr>
      </w:pPr>
    </w:p>
    <w:p w14:paraId="257CF805">
      <w:pPr>
        <w:numPr>
          <w:ilvl w:val="0"/>
          <w:numId w:val="0"/>
        </w:numPr>
        <w:snapToGrid w:val="0"/>
        <w:spacing w:before="50" w:after="120" w:afterLines="50"/>
        <w:jc w:val="left"/>
        <w:rPr>
          <w:rFonts w:hint="eastAsia" w:ascii="宋体" w:hAnsi="宋体" w:eastAsia="宋体" w:cs="宋体"/>
          <w:b w:val="0"/>
          <w:bCs w:val="0"/>
          <w:color w:val="auto"/>
          <w:szCs w:val="21"/>
          <w:highlight w:val="none"/>
          <w:lang w:val="en-US" w:eastAsia="zh-CN"/>
        </w:rPr>
      </w:pPr>
    </w:p>
    <w:p w14:paraId="2F545D4B">
      <w:pPr>
        <w:numPr>
          <w:ilvl w:val="0"/>
          <w:numId w:val="0"/>
        </w:numPr>
        <w:snapToGrid w:val="0"/>
        <w:spacing w:before="50" w:after="120" w:afterLines="50"/>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3.实施方案（标项一、二、三）（结合项目情况以及企业自身情况撰写，格式自拟）</w:t>
      </w:r>
    </w:p>
    <w:p w14:paraId="37521C27">
      <w:pPr>
        <w:numPr>
          <w:ilvl w:val="0"/>
          <w:numId w:val="0"/>
        </w:numPr>
        <w:snapToGrid w:val="0"/>
        <w:spacing w:before="50" w:after="120" w:afterLines="50"/>
        <w:jc w:val="left"/>
        <w:rPr>
          <w:rFonts w:hint="eastAsia" w:ascii="宋体" w:hAnsi="宋体" w:eastAsia="宋体" w:cs="宋体"/>
          <w:b w:val="0"/>
          <w:bCs w:val="0"/>
          <w:color w:val="auto"/>
          <w:szCs w:val="21"/>
          <w:highlight w:val="none"/>
          <w:lang w:val="en-US" w:eastAsia="zh-CN"/>
        </w:rPr>
      </w:pPr>
    </w:p>
    <w:p w14:paraId="13011E5A">
      <w:pPr>
        <w:numPr>
          <w:ilvl w:val="0"/>
          <w:numId w:val="0"/>
        </w:numPr>
        <w:snapToGrid w:val="0"/>
        <w:spacing w:before="50" w:after="120" w:afterLines="50"/>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4.售后服务（标项一、二、三）（结合项目情况以及企业自身情况撰写，格式自拟）</w:t>
      </w:r>
    </w:p>
    <w:p w14:paraId="461F0F71">
      <w:pPr>
        <w:numPr>
          <w:ilvl w:val="0"/>
          <w:numId w:val="0"/>
        </w:numPr>
        <w:snapToGrid w:val="0"/>
        <w:spacing w:before="50" w:after="120" w:afterLines="50"/>
        <w:jc w:val="left"/>
        <w:rPr>
          <w:rFonts w:hint="eastAsia" w:ascii="宋体" w:hAnsi="宋体" w:eastAsia="宋体" w:cs="宋体"/>
          <w:b w:val="0"/>
          <w:bCs w:val="0"/>
          <w:color w:val="auto"/>
          <w:szCs w:val="21"/>
          <w:highlight w:val="none"/>
          <w:lang w:val="en-US" w:eastAsia="zh-CN"/>
        </w:rPr>
      </w:pPr>
    </w:p>
    <w:p w14:paraId="23305897">
      <w:pPr>
        <w:numPr>
          <w:ilvl w:val="0"/>
          <w:numId w:val="0"/>
        </w:numPr>
        <w:snapToGrid w:val="0"/>
        <w:spacing w:before="50" w:after="120" w:afterLines="50"/>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5.配套资源（标项二）（结合项目情况以及企业自身情况撰写，格式自拟）</w:t>
      </w:r>
    </w:p>
    <w:p w14:paraId="01F24903">
      <w:pPr>
        <w:numPr>
          <w:ilvl w:val="0"/>
          <w:numId w:val="0"/>
        </w:numPr>
        <w:snapToGrid w:val="0"/>
        <w:spacing w:before="50" w:after="120" w:afterLines="50"/>
        <w:jc w:val="left"/>
        <w:rPr>
          <w:rFonts w:hint="eastAsia" w:ascii="宋体" w:hAnsi="宋体" w:eastAsia="宋体" w:cs="宋体"/>
          <w:b w:val="0"/>
          <w:bCs w:val="0"/>
          <w:color w:val="auto"/>
          <w:szCs w:val="21"/>
          <w:highlight w:val="none"/>
          <w:lang w:val="en-US" w:eastAsia="zh-CN"/>
        </w:rPr>
      </w:pPr>
    </w:p>
    <w:p w14:paraId="44818236">
      <w:pPr>
        <w:numPr>
          <w:ilvl w:val="0"/>
          <w:numId w:val="0"/>
        </w:numPr>
        <w:snapToGrid w:val="0"/>
        <w:spacing w:before="50" w:after="120" w:afterLines="50"/>
        <w:jc w:val="left"/>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6.学生错题推荐（标项二）（结合项目情况以及企业自身情况撰写，格式自拟）</w:t>
      </w:r>
    </w:p>
    <w:p w14:paraId="56A28098">
      <w:pPr>
        <w:numPr>
          <w:ilvl w:val="0"/>
          <w:numId w:val="0"/>
        </w:numPr>
        <w:snapToGrid w:val="0"/>
        <w:spacing w:before="50" w:after="120" w:afterLines="50"/>
        <w:jc w:val="left"/>
        <w:rPr>
          <w:rFonts w:hint="eastAsia" w:ascii="宋体" w:hAnsi="宋体" w:eastAsia="宋体" w:cs="宋体"/>
          <w:b w:val="0"/>
          <w:bCs w:val="0"/>
          <w:color w:val="auto"/>
          <w:szCs w:val="21"/>
          <w:highlight w:val="none"/>
          <w:lang w:val="en-US" w:eastAsia="zh-CN"/>
        </w:rPr>
      </w:pPr>
    </w:p>
    <w:p w14:paraId="1E1D46FC">
      <w:pPr>
        <w:numPr>
          <w:ilvl w:val="0"/>
          <w:numId w:val="0"/>
        </w:numPr>
        <w:snapToGrid w:val="0"/>
        <w:spacing w:before="50" w:after="120" w:afterLines="50"/>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7.提供项目建设总体方案（标项三）（结合项目情况以及企业自身情况撰写，格式自拟）</w:t>
      </w:r>
    </w:p>
    <w:p w14:paraId="27866D1A">
      <w:pPr>
        <w:numPr>
          <w:ilvl w:val="0"/>
          <w:numId w:val="0"/>
        </w:numPr>
        <w:snapToGrid w:val="0"/>
        <w:spacing w:before="50" w:after="120" w:afterLines="50"/>
        <w:jc w:val="left"/>
        <w:rPr>
          <w:rFonts w:hint="eastAsia" w:ascii="宋体" w:hAnsi="宋体" w:eastAsia="宋体" w:cs="宋体"/>
          <w:b w:val="0"/>
          <w:bCs w:val="0"/>
          <w:color w:val="auto"/>
          <w:szCs w:val="21"/>
          <w:highlight w:val="none"/>
          <w:lang w:val="en-US" w:eastAsia="zh-CN"/>
        </w:rPr>
      </w:pPr>
    </w:p>
    <w:p w14:paraId="28D4777B">
      <w:pPr>
        <w:numPr>
          <w:ilvl w:val="0"/>
          <w:numId w:val="0"/>
        </w:numPr>
        <w:snapToGrid w:val="0"/>
        <w:spacing w:before="50" w:after="120" w:afterLines="50"/>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8.指导方案（标项三）（结合项目情况以及企业自身情况撰写，格式自拟）</w:t>
      </w:r>
    </w:p>
    <w:p w14:paraId="3D85E224">
      <w:pPr>
        <w:numPr>
          <w:ilvl w:val="0"/>
          <w:numId w:val="0"/>
        </w:numPr>
        <w:snapToGrid w:val="0"/>
        <w:spacing w:before="50" w:after="120" w:afterLines="50"/>
        <w:jc w:val="left"/>
        <w:rPr>
          <w:rFonts w:hint="eastAsia" w:ascii="宋体" w:hAnsi="宋体" w:eastAsia="宋体" w:cs="宋体"/>
          <w:b w:val="0"/>
          <w:bCs w:val="0"/>
          <w:color w:val="auto"/>
          <w:szCs w:val="21"/>
          <w:highlight w:val="none"/>
          <w:lang w:val="en-US" w:eastAsia="zh-CN"/>
        </w:rPr>
      </w:pPr>
    </w:p>
    <w:p w14:paraId="31DAA0E9">
      <w:pPr>
        <w:numPr>
          <w:ilvl w:val="0"/>
          <w:numId w:val="0"/>
        </w:numPr>
        <w:snapToGrid w:val="0"/>
        <w:spacing w:before="50" w:after="120" w:afterLines="50"/>
        <w:jc w:val="left"/>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9.师资培训（标项三）（结合项目情况以及企业自身情况撰写，格式自拟）</w:t>
      </w:r>
    </w:p>
    <w:p w14:paraId="11337A17">
      <w:pPr>
        <w:numPr>
          <w:ilvl w:val="0"/>
          <w:numId w:val="0"/>
        </w:numPr>
        <w:snapToGrid w:val="0"/>
        <w:spacing w:before="50" w:after="120" w:afterLines="50"/>
        <w:jc w:val="left"/>
        <w:rPr>
          <w:rFonts w:hint="default" w:ascii="宋体" w:hAnsi="宋体" w:eastAsia="宋体" w:cs="宋体"/>
          <w:b w:val="0"/>
          <w:bCs w:val="0"/>
          <w:color w:val="auto"/>
          <w:szCs w:val="21"/>
          <w:highlight w:val="none"/>
          <w:lang w:val="en-US" w:eastAsia="zh-CN"/>
        </w:rPr>
      </w:pPr>
    </w:p>
    <w:p w14:paraId="12009C45">
      <w:pPr>
        <w:numPr>
          <w:ilvl w:val="0"/>
          <w:numId w:val="0"/>
        </w:numPr>
        <w:snapToGrid w:val="0"/>
        <w:spacing w:before="50" w:after="120" w:afterLines="50"/>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10.供应商对本项目的合理化建议和改进措施。（结合项目情况以及企业自身情况撰写，格式自拟）</w:t>
      </w:r>
    </w:p>
    <w:p w14:paraId="2744FBBC">
      <w:pPr>
        <w:numPr>
          <w:ilvl w:val="0"/>
          <w:numId w:val="0"/>
        </w:numPr>
        <w:snapToGrid w:val="0"/>
        <w:spacing w:before="50" w:after="120" w:afterLines="50"/>
        <w:jc w:val="left"/>
        <w:rPr>
          <w:rFonts w:hint="eastAsia" w:ascii="宋体" w:hAnsi="宋体" w:eastAsia="宋体" w:cs="宋体"/>
          <w:b w:val="0"/>
          <w:bCs w:val="0"/>
          <w:color w:val="auto"/>
          <w:szCs w:val="21"/>
          <w:highlight w:val="none"/>
          <w:lang w:val="en-US" w:eastAsia="zh-CN"/>
        </w:rPr>
      </w:pPr>
    </w:p>
    <w:p w14:paraId="33C1F465">
      <w:pPr>
        <w:numPr>
          <w:ilvl w:val="0"/>
          <w:numId w:val="0"/>
        </w:numPr>
        <w:snapToGrid w:val="0"/>
        <w:spacing w:before="50" w:after="120" w:afterLines="50"/>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11. 供应商需要说明的其他文件和说明。（结合项目情况以及企业自身情况撰写，格式自拟）</w:t>
      </w:r>
    </w:p>
    <w:p w14:paraId="753B3EF3">
      <w:pPr>
        <w:snapToGrid w:val="0"/>
        <w:spacing w:before="50" w:after="120" w:afterLines="50"/>
        <w:jc w:val="left"/>
        <w:rPr>
          <w:rFonts w:hint="eastAsia"/>
          <w:color w:val="auto"/>
          <w:szCs w:val="21"/>
          <w:highlight w:val="none"/>
        </w:rPr>
      </w:pPr>
    </w:p>
    <w:p w14:paraId="20C50012">
      <w:pPr>
        <w:snapToGrid w:val="0"/>
        <w:spacing w:before="50" w:after="120" w:afterLines="50" w:line="440" w:lineRule="exact"/>
        <w:rPr>
          <w:color w:val="auto"/>
          <w:highlight w:val="none"/>
        </w:rPr>
      </w:pPr>
      <w:r>
        <w:rPr>
          <w:color w:val="auto"/>
          <w:highlight w:val="none"/>
        </w:rPr>
        <w:br w:type="page"/>
      </w:r>
      <w:r>
        <w:rPr>
          <w:rFonts w:hint="eastAsia"/>
          <w:color w:val="auto"/>
          <w:highlight w:val="none"/>
          <w:lang w:val="en-US" w:eastAsia="zh-CN"/>
        </w:rPr>
        <w:t>12</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w:t>
      </w:r>
      <w:r>
        <w:rPr>
          <w:color w:val="auto"/>
          <w:szCs w:val="21"/>
          <w:highlight w:val="none"/>
        </w:rPr>
        <w:t>商务要求的</w:t>
      </w:r>
      <w:r>
        <w:rPr>
          <w:rFonts w:hint="eastAsia"/>
          <w:color w:val="auto"/>
          <w:szCs w:val="21"/>
          <w:highlight w:val="none"/>
        </w:rPr>
        <w:t>响应表</w:t>
      </w:r>
      <w:r>
        <w:rPr>
          <w:color w:val="auto"/>
          <w:szCs w:val="21"/>
          <w:highlight w:val="none"/>
        </w:rPr>
        <w:t>：</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61C28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758AF31">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3B63B92">
            <w:pPr>
              <w:snapToGrid w:val="0"/>
              <w:spacing w:before="120" w:beforeLines="50"/>
              <w:jc w:val="center"/>
              <w:rPr>
                <w:color w:val="auto"/>
                <w:szCs w:val="21"/>
                <w:highlight w:val="none"/>
              </w:rPr>
            </w:pPr>
            <w:r>
              <w:rPr>
                <w:color w:val="auto"/>
                <w:szCs w:val="21"/>
                <w:highlight w:val="none"/>
              </w:rPr>
              <w:t>采购文件要求（注明章节及条款号）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D25D06E">
            <w:pPr>
              <w:snapToGrid w:val="0"/>
              <w:spacing w:before="120" w:beforeLines="50"/>
              <w:jc w:val="center"/>
              <w:rPr>
                <w:color w:val="auto"/>
                <w:szCs w:val="21"/>
                <w:highlight w:val="none"/>
              </w:rPr>
            </w:pPr>
            <w:r>
              <w:rPr>
                <w:color w:val="auto"/>
                <w:szCs w:val="21"/>
                <w:highlight w:val="none"/>
              </w:rPr>
              <w:t>响应文件响应内容（</w:t>
            </w:r>
            <w:r>
              <w:rPr>
                <w:rFonts w:hint="eastAsia"/>
                <w:color w:val="auto"/>
                <w:szCs w:val="21"/>
                <w:highlight w:val="none"/>
              </w:rPr>
              <w:t>可</w:t>
            </w:r>
            <w:r>
              <w:rPr>
                <w:color w:val="auto"/>
                <w:szCs w:val="21"/>
                <w:highlight w:val="none"/>
              </w:rPr>
              <w:t>注明所在页码）</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4205F3E">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36221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690A7BB8">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73A24CA">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60A87AE">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512F2E1A">
            <w:pPr>
              <w:snapToGrid w:val="0"/>
              <w:spacing w:before="120" w:beforeLines="50"/>
              <w:jc w:val="center"/>
              <w:rPr>
                <w:color w:val="auto"/>
                <w:szCs w:val="21"/>
                <w:highlight w:val="none"/>
              </w:rPr>
            </w:pPr>
          </w:p>
        </w:tc>
      </w:tr>
      <w:tr w14:paraId="18248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F65A129">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2FE5FCC">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2193195">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9A5546D">
            <w:pPr>
              <w:snapToGrid w:val="0"/>
              <w:spacing w:before="120" w:beforeLines="50"/>
              <w:jc w:val="center"/>
              <w:rPr>
                <w:color w:val="auto"/>
                <w:szCs w:val="21"/>
                <w:highlight w:val="none"/>
              </w:rPr>
            </w:pPr>
          </w:p>
        </w:tc>
      </w:tr>
    </w:tbl>
    <w:p w14:paraId="5B234748">
      <w:pPr>
        <w:pStyle w:val="28"/>
        <w:tabs>
          <w:tab w:val="left" w:pos="2127"/>
        </w:tabs>
        <w:spacing w:line="340" w:lineRule="exact"/>
        <w:ind w:firstLine="420" w:firstLineChars="200"/>
        <w:jc w:val="left"/>
        <w:rPr>
          <w:rFonts w:ascii="Times New Roman" w:hAnsi="Times New Roman" w:cs="Times New Roman"/>
          <w:color w:val="auto"/>
          <w:highlight w:val="none"/>
        </w:rPr>
      </w:pPr>
      <w:bookmarkStart w:id="123" w:name="_Hlk48144603"/>
      <w:r>
        <w:rPr>
          <w:rFonts w:ascii="Times New Roman" w:hAnsi="Times New Roman" w:cs="Times New Roman"/>
          <w:color w:val="auto"/>
          <w:highlight w:val="none"/>
        </w:rPr>
        <w:t>注：</w:t>
      </w:r>
      <w:bookmarkStart w:id="124" w:name="_Hlk19049081"/>
      <w:r>
        <w:rPr>
          <w:rFonts w:ascii="Times New Roman" w:hAnsi="Times New Roman" w:cs="Times New Roman"/>
          <w:color w:val="auto"/>
          <w:highlight w:val="none"/>
        </w:rPr>
        <w:t>（1）本表应对采购文件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723D240D">
      <w:pPr>
        <w:pStyle w:val="28"/>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75BD8BFA">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124"/>
    <w:p w14:paraId="2C4B0752">
      <w:pPr>
        <w:pStyle w:val="28"/>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123"/>
    <w:p w14:paraId="49390CB3">
      <w:pPr>
        <w:snapToGrid w:val="0"/>
        <w:spacing w:before="50" w:after="120" w:afterLines="50" w:line="440" w:lineRule="exact"/>
        <w:jc w:val="left"/>
        <w:rPr>
          <w:rFonts w:hint="eastAsia"/>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52332EDE">
      <w:pPr>
        <w:snapToGrid w:val="0"/>
        <w:spacing w:before="50" w:after="120" w:afterLines="50"/>
        <w:jc w:val="left"/>
        <w:rPr>
          <w:rFonts w:hint="eastAsia"/>
          <w:color w:val="auto"/>
          <w:szCs w:val="21"/>
          <w:highlight w:val="none"/>
          <w:lang w:val="en-US" w:eastAsia="zh-CN"/>
        </w:rPr>
      </w:pPr>
    </w:p>
    <w:p w14:paraId="31D2BE5E">
      <w:pPr>
        <w:snapToGrid w:val="0"/>
        <w:spacing w:before="50" w:after="120" w:afterLines="50"/>
        <w:jc w:val="left"/>
        <w:rPr>
          <w:color w:val="auto"/>
          <w:szCs w:val="21"/>
          <w:highlight w:val="none"/>
        </w:rPr>
      </w:pPr>
      <w:r>
        <w:rPr>
          <w:rFonts w:hint="eastAsia"/>
          <w:color w:val="auto"/>
          <w:szCs w:val="21"/>
          <w:highlight w:val="none"/>
          <w:lang w:val="en-US" w:eastAsia="zh-CN"/>
        </w:rPr>
        <w:t>13</w:t>
      </w:r>
      <w:r>
        <w:rPr>
          <w:color w:val="auto"/>
          <w:szCs w:val="21"/>
          <w:highlight w:val="none"/>
        </w:rPr>
        <w:t>．供应商认为需提供的其他材料（根据采购文件编写）</w:t>
      </w:r>
    </w:p>
    <w:p w14:paraId="34204D5C">
      <w:pPr>
        <w:snapToGrid w:val="0"/>
        <w:spacing w:before="50" w:after="120" w:afterLines="50"/>
        <w:jc w:val="left"/>
        <w:rPr>
          <w:rFonts w:hint="eastAsia"/>
          <w:color w:val="auto"/>
          <w:szCs w:val="21"/>
          <w:highlight w:val="none"/>
          <w:lang w:val="en-US" w:eastAsia="zh-CN"/>
        </w:rPr>
      </w:pPr>
    </w:p>
    <w:p w14:paraId="0C197E98">
      <w:pPr>
        <w:snapToGrid w:val="0"/>
        <w:spacing w:before="50" w:after="120" w:afterLines="50"/>
        <w:jc w:val="left"/>
        <w:rPr>
          <w:rFonts w:hint="eastAsia"/>
          <w:b/>
          <w:color w:val="auto"/>
          <w:szCs w:val="21"/>
          <w:highlight w:val="none"/>
        </w:rPr>
      </w:pPr>
      <w:r>
        <w:rPr>
          <w:rFonts w:hint="eastAsia"/>
          <w:color w:val="auto"/>
          <w:szCs w:val="21"/>
          <w:highlight w:val="none"/>
          <w:lang w:val="en-US" w:eastAsia="zh-CN"/>
        </w:rPr>
        <w:t>14</w:t>
      </w:r>
      <w:r>
        <w:rPr>
          <w:color w:val="auto"/>
          <w:szCs w:val="21"/>
          <w:highlight w:val="none"/>
        </w:rPr>
        <w:t>．近年供应商类似成功案例的业绩证明</w:t>
      </w:r>
    </w:p>
    <w:p w14:paraId="552A598E">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3"/>
        <w:tblW w:w="101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3"/>
        <w:gridCol w:w="2839"/>
        <w:gridCol w:w="1728"/>
        <w:gridCol w:w="1432"/>
        <w:gridCol w:w="757"/>
        <w:gridCol w:w="1011"/>
        <w:gridCol w:w="1516"/>
      </w:tblGrid>
      <w:tr w14:paraId="4F115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2" w:hRule="atLeast"/>
        </w:trPr>
        <w:tc>
          <w:tcPr>
            <w:tcW w:w="853" w:type="dxa"/>
            <w:tcBorders>
              <w:top w:val="single" w:color="auto" w:sz="4" w:space="0"/>
              <w:left w:val="single" w:color="auto" w:sz="4" w:space="0"/>
              <w:right w:val="single" w:color="auto" w:sz="4" w:space="0"/>
            </w:tcBorders>
            <w:noWrap w:val="0"/>
            <w:vAlign w:val="top"/>
          </w:tcPr>
          <w:p w14:paraId="2A3F1952">
            <w:pPr>
              <w:snapToGrid w:val="0"/>
              <w:spacing w:line="240" w:lineRule="exact"/>
              <w:jc w:val="center"/>
              <w:rPr>
                <w:color w:val="auto"/>
                <w:szCs w:val="21"/>
                <w:highlight w:val="none"/>
              </w:rPr>
            </w:pPr>
          </w:p>
          <w:p w14:paraId="41276055">
            <w:pPr>
              <w:snapToGrid w:val="0"/>
              <w:spacing w:line="240" w:lineRule="exact"/>
              <w:jc w:val="center"/>
              <w:rPr>
                <w:color w:val="auto"/>
                <w:szCs w:val="21"/>
                <w:highlight w:val="none"/>
              </w:rPr>
            </w:pPr>
          </w:p>
          <w:p w14:paraId="44CD4252">
            <w:pPr>
              <w:snapToGrid w:val="0"/>
              <w:spacing w:line="240" w:lineRule="exact"/>
              <w:jc w:val="center"/>
              <w:rPr>
                <w:color w:val="auto"/>
                <w:szCs w:val="21"/>
                <w:highlight w:val="none"/>
              </w:rPr>
            </w:pPr>
            <w:r>
              <w:rPr>
                <w:rFonts w:hint="eastAsia"/>
                <w:color w:val="auto"/>
                <w:szCs w:val="21"/>
                <w:highlight w:val="none"/>
              </w:rPr>
              <w:t>序号</w:t>
            </w:r>
          </w:p>
        </w:tc>
        <w:tc>
          <w:tcPr>
            <w:tcW w:w="2839" w:type="dxa"/>
            <w:tcBorders>
              <w:top w:val="single" w:color="auto" w:sz="4" w:space="0"/>
              <w:left w:val="single" w:color="auto" w:sz="4" w:space="0"/>
              <w:bottom w:val="single" w:color="auto" w:sz="4" w:space="0"/>
              <w:right w:val="single" w:color="auto" w:sz="4" w:space="0"/>
            </w:tcBorders>
            <w:noWrap w:val="0"/>
            <w:vAlign w:val="center"/>
          </w:tcPr>
          <w:p w14:paraId="07CD4845">
            <w:pPr>
              <w:snapToGrid w:val="0"/>
              <w:spacing w:line="240" w:lineRule="exact"/>
              <w:jc w:val="center"/>
              <w:rPr>
                <w:color w:val="auto"/>
                <w:szCs w:val="21"/>
                <w:highlight w:val="none"/>
              </w:rPr>
            </w:pPr>
            <w:r>
              <w:rPr>
                <w:color w:val="auto"/>
                <w:szCs w:val="21"/>
                <w:highlight w:val="none"/>
              </w:rPr>
              <w:t>采购单位名称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14:paraId="5B7ABD7C">
            <w:pPr>
              <w:snapToGrid w:val="0"/>
              <w:spacing w:line="240" w:lineRule="exact"/>
              <w:jc w:val="center"/>
              <w:rPr>
                <w:color w:val="auto"/>
                <w:szCs w:val="21"/>
                <w:highlight w:val="none"/>
              </w:rPr>
            </w:pPr>
            <w:r>
              <w:rPr>
                <w:color w:val="auto"/>
                <w:szCs w:val="21"/>
                <w:highlight w:val="none"/>
              </w:rPr>
              <w:t>项目名称或服务内容</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4EA42FE5">
            <w:pPr>
              <w:snapToGrid w:val="0"/>
              <w:spacing w:line="240" w:lineRule="exact"/>
              <w:jc w:val="center"/>
              <w:rPr>
                <w:color w:val="auto"/>
                <w:szCs w:val="21"/>
                <w:highlight w:val="none"/>
              </w:rPr>
            </w:pPr>
            <w:r>
              <w:rPr>
                <w:color w:val="auto"/>
                <w:szCs w:val="21"/>
                <w:highlight w:val="none"/>
              </w:rPr>
              <w:t>服务</w:t>
            </w:r>
          </w:p>
          <w:p w14:paraId="0BD82F75">
            <w:pPr>
              <w:snapToGrid w:val="0"/>
              <w:spacing w:line="240" w:lineRule="exact"/>
              <w:jc w:val="center"/>
              <w:rPr>
                <w:color w:val="auto"/>
                <w:szCs w:val="21"/>
                <w:highlight w:val="none"/>
              </w:rPr>
            </w:pPr>
            <w:r>
              <w:rPr>
                <w:color w:val="auto"/>
                <w:szCs w:val="21"/>
                <w:highlight w:val="none"/>
              </w:rPr>
              <w:t>数量或年限</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65C01D8B">
            <w:pPr>
              <w:snapToGrid w:val="0"/>
              <w:spacing w:line="240" w:lineRule="exact"/>
              <w:jc w:val="center"/>
              <w:rPr>
                <w:color w:val="auto"/>
                <w:szCs w:val="21"/>
                <w:highlight w:val="none"/>
              </w:rPr>
            </w:pPr>
            <w:r>
              <w:rPr>
                <w:color w:val="auto"/>
                <w:szCs w:val="21"/>
                <w:highlight w:val="none"/>
              </w:rPr>
              <w:t>单价</w:t>
            </w:r>
            <w:r>
              <w:rPr>
                <w:rFonts w:hint="eastAsia"/>
                <w:color w:val="auto"/>
                <w:szCs w:val="21"/>
                <w:highlight w:val="none"/>
              </w:rPr>
              <w:t>（元）</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23901524">
            <w:pPr>
              <w:snapToGrid w:val="0"/>
              <w:spacing w:line="240" w:lineRule="exact"/>
              <w:jc w:val="center"/>
              <w:rPr>
                <w:color w:val="auto"/>
                <w:szCs w:val="21"/>
                <w:highlight w:val="none"/>
              </w:rPr>
            </w:pPr>
            <w:r>
              <w:rPr>
                <w:color w:val="auto"/>
                <w:szCs w:val="21"/>
                <w:highlight w:val="none"/>
              </w:rPr>
              <w:t>合同</w:t>
            </w:r>
            <w:r>
              <w:rPr>
                <w:rFonts w:hint="eastAsia"/>
                <w:color w:val="auto"/>
                <w:szCs w:val="21"/>
                <w:highlight w:val="none"/>
              </w:rPr>
              <w:t>总价</w:t>
            </w:r>
          </w:p>
          <w:p w14:paraId="015BE760">
            <w:pPr>
              <w:snapToGrid w:val="0"/>
              <w:spacing w:line="240" w:lineRule="exact"/>
              <w:jc w:val="center"/>
              <w:rPr>
                <w:color w:val="auto"/>
                <w:szCs w:val="21"/>
                <w:highlight w:val="none"/>
              </w:rPr>
            </w:pPr>
            <w:r>
              <w:rPr>
                <w:color w:val="auto"/>
                <w:szCs w:val="21"/>
                <w:highlight w:val="none"/>
              </w:rPr>
              <w:t>（元）</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0D5F7FF">
            <w:pPr>
              <w:jc w:val="center"/>
              <w:rPr>
                <w:color w:val="auto"/>
                <w:szCs w:val="21"/>
                <w:highlight w:val="none"/>
              </w:rPr>
            </w:pPr>
            <w:r>
              <w:rPr>
                <w:color w:val="auto"/>
                <w:szCs w:val="21"/>
                <w:highlight w:val="none"/>
              </w:rPr>
              <w:t>采购单位联系人及联系电话</w:t>
            </w:r>
          </w:p>
        </w:tc>
      </w:tr>
      <w:tr w14:paraId="06FD6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853" w:type="dxa"/>
            <w:tcBorders>
              <w:top w:val="single" w:color="auto" w:sz="4" w:space="0"/>
              <w:left w:val="single" w:color="auto" w:sz="4" w:space="0"/>
              <w:bottom w:val="single" w:color="auto" w:sz="4" w:space="0"/>
              <w:right w:val="single" w:color="auto" w:sz="4" w:space="0"/>
            </w:tcBorders>
            <w:noWrap w:val="0"/>
            <w:vAlign w:val="top"/>
          </w:tcPr>
          <w:p w14:paraId="5D19BD50">
            <w:pPr>
              <w:snapToGrid w:val="0"/>
              <w:spacing w:line="240" w:lineRule="exact"/>
              <w:jc w:val="left"/>
              <w:rPr>
                <w:color w:val="auto"/>
                <w:szCs w:val="21"/>
                <w:highlight w:val="none"/>
              </w:rPr>
            </w:pPr>
          </w:p>
        </w:tc>
        <w:tc>
          <w:tcPr>
            <w:tcW w:w="2839" w:type="dxa"/>
            <w:tcBorders>
              <w:top w:val="single" w:color="auto" w:sz="4" w:space="0"/>
              <w:left w:val="single" w:color="auto" w:sz="4" w:space="0"/>
              <w:bottom w:val="single" w:color="auto" w:sz="4" w:space="0"/>
              <w:right w:val="single" w:color="auto" w:sz="4" w:space="0"/>
            </w:tcBorders>
            <w:noWrap w:val="0"/>
            <w:vAlign w:val="top"/>
          </w:tcPr>
          <w:p w14:paraId="284670F6">
            <w:pPr>
              <w:snapToGrid w:val="0"/>
              <w:spacing w:line="24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3D75C3EF">
            <w:pPr>
              <w:snapToGrid w:val="0"/>
              <w:spacing w:line="240" w:lineRule="exact"/>
              <w:jc w:val="left"/>
              <w:rPr>
                <w:color w:val="auto"/>
                <w:szCs w:val="21"/>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top"/>
          </w:tcPr>
          <w:p w14:paraId="27D06C8E">
            <w:pPr>
              <w:snapToGrid w:val="0"/>
              <w:spacing w:line="240" w:lineRule="exact"/>
              <w:jc w:val="left"/>
              <w:rPr>
                <w:color w:val="auto"/>
                <w:szCs w:val="21"/>
                <w:highlight w:val="none"/>
              </w:rPr>
            </w:pPr>
          </w:p>
        </w:tc>
        <w:tc>
          <w:tcPr>
            <w:tcW w:w="757" w:type="dxa"/>
            <w:tcBorders>
              <w:top w:val="single" w:color="auto" w:sz="4" w:space="0"/>
              <w:left w:val="single" w:color="auto" w:sz="4" w:space="0"/>
              <w:bottom w:val="single" w:color="auto" w:sz="4" w:space="0"/>
              <w:right w:val="single" w:color="auto" w:sz="4" w:space="0"/>
            </w:tcBorders>
            <w:noWrap w:val="0"/>
            <w:vAlign w:val="top"/>
          </w:tcPr>
          <w:p w14:paraId="2233A4B8">
            <w:pPr>
              <w:snapToGrid w:val="0"/>
              <w:spacing w:line="240" w:lineRule="exact"/>
              <w:jc w:val="left"/>
              <w:rPr>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39A16DA9">
            <w:pPr>
              <w:snapToGrid w:val="0"/>
              <w:spacing w:line="240" w:lineRule="exact"/>
              <w:jc w:val="left"/>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1FFD6B78">
            <w:pPr>
              <w:snapToGrid w:val="0"/>
              <w:spacing w:line="240" w:lineRule="exact"/>
              <w:jc w:val="left"/>
              <w:rPr>
                <w:color w:val="auto"/>
                <w:szCs w:val="21"/>
                <w:highlight w:val="none"/>
              </w:rPr>
            </w:pPr>
          </w:p>
        </w:tc>
      </w:tr>
      <w:tr w14:paraId="6E972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53" w:type="dxa"/>
            <w:tcBorders>
              <w:top w:val="single" w:color="auto" w:sz="4" w:space="0"/>
              <w:left w:val="single" w:color="auto" w:sz="4" w:space="0"/>
              <w:bottom w:val="single" w:color="auto" w:sz="4" w:space="0"/>
              <w:right w:val="single" w:color="auto" w:sz="4" w:space="0"/>
            </w:tcBorders>
            <w:noWrap w:val="0"/>
            <w:vAlign w:val="top"/>
          </w:tcPr>
          <w:p w14:paraId="036D8B64">
            <w:pPr>
              <w:snapToGrid w:val="0"/>
              <w:spacing w:before="50" w:after="120" w:afterLines="50" w:line="400" w:lineRule="exact"/>
              <w:jc w:val="left"/>
              <w:rPr>
                <w:color w:val="auto"/>
                <w:szCs w:val="21"/>
                <w:highlight w:val="none"/>
              </w:rPr>
            </w:pPr>
          </w:p>
        </w:tc>
        <w:tc>
          <w:tcPr>
            <w:tcW w:w="2839" w:type="dxa"/>
            <w:tcBorders>
              <w:top w:val="single" w:color="auto" w:sz="4" w:space="0"/>
              <w:left w:val="single" w:color="auto" w:sz="4" w:space="0"/>
              <w:bottom w:val="single" w:color="auto" w:sz="4" w:space="0"/>
              <w:right w:val="single" w:color="auto" w:sz="4" w:space="0"/>
            </w:tcBorders>
            <w:noWrap w:val="0"/>
            <w:vAlign w:val="top"/>
          </w:tcPr>
          <w:p w14:paraId="58EE85BD">
            <w:pPr>
              <w:snapToGrid w:val="0"/>
              <w:spacing w:before="50" w:after="120" w:afterLines="50" w:line="40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66447AE7">
            <w:pPr>
              <w:snapToGrid w:val="0"/>
              <w:spacing w:before="50" w:after="120" w:afterLines="50" w:line="400" w:lineRule="exact"/>
              <w:jc w:val="left"/>
              <w:rPr>
                <w:color w:val="auto"/>
                <w:szCs w:val="21"/>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top"/>
          </w:tcPr>
          <w:p w14:paraId="576805B8">
            <w:pPr>
              <w:snapToGrid w:val="0"/>
              <w:spacing w:before="50" w:after="120" w:afterLines="50" w:line="400" w:lineRule="exact"/>
              <w:jc w:val="left"/>
              <w:rPr>
                <w:color w:val="auto"/>
                <w:szCs w:val="21"/>
                <w:highlight w:val="none"/>
              </w:rPr>
            </w:pPr>
          </w:p>
        </w:tc>
        <w:tc>
          <w:tcPr>
            <w:tcW w:w="757" w:type="dxa"/>
            <w:tcBorders>
              <w:top w:val="single" w:color="auto" w:sz="4" w:space="0"/>
              <w:left w:val="single" w:color="auto" w:sz="4" w:space="0"/>
              <w:bottom w:val="single" w:color="auto" w:sz="4" w:space="0"/>
              <w:right w:val="single" w:color="auto" w:sz="4" w:space="0"/>
            </w:tcBorders>
            <w:noWrap w:val="0"/>
            <w:vAlign w:val="top"/>
          </w:tcPr>
          <w:p w14:paraId="61583F5B">
            <w:pPr>
              <w:snapToGrid w:val="0"/>
              <w:spacing w:before="50" w:after="120" w:afterLines="50" w:line="400" w:lineRule="exact"/>
              <w:jc w:val="left"/>
              <w:rPr>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5F1CC072">
            <w:pPr>
              <w:snapToGrid w:val="0"/>
              <w:spacing w:before="50" w:after="120" w:afterLines="50" w:line="400" w:lineRule="exact"/>
              <w:jc w:val="left"/>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16C20CF8">
            <w:pPr>
              <w:snapToGrid w:val="0"/>
              <w:spacing w:before="50" w:after="120" w:afterLines="50" w:line="400" w:lineRule="exact"/>
              <w:jc w:val="left"/>
              <w:rPr>
                <w:color w:val="auto"/>
                <w:szCs w:val="21"/>
                <w:highlight w:val="none"/>
              </w:rPr>
            </w:pPr>
          </w:p>
        </w:tc>
      </w:tr>
      <w:tr w14:paraId="381C1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853" w:type="dxa"/>
            <w:tcBorders>
              <w:top w:val="single" w:color="auto" w:sz="4" w:space="0"/>
              <w:left w:val="single" w:color="auto" w:sz="4" w:space="0"/>
              <w:bottom w:val="single" w:color="auto" w:sz="4" w:space="0"/>
              <w:right w:val="single" w:color="auto" w:sz="4" w:space="0"/>
            </w:tcBorders>
            <w:noWrap w:val="0"/>
            <w:vAlign w:val="top"/>
          </w:tcPr>
          <w:p w14:paraId="66255FA6">
            <w:pPr>
              <w:snapToGrid w:val="0"/>
              <w:spacing w:before="50" w:after="120" w:afterLines="50" w:line="400" w:lineRule="exact"/>
              <w:jc w:val="left"/>
              <w:rPr>
                <w:color w:val="auto"/>
                <w:szCs w:val="21"/>
                <w:highlight w:val="none"/>
              </w:rPr>
            </w:pPr>
          </w:p>
        </w:tc>
        <w:tc>
          <w:tcPr>
            <w:tcW w:w="2839" w:type="dxa"/>
            <w:tcBorders>
              <w:top w:val="single" w:color="auto" w:sz="4" w:space="0"/>
              <w:left w:val="single" w:color="auto" w:sz="4" w:space="0"/>
              <w:bottom w:val="single" w:color="auto" w:sz="4" w:space="0"/>
              <w:right w:val="single" w:color="auto" w:sz="4" w:space="0"/>
            </w:tcBorders>
            <w:noWrap w:val="0"/>
            <w:vAlign w:val="top"/>
          </w:tcPr>
          <w:p w14:paraId="4425D361">
            <w:pPr>
              <w:snapToGrid w:val="0"/>
              <w:spacing w:before="50" w:after="120" w:afterLines="50" w:line="40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1EC813A1">
            <w:pPr>
              <w:snapToGrid w:val="0"/>
              <w:spacing w:before="50" w:after="120" w:afterLines="50" w:line="400" w:lineRule="exact"/>
              <w:jc w:val="left"/>
              <w:rPr>
                <w:color w:val="auto"/>
                <w:szCs w:val="21"/>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top"/>
          </w:tcPr>
          <w:p w14:paraId="65592C39">
            <w:pPr>
              <w:snapToGrid w:val="0"/>
              <w:spacing w:before="50" w:after="120" w:afterLines="50" w:line="400" w:lineRule="exact"/>
              <w:jc w:val="left"/>
              <w:rPr>
                <w:color w:val="auto"/>
                <w:szCs w:val="21"/>
                <w:highlight w:val="none"/>
              </w:rPr>
            </w:pPr>
          </w:p>
        </w:tc>
        <w:tc>
          <w:tcPr>
            <w:tcW w:w="757" w:type="dxa"/>
            <w:tcBorders>
              <w:top w:val="single" w:color="auto" w:sz="4" w:space="0"/>
              <w:left w:val="single" w:color="auto" w:sz="4" w:space="0"/>
              <w:bottom w:val="single" w:color="auto" w:sz="4" w:space="0"/>
              <w:right w:val="single" w:color="auto" w:sz="4" w:space="0"/>
            </w:tcBorders>
            <w:noWrap w:val="0"/>
            <w:vAlign w:val="top"/>
          </w:tcPr>
          <w:p w14:paraId="3BAA822A">
            <w:pPr>
              <w:snapToGrid w:val="0"/>
              <w:spacing w:before="50" w:after="120" w:afterLines="50" w:line="400" w:lineRule="exact"/>
              <w:jc w:val="left"/>
              <w:rPr>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6607AB63">
            <w:pPr>
              <w:snapToGrid w:val="0"/>
              <w:spacing w:before="50" w:after="120" w:afterLines="50" w:line="400" w:lineRule="exact"/>
              <w:jc w:val="left"/>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71211F9F">
            <w:pPr>
              <w:snapToGrid w:val="0"/>
              <w:spacing w:before="50" w:after="120" w:afterLines="50" w:line="400" w:lineRule="exact"/>
              <w:jc w:val="left"/>
              <w:rPr>
                <w:color w:val="auto"/>
                <w:szCs w:val="21"/>
                <w:highlight w:val="none"/>
              </w:rPr>
            </w:pPr>
          </w:p>
        </w:tc>
      </w:tr>
      <w:tr w14:paraId="7D7D9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53" w:type="dxa"/>
            <w:tcBorders>
              <w:top w:val="single" w:color="auto" w:sz="4" w:space="0"/>
              <w:left w:val="single" w:color="auto" w:sz="4" w:space="0"/>
              <w:bottom w:val="single" w:color="auto" w:sz="4" w:space="0"/>
              <w:right w:val="single" w:color="auto" w:sz="4" w:space="0"/>
            </w:tcBorders>
            <w:noWrap w:val="0"/>
            <w:vAlign w:val="top"/>
          </w:tcPr>
          <w:p w14:paraId="3A2CB71E">
            <w:pPr>
              <w:snapToGrid w:val="0"/>
              <w:spacing w:before="50" w:after="120" w:afterLines="50" w:line="400" w:lineRule="exact"/>
              <w:jc w:val="left"/>
              <w:rPr>
                <w:color w:val="auto"/>
                <w:szCs w:val="21"/>
                <w:highlight w:val="none"/>
              </w:rPr>
            </w:pPr>
          </w:p>
        </w:tc>
        <w:tc>
          <w:tcPr>
            <w:tcW w:w="2839" w:type="dxa"/>
            <w:tcBorders>
              <w:top w:val="single" w:color="auto" w:sz="4" w:space="0"/>
              <w:left w:val="single" w:color="auto" w:sz="4" w:space="0"/>
              <w:bottom w:val="single" w:color="auto" w:sz="4" w:space="0"/>
              <w:right w:val="single" w:color="auto" w:sz="4" w:space="0"/>
            </w:tcBorders>
            <w:noWrap w:val="0"/>
            <w:vAlign w:val="top"/>
          </w:tcPr>
          <w:p w14:paraId="4F441976">
            <w:pPr>
              <w:snapToGrid w:val="0"/>
              <w:spacing w:before="50" w:after="120" w:afterLines="50" w:line="40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363DE4E2">
            <w:pPr>
              <w:snapToGrid w:val="0"/>
              <w:spacing w:before="50" w:after="120" w:afterLines="50" w:line="400" w:lineRule="exact"/>
              <w:jc w:val="left"/>
              <w:rPr>
                <w:color w:val="auto"/>
                <w:szCs w:val="21"/>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top"/>
          </w:tcPr>
          <w:p w14:paraId="12C45DFC">
            <w:pPr>
              <w:snapToGrid w:val="0"/>
              <w:spacing w:before="50" w:after="120" w:afterLines="50" w:line="400" w:lineRule="exact"/>
              <w:jc w:val="left"/>
              <w:rPr>
                <w:color w:val="auto"/>
                <w:szCs w:val="21"/>
                <w:highlight w:val="none"/>
              </w:rPr>
            </w:pPr>
          </w:p>
        </w:tc>
        <w:tc>
          <w:tcPr>
            <w:tcW w:w="757" w:type="dxa"/>
            <w:tcBorders>
              <w:top w:val="single" w:color="auto" w:sz="4" w:space="0"/>
              <w:left w:val="single" w:color="auto" w:sz="4" w:space="0"/>
              <w:bottom w:val="single" w:color="auto" w:sz="4" w:space="0"/>
              <w:right w:val="single" w:color="auto" w:sz="4" w:space="0"/>
            </w:tcBorders>
            <w:noWrap w:val="0"/>
            <w:vAlign w:val="top"/>
          </w:tcPr>
          <w:p w14:paraId="5479CB86">
            <w:pPr>
              <w:snapToGrid w:val="0"/>
              <w:spacing w:before="50" w:after="120" w:afterLines="50" w:line="400" w:lineRule="exact"/>
              <w:jc w:val="left"/>
              <w:rPr>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77DF6B2D">
            <w:pPr>
              <w:snapToGrid w:val="0"/>
              <w:spacing w:before="50" w:after="120" w:afterLines="50" w:line="400" w:lineRule="exact"/>
              <w:jc w:val="left"/>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11702737">
            <w:pPr>
              <w:snapToGrid w:val="0"/>
              <w:spacing w:before="50" w:after="120" w:afterLines="50" w:line="400" w:lineRule="exact"/>
              <w:jc w:val="left"/>
              <w:rPr>
                <w:color w:val="auto"/>
                <w:szCs w:val="21"/>
                <w:highlight w:val="none"/>
              </w:rPr>
            </w:pPr>
          </w:p>
        </w:tc>
      </w:tr>
      <w:tr w14:paraId="19761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3" w:type="dxa"/>
            <w:tcBorders>
              <w:top w:val="single" w:color="auto" w:sz="4" w:space="0"/>
              <w:left w:val="single" w:color="auto" w:sz="4" w:space="0"/>
              <w:bottom w:val="single" w:color="auto" w:sz="4" w:space="0"/>
              <w:right w:val="single" w:color="auto" w:sz="4" w:space="0"/>
            </w:tcBorders>
            <w:noWrap w:val="0"/>
            <w:vAlign w:val="top"/>
          </w:tcPr>
          <w:p w14:paraId="0277856F">
            <w:pPr>
              <w:snapToGrid w:val="0"/>
              <w:spacing w:before="50" w:after="120" w:afterLines="50" w:line="400" w:lineRule="exact"/>
              <w:jc w:val="left"/>
              <w:rPr>
                <w:color w:val="auto"/>
                <w:szCs w:val="21"/>
                <w:highlight w:val="none"/>
              </w:rPr>
            </w:pPr>
          </w:p>
        </w:tc>
        <w:tc>
          <w:tcPr>
            <w:tcW w:w="2839" w:type="dxa"/>
            <w:tcBorders>
              <w:top w:val="single" w:color="auto" w:sz="4" w:space="0"/>
              <w:left w:val="single" w:color="auto" w:sz="4" w:space="0"/>
              <w:bottom w:val="single" w:color="auto" w:sz="4" w:space="0"/>
              <w:right w:val="single" w:color="auto" w:sz="4" w:space="0"/>
            </w:tcBorders>
            <w:noWrap w:val="0"/>
            <w:vAlign w:val="top"/>
          </w:tcPr>
          <w:p w14:paraId="5750926A">
            <w:pPr>
              <w:snapToGrid w:val="0"/>
              <w:spacing w:before="50" w:after="120" w:afterLines="50" w:line="40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04945BA8">
            <w:pPr>
              <w:snapToGrid w:val="0"/>
              <w:spacing w:before="50" w:after="120" w:afterLines="50" w:line="400" w:lineRule="exact"/>
              <w:jc w:val="left"/>
              <w:rPr>
                <w:color w:val="auto"/>
                <w:szCs w:val="21"/>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top"/>
          </w:tcPr>
          <w:p w14:paraId="4465E12E">
            <w:pPr>
              <w:snapToGrid w:val="0"/>
              <w:spacing w:before="50" w:after="120" w:afterLines="50" w:line="400" w:lineRule="exact"/>
              <w:jc w:val="left"/>
              <w:rPr>
                <w:color w:val="auto"/>
                <w:szCs w:val="21"/>
                <w:highlight w:val="none"/>
              </w:rPr>
            </w:pPr>
          </w:p>
        </w:tc>
        <w:tc>
          <w:tcPr>
            <w:tcW w:w="757" w:type="dxa"/>
            <w:tcBorders>
              <w:top w:val="single" w:color="auto" w:sz="4" w:space="0"/>
              <w:left w:val="single" w:color="auto" w:sz="4" w:space="0"/>
              <w:bottom w:val="single" w:color="auto" w:sz="4" w:space="0"/>
              <w:right w:val="single" w:color="auto" w:sz="4" w:space="0"/>
            </w:tcBorders>
            <w:noWrap w:val="0"/>
            <w:vAlign w:val="top"/>
          </w:tcPr>
          <w:p w14:paraId="558A08CB">
            <w:pPr>
              <w:snapToGrid w:val="0"/>
              <w:spacing w:before="50" w:after="120" w:afterLines="50" w:line="400" w:lineRule="exact"/>
              <w:jc w:val="left"/>
              <w:rPr>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2C3CBE3C">
            <w:pPr>
              <w:snapToGrid w:val="0"/>
              <w:spacing w:before="50" w:after="120" w:afterLines="50" w:line="400" w:lineRule="exact"/>
              <w:jc w:val="left"/>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338DBA9B">
            <w:pPr>
              <w:snapToGrid w:val="0"/>
              <w:spacing w:before="50" w:after="120" w:afterLines="50" w:line="400" w:lineRule="exact"/>
              <w:jc w:val="left"/>
              <w:rPr>
                <w:color w:val="auto"/>
                <w:szCs w:val="21"/>
                <w:highlight w:val="none"/>
              </w:rPr>
            </w:pPr>
          </w:p>
        </w:tc>
      </w:tr>
    </w:tbl>
    <w:p w14:paraId="4EBC71A0">
      <w:pPr>
        <w:pStyle w:val="16"/>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1D7A76F7">
      <w:pPr>
        <w:pStyle w:val="16"/>
        <w:snapToGrid w:val="0"/>
        <w:rPr>
          <w:rFonts w:hint="eastAsia"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见第四章《评审方法及标准》规定</w:t>
      </w:r>
      <w:r>
        <w:rPr>
          <w:rFonts w:hint="eastAsia" w:ascii="Times New Roman" w:hAnsi="Times New Roman" w:eastAsia="宋体" w:cs="Times New Roman"/>
          <w:color w:val="auto"/>
          <w:sz w:val="21"/>
          <w:szCs w:val="21"/>
          <w:highlight w:val="none"/>
        </w:rPr>
        <w:t>。</w:t>
      </w:r>
    </w:p>
    <w:p w14:paraId="1804EB46">
      <w:pPr>
        <w:pStyle w:val="16"/>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（2）</w:t>
      </w:r>
      <w:r>
        <w:rPr>
          <w:rFonts w:ascii="Times New Roman" w:hAnsi="Times New Roman" w:eastAsia="宋体" w:cs="Times New Roman"/>
          <w:color w:val="auto"/>
          <w:sz w:val="21"/>
          <w:szCs w:val="21"/>
          <w:highlight w:val="none"/>
        </w:rPr>
        <w:t>类似项目的定义见第四章《评审方法及标准》规定。</w:t>
      </w:r>
    </w:p>
    <w:p w14:paraId="4F6B2E80">
      <w:pPr>
        <w:rPr>
          <w:color w:val="auto"/>
          <w:highlight w:val="none"/>
        </w:rPr>
      </w:pPr>
      <w:r>
        <w:rPr>
          <w:color w:val="auto"/>
          <w:szCs w:val="21"/>
          <w:highlight w:val="none"/>
        </w:rPr>
        <w:t>（3）</w:t>
      </w:r>
      <w:r>
        <w:rPr>
          <w:color w:val="auto"/>
          <w:highlight w:val="none"/>
        </w:rPr>
        <w:t>本表可拓展</w:t>
      </w:r>
    </w:p>
    <w:p w14:paraId="68BCBD9B">
      <w:pPr>
        <w:snapToGrid w:val="0"/>
        <w:spacing w:before="50"/>
        <w:jc w:val="left"/>
        <w:rPr>
          <w:color w:val="auto"/>
          <w:szCs w:val="21"/>
          <w:highlight w:val="none"/>
        </w:rPr>
      </w:pPr>
    </w:p>
    <w:p w14:paraId="1363FC39">
      <w:pPr>
        <w:snapToGrid w:val="0"/>
        <w:spacing w:before="50"/>
        <w:jc w:val="left"/>
        <w:rPr>
          <w:rFonts w:hint="eastAsia"/>
          <w:color w:val="auto"/>
          <w:szCs w:val="21"/>
          <w:highlight w:val="none"/>
        </w:rPr>
        <w:sectPr>
          <w:headerReference r:id="rId23" w:type="default"/>
          <w:footerReference r:id="rId24" w:type="default"/>
          <w:pgSz w:w="11906" w:h="16838"/>
          <w:pgMar w:top="1418" w:right="1418" w:bottom="1418" w:left="1274" w:header="851" w:footer="992" w:gutter="0"/>
          <w:pgNumType w:fmt="decimal"/>
          <w:cols w:space="720" w:num="1"/>
          <w:docGrid w:linePitch="312" w:charSpace="0"/>
        </w:sect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r>
        <w:rPr>
          <w:color w:val="auto"/>
          <w:szCs w:val="21"/>
          <w:highlight w:val="none"/>
        </w:rPr>
        <w:t xml:space="preserve">                                          年    月   </w:t>
      </w:r>
    </w:p>
    <w:p w14:paraId="0C82FC83">
      <w:pPr>
        <w:snapToGrid w:val="0"/>
        <w:spacing w:before="50" w:after="120" w:afterLines="50"/>
        <w:jc w:val="left"/>
        <w:rPr>
          <w:color w:val="auto"/>
          <w:szCs w:val="21"/>
          <w:highlight w:val="none"/>
        </w:rPr>
      </w:pPr>
      <w:bookmarkStart w:id="125" w:name="_Hlk19110561"/>
      <w:bookmarkStart w:id="126" w:name="_Hlk93046716"/>
      <w:r>
        <w:rPr>
          <w:rFonts w:hint="eastAsia"/>
          <w:color w:val="auto"/>
          <w:szCs w:val="21"/>
          <w:highlight w:val="none"/>
          <w:lang w:val="en-US" w:eastAsia="zh-CN"/>
        </w:rPr>
        <w:t>15.</w:t>
      </w:r>
      <w:r>
        <w:rPr>
          <w:rFonts w:hint="eastAsia"/>
          <w:color w:val="auto"/>
          <w:highlight w:val="none"/>
        </w:rPr>
        <w:t xml:space="preserve"> </w:t>
      </w:r>
      <w:r>
        <w:rPr>
          <w:rFonts w:hint="eastAsia"/>
          <w:color w:val="auto"/>
          <w:szCs w:val="21"/>
          <w:highlight w:val="none"/>
        </w:rPr>
        <w:t>无串标行为承诺函</w:t>
      </w:r>
    </w:p>
    <w:p w14:paraId="7A188959">
      <w:pPr>
        <w:snapToGrid w:val="0"/>
        <w:spacing w:before="50" w:after="120" w:afterLines="50"/>
        <w:jc w:val="center"/>
        <w:rPr>
          <w:color w:val="auto"/>
          <w:szCs w:val="21"/>
          <w:highlight w:val="none"/>
        </w:rPr>
      </w:pPr>
    </w:p>
    <w:p w14:paraId="3F2FE7AC">
      <w:pPr>
        <w:snapToGrid w:val="0"/>
        <w:spacing w:before="50" w:after="120" w:afterLines="50"/>
        <w:jc w:val="center"/>
        <w:rPr>
          <w:color w:val="auto"/>
          <w:szCs w:val="21"/>
          <w:highlight w:val="none"/>
        </w:rPr>
      </w:pPr>
      <w:r>
        <w:rPr>
          <w:rFonts w:hint="eastAsia"/>
          <w:color w:val="auto"/>
          <w:szCs w:val="21"/>
          <w:highlight w:val="none"/>
        </w:rPr>
        <w:t>供应商参加本项目无围标串标行为的承诺函</w:t>
      </w:r>
    </w:p>
    <w:p w14:paraId="3C64B870">
      <w:pPr>
        <w:snapToGrid w:val="0"/>
        <w:spacing w:before="50" w:after="120" w:afterLines="50"/>
        <w:jc w:val="left"/>
        <w:rPr>
          <w:color w:val="auto"/>
          <w:szCs w:val="21"/>
          <w:highlight w:val="none"/>
        </w:rPr>
      </w:pPr>
    </w:p>
    <w:p w14:paraId="3E8C5F9B">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054CABA1">
      <w:pPr>
        <w:snapToGrid w:val="0"/>
        <w:spacing w:before="50" w:after="120" w:afterLines="50"/>
        <w:jc w:val="left"/>
        <w:rPr>
          <w:color w:val="auto"/>
          <w:szCs w:val="21"/>
          <w:highlight w:val="none"/>
        </w:rPr>
      </w:pPr>
      <w:r>
        <w:rPr>
          <w:rFonts w:hint="eastAsia"/>
          <w:color w:val="auto"/>
          <w:szCs w:val="21"/>
          <w:highlight w:val="none"/>
        </w:rPr>
        <w:t>1.不同供应商的响应文件由同一单位或者个人编制；或者不同供应商报名的IP地址一致的；</w:t>
      </w:r>
    </w:p>
    <w:p w14:paraId="398830B8">
      <w:pPr>
        <w:snapToGrid w:val="0"/>
        <w:spacing w:before="50" w:after="120" w:afterLines="50"/>
        <w:jc w:val="left"/>
        <w:rPr>
          <w:color w:val="auto"/>
          <w:szCs w:val="21"/>
          <w:highlight w:val="none"/>
        </w:rPr>
      </w:pPr>
      <w:r>
        <w:rPr>
          <w:rFonts w:hint="eastAsia"/>
          <w:color w:val="auto"/>
          <w:szCs w:val="21"/>
          <w:highlight w:val="none"/>
        </w:rPr>
        <w:t>2.不同供应商委托同一单位或者个人办理投标事宜；</w:t>
      </w:r>
    </w:p>
    <w:p w14:paraId="713F8890">
      <w:pPr>
        <w:snapToGrid w:val="0"/>
        <w:spacing w:before="50" w:after="120" w:afterLines="50"/>
        <w:jc w:val="left"/>
        <w:rPr>
          <w:color w:val="auto"/>
          <w:szCs w:val="21"/>
          <w:highlight w:val="none"/>
        </w:rPr>
      </w:pPr>
      <w:r>
        <w:rPr>
          <w:rFonts w:hint="eastAsia"/>
          <w:color w:val="auto"/>
          <w:szCs w:val="21"/>
          <w:highlight w:val="none"/>
        </w:rPr>
        <w:t>3.不同的供应商的响应文件载明的项目管理员为同一个人；</w:t>
      </w:r>
    </w:p>
    <w:p w14:paraId="1203F1B0">
      <w:pPr>
        <w:snapToGrid w:val="0"/>
        <w:spacing w:before="50" w:after="120" w:afterLines="50"/>
        <w:jc w:val="left"/>
        <w:rPr>
          <w:color w:val="auto"/>
          <w:szCs w:val="21"/>
          <w:highlight w:val="none"/>
        </w:rPr>
      </w:pPr>
      <w:r>
        <w:rPr>
          <w:rFonts w:hint="eastAsia"/>
          <w:color w:val="auto"/>
          <w:szCs w:val="21"/>
          <w:highlight w:val="none"/>
        </w:rPr>
        <w:t>4.不同供应商的响应文件异常一致或者投标报价呈规律性差异；</w:t>
      </w:r>
    </w:p>
    <w:p w14:paraId="573E327D">
      <w:pPr>
        <w:snapToGrid w:val="0"/>
        <w:spacing w:before="50" w:after="120" w:afterLines="50"/>
        <w:jc w:val="left"/>
        <w:rPr>
          <w:color w:val="auto"/>
          <w:szCs w:val="21"/>
          <w:highlight w:val="none"/>
        </w:rPr>
      </w:pPr>
      <w:r>
        <w:rPr>
          <w:rFonts w:hint="eastAsia"/>
          <w:color w:val="auto"/>
          <w:szCs w:val="21"/>
          <w:highlight w:val="none"/>
        </w:rPr>
        <w:t>5.不同供应商的响应文件相互混装；</w:t>
      </w:r>
    </w:p>
    <w:p w14:paraId="365D13FE">
      <w:pPr>
        <w:snapToGrid w:val="0"/>
        <w:spacing w:before="50" w:after="120" w:afterLines="50"/>
        <w:jc w:val="left"/>
        <w:rPr>
          <w:color w:val="auto"/>
          <w:szCs w:val="21"/>
          <w:highlight w:val="none"/>
        </w:rPr>
      </w:pPr>
      <w:r>
        <w:rPr>
          <w:rFonts w:hint="eastAsia"/>
          <w:color w:val="auto"/>
          <w:szCs w:val="21"/>
          <w:highlight w:val="none"/>
        </w:rPr>
        <w:t>6.不同供应商的磋商保证金从同一单位或者个人账户转出。</w:t>
      </w:r>
    </w:p>
    <w:p w14:paraId="41BE173E">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5259631E">
      <w:pPr>
        <w:snapToGrid w:val="0"/>
        <w:spacing w:before="50" w:after="120" w:afterLines="50"/>
        <w:jc w:val="left"/>
        <w:rPr>
          <w:color w:val="auto"/>
          <w:szCs w:val="21"/>
          <w:highlight w:val="none"/>
        </w:rPr>
      </w:pPr>
      <w:r>
        <w:rPr>
          <w:rFonts w:hint="eastAsia"/>
          <w:color w:val="auto"/>
          <w:szCs w:val="21"/>
          <w:highlight w:val="none"/>
        </w:rPr>
        <w:t>1.供应商直接或者间接从采购人或者采购代理机构处获得其他供应商的相关信息并修改其响应文件或者响应文件；</w:t>
      </w:r>
    </w:p>
    <w:p w14:paraId="5E7775D1">
      <w:pPr>
        <w:snapToGrid w:val="0"/>
        <w:spacing w:before="50" w:after="120" w:afterLines="50"/>
        <w:jc w:val="left"/>
        <w:rPr>
          <w:color w:val="auto"/>
          <w:szCs w:val="21"/>
          <w:highlight w:val="none"/>
        </w:rPr>
      </w:pPr>
      <w:r>
        <w:rPr>
          <w:rFonts w:hint="eastAsia"/>
          <w:color w:val="auto"/>
          <w:szCs w:val="21"/>
          <w:highlight w:val="none"/>
        </w:rPr>
        <w:t>2.供应商按照采购人或者采购代理机构的授意撤换、修改响应文件或者响应文件；</w:t>
      </w:r>
    </w:p>
    <w:p w14:paraId="13E5BE3F">
      <w:pPr>
        <w:snapToGrid w:val="0"/>
        <w:spacing w:before="50" w:after="120" w:afterLines="50"/>
        <w:jc w:val="left"/>
        <w:rPr>
          <w:color w:val="auto"/>
          <w:szCs w:val="21"/>
          <w:highlight w:val="none"/>
        </w:rPr>
      </w:pPr>
      <w:r>
        <w:rPr>
          <w:rFonts w:hint="eastAsia"/>
          <w:color w:val="auto"/>
          <w:szCs w:val="21"/>
          <w:highlight w:val="none"/>
        </w:rPr>
        <w:t>3.供应商之间协商报价、技术方案等响应文件或者响应文件的实质性内容；</w:t>
      </w:r>
    </w:p>
    <w:p w14:paraId="3BD74668">
      <w:pPr>
        <w:snapToGrid w:val="0"/>
        <w:spacing w:before="50" w:after="120" w:afterLines="50"/>
        <w:jc w:val="left"/>
        <w:rPr>
          <w:color w:val="auto"/>
          <w:szCs w:val="21"/>
          <w:highlight w:val="none"/>
        </w:rPr>
      </w:pPr>
      <w:r>
        <w:rPr>
          <w:rFonts w:hint="eastAsia"/>
          <w:color w:val="auto"/>
          <w:szCs w:val="21"/>
          <w:highlight w:val="none"/>
        </w:rPr>
        <w:t>4.属于同一集团、协会、商会等组织成员的供应商按照该组织要求协同参加政府采购活动；</w:t>
      </w:r>
    </w:p>
    <w:p w14:paraId="359ECDE9">
      <w:pPr>
        <w:snapToGrid w:val="0"/>
        <w:spacing w:before="50" w:after="120" w:afterLines="50"/>
        <w:jc w:val="left"/>
        <w:rPr>
          <w:color w:val="auto"/>
          <w:szCs w:val="21"/>
          <w:highlight w:val="none"/>
        </w:rPr>
      </w:pPr>
      <w:r>
        <w:rPr>
          <w:rFonts w:hint="eastAsia"/>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2A4D809D">
      <w:pPr>
        <w:snapToGrid w:val="0"/>
        <w:spacing w:before="50" w:after="120" w:afterLines="50"/>
        <w:jc w:val="left"/>
        <w:rPr>
          <w:color w:val="auto"/>
          <w:szCs w:val="21"/>
          <w:highlight w:val="none"/>
        </w:rPr>
      </w:pPr>
      <w:r>
        <w:rPr>
          <w:rFonts w:hint="eastAsia"/>
          <w:color w:val="auto"/>
          <w:szCs w:val="21"/>
          <w:highlight w:val="none"/>
        </w:rPr>
        <w:t>6.供应商之间商定部分供应商放弃参加政府采购活动或者放弃中标；</w:t>
      </w:r>
    </w:p>
    <w:p w14:paraId="01DD7B6D">
      <w:pPr>
        <w:snapToGrid w:val="0"/>
        <w:spacing w:before="50" w:after="120" w:afterLines="50"/>
        <w:jc w:val="left"/>
        <w:rPr>
          <w:color w:val="auto"/>
          <w:szCs w:val="21"/>
          <w:highlight w:val="none"/>
        </w:rPr>
      </w:pPr>
      <w:r>
        <w:rPr>
          <w:rFonts w:hint="eastAsia"/>
          <w:color w:val="auto"/>
          <w:szCs w:val="21"/>
          <w:highlight w:val="none"/>
        </w:rPr>
        <w:t>7.供应商与采购人或者采购代理机构之间、供应商相互之间，为谋求特定供应商中标或者排斥其他供应商的其他串通行为。</w:t>
      </w:r>
    </w:p>
    <w:p w14:paraId="1E7BFF26">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640A43BD">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72B9E09E">
      <w:pPr>
        <w:snapToGrid w:val="0"/>
        <w:spacing w:before="50" w:after="120" w:afterLines="50"/>
        <w:jc w:val="center"/>
        <w:rPr>
          <w:color w:val="auto"/>
          <w:szCs w:val="21"/>
          <w:highlight w:val="none"/>
        </w:rPr>
      </w:pPr>
    </w:p>
    <w:p w14:paraId="172FC38B">
      <w:pPr>
        <w:snapToGrid w:val="0"/>
        <w:spacing w:before="50" w:after="120" w:afterLines="50"/>
        <w:jc w:val="center"/>
        <w:rPr>
          <w:color w:val="auto"/>
          <w:szCs w:val="21"/>
          <w:highlight w:val="none"/>
        </w:rPr>
      </w:pPr>
    </w:p>
    <w:p w14:paraId="1C02C72D">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6E347647">
      <w:pPr>
        <w:snapToGrid w:val="0"/>
        <w:spacing w:before="50" w:after="120" w:afterLines="50"/>
        <w:jc w:val="center"/>
        <w:rPr>
          <w:color w:val="auto"/>
          <w:szCs w:val="21"/>
          <w:highlight w:val="none"/>
        </w:rPr>
      </w:pPr>
      <w:r>
        <w:rPr>
          <w:rFonts w:hint="eastAsia"/>
          <w:color w:val="auto"/>
          <w:szCs w:val="21"/>
          <w:highlight w:val="none"/>
        </w:rPr>
        <w:t>日期：  年  月   日</w:t>
      </w:r>
    </w:p>
    <w:p w14:paraId="4A9100CB">
      <w:pPr>
        <w:snapToGrid w:val="0"/>
        <w:spacing w:before="120" w:beforeLines="50" w:after="50" w:afterLines="0" w:line="440" w:lineRule="exact"/>
        <w:jc w:val="left"/>
        <w:outlineLvl w:val="1"/>
        <w:rPr>
          <w:rFonts w:hint="default" w:ascii="Times New Roman" w:hAnsi="Times New Roman" w:eastAsia="宋体" w:cs="Times New Roman"/>
          <w:color w:val="auto"/>
          <w:sz w:val="24"/>
          <w:szCs w:val="24"/>
          <w:highlight w:val="none"/>
        </w:rPr>
      </w:pPr>
      <w:r>
        <w:rPr>
          <w:color w:val="auto"/>
          <w:szCs w:val="21"/>
          <w:highlight w:val="none"/>
        </w:rPr>
        <w:br w:type="page"/>
      </w:r>
      <w:bookmarkEnd w:id="125"/>
      <w:bookmarkEnd w:id="126"/>
      <w:r>
        <w:rPr>
          <w:rFonts w:hint="default"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val="en-US" w:eastAsia="zh-CN"/>
        </w:rPr>
        <w:t>.响应</w:t>
      </w:r>
      <w:r>
        <w:rPr>
          <w:rFonts w:hint="eastAsia" w:ascii="Times New Roman" w:hAnsi="Times New Roman" w:eastAsia="宋体" w:cs="Times New Roman"/>
          <w:color w:val="auto"/>
          <w:sz w:val="24"/>
          <w:szCs w:val="24"/>
          <w:highlight w:val="none"/>
        </w:rPr>
        <w:t xml:space="preserve">文件封面参考格式（报价文件）： </w:t>
      </w:r>
    </w:p>
    <w:p w14:paraId="7831C0E5">
      <w:pPr>
        <w:snapToGrid w:val="0"/>
        <w:spacing w:before="50" w:beforeLines="0" w:after="120" w:afterLines="50" w:line="400" w:lineRule="exact"/>
        <w:jc w:val="left"/>
        <w:rPr>
          <w:rFonts w:hint="default" w:ascii="Times New Roman" w:hAnsi="Times New Roman" w:eastAsia="宋体" w:cs="Times New Roman"/>
          <w:color w:val="auto"/>
          <w:sz w:val="24"/>
          <w:szCs w:val="24"/>
          <w:highlight w:val="none"/>
        </w:rPr>
      </w:pPr>
    </w:p>
    <w:p w14:paraId="7F3C00D8">
      <w:pPr>
        <w:snapToGrid w:val="0"/>
        <w:spacing w:before="120" w:beforeLines="50" w:after="50" w:afterLines="0" w:line="360" w:lineRule="exact"/>
        <w:rPr>
          <w:rFonts w:hint="default" w:ascii="Times New Roman" w:hAnsi="Times New Roman" w:eastAsia="宋体" w:cs="Times New Roman"/>
          <w:color w:val="auto"/>
          <w:sz w:val="24"/>
          <w:szCs w:val="24"/>
          <w:highlight w:val="none"/>
        </w:rPr>
      </w:pPr>
    </w:p>
    <w:p w14:paraId="2ABD3BA6">
      <w:pPr>
        <w:snapToGrid w:val="0"/>
        <w:spacing w:before="120" w:beforeLines="50" w:after="50" w:afterLines="0" w:line="360" w:lineRule="exact"/>
        <w:jc w:val="center"/>
        <w:rPr>
          <w:rFonts w:hint="default" w:ascii="Times New Roman" w:hAnsi="Times New Roman" w:eastAsia="宋体" w:cs="Times New Roman"/>
          <w:color w:val="auto"/>
          <w:sz w:val="24"/>
          <w:szCs w:val="24"/>
          <w:highlight w:val="none"/>
        </w:rPr>
      </w:pPr>
    </w:p>
    <w:p w14:paraId="2B1363F4">
      <w:pPr>
        <w:snapToGrid w:val="0"/>
        <w:spacing w:before="120" w:beforeLines="50" w:after="50" w:afterLines="0" w:line="360" w:lineRule="exact"/>
        <w:jc w:val="center"/>
        <w:rPr>
          <w:rFonts w:hint="default" w:ascii="Times New Roman" w:hAnsi="Times New Roman" w:eastAsia="宋体" w:cs="Times New Roman"/>
          <w:b/>
          <w:color w:val="auto"/>
          <w:sz w:val="44"/>
          <w:szCs w:val="44"/>
          <w:highlight w:val="none"/>
        </w:rPr>
      </w:pPr>
      <w:r>
        <w:rPr>
          <w:rFonts w:hint="eastAsia" w:ascii="Times New Roman" w:hAnsi="Times New Roman" w:eastAsia="宋体" w:cs="Times New Roman"/>
          <w:b/>
          <w:color w:val="auto"/>
          <w:sz w:val="44"/>
          <w:szCs w:val="44"/>
          <w:highlight w:val="none"/>
        </w:rPr>
        <w:t>电子</w:t>
      </w:r>
      <w:r>
        <w:rPr>
          <w:rFonts w:hint="eastAsia" w:ascii="Times New Roman" w:hAnsi="Times New Roman" w:eastAsia="宋体" w:cs="Times New Roman"/>
          <w:b/>
          <w:color w:val="auto"/>
          <w:sz w:val="44"/>
          <w:szCs w:val="44"/>
          <w:highlight w:val="none"/>
          <w:lang w:val="en-US" w:eastAsia="zh-CN"/>
        </w:rPr>
        <w:t>响应</w:t>
      </w:r>
      <w:r>
        <w:rPr>
          <w:rFonts w:hint="eastAsia" w:ascii="Times New Roman" w:hAnsi="Times New Roman" w:eastAsia="宋体" w:cs="Times New Roman"/>
          <w:b/>
          <w:color w:val="auto"/>
          <w:sz w:val="44"/>
          <w:szCs w:val="44"/>
          <w:highlight w:val="none"/>
        </w:rPr>
        <w:t>文件</w:t>
      </w:r>
    </w:p>
    <w:p w14:paraId="71E56E1C">
      <w:pPr>
        <w:snapToGrid w:val="0"/>
        <w:spacing w:before="120" w:beforeLines="50" w:after="50" w:afterLines="0" w:line="360" w:lineRule="exact"/>
        <w:jc w:val="center"/>
        <w:rPr>
          <w:rFonts w:hint="default" w:ascii="Times New Roman" w:hAnsi="Times New Roman" w:eastAsia="宋体" w:cs="Times New Roman"/>
          <w:b/>
          <w:color w:val="auto"/>
          <w:sz w:val="44"/>
          <w:szCs w:val="44"/>
          <w:highlight w:val="none"/>
        </w:rPr>
      </w:pPr>
    </w:p>
    <w:p w14:paraId="587D1E08">
      <w:pPr>
        <w:snapToGrid w:val="0"/>
        <w:spacing w:before="120" w:beforeLines="50" w:after="50" w:afterLines="0" w:line="360" w:lineRule="exact"/>
        <w:jc w:val="center"/>
        <w:rPr>
          <w:rFonts w:hint="default" w:ascii="Times New Roman" w:hAnsi="Times New Roman" w:eastAsia="宋体" w:cs="Times New Roman"/>
          <w:b/>
          <w:color w:val="auto"/>
          <w:sz w:val="44"/>
          <w:szCs w:val="44"/>
          <w:highlight w:val="none"/>
        </w:rPr>
      </w:pPr>
    </w:p>
    <w:p w14:paraId="6EEE1A12">
      <w:pPr>
        <w:snapToGrid w:val="0"/>
        <w:spacing w:before="120" w:beforeLines="50" w:after="50" w:afterLines="0" w:line="360" w:lineRule="exact"/>
        <w:jc w:val="center"/>
        <w:rPr>
          <w:rFonts w:hint="default" w:ascii="Times New Roman" w:hAnsi="Times New Roman" w:eastAsia="宋体" w:cs="Times New Roman"/>
          <w:b/>
          <w:color w:val="auto"/>
          <w:sz w:val="44"/>
          <w:szCs w:val="44"/>
          <w:highlight w:val="none"/>
        </w:rPr>
      </w:pPr>
      <w:r>
        <w:rPr>
          <w:rFonts w:hint="eastAsia" w:ascii="Times New Roman" w:hAnsi="Times New Roman" w:eastAsia="宋体" w:cs="Times New Roman"/>
          <w:b/>
          <w:color w:val="auto"/>
          <w:sz w:val="44"/>
          <w:szCs w:val="44"/>
          <w:highlight w:val="none"/>
        </w:rPr>
        <w:t>报价文件</w:t>
      </w:r>
    </w:p>
    <w:p w14:paraId="7E7A03EB">
      <w:pPr>
        <w:snapToGrid w:val="0"/>
        <w:spacing w:before="120" w:beforeLines="50" w:after="50" w:afterLines="0" w:line="360" w:lineRule="exact"/>
        <w:rPr>
          <w:rFonts w:hint="default" w:ascii="Times New Roman" w:hAnsi="Times New Roman" w:eastAsia="宋体" w:cs="Times New Roman"/>
          <w:color w:val="auto"/>
          <w:sz w:val="24"/>
          <w:szCs w:val="24"/>
          <w:highlight w:val="none"/>
        </w:rPr>
      </w:pPr>
    </w:p>
    <w:p w14:paraId="71A99AD1">
      <w:pPr>
        <w:snapToGrid w:val="0"/>
        <w:spacing w:before="120" w:beforeLines="50" w:after="50" w:afterLines="0" w:line="360" w:lineRule="exact"/>
        <w:rPr>
          <w:rFonts w:hint="default" w:ascii="Times New Roman" w:hAnsi="Times New Roman" w:eastAsia="宋体" w:cs="Times New Roman"/>
          <w:color w:val="auto"/>
          <w:sz w:val="24"/>
          <w:szCs w:val="24"/>
          <w:highlight w:val="none"/>
        </w:rPr>
      </w:pPr>
    </w:p>
    <w:p w14:paraId="21029E7A">
      <w:pPr>
        <w:snapToGrid w:val="0"/>
        <w:spacing w:before="120" w:beforeLines="50" w:after="50" w:afterLines="0" w:line="360" w:lineRule="exact"/>
        <w:rPr>
          <w:rFonts w:hint="default" w:ascii="Times New Roman" w:hAnsi="Times New Roman" w:eastAsia="宋体" w:cs="Times New Roman"/>
          <w:color w:val="auto"/>
          <w:sz w:val="24"/>
          <w:szCs w:val="24"/>
          <w:highlight w:val="none"/>
        </w:rPr>
      </w:pPr>
    </w:p>
    <w:p w14:paraId="7F7CA5EA">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项目名称： </w:t>
      </w:r>
    </w:p>
    <w:p w14:paraId="1AD8B934">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项目编号：</w:t>
      </w:r>
    </w:p>
    <w:p w14:paraId="3E92F076">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分标号：（若无留空或写</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w:t>
      </w:r>
    </w:p>
    <w:p w14:paraId="2F5E74D5">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供应商名称：</w:t>
      </w:r>
    </w:p>
    <w:p w14:paraId="15DC8E5A">
      <w:pPr>
        <w:snapToGrid w:val="0"/>
        <w:spacing w:before="120" w:beforeLines="50" w:after="50" w:afterLines="0" w:line="360" w:lineRule="exact"/>
        <w:ind w:firstLine="720" w:firstLineChars="3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供应商地址：</w:t>
      </w:r>
    </w:p>
    <w:p w14:paraId="4ABAFE95">
      <w:pPr>
        <w:snapToGrid w:val="0"/>
        <w:spacing w:before="120" w:beforeLines="50" w:after="50" w:afterLines="0" w:line="360" w:lineRule="exact"/>
        <w:ind w:firstLine="720" w:firstLineChars="300"/>
        <w:rPr>
          <w:rFonts w:hint="eastAsia" w:ascii="Times New Roman" w:hAnsi="Times New Roman" w:eastAsia="宋体" w:cs="Times New Roman"/>
          <w:color w:val="auto"/>
          <w:sz w:val="24"/>
          <w:szCs w:val="24"/>
          <w:highlight w:val="none"/>
        </w:rPr>
      </w:pPr>
    </w:p>
    <w:p w14:paraId="46DB3705">
      <w:pPr>
        <w:snapToGrid w:val="0"/>
        <w:spacing w:before="120" w:beforeLines="50" w:after="50" w:afterLines="0" w:line="360" w:lineRule="exact"/>
        <w:ind w:firstLine="3600" w:firstLineChars="15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年  月  日</w:t>
      </w:r>
    </w:p>
    <w:p w14:paraId="015DF2AD">
      <w:pPr>
        <w:snapToGrid w:val="0"/>
        <w:spacing w:before="120" w:beforeLines="50" w:after="50" w:afterLines="0" w:line="360" w:lineRule="exact"/>
        <w:ind w:firstLine="720" w:firstLineChars="300"/>
        <w:rPr>
          <w:rFonts w:hint="eastAsia" w:ascii="Times New Roman" w:hAnsi="Times New Roman" w:eastAsia="宋体" w:cs="Times New Roman"/>
          <w:color w:val="auto"/>
          <w:sz w:val="24"/>
          <w:szCs w:val="24"/>
          <w:highlight w:val="none"/>
        </w:rPr>
        <w:sectPr>
          <w:headerReference r:id="rId25" w:type="default"/>
          <w:footerReference r:id="rId26" w:type="default"/>
          <w:pgSz w:w="11906" w:h="16838"/>
          <w:pgMar w:top="1418" w:right="1274" w:bottom="1418" w:left="1418" w:header="851" w:footer="992" w:gutter="0"/>
          <w:pgNumType w:fmt="decimal"/>
          <w:cols w:space="720" w:num="1"/>
          <w:docGrid w:linePitch="312" w:charSpace="0"/>
        </w:sectPr>
      </w:pPr>
    </w:p>
    <w:p w14:paraId="0122F6B7">
      <w:pPr>
        <w:snapToGrid w:val="0"/>
        <w:spacing w:before="120" w:beforeLines="50" w:after="50" w:line="440" w:lineRule="exact"/>
        <w:jc w:val="center"/>
        <w:outlineLvl w:val="9"/>
        <w:rPr>
          <w:bCs/>
          <w:color w:val="auto"/>
          <w:sz w:val="24"/>
          <w:highlight w:val="none"/>
        </w:rPr>
      </w:pPr>
      <w:r>
        <w:rPr>
          <w:bCs/>
          <w:color w:val="auto"/>
          <w:sz w:val="24"/>
          <w:highlight w:val="none"/>
        </w:rPr>
        <w:t>第</w:t>
      </w:r>
      <w:r>
        <w:rPr>
          <w:rFonts w:hint="eastAsia"/>
          <w:bCs/>
          <w:color w:val="auto"/>
          <w:sz w:val="24"/>
          <w:highlight w:val="none"/>
        </w:rPr>
        <w:t>三</w:t>
      </w:r>
      <w:r>
        <w:rPr>
          <w:bCs/>
          <w:color w:val="auto"/>
          <w:sz w:val="24"/>
          <w:highlight w:val="none"/>
        </w:rPr>
        <w:t>部分 报价文件</w:t>
      </w:r>
    </w:p>
    <w:p w14:paraId="6D2E23F5">
      <w:pPr>
        <w:jc w:val="center"/>
        <w:rPr>
          <w:b/>
          <w:bCs/>
          <w:color w:val="auto"/>
          <w:szCs w:val="21"/>
          <w:highlight w:val="none"/>
        </w:rPr>
      </w:pPr>
    </w:p>
    <w:p w14:paraId="1B85DA53">
      <w:pPr>
        <w:rPr>
          <w:rFonts w:hint="eastAsia"/>
          <w:b/>
          <w:color w:val="auto"/>
          <w:szCs w:val="21"/>
          <w:highlight w:val="none"/>
        </w:rPr>
      </w:pPr>
      <w:r>
        <w:rPr>
          <w:b/>
          <w:color w:val="auto"/>
          <w:szCs w:val="21"/>
          <w:highlight w:val="none"/>
        </w:rPr>
        <w:t>1．响应函格式：</w:t>
      </w:r>
    </w:p>
    <w:p w14:paraId="245C157E">
      <w:pPr>
        <w:rPr>
          <w:b/>
          <w:color w:val="auto"/>
          <w:szCs w:val="21"/>
          <w:highlight w:val="none"/>
        </w:rPr>
      </w:pPr>
    </w:p>
    <w:p w14:paraId="7B3ACD4C">
      <w:pPr>
        <w:jc w:val="center"/>
        <w:rPr>
          <w:b/>
          <w:color w:val="auto"/>
          <w:szCs w:val="21"/>
          <w:highlight w:val="none"/>
        </w:rPr>
      </w:pPr>
      <w:r>
        <w:rPr>
          <w:b/>
          <w:color w:val="auto"/>
          <w:szCs w:val="21"/>
          <w:highlight w:val="none"/>
        </w:rPr>
        <w:t>响 应 函</w:t>
      </w:r>
    </w:p>
    <w:p w14:paraId="27A96BCD">
      <w:pPr>
        <w:rPr>
          <w:b/>
          <w:color w:val="auto"/>
          <w:szCs w:val="21"/>
          <w:highlight w:val="none"/>
        </w:rPr>
      </w:pPr>
    </w:p>
    <w:p w14:paraId="738888ED">
      <w:pPr>
        <w:spacing w:line="360" w:lineRule="auto"/>
        <w:rPr>
          <w:color w:val="auto"/>
          <w:szCs w:val="21"/>
          <w:highlight w:val="none"/>
        </w:rPr>
      </w:pPr>
      <w:bookmarkStart w:id="127" w:name="_Hlk19110643"/>
      <w:r>
        <w:rPr>
          <w:color w:val="auto"/>
          <w:szCs w:val="21"/>
          <w:highlight w:val="none"/>
        </w:rPr>
        <w:t>致：_</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i/>
          <w:iCs/>
          <w:color w:val="auto"/>
          <w:szCs w:val="21"/>
          <w:highlight w:val="none"/>
        </w:rPr>
        <w:t>_</w:t>
      </w:r>
    </w:p>
    <w:p w14:paraId="6FF0A0D1">
      <w:pPr>
        <w:spacing w:line="360" w:lineRule="auto"/>
        <w:ind w:firstLine="420" w:firstLineChars="200"/>
        <w:rPr>
          <w:color w:val="auto"/>
          <w:szCs w:val="21"/>
          <w:highlight w:val="none"/>
        </w:rPr>
      </w:pPr>
      <w:r>
        <w:rPr>
          <w:color w:val="auto"/>
          <w:szCs w:val="21"/>
          <w:highlight w:val="none"/>
        </w:rPr>
        <w:t>我方已仔细研究了</w:t>
      </w:r>
      <w:r>
        <w:rPr>
          <w:rFonts w:hint="eastAsia"/>
          <w:i/>
          <w:iCs/>
          <w:color w:val="auto"/>
          <w:szCs w:val="21"/>
          <w:highlight w:val="none"/>
          <w:u w:val="single"/>
        </w:rPr>
        <w:t>（项目名称）</w:t>
      </w:r>
      <w:r>
        <w:rPr>
          <w:color w:val="auto"/>
          <w:szCs w:val="21"/>
          <w:highlight w:val="none"/>
        </w:rPr>
        <w:t>的</w:t>
      </w:r>
      <w:r>
        <w:rPr>
          <w:rFonts w:hint="eastAsia"/>
          <w:color w:val="auto"/>
          <w:szCs w:val="21"/>
          <w:highlight w:val="none"/>
        </w:rPr>
        <w:t>采购文件</w:t>
      </w:r>
      <w:r>
        <w:rPr>
          <w:color w:val="auto"/>
          <w:szCs w:val="21"/>
          <w:highlight w:val="none"/>
        </w:rPr>
        <w:t>的全部内容</w:t>
      </w:r>
      <w:r>
        <w:rPr>
          <w:rFonts w:hint="eastAsia"/>
          <w:color w:val="auto"/>
          <w:szCs w:val="21"/>
          <w:highlight w:val="none"/>
        </w:rPr>
        <w:t>，</w:t>
      </w:r>
      <w:r>
        <w:rPr>
          <w:color w:val="auto"/>
          <w:szCs w:val="21"/>
          <w:highlight w:val="none"/>
        </w:rPr>
        <w:t>签字代表</w:t>
      </w:r>
      <w:r>
        <w:rPr>
          <w:rFonts w:hint="eastAsia"/>
          <w:i/>
          <w:iCs/>
          <w:color w:val="auto"/>
          <w:szCs w:val="21"/>
          <w:highlight w:val="none"/>
          <w:u w:val="single"/>
        </w:rPr>
        <w:t>（授权代表姓名）</w:t>
      </w:r>
      <w:r>
        <w:rPr>
          <w:color w:val="auto"/>
          <w:szCs w:val="21"/>
          <w:highlight w:val="none"/>
        </w:rPr>
        <w:t>经正式授权并代表供应商</w:t>
      </w:r>
      <w:r>
        <w:rPr>
          <w:color w:val="auto"/>
          <w:szCs w:val="21"/>
          <w:highlight w:val="none"/>
          <w:u w:val="single"/>
        </w:rPr>
        <w:t xml:space="preserve"> </w:t>
      </w:r>
      <w:r>
        <w:rPr>
          <w:i/>
          <w:iCs/>
          <w:color w:val="auto"/>
          <w:szCs w:val="21"/>
          <w:highlight w:val="none"/>
          <w:u w:val="single"/>
        </w:rPr>
        <w:t>（供应商名称）</w:t>
      </w:r>
      <w:r>
        <w:rPr>
          <w:rFonts w:hint="eastAsia"/>
          <w:i/>
          <w:iCs/>
          <w:color w:val="auto"/>
          <w:szCs w:val="21"/>
          <w:highlight w:val="none"/>
          <w:u w:val="single"/>
        </w:rPr>
        <w:t xml:space="preserve"> </w:t>
      </w:r>
      <w:r>
        <w:rPr>
          <w:color w:val="auto"/>
          <w:szCs w:val="21"/>
          <w:highlight w:val="none"/>
        </w:rPr>
        <w:t>提交响应文件。</w:t>
      </w:r>
    </w:p>
    <w:bookmarkEnd w:id="127"/>
    <w:p w14:paraId="28B4D779">
      <w:pPr>
        <w:spacing w:line="360" w:lineRule="auto"/>
        <w:ind w:firstLine="420" w:firstLineChars="200"/>
        <w:rPr>
          <w:color w:val="auto"/>
          <w:szCs w:val="21"/>
          <w:highlight w:val="none"/>
        </w:rPr>
      </w:pPr>
      <w:r>
        <w:rPr>
          <w:color w:val="auto"/>
          <w:szCs w:val="21"/>
          <w:highlight w:val="none"/>
        </w:rPr>
        <w:t>据此函，签字代表宣布同意如下：</w:t>
      </w:r>
    </w:p>
    <w:p w14:paraId="0C9FFAAC">
      <w:pPr>
        <w:spacing w:line="360" w:lineRule="auto"/>
        <w:rPr>
          <w:color w:val="auto"/>
          <w:szCs w:val="21"/>
          <w:highlight w:val="none"/>
        </w:rPr>
      </w:pPr>
      <w:r>
        <w:rPr>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14:paraId="0E77AC8E">
      <w:pPr>
        <w:spacing w:line="360" w:lineRule="auto"/>
        <w:rPr>
          <w:color w:val="auto"/>
          <w:szCs w:val="21"/>
          <w:highlight w:val="none"/>
        </w:rPr>
      </w:pPr>
      <w:r>
        <w:rPr>
          <w:color w:val="auto"/>
          <w:szCs w:val="21"/>
          <w:highlight w:val="none"/>
        </w:rPr>
        <w:t>（2）供应商在响应之前已经与贵方进行了充分的沟通，完全理解并接受采购文件的各项规定和要求，对采购文件的合理性、合法性不再有异议。</w:t>
      </w:r>
    </w:p>
    <w:p w14:paraId="38C16516">
      <w:pPr>
        <w:spacing w:line="360" w:lineRule="auto"/>
        <w:rPr>
          <w:color w:val="auto"/>
          <w:szCs w:val="21"/>
          <w:highlight w:val="none"/>
        </w:rPr>
      </w:pPr>
      <w:r>
        <w:rPr>
          <w:rFonts w:hint="eastAsia"/>
          <w:color w:val="auto"/>
          <w:szCs w:val="21"/>
          <w:highlight w:val="none"/>
        </w:rPr>
        <w:t>（3）我方承诺本响应有效期为第三章供应商须知规定的期限。</w:t>
      </w:r>
    </w:p>
    <w:p w14:paraId="11F94176">
      <w:pPr>
        <w:spacing w:line="360" w:lineRule="auto"/>
        <w:rPr>
          <w:color w:val="auto"/>
          <w:szCs w:val="21"/>
          <w:highlight w:val="none"/>
        </w:rPr>
      </w:pPr>
      <w:r>
        <w:rPr>
          <w:color w:val="auto"/>
          <w:szCs w:val="21"/>
          <w:highlight w:val="none"/>
        </w:rPr>
        <w:t>（4）如成交，本响应文件至本项目合同履行完毕止均保持有效，本供应商将按“采购文件”及政府采购法律、法规的规定履行合同责任和义务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0248F7A7">
      <w:pPr>
        <w:spacing w:line="360" w:lineRule="auto"/>
        <w:rPr>
          <w:color w:val="auto"/>
          <w:szCs w:val="21"/>
          <w:highlight w:val="none"/>
        </w:rPr>
      </w:pPr>
      <w:r>
        <w:rPr>
          <w:color w:val="auto"/>
          <w:szCs w:val="21"/>
          <w:highlight w:val="none"/>
        </w:rPr>
        <w:t>（5）供应商同意按照贵方要求提供与响应有关的一切数据或资料。</w:t>
      </w:r>
    </w:p>
    <w:p w14:paraId="5226F80E">
      <w:pPr>
        <w:spacing w:line="360" w:lineRule="auto"/>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）与本项目有关的一切正式往来信函请寄：</w:t>
      </w:r>
    </w:p>
    <w:p w14:paraId="2EAE7166">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3F6DCB21">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052751A4">
      <w:pPr>
        <w:spacing w:line="360" w:lineRule="auto"/>
        <w:rPr>
          <w:color w:val="auto"/>
          <w:szCs w:val="21"/>
          <w:highlight w:val="non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p>
    <w:p w14:paraId="2A8654A8">
      <w:pPr>
        <w:spacing w:line="360" w:lineRule="auto"/>
        <w:rPr>
          <w:rFonts w:hint="eastAsia"/>
          <w:color w:val="auto"/>
          <w:szCs w:val="21"/>
          <w:highlight w:val="none"/>
        </w:rPr>
      </w:pPr>
    </w:p>
    <w:p w14:paraId="06A3BE02">
      <w:pPr>
        <w:spacing w:line="360" w:lineRule="auto"/>
        <w:rPr>
          <w:rFonts w:hint="eastAsia"/>
          <w:color w:val="auto"/>
          <w:szCs w:val="21"/>
          <w:highlight w:val="none"/>
        </w:rPr>
      </w:pPr>
    </w:p>
    <w:p w14:paraId="1638CD8C">
      <w:pPr>
        <w:spacing w:line="360" w:lineRule="auto"/>
        <w:rPr>
          <w:rFonts w:hint="eastAsia"/>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44CF9F8C">
      <w:pPr>
        <w:spacing w:line="360" w:lineRule="auto"/>
        <w:rPr>
          <w:color w:val="auto"/>
          <w:szCs w:val="21"/>
          <w:highlight w:val="none"/>
        </w:rPr>
      </w:pPr>
    </w:p>
    <w:p w14:paraId="6AE8FAEC">
      <w:pPr>
        <w:spacing w:line="360" w:lineRule="auto"/>
        <w:rPr>
          <w:rFonts w:hint="eastAsia"/>
          <w:color w:val="auto"/>
          <w:szCs w:val="21"/>
          <w:highlight w:val="none"/>
        </w:rPr>
      </w:pPr>
    </w:p>
    <w:p w14:paraId="048AA8F3">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744E1687">
      <w:pPr>
        <w:rPr>
          <w:b/>
          <w:color w:val="auto"/>
          <w:szCs w:val="21"/>
          <w:highlight w:val="none"/>
        </w:rPr>
      </w:pPr>
      <w:r>
        <w:rPr>
          <w:b/>
          <w:color w:val="auto"/>
          <w:szCs w:val="21"/>
          <w:highlight w:val="none"/>
        </w:rPr>
        <w:br w:type="page"/>
      </w:r>
      <w:r>
        <w:rPr>
          <w:b/>
          <w:color w:val="auto"/>
          <w:szCs w:val="21"/>
          <w:highlight w:val="none"/>
        </w:rPr>
        <w:t>2．响应报价明细表格式：</w:t>
      </w:r>
    </w:p>
    <w:p w14:paraId="2C2FD706">
      <w:pPr>
        <w:jc w:val="center"/>
        <w:rPr>
          <w:b/>
          <w:color w:val="auto"/>
          <w:szCs w:val="21"/>
          <w:highlight w:val="none"/>
        </w:rPr>
      </w:pPr>
      <w:r>
        <w:rPr>
          <w:b/>
          <w:color w:val="auto"/>
          <w:szCs w:val="21"/>
          <w:highlight w:val="none"/>
        </w:rPr>
        <w:t>响应报价明细表</w:t>
      </w:r>
    </w:p>
    <w:p w14:paraId="756BCFE1">
      <w:pPr>
        <w:ind w:firstLine="2415" w:firstLineChars="1150"/>
        <w:rPr>
          <w:color w:val="auto"/>
          <w:szCs w:val="21"/>
          <w:highlight w:val="none"/>
        </w:rPr>
      </w:pPr>
      <w:r>
        <w:rPr>
          <w:color w:val="auto"/>
          <w:szCs w:val="21"/>
          <w:highlight w:val="none"/>
        </w:rPr>
        <w:t xml:space="preserve">                            金额单位：人民币（元）</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783"/>
        <w:gridCol w:w="1189"/>
        <w:gridCol w:w="1783"/>
        <w:gridCol w:w="1387"/>
        <w:gridCol w:w="1585"/>
      </w:tblGrid>
      <w:tr w14:paraId="34F81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42F54669">
            <w:pPr>
              <w:jc w:val="center"/>
              <w:rPr>
                <w:color w:val="auto"/>
                <w:spacing w:val="20"/>
                <w:szCs w:val="21"/>
                <w:highlight w:val="none"/>
              </w:rPr>
            </w:pPr>
            <w:r>
              <w:rPr>
                <w:color w:val="auto"/>
                <w:szCs w:val="21"/>
                <w:highlight w:val="none"/>
              </w:rPr>
              <w:t>序号</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714C6F12">
            <w:pPr>
              <w:jc w:val="center"/>
              <w:rPr>
                <w:color w:val="auto"/>
                <w:szCs w:val="21"/>
                <w:highlight w:val="none"/>
              </w:rPr>
            </w:pPr>
            <w:r>
              <w:rPr>
                <w:color w:val="auto"/>
                <w:szCs w:val="21"/>
                <w:highlight w:val="none"/>
              </w:rPr>
              <w:t>服务名称</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3682E81E">
            <w:pPr>
              <w:jc w:val="center"/>
              <w:rPr>
                <w:color w:val="auto"/>
                <w:szCs w:val="21"/>
                <w:highlight w:val="none"/>
              </w:rPr>
            </w:pPr>
            <w:r>
              <w:rPr>
                <w:color w:val="auto"/>
                <w:szCs w:val="21"/>
                <w:highlight w:val="none"/>
              </w:rPr>
              <w:t>服务商</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19B72ED0">
            <w:pPr>
              <w:jc w:val="center"/>
              <w:rPr>
                <w:color w:val="auto"/>
                <w:szCs w:val="21"/>
                <w:highlight w:val="none"/>
              </w:rPr>
            </w:pPr>
            <w:r>
              <w:rPr>
                <w:color w:val="auto"/>
                <w:szCs w:val="21"/>
                <w:highlight w:val="none"/>
              </w:rPr>
              <w:t>单位及数量</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206C6394">
            <w:pPr>
              <w:jc w:val="center"/>
              <w:rPr>
                <w:color w:val="auto"/>
                <w:szCs w:val="21"/>
                <w:highlight w:val="none"/>
              </w:rPr>
            </w:pPr>
            <w:r>
              <w:rPr>
                <w:color w:val="auto"/>
                <w:szCs w:val="21"/>
                <w:highlight w:val="none"/>
              </w:rPr>
              <w:t>单价</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A16B0F3">
            <w:pPr>
              <w:jc w:val="center"/>
              <w:rPr>
                <w:color w:val="auto"/>
                <w:szCs w:val="21"/>
                <w:highlight w:val="none"/>
              </w:rPr>
            </w:pPr>
            <w:r>
              <w:rPr>
                <w:rFonts w:hint="eastAsia"/>
                <w:color w:val="auto"/>
                <w:szCs w:val="21"/>
                <w:highlight w:val="none"/>
              </w:rPr>
              <w:t>合计</w:t>
            </w:r>
          </w:p>
        </w:tc>
      </w:tr>
      <w:tr w14:paraId="7E94C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1A21B6">
            <w:pPr>
              <w:jc w:val="center"/>
              <w:rPr>
                <w:rFonts w:hint="eastAsia" w:ascii="Times New Roman" w:hAnsi="Times New Roman" w:eastAsia="宋体" w:cs="Times New Roman"/>
                <w:color w:val="auto"/>
                <w:spacing w:val="20"/>
                <w:kern w:val="2"/>
                <w:sz w:val="21"/>
                <w:szCs w:val="21"/>
                <w:highlight w:val="none"/>
                <w:lang w:val="en-US" w:eastAsia="zh-CN" w:bidi="ar-SA"/>
              </w:rPr>
            </w:pPr>
            <w:r>
              <w:rPr>
                <w:rFonts w:hint="eastAsia"/>
                <w:color w:val="auto"/>
                <w:spacing w:val="20"/>
                <w:szCs w:val="21"/>
                <w:highlight w:val="none"/>
                <w:lang w:val="en-US" w:eastAsia="zh-CN"/>
              </w:rPr>
              <w:t>1</w:t>
            </w:r>
          </w:p>
        </w:tc>
        <w:tc>
          <w:tcPr>
            <w:tcW w:w="17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0C3405">
            <w:pPr>
              <w:jc w:val="center"/>
              <w:rPr>
                <w:rFonts w:ascii="Times New Roman" w:hAnsi="Times New Roman" w:eastAsia="宋体" w:cs="Times New Roman"/>
                <w:color w:val="auto"/>
                <w:spacing w:val="20"/>
                <w:kern w:val="2"/>
                <w:sz w:val="21"/>
                <w:szCs w:val="21"/>
                <w:highlight w:val="none"/>
                <w:lang w:val="en-US" w:eastAsia="zh-CN" w:bidi="ar-SA"/>
              </w:rPr>
            </w:pPr>
          </w:p>
        </w:tc>
        <w:tc>
          <w:tcPr>
            <w:tcW w:w="11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D9CBFF">
            <w:pPr>
              <w:jc w:val="center"/>
              <w:rPr>
                <w:rFonts w:ascii="Times New Roman" w:hAnsi="Times New Roman" w:eastAsia="宋体" w:cs="Times New Roman"/>
                <w:color w:val="auto"/>
                <w:spacing w:val="20"/>
                <w:kern w:val="2"/>
                <w:sz w:val="21"/>
                <w:szCs w:val="21"/>
                <w:highlight w:val="none"/>
                <w:lang w:val="en-US" w:eastAsia="zh-CN" w:bidi="ar-SA"/>
              </w:rPr>
            </w:pPr>
          </w:p>
        </w:tc>
        <w:tc>
          <w:tcPr>
            <w:tcW w:w="17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DCE693">
            <w:pPr>
              <w:jc w:val="center"/>
              <w:rPr>
                <w:rFonts w:hint="default" w:ascii="Times New Roman" w:hAnsi="Times New Roman" w:eastAsia="宋体" w:cs="Times New Roman"/>
                <w:color w:val="auto"/>
                <w:spacing w:val="20"/>
                <w:kern w:val="2"/>
                <w:sz w:val="21"/>
                <w:szCs w:val="21"/>
                <w:highlight w:val="none"/>
                <w:lang w:val="en-US" w:eastAsia="zh-CN" w:bidi="ar-SA"/>
              </w:rPr>
            </w:pPr>
            <w:r>
              <w:rPr>
                <w:rFonts w:hint="eastAsia"/>
                <w:color w:val="auto"/>
                <w:spacing w:val="20"/>
                <w:szCs w:val="21"/>
                <w:highlight w:val="none"/>
                <w:lang w:val="en-US" w:eastAsia="zh-CN"/>
              </w:rPr>
              <w:t>1项</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1084FAC9">
            <w:pPr>
              <w:jc w:val="center"/>
              <w:rPr>
                <w:color w:val="auto"/>
                <w:spacing w:val="20"/>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43F0242">
            <w:pPr>
              <w:jc w:val="center"/>
              <w:rPr>
                <w:color w:val="auto"/>
                <w:spacing w:val="20"/>
                <w:szCs w:val="21"/>
                <w:highlight w:val="none"/>
              </w:rPr>
            </w:pPr>
          </w:p>
        </w:tc>
      </w:tr>
      <w:tr w14:paraId="36D61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DE05CA">
            <w:pPr>
              <w:jc w:val="center"/>
              <w:rPr>
                <w:rFonts w:hint="eastAsia" w:ascii="Times New Roman" w:hAnsi="Times New Roman" w:eastAsia="宋体" w:cs="Times New Roman"/>
                <w:color w:val="auto"/>
                <w:spacing w:val="20"/>
                <w:kern w:val="2"/>
                <w:sz w:val="21"/>
                <w:szCs w:val="21"/>
                <w:highlight w:val="none"/>
                <w:lang w:val="en-US" w:eastAsia="zh-CN" w:bidi="ar-SA"/>
              </w:rPr>
            </w:pPr>
            <w:r>
              <w:rPr>
                <w:rFonts w:hint="eastAsia"/>
                <w:color w:val="auto"/>
                <w:spacing w:val="20"/>
                <w:szCs w:val="21"/>
                <w:highlight w:val="none"/>
                <w:lang w:val="en-US" w:eastAsia="zh-CN"/>
              </w:rPr>
              <w:t>2</w:t>
            </w:r>
          </w:p>
        </w:tc>
        <w:tc>
          <w:tcPr>
            <w:tcW w:w="17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C09B61">
            <w:pPr>
              <w:jc w:val="center"/>
              <w:rPr>
                <w:rFonts w:ascii="Times New Roman" w:hAnsi="Times New Roman" w:eastAsia="宋体" w:cs="Times New Roman"/>
                <w:color w:val="auto"/>
                <w:spacing w:val="20"/>
                <w:kern w:val="2"/>
                <w:sz w:val="21"/>
                <w:szCs w:val="21"/>
                <w:highlight w:val="none"/>
                <w:lang w:val="en-US" w:eastAsia="zh-CN" w:bidi="ar-SA"/>
              </w:rPr>
            </w:pPr>
          </w:p>
        </w:tc>
        <w:tc>
          <w:tcPr>
            <w:tcW w:w="11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5D8261">
            <w:pPr>
              <w:jc w:val="center"/>
              <w:rPr>
                <w:rFonts w:ascii="Times New Roman" w:hAnsi="Times New Roman" w:eastAsia="宋体" w:cs="Times New Roman"/>
                <w:color w:val="auto"/>
                <w:spacing w:val="20"/>
                <w:kern w:val="2"/>
                <w:sz w:val="21"/>
                <w:szCs w:val="21"/>
                <w:highlight w:val="none"/>
                <w:lang w:val="en-US" w:eastAsia="zh-CN" w:bidi="ar-SA"/>
              </w:rPr>
            </w:pPr>
          </w:p>
        </w:tc>
        <w:tc>
          <w:tcPr>
            <w:tcW w:w="17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300E2E">
            <w:pPr>
              <w:jc w:val="center"/>
              <w:rPr>
                <w:rFonts w:hint="default" w:ascii="Times New Roman" w:hAnsi="Times New Roman" w:eastAsia="宋体" w:cs="Times New Roman"/>
                <w:color w:val="auto"/>
                <w:spacing w:val="20"/>
                <w:kern w:val="2"/>
                <w:sz w:val="21"/>
                <w:szCs w:val="21"/>
                <w:highlight w:val="none"/>
                <w:lang w:val="en-US" w:eastAsia="zh-CN" w:bidi="ar-SA"/>
              </w:rPr>
            </w:pPr>
            <w:r>
              <w:rPr>
                <w:rFonts w:hint="eastAsia"/>
                <w:color w:val="auto"/>
                <w:spacing w:val="20"/>
                <w:szCs w:val="21"/>
                <w:highlight w:val="none"/>
                <w:lang w:val="en-US" w:eastAsia="zh-CN"/>
              </w:rPr>
              <w:t>1项</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39BED98D">
            <w:pPr>
              <w:jc w:val="center"/>
              <w:rPr>
                <w:color w:val="auto"/>
                <w:spacing w:val="20"/>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5C3A9F93">
            <w:pPr>
              <w:jc w:val="center"/>
              <w:rPr>
                <w:color w:val="auto"/>
                <w:spacing w:val="20"/>
                <w:szCs w:val="21"/>
                <w:highlight w:val="none"/>
              </w:rPr>
            </w:pPr>
          </w:p>
        </w:tc>
      </w:tr>
      <w:tr w14:paraId="7860B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64DEEE9F">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333BD8B3">
            <w:pPr>
              <w:jc w:val="center"/>
              <w:rPr>
                <w:color w:val="auto"/>
                <w:spacing w:val="20"/>
                <w:szCs w:val="21"/>
                <w:highlight w:val="none"/>
              </w:rPr>
            </w:pPr>
            <w:r>
              <w:rPr>
                <w:color w:val="auto"/>
                <w:spacing w:val="20"/>
                <w:szCs w:val="21"/>
                <w:highlight w:val="none"/>
              </w:rPr>
              <w:t>……</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2B936A5E">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693176DB">
            <w:pPr>
              <w:jc w:val="center"/>
              <w:rPr>
                <w:color w:val="auto"/>
                <w:spacing w:val="20"/>
                <w:szCs w:val="21"/>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14:paraId="4FC7CF88">
            <w:pPr>
              <w:jc w:val="center"/>
              <w:rPr>
                <w:color w:val="auto"/>
                <w:spacing w:val="20"/>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B87275A">
            <w:pPr>
              <w:jc w:val="center"/>
              <w:rPr>
                <w:color w:val="auto"/>
                <w:spacing w:val="20"/>
                <w:szCs w:val="21"/>
                <w:highlight w:val="none"/>
              </w:rPr>
            </w:pPr>
          </w:p>
        </w:tc>
      </w:tr>
    </w:tbl>
    <w:p w14:paraId="30DCE5F3">
      <w:pPr>
        <w:rPr>
          <w:color w:val="auto"/>
          <w:spacing w:val="20"/>
          <w:szCs w:val="21"/>
          <w:highlight w:val="none"/>
          <w:u w:val="single"/>
        </w:rPr>
      </w:pPr>
    </w:p>
    <w:p w14:paraId="07C31DB1">
      <w:pPr>
        <w:spacing w:line="360" w:lineRule="auto"/>
        <w:rPr>
          <w:color w:val="auto"/>
          <w:spacing w:val="20"/>
          <w:szCs w:val="21"/>
          <w:highlight w:val="none"/>
        </w:rPr>
      </w:pPr>
    </w:p>
    <w:p w14:paraId="15DD91EE">
      <w:pPr>
        <w:pStyle w:val="18"/>
        <w:rPr>
          <w:color w:val="auto"/>
          <w:spacing w:val="20"/>
          <w:szCs w:val="21"/>
          <w:highlight w:val="none"/>
        </w:rPr>
      </w:pPr>
      <w:r>
        <w:rPr>
          <w:color w:val="auto"/>
          <w:szCs w:val="21"/>
          <w:highlight w:val="none"/>
        </w:rPr>
        <w:t>注：</w:t>
      </w:r>
      <w:r>
        <w:rPr>
          <w:rFonts w:hint="eastAsia"/>
          <w:color w:val="auto"/>
          <w:szCs w:val="21"/>
          <w:highlight w:val="none"/>
          <w:lang w:val="en-US" w:eastAsia="zh-CN"/>
        </w:rPr>
        <w:t>1.</w:t>
      </w:r>
      <w:r>
        <w:rPr>
          <w:rFonts w:hint="eastAsia"/>
          <w:color w:val="auto"/>
          <w:szCs w:val="21"/>
          <w:highlight w:val="none"/>
        </w:rPr>
        <w:t>本表如</w:t>
      </w:r>
      <w:r>
        <w:rPr>
          <w:rFonts w:hint="eastAsia"/>
          <w:color w:val="auto"/>
          <w:highlight w:val="none"/>
        </w:rPr>
        <w:t>与广西政府采购云平台不一致的，以广西政府采购云平台为准。</w:t>
      </w:r>
    </w:p>
    <w:p w14:paraId="781F2B45">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26729242">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2F11F5C6">
      <w:pPr>
        <w:snapToGrid w:val="0"/>
        <w:spacing w:before="50" w:after="120" w:afterLines="50"/>
        <w:jc w:val="left"/>
        <w:outlineLvl w:val="1"/>
        <w:rPr>
          <w:color w:val="auto"/>
          <w:szCs w:val="21"/>
          <w:highlight w:val="none"/>
        </w:rPr>
      </w:pPr>
      <w:r>
        <w:rPr>
          <w:color w:val="auto"/>
          <w:szCs w:val="21"/>
          <w:highlight w:val="none"/>
        </w:rPr>
        <w:br w:type="page"/>
      </w:r>
      <w:bookmarkStart w:id="128" w:name="_Hlk65852042"/>
      <w:r>
        <w:rPr>
          <w:rFonts w:hint="eastAsia"/>
          <w:color w:val="auto"/>
          <w:szCs w:val="21"/>
          <w:highlight w:val="none"/>
          <w:lang w:val="en-US" w:eastAsia="zh-CN"/>
        </w:rPr>
        <w:t>4</w:t>
      </w:r>
      <w:r>
        <w:rPr>
          <w:rFonts w:hint="eastAsia"/>
          <w:color w:val="auto"/>
          <w:szCs w:val="21"/>
          <w:highlight w:val="none"/>
        </w:rPr>
        <w:t>.开标一览表</w:t>
      </w:r>
    </w:p>
    <w:p w14:paraId="5ED81DB2">
      <w:pPr>
        <w:widowControl/>
        <w:jc w:val="left"/>
        <w:rPr>
          <w:color w:val="auto"/>
          <w:szCs w:val="21"/>
          <w:highlight w:val="none"/>
        </w:rPr>
      </w:pPr>
    </w:p>
    <w:p w14:paraId="0C2BE11D">
      <w:pPr>
        <w:widowControl/>
        <w:jc w:val="left"/>
        <w:rPr>
          <w:color w:val="auto"/>
          <w:szCs w:val="21"/>
          <w:highlight w:val="none"/>
        </w:rPr>
      </w:pPr>
    </w:p>
    <w:p w14:paraId="29C3AAA3">
      <w:pPr>
        <w:widowControl/>
        <w:jc w:val="left"/>
        <w:rPr>
          <w:color w:val="auto"/>
          <w:szCs w:val="21"/>
          <w:highlight w:val="none"/>
        </w:rPr>
      </w:pPr>
    </w:p>
    <w:p w14:paraId="22FC1D7E">
      <w:pPr>
        <w:rPr>
          <w:b/>
          <w:color w:val="auto"/>
          <w:szCs w:val="21"/>
          <w:highlight w:val="none"/>
        </w:rPr>
      </w:pPr>
    </w:p>
    <w:p w14:paraId="3FE50C5A">
      <w:pPr>
        <w:rPr>
          <w:b/>
          <w:color w:val="auto"/>
          <w:szCs w:val="21"/>
          <w:highlight w:val="none"/>
        </w:rPr>
      </w:pPr>
    </w:p>
    <w:p w14:paraId="12F2B6A6">
      <w:pPr>
        <w:rPr>
          <w:b/>
          <w:color w:val="auto"/>
          <w:szCs w:val="21"/>
          <w:highlight w:val="none"/>
        </w:rPr>
      </w:pPr>
      <w:r>
        <w:rPr>
          <w:rFonts w:hint="eastAsia"/>
          <w:b/>
          <w:color w:val="auto"/>
          <w:szCs w:val="21"/>
          <w:highlight w:val="none"/>
        </w:rPr>
        <w:t>格式详见广西政府采购云平台，且仅在广西政府采购云平台填写即可。</w:t>
      </w:r>
    </w:p>
    <w:p w14:paraId="1D5FF000">
      <w:pPr>
        <w:widowControl/>
        <w:jc w:val="left"/>
        <w:rPr>
          <w:color w:val="auto"/>
          <w:szCs w:val="21"/>
          <w:highlight w:val="none"/>
        </w:rPr>
      </w:pPr>
    </w:p>
    <w:bookmarkEnd w:id="128"/>
    <w:p w14:paraId="6BB8EB0B">
      <w:pPr>
        <w:spacing w:line="360" w:lineRule="auto"/>
        <w:ind w:firstLine="420"/>
        <w:rPr>
          <w:rFonts w:hint="eastAsia"/>
          <w:color w:val="auto"/>
          <w:szCs w:val="21"/>
          <w:highlight w:val="none"/>
        </w:rPr>
      </w:pPr>
    </w:p>
    <w:p w14:paraId="4C65E6E7">
      <w:pPr>
        <w:snapToGrid w:val="0"/>
        <w:spacing w:before="120" w:beforeLines="50" w:after="50" w:line="440" w:lineRule="exact"/>
        <w:jc w:val="left"/>
        <w:outlineLvl w:val="9"/>
        <w:rPr>
          <w:rFonts w:hint="eastAsia"/>
          <w:bCs/>
          <w:color w:val="auto"/>
          <w:sz w:val="24"/>
          <w:highlight w:val="none"/>
        </w:rPr>
      </w:pPr>
      <w:r>
        <w:rPr>
          <w:bCs/>
          <w:color w:val="auto"/>
          <w:sz w:val="24"/>
          <w:highlight w:val="none"/>
        </w:rPr>
        <w:t xml:space="preserve"> </w:t>
      </w:r>
    </w:p>
    <w:sectPr>
      <w:headerReference r:id="rId27" w:type="default"/>
      <w:pgSz w:w="11906" w:h="16838"/>
      <w:pgMar w:top="1418" w:right="1133" w:bottom="1246"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FD681">
    <w:pPr>
      <w:pStyle w:val="3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23A6E">
                          <w:pPr>
                            <w:pStyle w:val="3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123A6E">
                    <w:pPr>
                      <w:pStyle w:val="3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C441A">
    <w:pPr>
      <w:pStyle w:val="33"/>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3FC9D">
                          <w:pPr>
                            <w:pStyle w:val="33"/>
                            <w:rPr>
                              <w:rStyle w:val="57"/>
                            </w:rPr>
                          </w:pPr>
                          <w:r>
                            <w:fldChar w:fldCharType="begin"/>
                          </w:r>
                          <w:r>
                            <w:rPr>
                              <w:rStyle w:val="57"/>
                            </w:rPr>
                            <w:instrText xml:space="preserve">PAGE  </w:instrText>
                          </w:r>
                          <w:r>
                            <w:fldChar w:fldCharType="separate"/>
                          </w:r>
                          <w:r>
                            <w:rPr>
                              <w:rStyle w:val="57"/>
                            </w:rP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0D3FC9D">
                    <w:pPr>
                      <w:pStyle w:val="33"/>
                      <w:rPr>
                        <w:rStyle w:val="57"/>
                      </w:rPr>
                    </w:pPr>
                    <w:r>
                      <w:fldChar w:fldCharType="begin"/>
                    </w:r>
                    <w:r>
                      <w:rPr>
                        <w:rStyle w:val="57"/>
                      </w:rPr>
                      <w:instrText xml:space="preserve">PAGE  </w:instrText>
                    </w:r>
                    <w:r>
                      <w:fldChar w:fldCharType="separate"/>
                    </w:r>
                    <w:r>
                      <w:rPr>
                        <w:rStyle w:val="57"/>
                      </w:rP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DB485">
    <w:pPr>
      <w:pStyle w:val="33"/>
      <w:framePr w:wrap="around" w:vAnchor="text" w:hAnchor="margin" w:xAlign="center" w:y="1"/>
      <w:rPr>
        <w:rStyle w:val="57"/>
      </w:rPr>
    </w:pPr>
    <w:r>
      <w:fldChar w:fldCharType="begin"/>
    </w:r>
    <w:r>
      <w:rPr>
        <w:rStyle w:val="57"/>
      </w:rPr>
      <w:instrText xml:space="preserve">PAGE  </w:instrText>
    </w:r>
    <w:r>
      <w:fldChar w:fldCharType="separate"/>
    </w:r>
    <w:r>
      <w:fldChar w:fldCharType="end"/>
    </w:r>
  </w:p>
  <w:p w14:paraId="047C04BA">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C65BD">
    <w:pPr>
      <w:pStyle w:val="33"/>
      <w:ind w:right="360"/>
      <w:jc w:val="both"/>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BECAA">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7BECAA">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7C4D0">
    <w:pPr>
      <w:pStyle w:val="33"/>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B38B1">
                          <w:pPr>
                            <w:pStyle w:val="33"/>
                            <w:rPr>
                              <w:rStyle w:val="57"/>
                            </w:rPr>
                          </w:pPr>
                          <w:r>
                            <w:fldChar w:fldCharType="begin"/>
                          </w:r>
                          <w:r>
                            <w:rPr>
                              <w:rStyle w:val="57"/>
                            </w:rPr>
                            <w:instrText xml:space="preserve">PAGE  </w:instrText>
                          </w:r>
                          <w:r>
                            <w:fldChar w:fldCharType="separate"/>
                          </w:r>
                          <w:r>
                            <w:rPr>
                              <w:rStyle w:val="57"/>
                            </w:rP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FB38B1">
                    <w:pPr>
                      <w:pStyle w:val="33"/>
                      <w:rPr>
                        <w:rStyle w:val="57"/>
                      </w:rPr>
                    </w:pPr>
                    <w:r>
                      <w:fldChar w:fldCharType="begin"/>
                    </w:r>
                    <w:r>
                      <w:rPr>
                        <w:rStyle w:val="57"/>
                      </w:rPr>
                      <w:instrText xml:space="preserve">PAGE  </w:instrText>
                    </w:r>
                    <w:r>
                      <w:fldChar w:fldCharType="separate"/>
                    </w:r>
                    <w:r>
                      <w:rPr>
                        <w:rStyle w:val="57"/>
                      </w:rP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F2184">
    <w:pPr>
      <w:pStyle w:val="33"/>
      <w:jc w:val="center"/>
      <w:rPr>
        <w:rFonts w:hint="eastAsia"/>
      </w:rP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4EA7">
    <w:pPr>
      <w:pStyle w:val="3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85546">
                          <w:pPr>
                            <w:pStyle w:val="3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3D85546">
                    <w:pPr>
                      <w:pStyle w:val="3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B1460">
    <w:pPr>
      <w:pStyle w:val="33"/>
      <w:jc w:val="center"/>
      <w:rPr>
        <w:rFonts w:hint="eastAsia"/>
      </w:rPr>
    </w:pPr>
    <w:r>
      <w:fldChar w:fldCharType="begin"/>
    </w:r>
    <w:r>
      <w:instrText xml:space="preserve">PAGE   \* MERGEFORMAT</w:instrText>
    </w:r>
    <w:r>
      <w:fldChar w:fldCharType="separate"/>
    </w:r>
    <w:r>
      <w:rPr>
        <w:lang w:val="zh-CN"/>
      </w:rPr>
      <w:t>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191A">
    <w:pPr>
      <w:pStyle w:val="33"/>
      <w:jc w:val="right"/>
      <w:rPr>
        <w:rFonts w:ascii="Times New Roman" w:hAnsi="Times New Roman" w:eastAsia="宋体"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E6CDC">
                          <w:pPr>
                            <w:pStyle w:val="33"/>
                            <w:rPr>
                              <w:rStyle w:val="57"/>
                              <w:rFonts w:ascii="Times New Roman" w:hAnsi="Times New Roman" w:eastAsia="宋体" w:cs="Times New Roman"/>
                            </w:rPr>
                          </w:pPr>
                          <w:r>
                            <w:rPr>
                              <w:rFonts w:ascii="Times New Roman" w:hAnsi="Times New Roman" w:eastAsia="宋体" w:cs="Times New Roman"/>
                            </w:rPr>
                            <w:fldChar w:fldCharType="begin"/>
                          </w:r>
                          <w:r>
                            <w:rPr>
                              <w:rStyle w:val="57"/>
                              <w:rFonts w:ascii="Times New Roman" w:hAnsi="Times New Roman" w:eastAsia="宋体" w:cs="Times New Roman"/>
                              <w:sz w:val="21"/>
                              <w:szCs w:val="24"/>
                            </w:rPr>
                            <w:instrText xml:space="preserve">PAGE  </w:instrText>
                          </w:r>
                          <w:r>
                            <w:rPr>
                              <w:rFonts w:ascii="Times New Roman" w:hAnsi="Times New Roman" w:eastAsia="宋体" w:cs="Times New Roman"/>
                            </w:rPr>
                            <w:fldChar w:fldCharType="separate"/>
                          </w:r>
                          <w:r>
                            <w:rPr>
                              <w:rStyle w:val="57"/>
                              <w:rFonts w:ascii="Times New Roman" w:hAnsi="Times New Roman" w:eastAsia="宋体" w:cs="Times New Roman"/>
                              <w:sz w:val="21"/>
                              <w:szCs w:val="24"/>
                            </w:rPr>
                            <w:t>57</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CBE6CDC">
                    <w:pPr>
                      <w:pStyle w:val="33"/>
                      <w:rPr>
                        <w:rStyle w:val="57"/>
                        <w:rFonts w:ascii="Times New Roman" w:hAnsi="Times New Roman" w:eastAsia="宋体" w:cs="Times New Roman"/>
                      </w:rPr>
                    </w:pPr>
                    <w:r>
                      <w:rPr>
                        <w:rFonts w:ascii="Times New Roman" w:hAnsi="Times New Roman" w:eastAsia="宋体" w:cs="Times New Roman"/>
                      </w:rPr>
                      <w:fldChar w:fldCharType="begin"/>
                    </w:r>
                    <w:r>
                      <w:rPr>
                        <w:rStyle w:val="57"/>
                        <w:rFonts w:ascii="Times New Roman" w:hAnsi="Times New Roman" w:eastAsia="宋体" w:cs="Times New Roman"/>
                        <w:sz w:val="21"/>
                        <w:szCs w:val="24"/>
                      </w:rPr>
                      <w:instrText xml:space="preserve">PAGE  </w:instrText>
                    </w:r>
                    <w:r>
                      <w:rPr>
                        <w:rFonts w:ascii="Times New Roman" w:hAnsi="Times New Roman" w:eastAsia="宋体" w:cs="Times New Roman"/>
                      </w:rPr>
                      <w:fldChar w:fldCharType="separate"/>
                    </w:r>
                    <w:r>
                      <w:rPr>
                        <w:rStyle w:val="57"/>
                        <w:rFonts w:ascii="Times New Roman" w:hAnsi="Times New Roman" w:eastAsia="宋体" w:cs="Times New Roman"/>
                        <w:sz w:val="21"/>
                        <w:szCs w:val="24"/>
                      </w:rPr>
                      <w:t>57</w:t>
                    </w:r>
                    <w:r>
                      <w:rPr>
                        <w:rFonts w:ascii="Times New Roman" w:hAnsi="Times New Roman" w:eastAsia="宋体" w:cs="Times New Roma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9DA00">
    <w:pPr>
      <w:pStyle w:val="33"/>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791B1">
                          <w:pPr>
                            <w:pStyle w:val="33"/>
                            <w:rPr>
                              <w:rStyle w:val="57"/>
                            </w:rPr>
                          </w:pPr>
                          <w:r>
                            <w:fldChar w:fldCharType="begin"/>
                          </w:r>
                          <w:r>
                            <w:rPr>
                              <w:rStyle w:val="57"/>
                            </w:rPr>
                            <w:instrText xml:space="preserve">PAGE  </w:instrText>
                          </w:r>
                          <w:r>
                            <w:fldChar w:fldCharType="separate"/>
                          </w:r>
                          <w:r>
                            <w:rPr>
                              <w:rStyle w:val="57"/>
                            </w:rP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0791B1">
                    <w:pPr>
                      <w:pStyle w:val="33"/>
                      <w:rPr>
                        <w:rStyle w:val="57"/>
                      </w:rPr>
                    </w:pPr>
                    <w:r>
                      <w:fldChar w:fldCharType="begin"/>
                    </w:r>
                    <w:r>
                      <w:rPr>
                        <w:rStyle w:val="57"/>
                      </w:rPr>
                      <w:instrText xml:space="preserve">PAGE  </w:instrText>
                    </w:r>
                    <w:r>
                      <w:fldChar w:fldCharType="separate"/>
                    </w:r>
                    <w:r>
                      <w:rPr>
                        <w:rStyle w:val="57"/>
                      </w:rP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C4BB3">
    <w:pPr>
      <w:pStyle w:val="3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6169B">
    <w:pPr>
      <w:pStyle w:val="34"/>
      <w:jc w:val="left"/>
    </w:pPr>
    <w:r>
      <w:rPr>
        <w:rFonts w:hint="eastAsia"/>
        <w:lang w:eastAsia="zh-CN"/>
      </w:rPr>
      <w:t>广西乐正工程项目管理有限公司</w:t>
    </w:r>
    <w:r>
      <w:rPr>
        <w:rFonts w:hint="eastAsia"/>
      </w:rPr>
      <w:t xml:space="preserve">采购文件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68DBF">
    <w:pPr>
      <w:rPr>
        <w:rFonts w:ascii="Times New Roman" w:hAnsi="Times New Roman" w:eastAsia="宋体" w:cs="Times New Roman"/>
        <w:sz w:val="18"/>
        <w:szCs w:val="18"/>
        <w:u w:val="single"/>
      </w:rPr>
    </w:pPr>
    <w:r>
      <w:rPr>
        <w:rFonts w:hint="eastAsia" w:cs="Times New Roman"/>
        <w:sz w:val="18"/>
        <w:szCs w:val="18"/>
        <w:u w:val="single"/>
        <w:lang w:eastAsia="zh-CN"/>
      </w:rPr>
      <w:t>广西乐正工程项目管理有限公司</w:t>
    </w:r>
    <w:r>
      <w:rPr>
        <w:rFonts w:hint="eastAsia" w:ascii="Times New Roman" w:hAnsi="Times New Roman" w:eastAsia="宋体" w:cs="Times New Roman"/>
        <w:sz w:val="18"/>
        <w:szCs w:val="18"/>
        <w:u w:val="single"/>
      </w:rPr>
      <w:t xml:space="preserve">采购文件                                                       </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u w:val="single"/>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DA988">
    <w:pPr>
      <w:pStyle w:val="34"/>
      <w:jc w:val="left"/>
      <w:rPr>
        <w:rFonts w:hint="eastAsia"/>
      </w:rPr>
    </w:pPr>
    <w:r>
      <w:rPr>
        <w:rFonts w:hint="eastAsia"/>
        <w:lang w:eastAsia="zh-CN"/>
      </w:rPr>
      <w:t>广西乐正工程项目管理有限公司</w:t>
    </w:r>
    <w:r>
      <w:rPr>
        <w:rFonts w:hint="eastAsia"/>
      </w:rPr>
      <w:t xml:space="preserve">采购文件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86E59">
    <w:pPr>
      <w:rPr>
        <w:sz w:val="18"/>
        <w:szCs w:val="18"/>
        <w:u w:val="single"/>
      </w:rPr>
    </w:pPr>
    <w:r>
      <w:rPr>
        <w:rFonts w:hint="eastAsia"/>
        <w:sz w:val="18"/>
        <w:szCs w:val="18"/>
        <w:u w:val="single"/>
        <w:lang w:eastAsia="zh-CN"/>
      </w:rPr>
      <w:t>广西乐正工程项目管理有限公司</w:t>
    </w:r>
    <w:r>
      <w:rPr>
        <w:rFonts w:hint="eastAsia"/>
        <w:sz w:val="18"/>
        <w:szCs w:val="18"/>
        <w:u w:val="single"/>
      </w:rPr>
      <w:t xml:space="preserve">采购文件                                                           </w:t>
    </w:r>
    <w:r>
      <w:rPr>
        <w:sz w:val="18"/>
        <w:szCs w:val="18"/>
        <w:u w:val="single"/>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7E8DB">
    <w:pPr>
      <w:rPr>
        <w:sz w:val="18"/>
        <w:szCs w:val="18"/>
        <w:u w:val="single"/>
      </w:rPr>
    </w:pPr>
    <w:r>
      <w:rPr>
        <w:rFonts w:hint="eastAsia"/>
        <w:sz w:val="18"/>
        <w:szCs w:val="18"/>
        <w:u w:val="single"/>
        <w:lang w:eastAsia="zh-CN"/>
      </w:rPr>
      <w:t>广西乐正工程项目管理有限公司</w:t>
    </w:r>
    <w:r>
      <w:rPr>
        <w:rFonts w:hint="eastAsia"/>
        <w:sz w:val="18"/>
        <w:szCs w:val="18"/>
        <w:u w:val="single"/>
      </w:rPr>
      <w:t xml:space="preserve">采购文件                                                </w:t>
    </w:r>
    <w:r>
      <w:rPr>
        <w:sz w:val="18"/>
        <w:szCs w:val="18"/>
        <w:u w:val="single"/>
      </w:rPr>
      <w:t xml:space="preserve">           </w:t>
    </w:r>
    <w:r>
      <w:rPr>
        <w:rFonts w:hint="eastAsia"/>
        <w:sz w:val="18"/>
        <w:szCs w:val="18"/>
        <w:u w:val="single"/>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B479">
    <w:pPr>
      <w:rPr>
        <w:sz w:val="18"/>
        <w:szCs w:val="18"/>
        <w:u w:val="single"/>
      </w:rPr>
    </w:pPr>
    <w:r>
      <w:rPr>
        <w:rFonts w:hint="eastAsia"/>
        <w:sz w:val="18"/>
        <w:szCs w:val="18"/>
        <w:u w:val="single"/>
        <w:lang w:eastAsia="zh-CN"/>
      </w:rPr>
      <w:t>广西乐正工程项目管理有限公司</w:t>
    </w:r>
    <w:r>
      <w:rPr>
        <w:rFonts w:hint="eastAsia"/>
        <w:sz w:val="18"/>
        <w:szCs w:val="18"/>
        <w:u w:val="single"/>
      </w:rPr>
      <w:t xml:space="preserve">采购文件                                                           </w:t>
    </w:r>
    <w:r>
      <w:rPr>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51D75">
    <w:pPr>
      <w:pStyle w:val="34"/>
      <w:jc w:val="left"/>
    </w:pPr>
    <w:r>
      <w:rPr>
        <w:rFonts w:hint="eastAsia"/>
        <w:lang w:eastAsia="zh-CN"/>
      </w:rPr>
      <w:t>广西乐正工程项目管理有限公司</w:t>
    </w:r>
    <w:r>
      <w:rPr>
        <w:rFonts w:hint="eastAsia"/>
      </w:rPr>
      <w:t xml:space="preserve">采购文件                                                               </w:t>
    </w:r>
  </w:p>
  <w:p w14:paraId="5A2D59E5">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E5ABA">
    <w:pPr>
      <w:pStyle w:val="34"/>
      <w:jc w:val="left"/>
    </w:pPr>
    <w:r>
      <w:rPr>
        <w:rFonts w:hint="eastAsia"/>
        <w:lang w:eastAsia="zh-CN"/>
      </w:rPr>
      <w:t>广西乐正工程项目管理有限公司</w:t>
    </w:r>
    <w:r>
      <w:rPr>
        <w:rFonts w:hint="eastAsia"/>
      </w:rPr>
      <w:t xml:space="preserve">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388A8">
    <w:pPr>
      <w:pStyle w:val="34"/>
      <w:jc w:val="left"/>
    </w:pPr>
    <w:r>
      <w:rPr>
        <w:rFonts w:hint="eastAsia"/>
        <w:lang w:eastAsia="zh-CN"/>
      </w:rPr>
      <w:t>广西乐正工程项目管理有限公司</w:t>
    </w:r>
    <w:r>
      <w:rPr>
        <w:rFonts w:hint="eastAsia"/>
      </w:rPr>
      <w:t xml:space="preserve">采购文件                                                         </w:t>
    </w:r>
  </w:p>
  <w:p w14:paraId="3FBFCA69">
    <w:pPr>
      <w:pStyle w:val="34"/>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1D77F">
    <w:pPr>
      <w:pStyle w:val="34"/>
      <w:jc w:val="both"/>
    </w:pPr>
    <w:r>
      <w:rPr>
        <w:rFonts w:hint="eastAsia"/>
        <w:lang w:eastAsia="zh-CN"/>
      </w:rPr>
      <w:t>广西乐正工程项目管理有限公司</w:t>
    </w:r>
    <w:r>
      <w:rPr>
        <w:rFonts w:hint="eastAsia"/>
      </w:rPr>
      <w:t xml:space="preserve">采购文件  </w:t>
    </w:r>
  </w:p>
  <w:p w14:paraId="2355F767">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C04D">
    <w:pPr>
      <w:pStyle w:val="34"/>
      <w:pBdr>
        <w:bottom w:val="single" w:color="auto" w:sz="6" w:space="0"/>
      </w:pBdr>
      <w:jc w:val="left"/>
    </w:pPr>
    <w:r>
      <w:rPr>
        <w:rFonts w:hint="eastAsia"/>
        <w:lang w:eastAsia="zh-CN"/>
      </w:rPr>
      <w:t>广西乐正工程项目管理有限公司</w:t>
    </w:r>
    <w:r>
      <w:rPr>
        <w:rFonts w:hint="eastAsia"/>
      </w:rPr>
      <w:t xml:space="preserve">采购文件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F63AB">
    <w:pPr>
      <w:pStyle w:val="34"/>
      <w:pBdr>
        <w:bottom w:val="none" w:color="auto" w:sz="0" w:space="1"/>
      </w:pBdr>
      <w:jc w:val="lef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1E44C">
    <w:pPr>
      <w:pStyle w:val="34"/>
      <w:pBdr>
        <w:bottom w:val="none" w:color="auto" w:sz="0" w:space="1"/>
      </w:pBdr>
      <w:jc w:val="left"/>
    </w:pPr>
    <w:r>
      <w:rPr>
        <w:rFonts w:hint="eastAsia"/>
      </w:rPr>
      <w:t xml:space="preserve">                                                         </w:t>
    </w:r>
  </w:p>
  <w:p w14:paraId="39AB712D">
    <w:pPr>
      <w:pStyle w:val="34"/>
      <w:pBdr>
        <w:bottom w:val="none" w:color="auto" w:sz="0" w:space="0"/>
      </w:pBd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CD68D">
    <w:pPr>
      <w:pStyle w:val="34"/>
      <w:jc w:val="left"/>
    </w:pPr>
    <w:r>
      <w:rPr>
        <w:rFonts w:hint="eastAsia"/>
        <w:lang w:eastAsia="zh-CN"/>
      </w:rPr>
      <w:t>广西乐正工程项目管理有限公司</w:t>
    </w:r>
    <w:r>
      <w:rPr>
        <w:rFonts w:hint="eastAsia"/>
      </w:rPr>
      <w:t xml:space="preserve">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E7F0D"/>
    <w:multiLevelType w:val="singleLevel"/>
    <w:tmpl w:val="A2BE7F0D"/>
    <w:lvl w:ilvl="0" w:tentative="0">
      <w:start w:val="2"/>
      <w:numFmt w:val="decimal"/>
      <w:suff w:val="nothing"/>
      <w:lvlText w:val="（%1）"/>
      <w:lvlJc w:val="left"/>
    </w:lvl>
  </w:abstractNum>
  <w:abstractNum w:abstractNumId="1">
    <w:nsid w:val="E899D33D"/>
    <w:multiLevelType w:val="singleLevel"/>
    <w:tmpl w:val="E899D33D"/>
    <w:lvl w:ilvl="0" w:tentative="0">
      <w:start w:val="1"/>
      <w:numFmt w:val="decimal"/>
      <w:lvlText w:val="%1."/>
      <w:lvlJc w:val="left"/>
      <w:pPr>
        <w:tabs>
          <w:tab w:val="left" w:pos="312"/>
        </w:tabs>
      </w:pPr>
    </w:lvl>
  </w:abstractNum>
  <w:abstractNum w:abstractNumId="2">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CA39AA2"/>
    <w:multiLevelType w:val="singleLevel"/>
    <w:tmpl w:val="1CA39AA2"/>
    <w:lvl w:ilvl="0" w:tentative="0">
      <w:start w:val="5"/>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NGNjOGI4ZDIyMzg0YmM5M2E2OGZiZmEzZmViOTAifQ=="/>
  </w:docVars>
  <w:rsids>
    <w:rsidRoot w:val="00172A27"/>
    <w:rsid w:val="000003EF"/>
    <w:rsid w:val="000005B6"/>
    <w:rsid w:val="0000091B"/>
    <w:rsid w:val="00000D0A"/>
    <w:rsid w:val="00000D19"/>
    <w:rsid w:val="00000E1A"/>
    <w:rsid w:val="0000104A"/>
    <w:rsid w:val="000014EC"/>
    <w:rsid w:val="000016CE"/>
    <w:rsid w:val="00001B3E"/>
    <w:rsid w:val="00001CD6"/>
    <w:rsid w:val="00001D90"/>
    <w:rsid w:val="0000215C"/>
    <w:rsid w:val="00002584"/>
    <w:rsid w:val="00002A53"/>
    <w:rsid w:val="00002DDA"/>
    <w:rsid w:val="00003DAE"/>
    <w:rsid w:val="00004272"/>
    <w:rsid w:val="000055EE"/>
    <w:rsid w:val="000058D7"/>
    <w:rsid w:val="00005E55"/>
    <w:rsid w:val="000067B7"/>
    <w:rsid w:val="00006E2C"/>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8A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BAA"/>
    <w:rsid w:val="0003738D"/>
    <w:rsid w:val="00037C63"/>
    <w:rsid w:val="00037CE4"/>
    <w:rsid w:val="00040187"/>
    <w:rsid w:val="00040AC1"/>
    <w:rsid w:val="000418B1"/>
    <w:rsid w:val="00041BFC"/>
    <w:rsid w:val="00042BF9"/>
    <w:rsid w:val="00042F4A"/>
    <w:rsid w:val="00043295"/>
    <w:rsid w:val="00043829"/>
    <w:rsid w:val="000441ED"/>
    <w:rsid w:val="00044EE7"/>
    <w:rsid w:val="00045069"/>
    <w:rsid w:val="00045828"/>
    <w:rsid w:val="00045947"/>
    <w:rsid w:val="000462A8"/>
    <w:rsid w:val="00046360"/>
    <w:rsid w:val="0004653D"/>
    <w:rsid w:val="000465AB"/>
    <w:rsid w:val="00046662"/>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E6D"/>
    <w:rsid w:val="00055FFC"/>
    <w:rsid w:val="0005625F"/>
    <w:rsid w:val="0005649E"/>
    <w:rsid w:val="00056597"/>
    <w:rsid w:val="0005700C"/>
    <w:rsid w:val="00057393"/>
    <w:rsid w:val="00057629"/>
    <w:rsid w:val="00057E45"/>
    <w:rsid w:val="000606B6"/>
    <w:rsid w:val="00060F97"/>
    <w:rsid w:val="00062637"/>
    <w:rsid w:val="000631AC"/>
    <w:rsid w:val="000631B7"/>
    <w:rsid w:val="000637FF"/>
    <w:rsid w:val="000639D4"/>
    <w:rsid w:val="00063D47"/>
    <w:rsid w:val="00064A48"/>
    <w:rsid w:val="00064C80"/>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611"/>
    <w:rsid w:val="0008264F"/>
    <w:rsid w:val="0008278B"/>
    <w:rsid w:val="00082969"/>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F25"/>
    <w:rsid w:val="000A2968"/>
    <w:rsid w:val="000A346E"/>
    <w:rsid w:val="000A3515"/>
    <w:rsid w:val="000A3518"/>
    <w:rsid w:val="000A3F79"/>
    <w:rsid w:val="000A5540"/>
    <w:rsid w:val="000A59B9"/>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4AFF"/>
    <w:rsid w:val="001054B0"/>
    <w:rsid w:val="00105A06"/>
    <w:rsid w:val="00105B2E"/>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D01"/>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BAF"/>
    <w:rsid w:val="00172EC0"/>
    <w:rsid w:val="00173191"/>
    <w:rsid w:val="001737FE"/>
    <w:rsid w:val="0017426E"/>
    <w:rsid w:val="00174E71"/>
    <w:rsid w:val="00176E50"/>
    <w:rsid w:val="0017723E"/>
    <w:rsid w:val="001772FF"/>
    <w:rsid w:val="001775DA"/>
    <w:rsid w:val="00177AD0"/>
    <w:rsid w:val="001808E8"/>
    <w:rsid w:val="00180AE0"/>
    <w:rsid w:val="00181135"/>
    <w:rsid w:val="00181C0B"/>
    <w:rsid w:val="00182382"/>
    <w:rsid w:val="00182A1C"/>
    <w:rsid w:val="00182DF8"/>
    <w:rsid w:val="00183951"/>
    <w:rsid w:val="00183CB0"/>
    <w:rsid w:val="00183CC7"/>
    <w:rsid w:val="001842FD"/>
    <w:rsid w:val="00185DB6"/>
    <w:rsid w:val="00186AE7"/>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C66"/>
    <w:rsid w:val="001B3DDF"/>
    <w:rsid w:val="001B3E30"/>
    <w:rsid w:val="001B4ED3"/>
    <w:rsid w:val="001B50CC"/>
    <w:rsid w:val="001B5234"/>
    <w:rsid w:val="001B5355"/>
    <w:rsid w:val="001B6049"/>
    <w:rsid w:val="001B60D4"/>
    <w:rsid w:val="001B6482"/>
    <w:rsid w:val="001B6B84"/>
    <w:rsid w:val="001B7014"/>
    <w:rsid w:val="001B7C32"/>
    <w:rsid w:val="001B7CBF"/>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2B65"/>
    <w:rsid w:val="001D3185"/>
    <w:rsid w:val="001D3534"/>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F0064"/>
    <w:rsid w:val="001F1396"/>
    <w:rsid w:val="001F16DF"/>
    <w:rsid w:val="001F1960"/>
    <w:rsid w:val="001F2EB1"/>
    <w:rsid w:val="001F3105"/>
    <w:rsid w:val="001F3DAE"/>
    <w:rsid w:val="001F40B0"/>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3F2"/>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5B9"/>
    <w:rsid w:val="00220630"/>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C67"/>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65F"/>
    <w:rsid w:val="00243BB5"/>
    <w:rsid w:val="0024400C"/>
    <w:rsid w:val="002440B2"/>
    <w:rsid w:val="002458CE"/>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A5B"/>
    <w:rsid w:val="00255BC2"/>
    <w:rsid w:val="002561BF"/>
    <w:rsid w:val="00256539"/>
    <w:rsid w:val="00256DEA"/>
    <w:rsid w:val="002572EB"/>
    <w:rsid w:val="00257C49"/>
    <w:rsid w:val="00257C4C"/>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67883"/>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0F6B"/>
    <w:rsid w:val="00281979"/>
    <w:rsid w:val="00281E85"/>
    <w:rsid w:val="002837F8"/>
    <w:rsid w:val="00283978"/>
    <w:rsid w:val="00283ACF"/>
    <w:rsid w:val="00283C0D"/>
    <w:rsid w:val="00283C99"/>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11A6"/>
    <w:rsid w:val="002B1ACA"/>
    <w:rsid w:val="002B1C6E"/>
    <w:rsid w:val="002B2D78"/>
    <w:rsid w:val="002B32C9"/>
    <w:rsid w:val="002B3736"/>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9BA"/>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613A"/>
    <w:rsid w:val="002D62D2"/>
    <w:rsid w:val="002D769A"/>
    <w:rsid w:val="002D7789"/>
    <w:rsid w:val="002D77B7"/>
    <w:rsid w:val="002D7CC4"/>
    <w:rsid w:val="002D7DBC"/>
    <w:rsid w:val="002E02AA"/>
    <w:rsid w:val="002E0C21"/>
    <w:rsid w:val="002E0E96"/>
    <w:rsid w:val="002E1616"/>
    <w:rsid w:val="002E192A"/>
    <w:rsid w:val="002E2471"/>
    <w:rsid w:val="002E2B84"/>
    <w:rsid w:val="002E300A"/>
    <w:rsid w:val="002E3092"/>
    <w:rsid w:val="002E3543"/>
    <w:rsid w:val="002E3B82"/>
    <w:rsid w:val="002E3C95"/>
    <w:rsid w:val="002E40D7"/>
    <w:rsid w:val="002E474C"/>
    <w:rsid w:val="002E4BB3"/>
    <w:rsid w:val="002E5F0D"/>
    <w:rsid w:val="002E6D33"/>
    <w:rsid w:val="002E6EE7"/>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1921"/>
    <w:rsid w:val="00301ABE"/>
    <w:rsid w:val="00302676"/>
    <w:rsid w:val="00302F6A"/>
    <w:rsid w:val="003040C0"/>
    <w:rsid w:val="00304B0A"/>
    <w:rsid w:val="00305CC7"/>
    <w:rsid w:val="00305EB6"/>
    <w:rsid w:val="00305F62"/>
    <w:rsid w:val="0030652B"/>
    <w:rsid w:val="0030688B"/>
    <w:rsid w:val="003070FF"/>
    <w:rsid w:val="003074FD"/>
    <w:rsid w:val="00307A2D"/>
    <w:rsid w:val="00307E65"/>
    <w:rsid w:val="00310204"/>
    <w:rsid w:val="00310272"/>
    <w:rsid w:val="00310D86"/>
    <w:rsid w:val="00310F34"/>
    <w:rsid w:val="00311088"/>
    <w:rsid w:val="00311327"/>
    <w:rsid w:val="003115FC"/>
    <w:rsid w:val="00311E95"/>
    <w:rsid w:val="00312462"/>
    <w:rsid w:val="00312AF6"/>
    <w:rsid w:val="00312CB7"/>
    <w:rsid w:val="00312E68"/>
    <w:rsid w:val="0031351A"/>
    <w:rsid w:val="003140C5"/>
    <w:rsid w:val="0031499C"/>
    <w:rsid w:val="003161E5"/>
    <w:rsid w:val="00316413"/>
    <w:rsid w:val="00316C18"/>
    <w:rsid w:val="00317071"/>
    <w:rsid w:val="003170F2"/>
    <w:rsid w:val="003204DA"/>
    <w:rsid w:val="00320582"/>
    <w:rsid w:val="00321282"/>
    <w:rsid w:val="0032130E"/>
    <w:rsid w:val="0032187E"/>
    <w:rsid w:val="003218EA"/>
    <w:rsid w:val="00321F93"/>
    <w:rsid w:val="0032278A"/>
    <w:rsid w:val="0032279E"/>
    <w:rsid w:val="00322912"/>
    <w:rsid w:val="00322A25"/>
    <w:rsid w:val="00322EDB"/>
    <w:rsid w:val="0032318E"/>
    <w:rsid w:val="00324A14"/>
    <w:rsid w:val="00325668"/>
    <w:rsid w:val="00325798"/>
    <w:rsid w:val="003262AB"/>
    <w:rsid w:val="0032659C"/>
    <w:rsid w:val="00327292"/>
    <w:rsid w:val="003272FD"/>
    <w:rsid w:val="0032744E"/>
    <w:rsid w:val="00327480"/>
    <w:rsid w:val="00330290"/>
    <w:rsid w:val="00330A37"/>
    <w:rsid w:val="00330B81"/>
    <w:rsid w:val="00330BA9"/>
    <w:rsid w:val="003314E8"/>
    <w:rsid w:val="00331E93"/>
    <w:rsid w:val="00333A15"/>
    <w:rsid w:val="00333A6D"/>
    <w:rsid w:val="00333F1D"/>
    <w:rsid w:val="00335776"/>
    <w:rsid w:val="00335E73"/>
    <w:rsid w:val="00336075"/>
    <w:rsid w:val="0033621C"/>
    <w:rsid w:val="00336705"/>
    <w:rsid w:val="00336C5F"/>
    <w:rsid w:val="00336E5A"/>
    <w:rsid w:val="00336ED2"/>
    <w:rsid w:val="003374B9"/>
    <w:rsid w:val="003375AB"/>
    <w:rsid w:val="003378B1"/>
    <w:rsid w:val="00337CE8"/>
    <w:rsid w:val="003404C5"/>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0E0E"/>
    <w:rsid w:val="00361429"/>
    <w:rsid w:val="003618B0"/>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1009"/>
    <w:rsid w:val="00371BC4"/>
    <w:rsid w:val="00371D64"/>
    <w:rsid w:val="003722E8"/>
    <w:rsid w:val="00372733"/>
    <w:rsid w:val="0037280D"/>
    <w:rsid w:val="003728E1"/>
    <w:rsid w:val="00372C4C"/>
    <w:rsid w:val="00373B9D"/>
    <w:rsid w:val="00374100"/>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4993"/>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2DF"/>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41"/>
    <w:rsid w:val="00401CD0"/>
    <w:rsid w:val="004024AD"/>
    <w:rsid w:val="00402608"/>
    <w:rsid w:val="00402764"/>
    <w:rsid w:val="004029C9"/>
    <w:rsid w:val="00402B48"/>
    <w:rsid w:val="00403542"/>
    <w:rsid w:val="00403A15"/>
    <w:rsid w:val="00403A3E"/>
    <w:rsid w:val="00403DBE"/>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BDE"/>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1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4D3"/>
    <w:rsid w:val="0044482D"/>
    <w:rsid w:val="00444927"/>
    <w:rsid w:val="00444FEA"/>
    <w:rsid w:val="004458AB"/>
    <w:rsid w:val="00445C9F"/>
    <w:rsid w:val="0044668C"/>
    <w:rsid w:val="00446D64"/>
    <w:rsid w:val="004479C3"/>
    <w:rsid w:val="004503A1"/>
    <w:rsid w:val="00450674"/>
    <w:rsid w:val="00450BE0"/>
    <w:rsid w:val="00450D8E"/>
    <w:rsid w:val="00451691"/>
    <w:rsid w:val="0045201A"/>
    <w:rsid w:val="004526C7"/>
    <w:rsid w:val="00452BE5"/>
    <w:rsid w:val="00453DB3"/>
    <w:rsid w:val="00454B8F"/>
    <w:rsid w:val="00454C20"/>
    <w:rsid w:val="004558FA"/>
    <w:rsid w:val="00455AB8"/>
    <w:rsid w:val="00455CAE"/>
    <w:rsid w:val="00455E9B"/>
    <w:rsid w:val="00456D15"/>
    <w:rsid w:val="004578E3"/>
    <w:rsid w:val="00460244"/>
    <w:rsid w:val="004602D4"/>
    <w:rsid w:val="00460529"/>
    <w:rsid w:val="00460847"/>
    <w:rsid w:val="00460A4B"/>
    <w:rsid w:val="00461074"/>
    <w:rsid w:val="00461252"/>
    <w:rsid w:val="0046159B"/>
    <w:rsid w:val="00461A84"/>
    <w:rsid w:val="00462286"/>
    <w:rsid w:val="00462F25"/>
    <w:rsid w:val="004631A1"/>
    <w:rsid w:val="0046330C"/>
    <w:rsid w:val="00463717"/>
    <w:rsid w:val="00463754"/>
    <w:rsid w:val="004637CD"/>
    <w:rsid w:val="004642AE"/>
    <w:rsid w:val="004644E5"/>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7507"/>
    <w:rsid w:val="004876C2"/>
    <w:rsid w:val="004878B6"/>
    <w:rsid w:val="00487CD9"/>
    <w:rsid w:val="00490724"/>
    <w:rsid w:val="00490831"/>
    <w:rsid w:val="00491095"/>
    <w:rsid w:val="004918B1"/>
    <w:rsid w:val="00492611"/>
    <w:rsid w:val="004929D0"/>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C65"/>
    <w:rsid w:val="004A76F0"/>
    <w:rsid w:val="004A7B7A"/>
    <w:rsid w:val="004B0A5F"/>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1454"/>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CC0"/>
    <w:rsid w:val="004E7FC0"/>
    <w:rsid w:val="004F05B8"/>
    <w:rsid w:val="004F1A7E"/>
    <w:rsid w:val="004F1EEE"/>
    <w:rsid w:val="004F2C3F"/>
    <w:rsid w:val="004F2F35"/>
    <w:rsid w:val="004F3434"/>
    <w:rsid w:val="004F3BE6"/>
    <w:rsid w:val="004F3D20"/>
    <w:rsid w:val="004F4978"/>
    <w:rsid w:val="004F4F47"/>
    <w:rsid w:val="004F56ED"/>
    <w:rsid w:val="004F5C0E"/>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47B"/>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62F1"/>
    <w:rsid w:val="00516603"/>
    <w:rsid w:val="005172C1"/>
    <w:rsid w:val="0051788F"/>
    <w:rsid w:val="00520235"/>
    <w:rsid w:val="005219BF"/>
    <w:rsid w:val="0052276B"/>
    <w:rsid w:val="00522FBE"/>
    <w:rsid w:val="005234BC"/>
    <w:rsid w:val="00523817"/>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0E9"/>
    <w:rsid w:val="00530166"/>
    <w:rsid w:val="00530771"/>
    <w:rsid w:val="00530783"/>
    <w:rsid w:val="00530833"/>
    <w:rsid w:val="00530DE9"/>
    <w:rsid w:val="00531B21"/>
    <w:rsid w:val="005320EA"/>
    <w:rsid w:val="00532601"/>
    <w:rsid w:val="00533E77"/>
    <w:rsid w:val="0053625D"/>
    <w:rsid w:val="00536F59"/>
    <w:rsid w:val="00537507"/>
    <w:rsid w:val="00537A32"/>
    <w:rsid w:val="0054077E"/>
    <w:rsid w:val="00540889"/>
    <w:rsid w:val="005408E9"/>
    <w:rsid w:val="00540997"/>
    <w:rsid w:val="005412F3"/>
    <w:rsid w:val="00541413"/>
    <w:rsid w:val="005431C5"/>
    <w:rsid w:val="005431F0"/>
    <w:rsid w:val="005431FC"/>
    <w:rsid w:val="00543446"/>
    <w:rsid w:val="005439F9"/>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469"/>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845"/>
    <w:rsid w:val="00567EF7"/>
    <w:rsid w:val="0057034F"/>
    <w:rsid w:val="005704AC"/>
    <w:rsid w:val="00570584"/>
    <w:rsid w:val="005712D6"/>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6226"/>
    <w:rsid w:val="005762EA"/>
    <w:rsid w:val="005767AE"/>
    <w:rsid w:val="00576F1E"/>
    <w:rsid w:val="00580390"/>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081D"/>
    <w:rsid w:val="005B1142"/>
    <w:rsid w:val="005B1546"/>
    <w:rsid w:val="005B1E57"/>
    <w:rsid w:val="005B2054"/>
    <w:rsid w:val="005B2607"/>
    <w:rsid w:val="005B26FD"/>
    <w:rsid w:val="005B429E"/>
    <w:rsid w:val="005B44D0"/>
    <w:rsid w:val="005B4C55"/>
    <w:rsid w:val="005B4CD8"/>
    <w:rsid w:val="005B5B11"/>
    <w:rsid w:val="005B5C20"/>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479"/>
    <w:rsid w:val="005E75A1"/>
    <w:rsid w:val="005E7892"/>
    <w:rsid w:val="005E7A45"/>
    <w:rsid w:val="005E7E04"/>
    <w:rsid w:val="005F0245"/>
    <w:rsid w:val="005F0652"/>
    <w:rsid w:val="005F07BE"/>
    <w:rsid w:val="005F0AF1"/>
    <w:rsid w:val="005F0FCE"/>
    <w:rsid w:val="005F1146"/>
    <w:rsid w:val="005F17F5"/>
    <w:rsid w:val="005F3411"/>
    <w:rsid w:val="005F3CEA"/>
    <w:rsid w:val="005F4914"/>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45F"/>
    <w:rsid w:val="00606CC5"/>
    <w:rsid w:val="00606F86"/>
    <w:rsid w:val="00607141"/>
    <w:rsid w:val="00607B23"/>
    <w:rsid w:val="00607E93"/>
    <w:rsid w:val="0061023E"/>
    <w:rsid w:val="0061061E"/>
    <w:rsid w:val="00610EB2"/>
    <w:rsid w:val="00611189"/>
    <w:rsid w:val="00611AD0"/>
    <w:rsid w:val="006125C5"/>
    <w:rsid w:val="0061278B"/>
    <w:rsid w:val="00613E2B"/>
    <w:rsid w:val="006144BB"/>
    <w:rsid w:val="00615CB3"/>
    <w:rsid w:val="00616900"/>
    <w:rsid w:val="00616ACC"/>
    <w:rsid w:val="00616B2A"/>
    <w:rsid w:val="006173B8"/>
    <w:rsid w:val="0061744E"/>
    <w:rsid w:val="0061799E"/>
    <w:rsid w:val="00617CDA"/>
    <w:rsid w:val="00620356"/>
    <w:rsid w:val="006204AA"/>
    <w:rsid w:val="006204D9"/>
    <w:rsid w:val="006205AD"/>
    <w:rsid w:val="00621323"/>
    <w:rsid w:val="00621934"/>
    <w:rsid w:val="00622007"/>
    <w:rsid w:val="00622D41"/>
    <w:rsid w:val="00623D94"/>
    <w:rsid w:val="00623F1D"/>
    <w:rsid w:val="00624D93"/>
    <w:rsid w:val="006254B1"/>
    <w:rsid w:val="00626034"/>
    <w:rsid w:val="00627058"/>
    <w:rsid w:val="00630007"/>
    <w:rsid w:val="006305AE"/>
    <w:rsid w:val="00630928"/>
    <w:rsid w:val="00630940"/>
    <w:rsid w:val="00630B6A"/>
    <w:rsid w:val="006312F7"/>
    <w:rsid w:val="0063144C"/>
    <w:rsid w:val="006315B7"/>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758"/>
    <w:rsid w:val="00641DF1"/>
    <w:rsid w:val="00642146"/>
    <w:rsid w:val="0064243B"/>
    <w:rsid w:val="00642B83"/>
    <w:rsid w:val="0064341D"/>
    <w:rsid w:val="006434E8"/>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2EF9"/>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EB9"/>
    <w:rsid w:val="00672482"/>
    <w:rsid w:val="0067279A"/>
    <w:rsid w:val="00673913"/>
    <w:rsid w:val="00673BEE"/>
    <w:rsid w:val="006740EF"/>
    <w:rsid w:val="0067429C"/>
    <w:rsid w:val="006746D0"/>
    <w:rsid w:val="0067478F"/>
    <w:rsid w:val="00675115"/>
    <w:rsid w:val="00675FA0"/>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747"/>
    <w:rsid w:val="006A0F53"/>
    <w:rsid w:val="006A18E6"/>
    <w:rsid w:val="006A1DBF"/>
    <w:rsid w:val="006A29F8"/>
    <w:rsid w:val="006A3D1B"/>
    <w:rsid w:val="006A414B"/>
    <w:rsid w:val="006A4D96"/>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90E"/>
    <w:rsid w:val="006B4EB7"/>
    <w:rsid w:val="006B51B9"/>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CBD"/>
    <w:rsid w:val="006F003B"/>
    <w:rsid w:val="006F0301"/>
    <w:rsid w:val="006F15A9"/>
    <w:rsid w:val="006F27E3"/>
    <w:rsid w:val="006F28FB"/>
    <w:rsid w:val="006F316D"/>
    <w:rsid w:val="006F39CD"/>
    <w:rsid w:val="006F3DAA"/>
    <w:rsid w:val="006F3E1E"/>
    <w:rsid w:val="006F50BC"/>
    <w:rsid w:val="006F5642"/>
    <w:rsid w:val="006F63EF"/>
    <w:rsid w:val="006F647C"/>
    <w:rsid w:val="006F6796"/>
    <w:rsid w:val="006F6DAF"/>
    <w:rsid w:val="006F7DDF"/>
    <w:rsid w:val="00700123"/>
    <w:rsid w:val="007003B9"/>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158E"/>
    <w:rsid w:val="0073172A"/>
    <w:rsid w:val="00731C19"/>
    <w:rsid w:val="007322D1"/>
    <w:rsid w:val="00732705"/>
    <w:rsid w:val="00732773"/>
    <w:rsid w:val="00732EBC"/>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C97"/>
    <w:rsid w:val="007456EB"/>
    <w:rsid w:val="00745A19"/>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338B"/>
    <w:rsid w:val="00773552"/>
    <w:rsid w:val="007755CC"/>
    <w:rsid w:val="007755CD"/>
    <w:rsid w:val="00775E74"/>
    <w:rsid w:val="00775F75"/>
    <w:rsid w:val="007762CD"/>
    <w:rsid w:val="0077650F"/>
    <w:rsid w:val="00777290"/>
    <w:rsid w:val="007777F7"/>
    <w:rsid w:val="00777920"/>
    <w:rsid w:val="00780273"/>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2F87"/>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BDD"/>
    <w:rsid w:val="007A3E20"/>
    <w:rsid w:val="007A3E4D"/>
    <w:rsid w:val="007A4506"/>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AB2"/>
    <w:rsid w:val="00814CAD"/>
    <w:rsid w:val="00815424"/>
    <w:rsid w:val="0081587D"/>
    <w:rsid w:val="00815AF2"/>
    <w:rsid w:val="00816320"/>
    <w:rsid w:val="008163C7"/>
    <w:rsid w:val="008171B1"/>
    <w:rsid w:val="00817D96"/>
    <w:rsid w:val="00817F9A"/>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10A"/>
    <w:rsid w:val="008447C7"/>
    <w:rsid w:val="008447D4"/>
    <w:rsid w:val="00844FEB"/>
    <w:rsid w:val="0084506C"/>
    <w:rsid w:val="008454BD"/>
    <w:rsid w:val="0084562F"/>
    <w:rsid w:val="0084581C"/>
    <w:rsid w:val="00845BE7"/>
    <w:rsid w:val="008462BA"/>
    <w:rsid w:val="008463F3"/>
    <w:rsid w:val="00846D76"/>
    <w:rsid w:val="008471B2"/>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39E"/>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107"/>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83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38F8"/>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0F70"/>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47"/>
    <w:rsid w:val="00970858"/>
    <w:rsid w:val="00971831"/>
    <w:rsid w:val="00971B0F"/>
    <w:rsid w:val="0097216D"/>
    <w:rsid w:val="00972486"/>
    <w:rsid w:val="00972799"/>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5CF"/>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8E2"/>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7AE"/>
    <w:rsid w:val="009F086C"/>
    <w:rsid w:val="009F0EA6"/>
    <w:rsid w:val="009F1387"/>
    <w:rsid w:val="009F1443"/>
    <w:rsid w:val="009F14F3"/>
    <w:rsid w:val="009F1778"/>
    <w:rsid w:val="009F1EEE"/>
    <w:rsid w:val="009F1FA6"/>
    <w:rsid w:val="009F239C"/>
    <w:rsid w:val="009F2E88"/>
    <w:rsid w:val="009F4825"/>
    <w:rsid w:val="009F49FF"/>
    <w:rsid w:val="009F4C1B"/>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ED8"/>
    <w:rsid w:val="00A07147"/>
    <w:rsid w:val="00A07570"/>
    <w:rsid w:val="00A10103"/>
    <w:rsid w:val="00A11137"/>
    <w:rsid w:val="00A111EA"/>
    <w:rsid w:val="00A1135E"/>
    <w:rsid w:val="00A11447"/>
    <w:rsid w:val="00A11B67"/>
    <w:rsid w:val="00A11DEE"/>
    <w:rsid w:val="00A12405"/>
    <w:rsid w:val="00A12B28"/>
    <w:rsid w:val="00A12DF2"/>
    <w:rsid w:val="00A13EAB"/>
    <w:rsid w:val="00A162DF"/>
    <w:rsid w:val="00A16324"/>
    <w:rsid w:val="00A17013"/>
    <w:rsid w:val="00A17AF1"/>
    <w:rsid w:val="00A17B4D"/>
    <w:rsid w:val="00A17B91"/>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6D"/>
    <w:rsid w:val="00A42DF3"/>
    <w:rsid w:val="00A432A0"/>
    <w:rsid w:val="00A4354B"/>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B2"/>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CC9"/>
    <w:rsid w:val="00AC2F23"/>
    <w:rsid w:val="00AC318F"/>
    <w:rsid w:val="00AC3535"/>
    <w:rsid w:val="00AC449D"/>
    <w:rsid w:val="00AC55C2"/>
    <w:rsid w:val="00AC5C6A"/>
    <w:rsid w:val="00AC5D05"/>
    <w:rsid w:val="00AC65AF"/>
    <w:rsid w:val="00AC7052"/>
    <w:rsid w:val="00AC70AF"/>
    <w:rsid w:val="00AC7703"/>
    <w:rsid w:val="00AC7736"/>
    <w:rsid w:val="00AC7E57"/>
    <w:rsid w:val="00AD0508"/>
    <w:rsid w:val="00AD0558"/>
    <w:rsid w:val="00AD05B2"/>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7C4"/>
    <w:rsid w:val="00AE6873"/>
    <w:rsid w:val="00AE6D21"/>
    <w:rsid w:val="00AE70EF"/>
    <w:rsid w:val="00AE7169"/>
    <w:rsid w:val="00AE7523"/>
    <w:rsid w:val="00AE7F9B"/>
    <w:rsid w:val="00AF0D16"/>
    <w:rsid w:val="00AF1DE2"/>
    <w:rsid w:val="00AF2806"/>
    <w:rsid w:val="00AF2A30"/>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AEC"/>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07DD0"/>
    <w:rsid w:val="00B115ED"/>
    <w:rsid w:val="00B117CB"/>
    <w:rsid w:val="00B117D7"/>
    <w:rsid w:val="00B11972"/>
    <w:rsid w:val="00B12516"/>
    <w:rsid w:val="00B12732"/>
    <w:rsid w:val="00B13785"/>
    <w:rsid w:val="00B13B8E"/>
    <w:rsid w:val="00B142E0"/>
    <w:rsid w:val="00B14312"/>
    <w:rsid w:val="00B14CF7"/>
    <w:rsid w:val="00B15237"/>
    <w:rsid w:val="00B154C1"/>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27F36"/>
    <w:rsid w:val="00B313F6"/>
    <w:rsid w:val="00B323E3"/>
    <w:rsid w:val="00B32506"/>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1FE7"/>
    <w:rsid w:val="00B82AE5"/>
    <w:rsid w:val="00B82D16"/>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B43"/>
    <w:rsid w:val="00B96C52"/>
    <w:rsid w:val="00B96C53"/>
    <w:rsid w:val="00B96E50"/>
    <w:rsid w:val="00B973D0"/>
    <w:rsid w:val="00B975CF"/>
    <w:rsid w:val="00BA0F89"/>
    <w:rsid w:val="00BA1049"/>
    <w:rsid w:val="00BA179D"/>
    <w:rsid w:val="00BA1AFD"/>
    <w:rsid w:val="00BA217B"/>
    <w:rsid w:val="00BA2A85"/>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E0DCB"/>
    <w:rsid w:val="00BE1859"/>
    <w:rsid w:val="00BE24E9"/>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0CD"/>
    <w:rsid w:val="00BF6690"/>
    <w:rsid w:val="00BF74EB"/>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0B4"/>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543"/>
    <w:rsid w:val="00C505BA"/>
    <w:rsid w:val="00C50835"/>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E35"/>
    <w:rsid w:val="00C921B9"/>
    <w:rsid w:val="00C93087"/>
    <w:rsid w:val="00C93165"/>
    <w:rsid w:val="00C93944"/>
    <w:rsid w:val="00C9424C"/>
    <w:rsid w:val="00C94297"/>
    <w:rsid w:val="00C94660"/>
    <w:rsid w:val="00C94796"/>
    <w:rsid w:val="00C94C8D"/>
    <w:rsid w:val="00C9533D"/>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A7C3B"/>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ADC"/>
    <w:rsid w:val="00CE419A"/>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00C"/>
    <w:rsid w:val="00CF5577"/>
    <w:rsid w:val="00CF62A8"/>
    <w:rsid w:val="00CF67BC"/>
    <w:rsid w:val="00CF6D2B"/>
    <w:rsid w:val="00CF6DF4"/>
    <w:rsid w:val="00CF6EA7"/>
    <w:rsid w:val="00CF6EFA"/>
    <w:rsid w:val="00CF75DB"/>
    <w:rsid w:val="00CF7684"/>
    <w:rsid w:val="00D0024E"/>
    <w:rsid w:val="00D00F0F"/>
    <w:rsid w:val="00D00FC1"/>
    <w:rsid w:val="00D00FC7"/>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B25"/>
    <w:rsid w:val="00D7657C"/>
    <w:rsid w:val="00D76BAD"/>
    <w:rsid w:val="00D76E8B"/>
    <w:rsid w:val="00D76F16"/>
    <w:rsid w:val="00D7706C"/>
    <w:rsid w:val="00D77433"/>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1BA"/>
    <w:rsid w:val="00D9449B"/>
    <w:rsid w:val="00D94A33"/>
    <w:rsid w:val="00D95349"/>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650"/>
    <w:rsid w:val="00DE37AE"/>
    <w:rsid w:val="00DE38E9"/>
    <w:rsid w:val="00DE3A21"/>
    <w:rsid w:val="00DE3CCD"/>
    <w:rsid w:val="00DE3CE5"/>
    <w:rsid w:val="00DE4063"/>
    <w:rsid w:val="00DE472C"/>
    <w:rsid w:val="00DE5E6C"/>
    <w:rsid w:val="00DE6425"/>
    <w:rsid w:val="00DE6EB9"/>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435"/>
    <w:rsid w:val="00DF467D"/>
    <w:rsid w:val="00DF47F8"/>
    <w:rsid w:val="00DF4FB9"/>
    <w:rsid w:val="00DF6037"/>
    <w:rsid w:val="00DF60F3"/>
    <w:rsid w:val="00DF7942"/>
    <w:rsid w:val="00DF7C09"/>
    <w:rsid w:val="00E001D0"/>
    <w:rsid w:val="00E00419"/>
    <w:rsid w:val="00E0056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268"/>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AB4"/>
    <w:rsid w:val="00E84B48"/>
    <w:rsid w:val="00E84EBF"/>
    <w:rsid w:val="00E8590A"/>
    <w:rsid w:val="00E85F07"/>
    <w:rsid w:val="00E85F38"/>
    <w:rsid w:val="00E85FC0"/>
    <w:rsid w:val="00E861A8"/>
    <w:rsid w:val="00E86ED2"/>
    <w:rsid w:val="00E87629"/>
    <w:rsid w:val="00E87846"/>
    <w:rsid w:val="00E87853"/>
    <w:rsid w:val="00E87A66"/>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0FA"/>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A2D"/>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EC4"/>
    <w:rsid w:val="00EE38B4"/>
    <w:rsid w:val="00EE392A"/>
    <w:rsid w:val="00EE3F23"/>
    <w:rsid w:val="00EE4383"/>
    <w:rsid w:val="00EE59ED"/>
    <w:rsid w:val="00EE6168"/>
    <w:rsid w:val="00EE6853"/>
    <w:rsid w:val="00EE6C9F"/>
    <w:rsid w:val="00EE7E5F"/>
    <w:rsid w:val="00EF04B9"/>
    <w:rsid w:val="00EF067D"/>
    <w:rsid w:val="00EF102C"/>
    <w:rsid w:val="00EF105D"/>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3EA"/>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0E7"/>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78C"/>
    <w:rsid w:val="00F25F15"/>
    <w:rsid w:val="00F26758"/>
    <w:rsid w:val="00F26877"/>
    <w:rsid w:val="00F2691D"/>
    <w:rsid w:val="00F26B08"/>
    <w:rsid w:val="00F27950"/>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4F3"/>
    <w:rsid w:val="00F74FA0"/>
    <w:rsid w:val="00F75320"/>
    <w:rsid w:val="00F75913"/>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00D8"/>
    <w:rsid w:val="00FA106A"/>
    <w:rsid w:val="00FA2240"/>
    <w:rsid w:val="00FA27B3"/>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502D"/>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FEB"/>
    <w:rsid w:val="00FD36F8"/>
    <w:rsid w:val="00FD3EA0"/>
    <w:rsid w:val="00FD4189"/>
    <w:rsid w:val="00FD4326"/>
    <w:rsid w:val="00FD4789"/>
    <w:rsid w:val="00FD4BC6"/>
    <w:rsid w:val="00FD53A3"/>
    <w:rsid w:val="00FD5C7D"/>
    <w:rsid w:val="00FD5EAE"/>
    <w:rsid w:val="00FD6286"/>
    <w:rsid w:val="00FD6A99"/>
    <w:rsid w:val="00FE064B"/>
    <w:rsid w:val="00FE098C"/>
    <w:rsid w:val="00FE0AF5"/>
    <w:rsid w:val="00FE0D21"/>
    <w:rsid w:val="00FE162B"/>
    <w:rsid w:val="00FE21E9"/>
    <w:rsid w:val="00FE2D16"/>
    <w:rsid w:val="00FE31B2"/>
    <w:rsid w:val="00FE3716"/>
    <w:rsid w:val="00FE4314"/>
    <w:rsid w:val="00FE4D74"/>
    <w:rsid w:val="00FE559F"/>
    <w:rsid w:val="00FE6AAF"/>
    <w:rsid w:val="00FE6DAE"/>
    <w:rsid w:val="00FE6E03"/>
    <w:rsid w:val="00FE7473"/>
    <w:rsid w:val="00FF0CD1"/>
    <w:rsid w:val="00FF0F4C"/>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8054F1"/>
    <w:rsid w:val="018C5F7F"/>
    <w:rsid w:val="01BB5A85"/>
    <w:rsid w:val="01BE4069"/>
    <w:rsid w:val="01BE5800"/>
    <w:rsid w:val="01E46F65"/>
    <w:rsid w:val="02084C44"/>
    <w:rsid w:val="02377801"/>
    <w:rsid w:val="023A4BFB"/>
    <w:rsid w:val="024144A6"/>
    <w:rsid w:val="02B31B7A"/>
    <w:rsid w:val="02E536DD"/>
    <w:rsid w:val="03045209"/>
    <w:rsid w:val="03074550"/>
    <w:rsid w:val="034445B5"/>
    <w:rsid w:val="03C652EA"/>
    <w:rsid w:val="03E07A24"/>
    <w:rsid w:val="03F06C42"/>
    <w:rsid w:val="041B3357"/>
    <w:rsid w:val="043166EB"/>
    <w:rsid w:val="04410087"/>
    <w:rsid w:val="045521C0"/>
    <w:rsid w:val="049F025D"/>
    <w:rsid w:val="04BB7326"/>
    <w:rsid w:val="04C34346"/>
    <w:rsid w:val="04E2157A"/>
    <w:rsid w:val="04E30437"/>
    <w:rsid w:val="057F6DC9"/>
    <w:rsid w:val="059160E1"/>
    <w:rsid w:val="05A3050F"/>
    <w:rsid w:val="05D67331"/>
    <w:rsid w:val="05F41FAA"/>
    <w:rsid w:val="06287461"/>
    <w:rsid w:val="063B78DC"/>
    <w:rsid w:val="06693D01"/>
    <w:rsid w:val="06C13B3D"/>
    <w:rsid w:val="07052277"/>
    <w:rsid w:val="073C7668"/>
    <w:rsid w:val="075272A3"/>
    <w:rsid w:val="076E0F6D"/>
    <w:rsid w:val="07C66F31"/>
    <w:rsid w:val="07E84F31"/>
    <w:rsid w:val="07FD5430"/>
    <w:rsid w:val="080B2B96"/>
    <w:rsid w:val="0839529D"/>
    <w:rsid w:val="087B41C0"/>
    <w:rsid w:val="08AA0601"/>
    <w:rsid w:val="08AD0F4B"/>
    <w:rsid w:val="09615163"/>
    <w:rsid w:val="097640A4"/>
    <w:rsid w:val="09974C33"/>
    <w:rsid w:val="09B82947"/>
    <w:rsid w:val="0A456833"/>
    <w:rsid w:val="0AAE6131"/>
    <w:rsid w:val="0ABF071C"/>
    <w:rsid w:val="0AC0410C"/>
    <w:rsid w:val="0AFA761E"/>
    <w:rsid w:val="0B0E131B"/>
    <w:rsid w:val="0B505490"/>
    <w:rsid w:val="0B9B717C"/>
    <w:rsid w:val="0BDC31C7"/>
    <w:rsid w:val="0BF958C7"/>
    <w:rsid w:val="0C3F3332"/>
    <w:rsid w:val="0C5A09A9"/>
    <w:rsid w:val="0CDB719E"/>
    <w:rsid w:val="0D0E115E"/>
    <w:rsid w:val="0D3A01A5"/>
    <w:rsid w:val="0D527FEB"/>
    <w:rsid w:val="0DC47876"/>
    <w:rsid w:val="0E0812B7"/>
    <w:rsid w:val="0E2E7579"/>
    <w:rsid w:val="0E3E5A73"/>
    <w:rsid w:val="0E8E54DA"/>
    <w:rsid w:val="0E8F4A99"/>
    <w:rsid w:val="0EAB6A73"/>
    <w:rsid w:val="0EC73CBB"/>
    <w:rsid w:val="0ED10695"/>
    <w:rsid w:val="0ED72541"/>
    <w:rsid w:val="0F2904D1"/>
    <w:rsid w:val="0F3375A2"/>
    <w:rsid w:val="0F44355D"/>
    <w:rsid w:val="0F4D0707"/>
    <w:rsid w:val="0F9F0794"/>
    <w:rsid w:val="0FBA2A45"/>
    <w:rsid w:val="0FC41654"/>
    <w:rsid w:val="0FDE7285"/>
    <w:rsid w:val="1066305F"/>
    <w:rsid w:val="10693B2C"/>
    <w:rsid w:val="10BD35C7"/>
    <w:rsid w:val="111B02EE"/>
    <w:rsid w:val="11323F23"/>
    <w:rsid w:val="113A727B"/>
    <w:rsid w:val="118C2ED5"/>
    <w:rsid w:val="119F7E32"/>
    <w:rsid w:val="11B83D31"/>
    <w:rsid w:val="11F0177A"/>
    <w:rsid w:val="121D416B"/>
    <w:rsid w:val="124F46F3"/>
    <w:rsid w:val="12531C9B"/>
    <w:rsid w:val="126B0E01"/>
    <w:rsid w:val="12795B29"/>
    <w:rsid w:val="12F62B63"/>
    <w:rsid w:val="13272F7A"/>
    <w:rsid w:val="135A6E08"/>
    <w:rsid w:val="13696837"/>
    <w:rsid w:val="137E3987"/>
    <w:rsid w:val="13B31AEC"/>
    <w:rsid w:val="13FE3FBA"/>
    <w:rsid w:val="140E1568"/>
    <w:rsid w:val="14117786"/>
    <w:rsid w:val="14404369"/>
    <w:rsid w:val="147C5547"/>
    <w:rsid w:val="149E726C"/>
    <w:rsid w:val="157709B0"/>
    <w:rsid w:val="15C947BC"/>
    <w:rsid w:val="15EC64DD"/>
    <w:rsid w:val="16A13043"/>
    <w:rsid w:val="16BF46FB"/>
    <w:rsid w:val="175D674F"/>
    <w:rsid w:val="176E3033"/>
    <w:rsid w:val="17B648CC"/>
    <w:rsid w:val="17B9616B"/>
    <w:rsid w:val="17CD2550"/>
    <w:rsid w:val="17CE7E68"/>
    <w:rsid w:val="18114189"/>
    <w:rsid w:val="184243B2"/>
    <w:rsid w:val="1853036D"/>
    <w:rsid w:val="185540E5"/>
    <w:rsid w:val="186662F2"/>
    <w:rsid w:val="18714C97"/>
    <w:rsid w:val="189270E7"/>
    <w:rsid w:val="18A4506D"/>
    <w:rsid w:val="18AB1F57"/>
    <w:rsid w:val="18C9640A"/>
    <w:rsid w:val="18F06F2D"/>
    <w:rsid w:val="19223571"/>
    <w:rsid w:val="193E726F"/>
    <w:rsid w:val="197607B7"/>
    <w:rsid w:val="19AD7F51"/>
    <w:rsid w:val="1A514D80"/>
    <w:rsid w:val="1A7F18ED"/>
    <w:rsid w:val="1AAC0209"/>
    <w:rsid w:val="1AAD1AD0"/>
    <w:rsid w:val="1ABF7F3C"/>
    <w:rsid w:val="1ACD2E18"/>
    <w:rsid w:val="1AF36070"/>
    <w:rsid w:val="1AF80717"/>
    <w:rsid w:val="1B7725C5"/>
    <w:rsid w:val="1B8B6070"/>
    <w:rsid w:val="1BA50D14"/>
    <w:rsid w:val="1BA677E7"/>
    <w:rsid w:val="1BC343DB"/>
    <w:rsid w:val="1BCF41AF"/>
    <w:rsid w:val="1C625D30"/>
    <w:rsid w:val="1C7671E3"/>
    <w:rsid w:val="1C777601"/>
    <w:rsid w:val="1C8A493E"/>
    <w:rsid w:val="1CB11B53"/>
    <w:rsid w:val="1CCB6998"/>
    <w:rsid w:val="1CD6623F"/>
    <w:rsid w:val="1CE149AE"/>
    <w:rsid w:val="1CE974F2"/>
    <w:rsid w:val="1CF90898"/>
    <w:rsid w:val="1CFA0FE7"/>
    <w:rsid w:val="1D2B18B9"/>
    <w:rsid w:val="1D3823DE"/>
    <w:rsid w:val="1D436C02"/>
    <w:rsid w:val="1D8C69C4"/>
    <w:rsid w:val="1D8E1D40"/>
    <w:rsid w:val="1D9E066F"/>
    <w:rsid w:val="1DDF4451"/>
    <w:rsid w:val="1E1C7C6C"/>
    <w:rsid w:val="1E2A6014"/>
    <w:rsid w:val="1E5F5CBE"/>
    <w:rsid w:val="1E786F00"/>
    <w:rsid w:val="1EBC0B66"/>
    <w:rsid w:val="1EC93A19"/>
    <w:rsid w:val="1EFB350D"/>
    <w:rsid w:val="1F1F65F5"/>
    <w:rsid w:val="1F2A2BC8"/>
    <w:rsid w:val="1F343C02"/>
    <w:rsid w:val="1F901B04"/>
    <w:rsid w:val="1FAC7E53"/>
    <w:rsid w:val="202C1558"/>
    <w:rsid w:val="20517FE3"/>
    <w:rsid w:val="206375BB"/>
    <w:rsid w:val="206B32C2"/>
    <w:rsid w:val="20B9768F"/>
    <w:rsid w:val="20CE2C18"/>
    <w:rsid w:val="20DD55C0"/>
    <w:rsid w:val="20FF5536"/>
    <w:rsid w:val="211A16EC"/>
    <w:rsid w:val="214E201A"/>
    <w:rsid w:val="21507B40"/>
    <w:rsid w:val="216F5BA0"/>
    <w:rsid w:val="217C1DAF"/>
    <w:rsid w:val="218220DE"/>
    <w:rsid w:val="21D95D87"/>
    <w:rsid w:val="21EC4EFA"/>
    <w:rsid w:val="22124DF5"/>
    <w:rsid w:val="222A6705"/>
    <w:rsid w:val="222C76C6"/>
    <w:rsid w:val="22466CF3"/>
    <w:rsid w:val="228F28EA"/>
    <w:rsid w:val="229D6DB5"/>
    <w:rsid w:val="22A344E7"/>
    <w:rsid w:val="22DE3197"/>
    <w:rsid w:val="22F42D37"/>
    <w:rsid w:val="22F92B76"/>
    <w:rsid w:val="230706D2"/>
    <w:rsid w:val="230E0741"/>
    <w:rsid w:val="23691642"/>
    <w:rsid w:val="23BC14BC"/>
    <w:rsid w:val="23F63E16"/>
    <w:rsid w:val="240B2444"/>
    <w:rsid w:val="243A32C2"/>
    <w:rsid w:val="24885842"/>
    <w:rsid w:val="250255F5"/>
    <w:rsid w:val="25093A3B"/>
    <w:rsid w:val="25236D0D"/>
    <w:rsid w:val="252F645D"/>
    <w:rsid w:val="258858A9"/>
    <w:rsid w:val="25A7119C"/>
    <w:rsid w:val="25DF5936"/>
    <w:rsid w:val="26757E2C"/>
    <w:rsid w:val="26790701"/>
    <w:rsid w:val="26BA1FB2"/>
    <w:rsid w:val="273508EE"/>
    <w:rsid w:val="27483692"/>
    <w:rsid w:val="27552BEB"/>
    <w:rsid w:val="276F6E45"/>
    <w:rsid w:val="277976C4"/>
    <w:rsid w:val="278066D7"/>
    <w:rsid w:val="27826579"/>
    <w:rsid w:val="27827B0F"/>
    <w:rsid w:val="27886287"/>
    <w:rsid w:val="27B150B0"/>
    <w:rsid w:val="27BE5AEE"/>
    <w:rsid w:val="27F53526"/>
    <w:rsid w:val="27FA5E76"/>
    <w:rsid w:val="2810627B"/>
    <w:rsid w:val="281A0BFA"/>
    <w:rsid w:val="282E04AF"/>
    <w:rsid w:val="284E0B51"/>
    <w:rsid w:val="28526934"/>
    <w:rsid w:val="28690FE5"/>
    <w:rsid w:val="288E2BD2"/>
    <w:rsid w:val="28A95D87"/>
    <w:rsid w:val="28DC50AB"/>
    <w:rsid w:val="28E55271"/>
    <w:rsid w:val="28E60D8A"/>
    <w:rsid w:val="2923374B"/>
    <w:rsid w:val="296E0AB3"/>
    <w:rsid w:val="29802F8C"/>
    <w:rsid w:val="29BD796F"/>
    <w:rsid w:val="2A0616E3"/>
    <w:rsid w:val="2A24600D"/>
    <w:rsid w:val="2A321881"/>
    <w:rsid w:val="2A475858"/>
    <w:rsid w:val="2A575D85"/>
    <w:rsid w:val="2A667FDD"/>
    <w:rsid w:val="2A9F2D16"/>
    <w:rsid w:val="2AAC3644"/>
    <w:rsid w:val="2AB56C65"/>
    <w:rsid w:val="2ACF7D27"/>
    <w:rsid w:val="2B050629"/>
    <w:rsid w:val="2B12230A"/>
    <w:rsid w:val="2B34402E"/>
    <w:rsid w:val="2B8946FF"/>
    <w:rsid w:val="2B8F395A"/>
    <w:rsid w:val="2B9176D3"/>
    <w:rsid w:val="2BA32F62"/>
    <w:rsid w:val="2BD61589"/>
    <w:rsid w:val="2C0A4741"/>
    <w:rsid w:val="2C9D2BAD"/>
    <w:rsid w:val="2CA61832"/>
    <w:rsid w:val="2CA84CD4"/>
    <w:rsid w:val="2CAE7E10"/>
    <w:rsid w:val="2CC17B44"/>
    <w:rsid w:val="2CE657FC"/>
    <w:rsid w:val="2CF86E08"/>
    <w:rsid w:val="2CFC5020"/>
    <w:rsid w:val="2D256324"/>
    <w:rsid w:val="2D9B15EF"/>
    <w:rsid w:val="2E1F0FC6"/>
    <w:rsid w:val="2E304308"/>
    <w:rsid w:val="2E5F4C31"/>
    <w:rsid w:val="2E6F7E34"/>
    <w:rsid w:val="2EB26D79"/>
    <w:rsid w:val="2EF20488"/>
    <w:rsid w:val="2F307202"/>
    <w:rsid w:val="2F7145F4"/>
    <w:rsid w:val="2F73532D"/>
    <w:rsid w:val="2FAA48BF"/>
    <w:rsid w:val="2FC60B4F"/>
    <w:rsid w:val="2FF95846"/>
    <w:rsid w:val="3014442E"/>
    <w:rsid w:val="3029048B"/>
    <w:rsid w:val="302E54F0"/>
    <w:rsid w:val="30580298"/>
    <w:rsid w:val="30646F90"/>
    <w:rsid w:val="307D6477"/>
    <w:rsid w:val="30AC28B9"/>
    <w:rsid w:val="30CB0402"/>
    <w:rsid w:val="310B75DF"/>
    <w:rsid w:val="313C4E35"/>
    <w:rsid w:val="31496359"/>
    <w:rsid w:val="31B47C77"/>
    <w:rsid w:val="31B66D5F"/>
    <w:rsid w:val="324D2681"/>
    <w:rsid w:val="325356E2"/>
    <w:rsid w:val="32655415"/>
    <w:rsid w:val="327A39AE"/>
    <w:rsid w:val="32B11D6B"/>
    <w:rsid w:val="32B819E9"/>
    <w:rsid w:val="32D0288E"/>
    <w:rsid w:val="32F02F31"/>
    <w:rsid w:val="333A23FE"/>
    <w:rsid w:val="334119DE"/>
    <w:rsid w:val="334D2131"/>
    <w:rsid w:val="33590C55"/>
    <w:rsid w:val="336E5337"/>
    <w:rsid w:val="33B51884"/>
    <w:rsid w:val="33CF0D98"/>
    <w:rsid w:val="34457450"/>
    <w:rsid w:val="348A4CBF"/>
    <w:rsid w:val="34C63A99"/>
    <w:rsid w:val="34DD74E5"/>
    <w:rsid w:val="34FD4189"/>
    <w:rsid w:val="35373F98"/>
    <w:rsid w:val="35523F43"/>
    <w:rsid w:val="357A5F32"/>
    <w:rsid w:val="359F479A"/>
    <w:rsid w:val="35AF0E81"/>
    <w:rsid w:val="35B201B9"/>
    <w:rsid w:val="35E1219E"/>
    <w:rsid w:val="363B7932"/>
    <w:rsid w:val="366118FB"/>
    <w:rsid w:val="367E508E"/>
    <w:rsid w:val="3691471E"/>
    <w:rsid w:val="36C50035"/>
    <w:rsid w:val="36CF10AF"/>
    <w:rsid w:val="36D15C2A"/>
    <w:rsid w:val="36E30C5B"/>
    <w:rsid w:val="36EB6F98"/>
    <w:rsid w:val="36FA4BBC"/>
    <w:rsid w:val="371116C7"/>
    <w:rsid w:val="371D61FE"/>
    <w:rsid w:val="372318F0"/>
    <w:rsid w:val="372617C9"/>
    <w:rsid w:val="37294C63"/>
    <w:rsid w:val="37427AD3"/>
    <w:rsid w:val="374B5AC3"/>
    <w:rsid w:val="37A24C61"/>
    <w:rsid w:val="37D7646D"/>
    <w:rsid w:val="380F3B87"/>
    <w:rsid w:val="38187E4F"/>
    <w:rsid w:val="3820445B"/>
    <w:rsid w:val="38210467"/>
    <w:rsid w:val="38401B73"/>
    <w:rsid w:val="3841739E"/>
    <w:rsid w:val="38465F70"/>
    <w:rsid w:val="384B1D2A"/>
    <w:rsid w:val="386B4E07"/>
    <w:rsid w:val="38C764E2"/>
    <w:rsid w:val="39184F8F"/>
    <w:rsid w:val="391D07F7"/>
    <w:rsid w:val="39780BBB"/>
    <w:rsid w:val="398919E9"/>
    <w:rsid w:val="399651CC"/>
    <w:rsid w:val="39D617F2"/>
    <w:rsid w:val="39F817D8"/>
    <w:rsid w:val="39FA4695"/>
    <w:rsid w:val="3A242E79"/>
    <w:rsid w:val="3A30455A"/>
    <w:rsid w:val="3A95616C"/>
    <w:rsid w:val="3A9643BE"/>
    <w:rsid w:val="3AD3766D"/>
    <w:rsid w:val="3AE315CD"/>
    <w:rsid w:val="3B610C15"/>
    <w:rsid w:val="3B731AB5"/>
    <w:rsid w:val="3B833738"/>
    <w:rsid w:val="3B874762"/>
    <w:rsid w:val="3B980AE4"/>
    <w:rsid w:val="3C2527C5"/>
    <w:rsid w:val="3C4165AB"/>
    <w:rsid w:val="3CDE204C"/>
    <w:rsid w:val="3D6A6A2D"/>
    <w:rsid w:val="3D6F75C9"/>
    <w:rsid w:val="3DB334D8"/>
    <w:rsid w:val="3DE90F01"/>
    <w:rsid w:val="3E266E35"/>
    <w:rsid w:val="3E6F5ADD"/>
    <w:rsid w:val="3E921AD0"/>
    <w:rsid w:val="3EBF7C5B"/>
    <w:rsid w:val="3EEB0A50"/>
    <w:rsid w:val="3F281FAB"/>
    <w:rsid w:val="3F4F5483"/>
    <w:rsid w:val="3F592D90"/>
    <w:rsid w:val="3F7F04D5"/>
    <w:rsid w:val="3F870779"/>
    <w:rsid w:val="3F980BD8"/>
    <w:rsid w:val="3FFF2A05"/>
    <w:rsid w:val="402B55A8"/>
    <w:rsid w:val="40615707"/>
    <w:rsid w:val="40A005F0"/>
    <w:rsid w:val="40D479EE"/>
    <w:rsid w:val="412C5863"/>
    <w:rsid w:val="414B5EF7"/>
    <w:rsid w:val="416C231C"/>
    <w:rsid w:val="417E1386"/>
    <w:rsid w:val="41C2126D"/>
    <w:rsid w:val="41CA2B9F"/>
    <w:rsid w:val="42164036"/>
    <w:rsid w:val="422B6BF4"/>
    <w:rsid w:val="42347713"/>
    <w:rsid w:val="42C910A8"/>
    <w:rsid w:val="42D53EF1"/>
    <w:rsid w:val="431F3EEC"/>
    <w:rsid w:val="43284021"/>
    <w:rsid w:val="435968D0"/>
    <w:rsid w:val="43B00A8F"/>
    <w:rsid w:val="441647C1"/>
    <w:rsid w:val="44625310"/>
    <w:rsid w:val="44743F8C"/>
    <w:rsid w:val="4488746D"/>
    <w:rsid w:val="45511B47"/>
    <w:rsid w:val="458D5374"/>
    <w:rsid w:val="45A15DDB"/>
    <w:rsid w:val="45B22926"/>
    <w:rsid w:val="46276812"/>
    <w:rsid w:val="462E6F3B"/>
    <w:rsid w:val="4681712C"/>
    <w:rsid w:val="468B6718"/>
    <w:rsid w:val="46957C1F"/>
    <w:rsid w:val="46A460B4"/>
    <w:rsid w:val="473B23EB"/>
    <w:rsid w:val="47B32EAB"/>
    <w:rsid w:val="47C40E8C"/>
    <w:rsid w:val="47F93301"/>
    <w:rsid w:val="48072BFE"/>
    <w:rsid w:val="48201667"/>
    <w:rsid w:val="48B1218F"/>
    <w:rsid w:val="48B14AB0"/>
    <w:rsid w:val="48C93BB0"/>
    <w:rsid w:val="48D6123C"/>
    <w:rsid w:val="49150F51"/>
    <w:rsid w:val="49373210"/>
    <w:rsid w:val="49480BD4"/>
    <w:rsid w:val="4957480F"/>
    <w:rsid w:val="4998087B"/>
    <w:rsid w:val="499F04DF"/>
    <w:rsid w:val="49CB3BFF"/>
    <w:rsid w:val="4A111CB3"/>
    <w:rsid w:val="4A5676C5"/>
    <w:rsid w:val="4A606796"/>
    <w:rsid w:val="4A7F341D"/>
    <w:rsid w:val="4A930919"/>
    <w:rsid w:val="4AA4619B"/>
    <w:rsid w:val="4B0B4954"/>
    <w:rsid w:val="4B284D77"/>
    <w:rsid w:val="4B4E6F64"/>
    <w:rsid w:val="4BD33374"/>
    <w:rsid w:val="4BEC1507"/>
    <w:rsid w:val="4C8F47D1"/>
    <w:rsid w:val="4C9D15DC"/>
    <w:rsid w:val="4C9D782D"/>
    <w:rsid w:val="4CA948F3"/>
    <w:rsid w:val="4CB520BC"/>
    <w:rsid w:val="4CD10909"/>
    <w:rsid w:val="4CD363C9"/>
    <w:rsid w:val="4D2E321B"/>
    <w:rsid w:val="4D7F6702"/>
    <w:rsid w:val="4D881740"/>
    <w:rsid w:val="4D944048"/>
    <w:rsid w:val="4DAA2A72"/>
    <w:rsid w:val="4DDA654A"/>
    <w:rsid w:val="4E1D39E1"/>
    <w:rsid w:val="4E263853"/>
    <w:rsid w:val="4E2F2707"/>
    <w:rsid w:val="4E36491F"/>
    <w:rsid w:val="4EA745E2"/>
    <w:rsid w:val="4F123950"/>
    <w:rsid w:val="4F134C73"/>
    <w:rsid w:val="4F1E0038"/>
    <w:rsid w:val="4FBA240D"/>
    <w:rsid w:val="50111B7F"/>
    <w:rsid w:val="50354221"/>
    <w:rsid w:val="50607291"/>
    <w:rsid w:val="507519D9"/>
    <w:rsid w:val="50903205"/>
    <w:rsid w:val="50CE26AB"/>
    <w:rsid w:val="50EC442B"/>
    <w:rsid w:val="51142088"/>
    <w:rsid w:val="51DD691E"/>
    <w:rsid w:val="520D0FB1"/>
    <w:rsid w:val="52127D7D"/>
    <w:rsid w:val="522E0F28"/>
    <w:rsid w:val="52412A63"/>
    <w:rsid w:val="52642B9B"/>
    <w:rsid w:val="52D63A99"/>
    <w:rsid w:val="53763D4D"/>
    <w:rsid w:val="538D45BD"/>
    <w:rsid w:val="53D8739D"/>
    <w:rsid w:val="540C5299"/>
    <w:rsid w:val="54135280"/>
    <w:rsid w:val="541F2B8E"/>
    <w:rsid w:val="5438608E"/>
    <w:rsid w:val="54FA3343"/>
    <w:rsid w:val="551B39E5"/>
    <w:rsid w:val="5526139C"/>
    <w:rsid w:val="552B2D26"/>
    <w:rsid w:val="554E1470"/>
    <w:rsid w:val="55986D51"/>
    <w:rsid w:val="55C027DF"/>
    <w:rsid w:val="55CE5C27"/>
    <w:rsid w:val="55D42624"/>
    <w:rsid w:val="55DB3175"/>
    <w:rsid w:val="56010E2D"/>
    <w:rsid w:val="56133CA0"/>
    <w:rsid w:val="5664658B"/>
    <w:rsid w:val="567C4958"/>
    <w:rsid w:val="569914FD"/>
    <w:rsid w:val="56CA26CD"/>
    <w:rsid w:val="56DD4ABD"/>
    <w:rsid w:val="5703231E"/>
    <w:rsid w:val="57116442"/>
    <w:rsid w:val="571903F8"/>
    <w:rsid w:val="57713D91"/>
    <w:rsid w:val="577D0987"/>
    <w:rsid w:val="578D3493"/>
    <w:rsid w:val="57AC4DC9"/>
    <w:rsid w:val="57BB325E"/>
    <w:rsid w:val="57CC0FC7"/>
    <w:rsid w:val="57F535F0"/>
    <w:rsid w:val="583D3C73"/>
    <w:rsid w:val="5857652F"/>
    <w:rsid w:val="5862192B"/>
    <w:rsid w:val="586A7A45"/>
    <w:rsid w:val="58914C8B"/>
    <w:rsid w:val="58D00F8B"/>
    <w:rsid w:val="58E3423E"/>
    <w:rsid w:val="58F23ED5"/>
    <w:rsid w:val="58FA6008"/>
    <w:rsid w:val="5956205C"/>
    <w:rsid w:val="595E6596"/>
    <w:rsid w:val="599E6CB8"/>
    <w:rsid w:val="59E031E2"/>
    <w:rsid w:val="5A8D5172"/>
    <w:rsid w:val="5A932270"/>
    <w:rsid w:val="5AA974E8"/>
    <w:rsid w:val="5AD424FD"/>
    <w:rsid w:val="5AE22C12"/>
    <w:rsid w:val="5AEA181B"/>
    <w:rsid w:val="5B8340E7"/>
    <w:rsid w:val="5B8D0599"/>
    <w:rsid w:val="5B937814"/>
    <w:rsid w:val="5BA02E96"/>
    <w:rsid w:val="5BA627EA"/>
    <w:rsid w:val="5BAA125C"/>
    <w:rsid w:val="5BAA3EA8"/>
    <w:rsid w:val="5C06784E"/>
    <w:rsid w:val="5C6E79F1"/>
    <w:rsid w:val="5C825B45"/>
    <w:rsid w:val="5C8657B1"/>
    <w:rsid w:val="5CA73484"/>
    <w:rsid w:val="5CE5499C"/>
    <w:rsid w:val="5CF80AB0"/>
    <w:rsid w:val="5D2B49E2"/>
    <w:rsid w:val="5D4E247E"/>
    <w:rsid w:val="5D77243C"/>
    <w:rsid w:val="5D822C9D"/>
    <w:rsid w:val="5D916F3A"/>
    <w:rsid w:val="5E023994"/>
    <w:rsid w:val="5E2F13E4"/>
    <w:rsid w:val="5E337FF2"/>
    <w:rsid w:val="5E8D218E"/>
    <w:rsid w:val="5EC21D12"/>
    <w:rsid w:val="5EC546B7"/>
    <w:rsid w:val="5EE01513"/>
    <w:rsid w:val="5EF332DD"/>
    <w:rsid w:val="5F4A211B"/>
    <w:rsid w:val="5FA9036D"/>
    <w:rsid w:val="5FBB029F"/>
    <w:rsid w:val="5FDC0465"/>
    <w:rsid w:val="5FE20A6A"/>
    <w:rsid w:val="5FE80DF1"/>
    <w:rsid w:val="601856F1"/>
    <w:rsid w:val="602F2A3B"/>
    <w:rsid w:val="60394F33"/>
    <w:rsid w:val="607A028C"/>
    <w:rsid w:val="60C761CB"/>
    <w:rsid w:val="6110461A"/>
    <w:rsid w:val="612E684E"/>
    <w:rsid w:val="61686204"/>
    <w:rsid w:val="61904268"/>
    <w:rsid w:val="61922827"/>
    <w:rsid w:val="61930DA7"/>
    <w:rsid w:val="61985AAE"/>
    <w:rsid w:val="619B21A0"/>
    <w:rsid w:val="61C95215"/>
    <w:rsid w:val="620863D2"/>
    <w:rsid w:val="621E4B15"/>
    <w:rsid w:val="62593D9F"/>
    <w:rsid w:val="626058BD"/>
    <w:rsid w:val="62D41677"/>
    <w:rsid w:val="62D70238"/>
    <w:rsid w:val="62DB08AB"/>
    <w:rsid w:val="630A5099"/>
    <w:rsid w:val="634E5810"/>
    <w:rsid w:val="63A81226"/>
    <w:rsid w:val="63BC45E5"/>
    <w:rsid w:val="63CB4828"/>
    <w:rsid w:val="64412D3D"/>
    <w:rsid w:val="64430863"/>
    <w:rsid w:val="64A05CB5"/>
    <w:rsid w:val="64A86918"/>
    <w:rsid w:val="64BE438D"/>
    <w:rsid w:val="65042353"/>
    <w:rsid w:val="650A079C"/>
    <w:rsid w:val="655D3BA6"/>
    <w:rsid w:val="65B53119"/>
    <w:rsid w:val="65E5355A"/>
    <w:rsid w:val="66E543C3"/>
    <w:rsid w:val="674A3D4F"/>
    <w:rsid w:val="674C0AD9"/>
    <w:rsid w:val="678621C2"/>
    <w:rsid w:val="679006E0"/>
    <w:rsid w:val="67AC6AD6"/>
    <w:rsid w:val="67B850C4"/>
    <w:rsid w:val="6864772D"/>
    <w:rsid w:val="68A5389A"/>
    <w:rsid w:val="68BC6A3B"/>
    <w:rsid w:val="68D26F09"/>
    <w:rsid w:val="68F6059A"/>
    <w:rsid w:val="697706BC"/>
    <w:rsid w:val="69D81A4D"/>
    <w:rsid w:val="69F30635"/>
    <w:rsid w:val="6A121AD7"/>
    <w:rsid w:val="6A2627B9"/>
    <w:rsid w:val="6A276531"/>
    <w:rsid w:val="6A3C248C"/>
    <w:rsid w:val="6A7379C8"/>
    <w:rsid w:val="6ABA73A5"/>
    <w:rsid w:val="6AD23B35"/>
    <w:rsid w:val="6AD66324"/>
    <w:rsid w:val="6ADC556D"/>
    <w:rsid w:val="6B04329A"/>
    <w:rsid w:val="6B454EC0"/>
    <w:rsid w:val="6B4E646B"/>
    <w:rsid w:val="6C270A6A"/>
    <w:rsid w:val="6C3226C6"/>
    <w:rsid w:val="6C545FF5"/>
    <w:rsid w:val="6C591BE2"/>
    <w:rsid w:val="6C922387"/>
    <w:rsid w:val="6D853C9A"/>
    <w:rsid w:val="6E0252EB"/>
    <w:rsid w:val="6E0A4A26"/>
    <w:rsid w:val="6E113896"/>
    <w:rsid w:val="6E14501E"/>
    <w:rsid w:val="6E160D96"/>
    <w:rsid w:val="6E5E1B6C"/>
    <w:rsid w:val="6E5F273D"/>
    <w:rsid w:val="6EA91C0A"/>
    <w:rsid w:val="6EB57A17"/>
    <w:rsid w:val="6EDA0016"/>
    <w:rsid w:val="6EEF71D1"/>
    <w:rsid w:val="6F021A16"/>
    <w:rsid w:val="6F1D40CE"/>
    <w:rsid w:val="6F3843B2"/>
    <w:rsid w:val="6FA7439C"/>
    <w:rsid w:val="6FAB550E"/>
    <w:rsid w:val="6FB865A9"/>
    <w:rsid w:val="701D465E"/>
    <w:rsid w:val="7051517A"/>
    <w:rsid w:val="70D85BD1"/>
    <w:rsid w:val="71504765"/>
    <w:rsid w:val="715B338A"/>
    <w:rsid w:val="716A7ADC"/>
    <w:rsid w:val="71744751"/>
    <w:rsid w:val="71926986"/>
    <w:rsid w:val="71DE2E53"/>
    <w:rsid w:val="721F39FF"/>
    <w:rsid w:val="725105EF"/>
    <w:rsid w:val="72760055"/>
    <w:rsid w:val="729E121E"/>
    <w:rsid w:val="72DC777D"/>
    <w:rsid w:val="72E23A7A"/>
    <w:rsid w:val="72F6179B"/>
    <w:rsid w:val="72FF44EF"/>
    <w:rsid w:val="73113A82"/>
    <w:rsid w:val="738003CA"/>
    <w:rsid w:val="73C56EED"/>
    <w:rsid w:val="73DE76F1"/>
    <w:rsid w:val="7407044B"/>
    <w:rsid w:val="745443C6"/>
    <w:rsid w:val="748A428C"/>
    <w:rsid w:val="74FC6F38"/>
    <w:rsid w:val="7510189E"/>
    <w:rsid w:val="75752846"/>
    <w:rsid w:val="758D4AB4"/>
    <w:rsid w:val="7593546E"/>
    <w:rsid w:val="75C537CD"/>
    <w:rsid w:val="75D12961"/>
    <w:rsid w:val="75D20669"/>
    <w:rsid w:val="76517DEB"/>
    <w:rsid w:val="765941C5"/>
    <w:rsid w:val="765F679A"/>
    <w:rsid w:val="7662726E"/>
    <w:rsid w:val="76D52484"/>
    <w:rsid w:val="76D80BED"/>
    <w:rsid w:val="76D812DE"/>
    <w:rsid w:val="76E25CB9"/>
    <w:rsid w:val="7711659E"/>
    <w:rsid w:val="77366005"/>
    <w:rsid w:val="773B6CD4"/>
    <w:rsid w:val="77784870"/>
    <w:rsid w:val="778356EE"/>
    <w:rsid w:val="7793630F"/>
    <w:rsid w:val="77E30949"/>
    <w:rsid w:val="77F16A53"/>
    <w:rsid w:val="77F9775E"/>
    <w:rsid w:val="783525A0"/>
    <w:rsid w:val="786F12BD"/>
    <w:rsid w:val="786F1AA9"/>
    <w:rsid w:val="7872551D"/>
    <w:rsid w:val="788F1E71"/>
    <w:rsid w:val="790463BB"/>
    <w:rsid w:val="791C643F"/>
    <w:rsid w:val="7920071D"/>
    <w:rsid w:val="79283BD2"/>
    <w:rsid w:val="794C1B10"/>
    <w:rsid w:val="796614B8"/>
    <w:rsid w:val="79763D0D"/>
    <w:rsid w:val="797D43BF"/>
    <w:rsid w:val="79A33E26"/>
    <w:rsid w:val="79B778D1"/>
    <w:rsid w:val="79C52BC7"/>
    <w:rsid w:val="79C747F6"/>
    <w:rsid w:val="7A36659D"/>
    <w:rsid w:val="7A410F49"/>
    <w:rsid w:val="7A6027C1"/>
    <w:rsid w:val="7A801BF3"/>
    <w:rsid w:val="7A854A12"/>
    <w:rsid w:val="7AB7730E"/>
    <w:rsid w:val="7B0F7299"/>
    <w:rsid w:val="7B237820"/>
    <w:rsid w:val="7B615D46"/>
    <w:rsid w:val="7B845591"/>
    <w:rsid w:val="7B974622"/>
    <w:rsid w:val="7BA21EBB"/>
    <w:rsid w:val="7BC260B9"/>
    <w:rsid w:val="7BFA3E64"/>
    <w:rsid w:val="7BFE7C5F"/>
    <w:rsid w:val="7C41271A"/>
    <w:rsid w:val="7CB023B6"/>
    <w:rsid w:val="7CBD6589"/>
    <w:rsid w:val="7D104464"/>
    <w:rsid w:val="7D450D50"/>
    <w:rsid w:val="7D4E72F0"/>
    <w:rsid w:val="7D5D078F"/>
    <w:rsid w:val="7DF764EE"/>
    <w:rsid w:val="7E376691"/>
    <w:rsid w:val="7E577FFF"/>
    <w:rsid w:val="7E9219F9"/>
    <w:rsid w:val="7E924469"/>
    <w:rsid w:val="7EE30820"/>
    <w:rsid w:val="7EF87B3E"/>
    <w:rsid w:val="7F10538E"/>
    <w:rsid w:val="7F924DA0"/>
    <w:rsid w:val="7FC9210C"/>
    <w:rsid w:val="7FF46C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qFormat/>
    <w:uiPriority w:val="9"/>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65"/>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66"/>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67"/>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1"/>
    <w:link w:val="68"/>
    <w:qFormat/>
    <w:uiPriority w:val="0"/>
    <w:pPr>
      <w:keepNext/>
      <w:keepLines/>
      <w:spacing w:before="280" w:after="290" w:line="372" w:lineRule="auto"/>
      <w:outlineLvl w:val="4"/>
    </w:pPr>
    <w:rPr>
      <w:b/>
      <w:sz w:val="28"/>
    </w:rPr>
  </w:style>
  <w:style w:type="paragraph" w:styleId="7">
    <w:name w:val="heading 6"/>
    <w:basedOn w:val="1"/>
    <w:next w:val="8"/>
    <w:link w:val="69"/>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8"/>
    <w:link w:val="70"/>
    <w:qFormat/>
    <w:uiPriority w:val="0"/>
    <w:pPr>
      <w:keepNext/>
      <w:keepLines/>
      <w:spacing w:before="240" w:after="64" w:line="317" w:lineRule="auto"/>
      <w:outlineLvl w:val="6"/>
    </w:pPr>
    <w:rPr>
      <w:b/>
      <w:sz w:val="24"/>
    </w:rPr>
  </w:style>
  <w:style w:type="paragraph" w:styleId="10">
    <w:name w:val="heading 8"/>
    <w:basedOn w:val="1"/>
    <w:next w:val="8"/>
    <w:link w:val="7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8"/>
    <w:link w:val="72"/>
    <w:qFormat/>
    <w:uiPriority w:val="0"/>
    <w:pPr>
      <w:keepNext/>
      <w:keepLines/>
      <w:spacing w:before="240" w:after="64" w:line="317" w:lineRule="auto"/>
      <w:outlineLvl w:val="8"/>
    </w:pPr>
    <w:rPr>
      <w:rFonts w:ascii="Arial" w:hAnsi="Arial" w:eastAsia="黑体"/>
    </w:rPr>
  </w:style>
  <w:style w:type="character" w:default="1" w:styleId="55">
    <w:name w:val="Default Paragraph Font"/>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8">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index 8"/>
    <w:basedOn w:val="1"/>
    <w:next w:val="1"/>
    <w:qFormat/>
    <w:uiPriority w:val="0"/>
    <w:pPr>
      <w:ind w:left="2940"/>
    </w:pPr>
    <w:rPr>
      <w:rFonts w:ascii="Times New Roman" w:hAnsi="Times New Roman" w:eastAsia="宋体" w:cs="Times New Roman"/>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beforeLines="0" w:after="160" w:afterLines="0"/>
    </w:pPr>
    <w:rPr>
      <w:rFonts w:ascii="Arial" w:hAnsi="Arial" w:eastAsia="黑体" w:cs="Arial"/>
      <w:sz w:val="20"/>
      <w:szCs w:val="20"/>
    </w:rPr>
  </w:style>
  <w:style w:type="paragraph" w:styleId="17">
    <w:name w:val="Document Map"/>
    <w:basedOn w:val="1"/>
    <w:link w:val="73"/>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74"/>
    <w:qFormat/>
    <w:uiPriority w:val="0"/>
    <w:pPr>
      <w:jc w:val="left"/>
    </w:pPr>
  </w:style>
  <w:style w:type="paragraph" w:styleId="19">
    <w:name w:val="Body Text 3"/>
    <w:basedOn w:val="1"/>
    <w:link w:val="75"/>
    <w:qFormat/>
    <w:uiPriority w:val="0"/>
    <w:pPr>
      <w:spacing w:line="500" w:lineRule="exact"/>
    </w:pPr>
    <w:rPr>
      <w:b/>
      <w:bCs/>
      <w:sz w:val="24"/>
    </w:rPr>
  </w:style>
  <w:style w:type="paragraph" w:styleId="20">
    <w:name w:val="Body Text"/>
    <w:basedOn w:val="1"/>
    <w:next w:val="1"/>
    <w:link w:val="76"/>
    <w:qFormat/>
    <w:uiPriority w:val="99"/>
    <w:pPr>
      <w:spacing w:line="380" w:lineRule="exact"/>
    </w:pPr>
    <w:rPr>
      <w:sz w:val="24"/>
    </w:rPr>
  </w:style>
  <w:style w:type="paragraph" w:styleId="21">
    <w:name w:val="Body Text Indent"/>
    <w:basedOn w:val="1"/>
    <w:next w:val="22"/>
    <w:link w:val="77"/>
    <w:qFormat/>
    <w:uiPriority w:val="99"/>
    <w:pPr>
      <w:ind w:firstLine="830" w:firstLineChars="352"/>
    </w:pPr>
    <w:rPr>
      <w:rFonts w:ascii="仿宋_GB2312" w:eastAsia="仿宋_GB2312"/>
      <w:sz w:val="32"/>
      <w:szCs w:val="20"/>
    </w:rPr>
  </w:style>
  <w:style w:type="paragraph" w:styleId="22">
    <w:name w:val="Body Text First Indent 2"/>
    <w:basedOn w:val="1"/>
    <w:link w:val="90"/>
    <w:qFormat/>
    <w:uiPriority w:val="0"/>
    <w:pPr>
      <w:spacing w:after="120" w:afterLines="0"/>
      <w:ind w:left="420" w:leftChars="200" w:firstLine="420" w:firstLineChars="200"/>
    </w:pPr>
    <w:rPr>
      <w:rFonts w:ascii="Times New Roman" w:eastAsia="宋体"/>
      <w:sz w:val="21"/>
      <w:szCs w:val="24"/>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7">
    <w:name w:val="toc 3"/>
    <w:basedOn w:val="1"/>
    <w:next w:val="1"/>
    <w:qFormat/>
    <w:uiPriority w:val="39"/>
    <w:pPr>
      <w:ind w:left="840" w:leftChars="400"/>
    </w:pPr>
  </w:style>
  <w:style w:type="paragraph" w:styleId="28">
    <w:name w:val="Plain Text"/>
    <w:basedOn w:val="1"/>
    <w:next w:val="5"/>
    <w:link w:val="78"/>
    <w:qFormat/>
    <w:uiPriority w:val="0"/>
    <w:rPr>
      <w:rFonts w:ascii="宋体" w:hAnsi="Courier New" w:cs="Courier New"/>
      <w:szCs w:val="21"/>
    </w:rPr>
  </w:style>
  <w:style w:type="paragraph" w:styleId="29">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0">
    <w:name w:val="Date"/>
    <w:basedOn w:val="1"/>
    <w:next w:val="1"/>
    <w:link w:val="79"/>
    <w:qFormat/>
    <w:uiPriority w:val="0"/>
    <w:pPr>
      <w:ind w:left="100" w:leftChars="2500"/>
    </w:pPr>
    <w:rPr>
      <w:rFonts w:ascii="宋体" w:hAnsi="Courier New"/>
      <w:szCs w:val="21"/>
    </w:rPr>
  </w:style>
  <w:style w:type="paragraph" w:styleId="31">
    <w:name w:val="Body Text Indent 2"/>
    <w:basedOn w:val="1"/>
    <w:link w:val="80"/>
    <w:qFormat/>
    <w:uiPriority w:val="0"/>
    <w:pPr>
      <w:ind w:firstLine="630"/>
    </w:pPr>
    <w:rPr>
      <w:sz w:val="32"/>
      <w:szCs w:val="20"/>
    </w:rPr>
  </w:style>
  <w:style w:type="paragraph" w:styleId="32">
    <w:name w:val="Balloon Text"/>
    <w:basedOn w:val="1"/>
    <w:link w:val="81"/>
    <w:qFormat/>
    <w:uiPriority w:val="0"/>
    <w:rPr>
      <w:sz w:val="18"/>
      <w:szCs w:val="18"/>
    </w:rPr>
  </w:style>
  <w:style w:type="paragraph" w:styleId="33">
    <w:name w:val="footer"/>
    <w:basedOn w:val="1"/>
    <w:link w:val="82"/>
    <w:qFormat/>
    <w:uiPriority w:val="0"/>
    <w:pPr>
      <w:tabs>
        <w:tab w:val="center" w:pos="4153"/>
        <w:tab w:val="right" w:pos="8306"/>
      </w:tabs>
      <w:snapToGrid w:val="0"/>
      <w:jc w:val="left"/>
    </w:pPr>
    <w:rPr>
      <w:sz w:val="18"/>
      <w:szCs w:val="18"/>
    </w:rPr>
  </w:style>
  <w:style w:type="paragraph" w:styleId="34">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rPr>
  </w:style>
  <w:style w:type="paragraph" w:styleId="36">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7">
    <w:name w:val="Subtitle"/>
    <w:basedOn w:val="1"/>
    <w:next w:val="1"/>
    <w:qFormat/>
    <w:uiPriority w:val="0"/>
    <w:pPr>
      <w:spacing w:before="240" w:after="60" w:line="312" w:lineRule="auto"/>
      <w:jc w:val="center"/>
      <w:outlineLvl w:val="1"/>
    </w:pPr>
    <w:rPr>
      <w:rFonts w:ascii="Cambria" w:hAnsi="Cambria" w:cs="Cambria"/>
      <w:b/>
      <w:bCs/>
      <w:kern w:val="28"/>
      <w:sz w:val="32"/>
      <w:szCs w:val="32"/>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0">
    <w:name w:val="List 5"/>
    <w:basedOn w:val="1"/>
    <w:qFormat/>
    <w:uiPriority w:val="0"/>
    <w:pPr>
      <w:ind w:left="2100" w:hanging="420"/>
    </w:pPr>
    <w:rPr>
      <w:szCs w:val="20"/>
    </w:rPr>
  </w:style>
  <w:style w:type="paragraph" w:styleId="41">
    <w:name w:val="Body Text Indent 3"/>
    <w:basedOn w:val="1"/>
    <w:link w:val="84"/>
    <w:qFormat/>
    <w:uiPriority w:val="0"/>
    <w:pPr>
      <w:spacing w:after="120" w:afterLines="0"/>
      <w:ind w:left="420" w:leftChars="200"/>
    </w:pPr>
    <w:rPr>
      <w:sz w:val="16"/>
      <w:szCs w:val="16"/>
    </w:rPr>
  </w:style>
  <w:style w:type="paragraph" w:styleId="42">
    <w:name w:val="toc 2"/>
    <w:basedOn w:val="1"/>
    <w:next w:val="1"/>
    <w:qFormat/>
    <w:uiPriority w:val="39"/>
    <w:pPr>
      <w:ind w:left="420" w:leftChars="200"/>
    </w:pPr>
  </w:style>
  <w:style w:type="paragraph" w:styleId="43">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4">
    <w:name w:val="Body Text 2"/>
    <w:basedOn w:val="1"/>
    <w:link w:val="85"/>
    <w:qFormat/>
    <w:uiPriority w:val="0"/>
    <w:pPr>
      <w:spacing w:after="120" w:afterLines="0" w:line="480" w:lineRule="auto"/>
    </w:pPr>
  </w:style>
  <w:style w:type="paragraph" w:styleId="45">
    <w:name w:val="List 4"/>
    <w:basedOn w:val="1"/>
    <w:qFormat/>
    <w:uiPriority w:val="0"/>
    <w:pPr>
      <w:ind w:left="100" w:leftChars="600" w:hanging="200" w:hangingChars="200"/>
    </w:pPr>
  </w:style>
  <w:style w:type="paragraph" w:styleId="46">
    <w:name w:val="List Continue 2"/>
    <w:basedOn w:val="1"/>
    <w:qFormat/>
    <w:uiPriority w:val="0"/>
    <w:pPr>
      <w:spacing w:after="120" w:afterLines="0"/>
      <w:ind w:left="840" w:leftChars="400"/>
    </w:pPr>
  </w:style>
  <w:style w:type="paragraph" w:styleId="47">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8">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49">
    <w:name w:val="index 1"/>
    <w:basedOn w:val="1"/>
    <w:next w:val="1"/>
    <w:qFormat/>
    <w:uiPriority w:val="0"/>
    <w:pPr>
      <w:spacing w:line="400" w:lineRule="exact"/>
      <w:ind w:firstLine="420" w:firstLineChars="200"/>
    </w:pPr>
    <w:rPr>
      <w:rFonts w:ascii="宋体" w:hAnsi="Courier New"/>
      <w:b/>
      <w:szCs w:val="20"/>
    </w:rPr>
  </w:style>
  <w:style w:type="paragraph" w:styleId="50">
    <w:name w:val="Title"/>
    <w:basedOn w:val="1"/>
    <w:next w:val="1"/>
    <w:link w:val="87"/>
    <w:qFormat/>
    <w:uiPriority w:val="0"/>
    <w:pPr>
      <w:jc w:val="center"/>
    </w:pPr>
    <w:rPr>
      <w:sz w:val="30"/>
    </w:rPr>
  </w:style>
  <w:style w:type="paragraph" w:styleId="51">
    <w:name w:val="annotation subject"/>
    <w:basedOn w:val="18"/>
    <w:next w:val="18"/>
    <w:link w:val="88"/>
    <w:qFormat/>
    <w:uiPriority w:val="0"/>
    <w:rPr>
      <w:b/>
      <w:bCs/>
    </w:rPr>
  </w:style>
  <w:style w:type="paragraph" w:styleId="52">
    <w:name w:val="Body Text First Indent"/>
    <w:basedOn w:val="20"/>
    <w:link w:val="89"/>
    <w:qFormat/>
    <w:uiPriority w:val="0"/>
    <w:pPr>
      <w:spacing w:after="120" w:afterLines="0" w:line="240" w:lineRule="auto"/>
      <w:ind w:firstLine="420" w:firstLineChars="100"/>
    </w:pPr>
    <w:rPr>
      <w:sz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22"/>
    <w:rPr>
      <w:b/>
      <w:bCs/>
    </w:rPr>
  </w:style>
  <w:style w:type="character" w:styleId="57">
    <w:name w:val="page number"/>
    <w:basedOn w:val="55"/>
    <w:qFormat/>
    <w:uiPriority w:val="0"/>
  </w:style>
  <w:style w:type="character" w:styleId="58">
    <w:name w:val="FollowedHyperlink"/>
    <w:qFormat/>
    <w:uiPriority w:val="99"/>
    <w:rPr>
      <w:color w:val="800080"/>
      <w:u w:val="single"/>
    </w:rPr>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character" w:styleId="61">
    <w:name w:val="HTML Sample"/>
    <w:basedOn w:val="55"/>
    <w:qFormat/>
    <w:uiPriority w:val="0"/>
    <w:rPr>
      <w:rFonts w:ascii="Courier New" w:hAnsi="Courier New"/>
    </w:rPr>
  </w:style>
  <w:style w:type="paragraph" w:customStyle="1" w:styleId="62">
    <w:name w:val="_Style 2"/>
    <w:next w:val="1"/>
    <w:qFormat/>
    <w:uiPriority w:val="0"/>
    <w:pPr>
      <w:wordWrap w:val="0"/>
      <w:spacing w:before="360" w:after="360"/>
      <w:ind w:left="950" w:right="950"/>
      <w:jc w:val="center"/>
    </w:pPr>
    <w:rPr>
      <w:rFonts w:ascii="Calibri" w:hAnsi="Calibri" w:eastAsia="宋体" w:cs="Times New Roman"/>
      <w:i/>
      <w:sz w:val="21"/>
      <w:szCs w:val="22"/>
      <w:lang w:val="en-US" w:eastAsia="zh-CN" w:bidi="ar-SA"/>
    </w:rPr>
  </w:style>
  <w:style w:type="paragraph" w:customStyle="1" w:styleId="63">
    <w:name w:val="Default"/>
    <w:basedOn w:val="50"/>
    <w:next w:val="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4">
    <w:name w:val="标题 1 Char"/>
    <w:link w:val="2"/>
    <w:qFormat/>
    <w:uiPriority w:val="9"/>
    <w:rPr>
      <w:rFonts w:eastAsia="宋体"/>
      <w:b/>
      <w:bCs/>
      <w:kern w:val="44"/>
      <w:sz w:val="44"/>
      <w:szCs w:val="44"/>
      <w:lang w:val="en-US" w:eastAsia="zh-CN" w:bidi="ar-SA"/>
    </w:rPr>
  </w:style>
  <w:style w:type="character" w:customStyle="1" w:styleId="65">
    <w:name w:val="标题 2 Char"/>
    <w:link w:val="3"/>
    <w:qFormat/>
    <w:uiPriority w:val="0"/>
    <w:rPr>
      <w:rFonts w:ascii="Arial" w:hAnsi="Arial" w:eastAsia="黑体"/>
      <w:b/>
      <w:bCs/>
      <w:kern w:val="2"/>
      <w:sz w:val="32"/>
      <w:szCs w:val="32"/>
    </w:rPr>
  </w:style>
  <w:style w:type="character" w:customStyle="1" w:styleId="66">
    <w:name w:val="标题 3 Char"/>
    <w:link w:val="4"/>
    <w:qFormat/>
    <w:uiPriority w:val="0"/>
    <w:rPr>
      <w:b/>
      <w:bCs/>
      <w:kern w:val="2"/>
      <w:sz w:val="32"/>
      <w:szCs w:val="32"/>
    </w:rPr>
  </w:style>
  <w:style w:type="character" w:customStyle="1" w:styleId="67">
    <w:name w:val="标题 4 Char"/>
    <w:link w:val="5"/>
    <w:qFormat/>
    <w:uiPriority w:val="0"/>
    <w:rPr>
      <w:rFonts w:ascii="Arial" w:hAnsi="Arial" w:eastAsia="黑体"/>
      <w:sz w:val="28"/>
    </w:rPr>
  </w:style>
  <w:style w:type="character" w:customStyle="1" w:styleId="68">
    <w:name w:val="标题 5 Char"/>
    <w:link w:val="6"/>
    <w:qFormat/>
    <w:uiPriority w:val="0"/>
    <w:rPr>
      <w:b/>
      <w:kern w:val="2"/>
      <w:sz w:val="28"/>
      <w:szCs w:val="24"/>
    </w:rPr>
  </w:style>
  <w:style w:type="character" w:customStyle="1" w:styleId="69">
    <w:name w:val="标题 6 Char"/>
    <w:link w:val="7"/>
    <w:qFormat/>
    <w:uiPriority w:val="0"/>
    <w:rPr>
      <w:rFonts w:ascii="Arial" w:hAnsi="Arial" w:eastAsia="黑体"/>
      <w:b/>
      <w:kern w:val="2"/>
      <w:sz w:val="24"/>
      <w:szCs w:val="24"/>
    </w:rPr>
  </w:style>
  <w:style w:type="character" w:customStyle="1" w:styleId="70">
    <w:name w:val="标题 7 Char"/>
    <w:link w:val="9"/>
    <w:qFormat/>
    <w:uiPriority w:val="0"/>
    <w:rPr>
      <w:b/>
      <w:kern w:val="2"/>
      <w:sz w:val="24"/>
      <w:szCs w:val="24"/>
    </w:rPr>
  </w:style>
  <w:style w:type="character" w:customStyle="1" w:styleId="71">
    <w:name w:val="标题 8 Char"/>
    <w:link w:val="10"/>
    <w:qFormat/>
    <w:uiPriority w:val="0"/>
    <w:rPr>
      <w:rFonts w:ascii="Arial" w:hAnsi="Arial" w:eastAsia="黑体"/>
      <w:kern w:val="2"/>
      <w:sz w:val="24"/>
      <w:szCs w:val="24"/>
    </w:rPr>
  </w:style>
  <w:style w:type="character" w:customStyle="1" w:styleId="72">
    <w:name w:val="标题 9 Char"/>
    <w:link w:val="11"/>
    <w:qFormat/>
    <w:uiPriority w:val="0"/>
    <w:rPr>
      <w:rFonts w:ascii="Arial" w:hAnsi="Arial" w:eastAsia="黑体"/>
      <w:kern w:val="2"/>
      <w:sz w:val="21"/>
      <w:szCs w:val="24"/>
    </w:rPr>
  </w:style>
  <w:style w:type="character" w:customStyle="1" w:styleId="73">
    <w:name w:val="文档结构图 Char"/>
    <w:link w:val="17"/>
    <w:qFormat/>
    <w:uiPriority w:val="0"/>
    <w:rPr>
      <w:sz w:val="21"/>
      <w:shd w:val="clear" w:color="auto" w:fill="000080"/>
    </w:rPr>
  </w:style>
  <w:style w:type="character" w:customStyle="1" w:styleId="74">
    <w:name w:val="批注文字 Char"/>
    <w:link w:val="18"/>
    <w:qFormat/>
    <w:uiPriority w:val="0"/>
    <w:rPr>
      <w:kern w:val="2"/>
      <w:sz w:val="21"/>
      <w:szCs w:val="24"/>
    </w:rPr>
  </w:style>
  <w:style w:type="character" w:customStyle="1" w:styleId="75">
    <w:name w:val="正文文本 3 Char"/>
    <w:link w:val="19"/>
    <w:qFormat/>
    <w:uiPriority w:val="0"/>
    <w:rPr>
      <w:b/>
      <w:bCs/>
      <w:kern w:val="2"/>
      <w:sz w:val="24"/>
      <w:szCs w:val="24"/>
    </w:rPr>
  </w:style>
  <w:style w:type="character" w:customStyle="1" w:styleId="76">
    <w:name w:val="正文文本 Char"/>
    <w:link w:val="20"/>
    <w:qFormat/>
    <w:uiPriority w:val="99"/>
    <w:rPr>
      <w:kern w:val="2"/>
      <w:sz w:val="24"/>
      <w:szCs w:val="24"/>
    </w:rPr>
  </w:style>
  <w:style w:type="character" w:customStyle="1" w:styleId="77">
    <w:name w:val="正文文本缩进 Char"/>
    <w:link w:val="21"/>
    <w:qFormat/>
    <w:uiPriority w:val="99"/>
    <w:rPr>
      <w:rFonts w:ascii="仿宋_GB2312" w:eastAsia="仿宋_GB2312"/>
      <w:kern w:val="2"/>
      <w:sz w:val="32"/>
    </w:rPr>
  </w:style>
  <w:style w:type="character" w:customStyle="1" w:styleId="78">
    <w:name w:val="纯文本 Char"/>
    <w:link w:val="28"/>
    <w:qFormat/>
    <w:uiPriority w:val="99"/>
    <w:rPr>
      <w:rFonts w:ascii="宋体" w:hAnsi="Courier New" w:eastAsia="宋体" w:cs="Courier New"/>
      <w:kern w:val="2"/>
      <w:sz w:val="21"/>
      <w:szCs w:val="21"/>
      <w:lang w:val="en-US" w:eastAsia="zh-CN" w:bidi="ar-SA"/>
    </w:rPr>
  </w:style>
  <w:style w:type="character" w:customStyle="1" w:styleId="79">
    <w:name w:val="日期 Char"/>
    <w:link w:val="30"/>
    <w:qFormat/>
    <w:uiPriority w:val="0"/>
    <w:rPr>
      <w:rFonts w:ascii="宋体" w:hAnsi="Courier New" w:cs="Courier New"/>
      <w:kern w:val="2"/>
      <w:sz w:val="21"/>
      <w:szCs w:val="21"/>
    </w:rPr>
  </w:style>
  <w:style w:type="character" w:customStyle="1" w:styleId="80">
    <w:name w:val="正文文本缩进 2 Char"/>
    <w:link w:val="31"/>
    <w:qFormat/>
    <w:uiPriority w:val="0"/>
    <w:rPr>
      <w:kern w:val="2"/>
      <w:sz w:val="32"/>
    </w:rPr>
  </w:style>
  <w:style w:type="character" w:customStyle="1" w:styleId="81">
    <w:name w:val="批注框文本 Char"/>
    <w:link w:val="32"/>
    <w:qFormat/>
    <w:uiPriority w:val="0"/>
    <w:rPr>
      <w:kern w:val="2"/>
      <w:sz w:val="18"/>
      <w:szCs w:val="18"/>
    </w:rPr>
  </w:style>
  <w:style w:type="character" w:customStyle="1" w:styleId="82">
    <w:name w:val="页脚 Char"/>
    <w:link w:val="33"/>
    <w:qFormat/>
    <w:uiPriority w:val="0"/>
    <w:rPr>
      <w:kern w:val="2"/>
      <w:sz w:val="18"/>
      <w:szCs w:val="18"/>
    </w:rPr>
  </w:style>
  <w:style w:type="character" w:customStyle="1" w:styleId="83">
    <w:name w:val="页眉 Char"/>
    <w:link w:val="34"/>
    <w:qFormat/>
    <w:uiPriority w:val="99"/>
    <w:rPr>
      <w:kern w:val="2"/>
      <w:sz w:val="18"/>
      <w:szCs w:val="18"/>
    </w:rPr>
  </w:style>
  <w:style w:type="character" w:customStyle="1" w:styleId="84">
    <w:name w:val="正文文本缩进 3 Char"/>
    <w:link w:val="41"/>
    <w:qFormat/>
    <w:uiPriority w:val="0"/>
    <w:rPr>
      <w:kern w:val="2"/>
      <w:sz w:val="16"/>
      <w:szCs w:val="16"/>
    </w:rPr>
  </w:style>
  <w:style w:type="character" w:customStyle="1" w:styleId="85">
    <w:name w:val="正文文本 2 Char"/>
    <w:link w:val="44"/>
    <w:qFormat/>
    <w:uiPriority w:val="0"/>
    <w:rPr>
      <w:kern w:val="2"/>
      <w:sz w:val="21"/>
      <w:szCs w:val="24"/>
    </w:rPr>
  </w:style>
  <w:style w:type="character" w:customStyle="1" w:styleId="86">
    <w:name w:val="HTML 预设格式 Char"/>
    <w:link w:val="47"/>
    <w:qFormat/>
    <w:uiPriority w:val="0"/>
    <w:rPr>
      <w:rFonts w:ascii="黑体" w:hAnsi="Courier New" w:eastAsia="黑体" w:cs="Courier New"/>
    </w:rPr>
  </w:style>
  <w:style w:type="character" w:customStyle="1" w:styleId="87">
    <w:name w:val="标题 Char"/>
    <w:link w:val="50"/>
    <w:qFormat/>
    <w:uiPriority w:val="0"/>
    <w:rPr>
      <w:kern w:val="2"/>
      <w:sz w:val="30"/>
      <w:szCs w:val="24"/>
    </w:rPr>
  </w:style>
  <w:style w:type="character" w:customStyle="1" w:styleId="88">
    <w:name w:val="批注主题 Char"/>
    <w:link w:val="51"/>
    <w:qFormat/>
    <w:uiPriority w:val="0"/>
    <w:rPr>
      <w:b/>
      <w:bCs/>
      <w:kern w:val="2"/>
      <w:sz w:val="21"/>
      <w:szCs w:val="24"/>
    </w:rPr>
  </w:style>
  <w:style w:type="character" w:customStyle="1" w:styleId="89">
    <w:name w:val="正文首行缩进 Char"/>
    <w:link w:val="52"/>
    <w:qFormat/>
    <w:uiPriority w:val="0"/>
    <w:rPr>
      <w:kern w:val="2"/>
      <w:sz w:val="21"/>
      <w:szCs w:val="24"/>
    </w:rPr>
  </w:style>
  <w:style w:type="character" w:customStyle="1" w:styleId="90">
    <w:name w:val="正文首行缩进 2 Char"/>
    <w:link w:val="22"/>
    <w:qFormat/>
    <w:uiPriority w:val="0"/>
    <w:rPr>
      <w:kern w:val="2"/>
      <w:sz w:val="21"/>
      <w:szCs w:val="24"/>
    </w:rPr>
  </w:style>
  <w:style w:type="character" w:customStyle="1" w:styleId="91">
    <w:name w:val="style11"/>
    <w:qFormat/>
    <w:uiPriority w:val="0"/>
    <w:rPr>
      <w:rFonts w:hint="default" w:ascii="Arial" w:hAnsi="Arial" w:cs="Arial"/>
    </w:rPr>
  </w:style>
  <w:style w:type="character" w:customStyle="1" w:styleId="92">
    <w:name w:val="short_text1"/>
    <w:qFormat/>
    <w:uiPriority w:val="0"/>
    <w:rPr>
      <w:sz w:val="26"/>
    </w:rPr>
  </w:style>
  <w:style w:type="character" w:customStyle="1" w:styleId="93">
    <w:name w:val="white"/>
    <w:basedOn w:val="55"/>
    <w:qFormat/>
    <w:uiPriority w:val="0"/>
  </w:style>
  <w:style w:type="character" w:customStyle="1" w:styleId="94">
    <w:name w:val="text11"/>
    <w:qFormat/>
    <w:uiPriority w:val="0"/>
    <w:rPr>
      <w:rFonts w:hint="default" w:ascii="Verdana" w:hAnsi="Verdana"/>
      <w:color w:val="4E4E4E"/>
      <w:sz w:val="18"/>
      <w:szCs w:val="18"/>
    </w:rPr>
  </w:style>
  <w:style w:type="character" w:customStyle="1" w:styleId="95">
    <w:name w:val="mark8"/>
    <w:qFormat/>
    <w:uiPriority w:val="0"/>
    <w:rPr>
      <w:b/>
      <w:bCs/>
      <w:sz w:val="21"/>
      <w:szCs w:val="21"/>
    </w:rPr>
  </w:style>
  <w:style w:type="character" w:customStyle="1" w:styleId="96">
    <w:name w:val="纯文本 Char1"/>
    <w:qFormat/>
    <w:uiPriority w:val="0"/>
    <w:rPr>
      <w:rFonts w:ascii="宋体" w:hAnsi="Courier New" w:eastAsia="宋体" w:cs="Courier New"/>
      <w:kern w:val="2"/>
      <w:sz w:val="21"/>
      <w:szCs w:val="21"/>
      <w:lang w:val="en-US" w:eastAsia="zh-CN" w:bidi="ar-SA"/>
    </w:rPr>
  </w:style>
  <w:style w:type="character" w:customStyle="1" w:styleId="97">
    <w:name w:val="f151"/>
    <w:qFormat/>
    <w:uiPriority w:val="0"/>
    <w:rPr>
      <w:sz w:val="23"/>
      <w:szCs w:val="23"/>
    </w:rPr>
  </w:style>
  <w:style w:type="character" w:customStyle="1" w:styleId="98">
    <w:name w:val="062"/>
    <w:qFormat/>
    <w:uiPriority w:val="0"/>
    <w:rPr>
      <w:rFonts w:ascii="宋体" w:hAnsi="宋体"/>
      <w:b/>
      <w:bCs/>
      <w:sz w:val="32"/>
    </w:rPr>
  </w:style>
  <w:style w:type="character" w:customStyle="1" w:styleId="99">
    <w:name w:val="gray12"/>
    <w:basedOn w:val="55"/>
    <w:qFormat/>
    <w:uiPriority w:val="0"/>
  </w:style>
  <w:style w:type="character" w:customStyle="1" w:styleId="100">
    <w:name w:val="1ji Char"/>
    <w:link w:val="101"/>
    <w:qFormat/>
    <w:uiPriority w:val="0"/>
    <w:rPr>
      <w:rFonts w:ascii="宋体" w:hAnsi="宋体" w:eastAsia="宋体"/>
      <w:b/>
      <w:bCs/>
      <w:kern w:val="44"/>
      <w:sz w:val="36"/>
      <w:szCs w:val="44"/>
      <w:lang w:val="en-US" w:eastAsia="zh-CN" w:bidi="ar-SA"/>
    </w:rPr>
  </w:style>
  <w:style w:type="paragraph" w:customStyle="1" w:styleId="101">
    <w:name w:val="1ji"/>
    <w:basedOn w:val="2"/>
    <w:link w:val="100"/>
    <w:qFormat/>
    <w:uiPriority w:val="0"/>
    <w:pPr>
      <w:keepLines w:val="0"/>
      <w:widowControl/>
      <w:spacing w:before="0" w:beforeLines="0" w:after="0" w:afterLines="0" w:line="240" w:lineRule="auto"/>
      <w:jc w:val="center"/>
    </w:pPr>
    <w:rPr>
      <w:rFonts w:ascii="宋体" w:hAnsi="宋体"/>
      <w:sz w:val="36"/>
    </w:rPr>
  </w:style>
  <w:style w:type="character" w:customStyle="1" w:styleId="102">
    <w:name w:val="font01"/>
    <w:qFormat/>
    <w:uiPriority w:val="0"/>
    <w:rPr>
      <w:rFonts w:hint="eastAsia" w:ascii="宋体" w:hAnsi="宋体" w:eastAsia="宋体"/>
      <w:color w:val="000000"/>
      <w:sz w:val="22"/>
      <w:szCs w:val="22"/>
      <w:u w:val="none"/>
    </w:rPr>
  </w:style>
  <w:style w:type="character" w:customStyle="1" w:styleId="103">
    <w:name w:val="small"/>
    <w:basedOn w:val="55"/>
    <w:qFormat/>
    <w:uiPriority w:val="0"/>
  </w:style>
  <w:style w:type="character" w:customStyle="1" w:styleId="104">
    <w:name w:val="apple-converted-space"/>
    <w:qFormat/>
    <w:uiPriority w:val="0"/>
  </w:style>
  <w:style w:type="character" w:customStyle="1" w:styleId="105">
    <w:name w:val="case31"/>
    <w:qFormat/>
    <w:uiPriority w:val="0"/>
    <w:rPr>
      <w:rFonts w:hint="default" w:ascii="_x000B__x000C_" w:hAnsi="_x000B__x000C_"/>
      <w:sz w:val="21"/>
      <w:szCs w:val="21"/>
    </w:rPr>
  </w:style>
  <w:style w:type="character" w:customStyle="1" w:styleId="106">
    <w:name w:val="graytext1"/>
    <w:qFormat/>
    <w:uiPriority w:val="0"/>
    <w:rPr>
      <w:color w:val="666666"/>
    </w:rPr>
  </w:style>
  <w:style w:type="character" w:customStyle="1" w:styleId="107">
    <w:name w:val="标题3 Char"/>
    <w:link w:val="108"/>
    <w:qFormat/>
    <w:uiPriority w:val="0"/>
    <w:rPr>
      <w:rFonts w:ascii="宋体" w:hAnsi="宋体"/>
      <w:b/>
      <w:bCs/>
      <w:kern w:val="44"/>
      <w:sz w:val="24"/>
      <w:szCs w:val="24"/>
    </w:rPr>
  </w:style>
  <w:style w:type="paragraph" w:customStyle="1" w:styleId="108">
    <w:name w:val="标题3"/>
    <w:basedOn w:val="2"/>
    <w:link w:val="107"/>
    <w:qFormat/>
    <w:uiPriority w:val="0"/>
    <w:pPr>
      <w:spacing w:before="0" w:beforeLines="50" w:after="0" w:afterLines="50" w:line="400" w:lineRule="exact"/>
    </w:pPr>
    <w:rPr>
      <w:rFonts w:ascii="宋体" w:hAnsi="宋体"/>
      <w:sz w:val="24"/>
      <w:szCs w:val="24"/>
    </w:rPr>
  </w:style>
  <w:style w:type="character" w:customStyle="1" w:styleId="109">
    <w:name w:val="1051"/>
    <w:qFormat/>
    <w:uiPriority w:val="0"/>
    <w:rPr>
      <w:sz w:val="21"/>
      <w:szCs w:val="21"/>
    </w:rPr>
  </w:style>
  <w:style w:type="character" w:customStyle="1" w:styleId="110">
    <w:name w:val="content2"/>
    <w:basedOn w:val="55"/>
    <w:qFormat/>
    <w:uiPriority w:val="0"/>
  </w:style>
  <w:style w:type="character" w:customStyle="1" w:styleId="111">
    <w:name w:val="z-窗体顶端 Char"/>
    <w:link w:val="112"/>
    <w:qFormat/>
    <w:uiPriority w:val="0"/>
    <w:rPr>
      <w:rFonts w:ascii="Arial"/>
      <w:vanish/>
      <w:kern w:val="2"/>
      <w:sz w:val="16"/>
      <w:szCs w:val="24"/>
    </w:rPr>
  </w:style>
  <w:style w:type="paragraph" w:customStyle="1" w:styleId="112">
    <w:name w:val="_Style 106"/>
    <w:basedOn w:val="1"/>
    <w:next w:val="1"/>
    <w:link w:val="111"/>
    <w:qFormat/>
    <w:uiPriority w:val="0"/>
    <w:pPr>
      <w:pBdr>
        <w:bottom w:val="single" w:color="auto" w:sz="6" w:space="1"/>
      </w:pBdr>
      <w:jc w:val="center"/>
    </w:pPr>
    <w:rPr>
      <w:rFonts w:ascii="Arial"/>
      <w:vanish/>
      <w:sz w:val="16"/>
    </w:rPr>
  </w:style>
  <w:style w:type="character" w:customStyle="1" w:styleId="113">
    <w:name w:val="unnamed3"/>
    <w:basedOn w:val="55"/>
    <w:qFormat/>
    <w:uiPriority w:val="0"/>
  </w:style>
  <w:style w:type="character" w:customStyle="1" w:styleId="114">
    <w:name w:val="批注文字 Char2"/>
    <w:qFormat/>
    <w:uiPriority w:val="0"/>
    <w:rPr>
      <w:kern w:val="2"/>
      <w:sz w:val="21"/>
      <w:szCs w:val="24"/>
      <w:lang w:bidi="ar-SA"/>
    </w:rPr>
  </w:style>
  <w:style w:type="character" w:customStyle="1" w:styleId="115">
    <w:name w:val="style21"/>
    <w:qFormat/>
    <w:uiPriority w:val="0"/>
    <w:rPr>
      <w:sz w:val="17"/>
      <w:szCs w:val="17"/>
    </w:rPr>
  </w:style>
  <w:style w:type="paragraph" w:customStyle="1" w:styleId="116">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7">
    <w:name w:val="Char1"/>
    <w:basedOn w:val="1"/>
    <w:qFormat/>
    <w:uiPriority w:val="0"/>
    <w:rPr>
      <w:szCs w:val="21"/>
    </w:rPr>
  </w:style>
  <w:style w:type="paragraph" w:customStyle="1" w:styleId="11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9">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20">
    <w:name w:val="xl2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 w:type="paragraph" w:customStyle="1" w:styleId="121">
    <w:name w:val="List Paragraph1"/>
    <w:basedOn w:val="1"/>
    <w:qFormat/>
    <w:uiPriority w:val="0"/>
    <w:pPr>
      <w:ind w:firstLine="420" w:firstLineChars="200"/>
    </w:pPr>
    <w:rPr>
      <w:rFonts w:ascii="Calibri" w:hAnsi="Calibri"/>
      <w:szCs w:val="22"/>
    </w:rPr>
  </w:style>
  <w:style w:type="paragraph" w:styleId="122">
    <w:name w:val="List Paragraph"/>
    <w:basedOn w:val="1"/>
    <w:qFormat/>
    <w:uiPriority w:val="34"/>
    <w:pPr>
      <w:ind w:firstLine="420" w:firstLineChars="200"/>
    </w:pPr>
    <w:rPr>
      <w:rFonts w:ascii="Calibri" w:hAnsi="Calibri"/>
      <w:szCs w:val="22"/>
    </w:rPr>
  </w:style>
  <w:style w:type="paragraph" w:customStyle="1" w:styleId="123">
    <w:name w:val=" Char Char Char Char Char Char Char"/>
    <w:basedOn w:val="1"/>
    <w:qFormat/>
    <w:uiPriority w:val="0"/>
  </w:style>
  <w:style w:type="paragraph" w:customStyle="1" w:styleId="124">
    <w:name w:val=" Char"/>
    <w:basedOn w:val="1"/>
    <w:qFormat/>
    <w:uiPriority w:val="0"/>
    <w:pPr>
      <w:tabs>
        <w:tab w:val="left" w:pos="360"/>
      </w:tabs>
      <w:ind w:left="252" w:hanging="252" w:hangingChars="140"/>
    </w:pPr>
    <w:rPr>
      <w:rFonts w:ascii="宋体"/>
      <w:sz w:val="18"/>
      <w:szCs w:val="18"/>
    </w:rPr>
  </w:style>
  <w:style w:type="paragraph" w:customStyle="1" w:styleId="125">
    <w:name w:val="次小点说明 Char"/>
    <w:basedOn w:val="8"/>
    <w:qFormat/>
    <w:uiPriority w:val="0"/>
    <w:pPr>
      <w:ind w:firstLine="0"/>
    </w:pPr>
    <w:rPr>
      <w:sz w:val="24"/>
      <w:szCs w:val="24"/>
    </w:rPr>
  </w:style>
  <w:style w:type="paragraph" w:customStyle="1" w:styleId="126">
    <w:name w:val=" Char Char Char"/>
    <w:basedOn w:val="17"/>
    <w:qFormat/>
    <w:uiPriority w:val="0"/>
    <w:pPr>
      <w:adjustRightInd/>
      <w:spacing w:line="240" w:lineRule="auto"/>
      <w:textAlignment w:val="auto"/>
    </w:pPr>
    <w:rPr>
      <w:rFonts w:ascii="Tahoma" w:hAnsi="Tahoma"/>
      <w:kern w:val="2"/>
      <w:sz w:val="24"/>
      <w:szCs w:val="24"/>
    </w:rPr>
  </w:style>
  <w:style w:type="paragraph" w:customStyle="1" w:styleId="127">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128">
    <w:name w:val="五号正文（标准）"/>
    <w:basedOn w:val="1"/>
    <w:qFormat/>
    <w:uiPriority w:val="0"/>
    <w:pPr>
      <w:spacing w:line="360" w:lineRule="auto"/>
      <w:ind w:right="55" w:firstLine="560" w:firstLineChars="200"/>
    </w:pPr>
    <w:rPr>
      <w:rFonts w:eastAsia="仿宋_GB2312"/>
      <w:sz w:val="28"/>
      <w:szCs w:val="20"/>
    </w:rPr>
  </w:style>
  <w:style w:type="paragraph" w:customStyle="1" w:styleId="129">
    <w:name w:val="a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30">
    <w:name w:val="默认段落字体 Para Char"/>
    <w:basedOn w:val="1"/>
    <w:qFormat/>
    <w:uiPriority w:val="0"/>
    <w:pPr>
      <w:adjustRightInd w:val="0"/>
      <w:spacing w:line="360" w:lineRule="auto"/>
    </w:pPr>
    <w:rPr>
      <w:kern w:val="0"/>
      <w:sz w:val="24"/>
      <w:szCs w:val="20"/>
    </w:rPr>
  </w:style>
  <w:style w:type="paragraph" w:customStyle="1" w:styleId="131">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pPr>
    <w:rPr>
      <w:kern w:val="0"/>
      <w:szCs w:val="21"/>
    </w:rPr>
  </w:style>
  <w:style w:type="paragraph" w:customStyle="1" w:styleId="132">
    <w:name w:val="样式1"/>
    <w:basedOn w:val="1"/>
    <w:qFormat/>
    <w:uiPriority w:val="0"/>
    <w:pPr>
      <w:spacing w:before="120" w:beforeLines="0" w:after="120" w:afterLines="0" w:line="300" w:lineRule="auto"/>
    </w:pPr>
    <w:rPr>
      <w:rFonts w:ascii="宋体" w:hAnsi="宋体"/>
      <w:b/>
      <w:sz w:val="24"/>
      <w:szCs w:val="20"/>
    </w:rPr>
  </w:style>
  <w:style w:type="paragraph" w:customStyle="1" w:styleId="133">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3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5">
    <w:name w:val="缺省文本"/>
    <w:basedOn w:val="1"/>
    <w:qFormat/>
    <w:uiPriority w:val="0"/>
    <w:pPr>
      <w:autoSpaceDE w:val="0"/>
      <w:autoSpaceDN w:val="0"/>
      <w:adjustRightInd w:val="0"/>
      <w:spacing w:line="360" w:lineRule="auto"/>
      <w:jc w:val="left"/>
    </w:pPr>
    <w:rPr>
      <w:kern w:val="0"/>
      <w:sz w:val="24"/>
      <w:szCs w:val="20"/>
    </w:rPr>
  </w:style>
  <w:style w:type="paragraph" w:customStyle="1" w:styleId="136">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37">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9">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140">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41">
    <w:name w:val="正文首行缩进两字符"/>
    <w:basedOn w:val="1"/>
    <w:qFormat/>
    <w:uiPriority w:val="0"/>
    <w:pPr>
      <w:spacing w:line="360" w:lineRule="auto"/>
      <w:ind w:firstLine="200" w:firstLineChars="200"/>
    </w:pPr>
  </w:style>
  <w:style w:type="paragraph" w:customStyle="1" w:styleId="142">
    <w:name w:val="_Style 136"/>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43">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44">
    <w:name w:val="表内文字"/>
    <w:basedOn w:val="1"/>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145">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6">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4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4"/>
    </w:rPr>
  </w:style>
  <w:style w:type="paragraph" w:customStyle="1" w:styleId="148">
    <w:name w:val="1"/>
    <w:basedOn w:val="1"/>
    <w:next w:val="28"/>
    <w:qFormat/>
    <w:uiPriority w:val="0"/>
    <w:rPr>
      <w:rFonts w:ascii="宋体" w:hAnsi="Courier New"/>
      <w:szCs w:val="20"/>
    </w:rPr>
  </w:style>
  <w:style w:type="paragraph" w:customStyle="1" w:styleId="149">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0">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1">
    <w:name w:val="Char Char Char"/>
    <w:basedOn w:val="1"/>
    <w:qFormat/>
    <w:uiPriority w:val="0"/>
    <w:rPr>
      <w:rFonts w:ascii="Tahoma" w:hAnsi="Tahoma"/>
      <w:sz w:val="24"/>
      <w:szCs w:val="20"/>
    </w:rPr>
  </w:style>
  <w:style w:type="paragraph" w:customStyle="1" w:styleId="15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3">
    <w:name w:val=" 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154">
    <w:name w:val="样式 首行缩进:  2 字符"/>
    <w:basedOn w:val="1"/>
    <w:qFormat/>
    <w:uiPriority w:val="0"/>
    <w:pPr>
      <w:spacing w:line="400" w:lineRule="exact"/>
      <w:ind w:firstLine="200" w:firstLineChars="200"/>
    </w:pPr>
    <w:rPr>
      <w:rFonts w:cs="宋体"/>
      <w:sz w:val="24"/>
    </w:rPr>
  </w:style>
  <w:style w:type="paragraph" w:customStyle="1" w:styleId="155">
    <w:name w:val=" Char Char Char Char Char Char1 Char"/>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156">
    <w:name w:val="表格"/>
    <w:basedOn w:val="1"/>
    <w:qFormat/>
    <w:uiPriority w:val="0"/>
    <w:pPr>
      <w:spacing w:line="400" w:lineRule="exact"/>
    </w:pPr>
    <w:rPr>
      <w:sz w:val="24"/>
    </w:rPr>
  </w:style>
  <w:style w:type="paragraph" w:customStyle="1" w:styleId="157">
    <w:name w:val="默认段落字体 Para Char Char Char Char Char Char Char Char Char1 Char Char Char Char"/>
    <w:basedOn w:val="1"/>
    <w:qFormat/>
    <w:uiPriority w:val="0"/>
    <w:rPr>
      <w:rFonts w:ascii="Tahoma" w:hAnsi="Tahoma"/>
      <w:sz w:val="24"/>
      <w:szCs w:val="20"/>
    </w:rPr>
  </w:style>
  <w:style w:type="paragraph" w:customStyle="1" w:styleId="158">
    <w:name w:val="Char Char Char Char Char Char Char"/>
    <w:basedOn w:val="1"/>
    <w:qFormat/>
    <w:uiPriority w:val="0"/>
  </w:style>
  <w:style w:type="paragraph" w:customStyle="1" w:styleId="159">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60">
    <w:name w:val="_Style 155"/>
    <w:unhideWhenUsed/>
    <w:qFormat/>
    <w:uiPriority w:val="99"/>
    <w:rPr>
      <w:rFonts w:ascii="Times New Roman" w:hAnsi="Times New Roman" w:eastAsia="宋体" w:cs="Times New Roman"/>
      <w:kern w:val="2"/>
      <w:sz w:val="21"/>
      <w:szCs w:val="24"/>
      <w:lang w:val="en-US" w:eastAsia="zh-CN" w:bidi="ar-SA"/>
    </w:rPr>
  </w:style>
  <w:style w:type="paragraph" w:customStyle="1" w:styleId="161">
    <w:name w:val="F2"/>
    <w:basedOn w:val="1"/>
    <w:qFormat/>
    <w:uiPriority w:val="0"/>
    <w:pPr>
      <w:autoSpaceDE w:val="0"/>
      <w:autoSpaceDN w:val="0"/>
      <w:adjustRightInd w:val="0"/>
      <w:ind w:firstLine="601"/>
      <w:textAlignment w:val="baseline"/>
    </w:pPr>
    <w:rPr>
      <w:kern w:val="0"/>
      <w:sz w:val="24"/>
      <w:szCs w:val="20"/>
    </w:rPr>
  </w:style>
  <w:style w:type="paragraph" w:customStyle="1" w:styleId="162">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63">
    <w:name w:val="tgt1"/>
    <w:basedOn w:val="1"/>
    <w:qFormat/>
    <w:uiPriority w:val="0"/>
    <w:pPr>
      <w:widowControl/>
      <w:spacing w:after="150" w:afterLines="0"/>
      <w:jc w:val="left"/>
    </w:pPr>
    <w:rPr>
      <w:rFonts w:ascii="宋体" w:hAnsi="宋体" w:cs="宋体"/>
      <w:kern w:val="0"/>
      <w:sz w:val="24"/>
    </w:rPr>
  </w:style>
  <w:style w:type="paragraph" w:customStyle="1" w:styleId="164">
    <w:name w:val="正文段"/>
    <w:basedOn w:val="1"/>
    <w:qFormat/>
    <w:uiPriority w:val="0"/>
    <w:pPr>
      <w:widowControl/>
      <w:snapToGrid w:val="0"/>
      <w:spacing w:after="156" w:afterLines="50"/>
      <w:ind w:firstLine="200" w:firstLineChars="200"/>
    </w:pPr>
    <w:rPr>
      <w:kern w:val="0"/>
      <w:sz w:val="24"/>
      <w:szCs w:val="20"/>
    </w:rPr>
  </w:style>
  <w:style w:type="paragraph" w:customStyle="1" w:styleId="165">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166">
    <w:name w:val="2ji"/>
    <w:basedOn w:val="3"/>
    <w:qFormat/>
    <w:uiPriority w:val="0"/>
    <w:pPr>
      <w:adjustRightInd w:val="0"/>
      <w:spacing w:before="0" w:beforeLines="0" w:after="0" w:afterLines="0" w:line="360" w:lineRule="auto"/>
      <w:textAlignment w:val="baseline"/>
    </w:pPr>
    <w:rPr>
      <w:rFonts w:ascii="宋体" w:hAnsi="宋体" w:eastAsia="宋体"/>
      <w:kern w:val="0"/>
      <w:sz w:val="21"/>
      <w:szCs w:val="21"/>
    </w:rPr>
  </w:style>
  <w:style w:type="paragraph" w:customStyle="1" w:styleId="167">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8">
    <w:name w:val="2-2ji"/>
    <w:basedOn w:val="3"/>
    <w:qFormat/>
    <w:uiPriority w:val="0"/>
    <w:pPr>
      <w:adjustRightInd w:val="0"/>
      <w:spacing w:before="0" w:beforeLines="0" w:after="0" w:afterLines="0" w:line="360" w:lineRule="auto"/>
      <w:jc w:val="center"/>
      <w:textAlignment w:val="baseline"/>
    </w:pPr>
    <w:rPr>
      <w:rFonts w:ascii="宋体" w:hAnsi="宋体" w:eastAsia="宋体"/>
      <w:bCs w:val="0"/>
      <w:kern w:val="0"/>
      <w:sz w:val="36"/>
    </w:rPr>
  </w:style>
  <w:style w:type="paragraph" w:customStyle="1" w:styleId="169">
    <w:name w:val="444"/>
    <w:basedOn w:val="1"/>
    <w:qFormat/>
    <w:uiPriority w:val="0"/>
    <w:pPr>
      <w:adjustRightInd w:val="0"/>
      <w:spacing w:line="312" w:lineRule="atLeast"/>
      <w:jc w:val="center"/>
      <w:textAlignment w:val="baseline"/>
    </w:pPr>
    <w:rPr>
      <w:b/>
      <w:kern w:val="0"/>
      <w:sz w:val="36"/>
      <w:szCs w:val="36"/>
    </w:rPr>
  </w:style>
  <w:style w:type="paragraph" w:customStyle="1" w:styleId="170">
    <w:name w:val="Table Paragraph"/>
    <w:basedOn w:val="1"/>
    <w:qFormat/>
    <w:uiPriority w:val="1"/>
    <w:pPr>
      <w:autoSpaceDE w:val="0"/>
      <w:autoSpaceDN w:val="0"/>
      <w:adjustRightInd w:val="0"/>
      <w:jc w:val="left"/>
    </w:pPr>
    <w:rPr>
      <w:kern w:val="0"/>
      <w:sz w:val="24"/>
    </w:rPr>
  </w:style>
  <w:style w:type="character" w:customStyle="1" w:styleId="171">
    <w:name w:val="fd"/>
    <w:qFormat/>
    <w:uiPriority w:val="0"/>
  </w:style>
  <w:style w:type="paragraph" w:customStyle="1" w:styleId="172">
    <w:name w:val="paragraph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173">
    <w:name w:val="批注文字 字符1"/>
    <w:qFormat/>
    <w:uiPriority w:val="0"/>
    <w:rPr>
      <w:kern w:val="2"/>
      <w:sz w:val="21"/>
      <w:szCs w:val="24"/>
    </w:rPr>
  </w:style>
  <w:style w:type="character" w:customStyle="1" w:styleId="174">
    <w:name w:val="_Style 169"/>
    <w:unhideWhenUsed/>
    <w:qFormat/>
    <w:uiPriority w:val="99"/>
    <w:rPr>
      <w:color w:val="605E5C"/>
      <w:shd w:val="clear" w:color="auto" w:fill="E1DFDD"/>
    </w:rPr>
  </w:style>
  <w:style w:type="character" w:customStyle="1" w:styleId="175">
    <w:name w:val="纯文本 字符1"/>
    <w:qFormat/>
    <w:uiPriority w:val="99"/>
    <w:rPr>
      <w:rFonts w:ascii="宋体" w:hAnsi="Courier New" w:eastAsia="宋体" w:cs="Courier New"/>
      <w:kern w:val="2"/>
      <w:sz w:val="21"/>
      <w:szCs w:val="21"/>
      <w:lang w:val="en-US" w:eastAsia="zh-CN" w:bidi="ar-SA"/>
    </w:rPr>
  </w:style>
  <w:style w:type="character" w:customStyle="1" w:styleId="176">
    <w:name w:val="正文文本 字符1"/>
    <w:qFormat/>
    <w:uiPriority w:val="99"/>
    <w:rPr>
      <w:kern w:val="2"/>
      <w:sz w:val="24"/>
      <w:szCs w:val="24"/>
    </w:rPr>
  </w:style>
  <w:style w:type="paragraph" w:customStyle="1" w:styleId="177">
    <w:name w:val="正文-2字符首行缩进"/>
    <w:basedOn w:val="1"/>
    <w:link w:val="178"/>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8">
    <w:name w:val="正文-2字符首行缩进 Char"/>
    <w:link w:val="177"/>
    <w:qFormat/>
    <w:uiPriority w:val="0"/>
    <w:rPr>
      <w:rFonts w:ascii="仿宋_GB2312" w:hAnsi="Calibri" w:eastAsia="仿宋_GB2312"/>
      <w:sz w:val="28"/>
      <w:szCs w:val="22"/>
    </w:rPr>
  </w:style>
  <w:style w:type="paragraph" w:customStyle="1" w:styleId="179">
    <w:name w:val="列出段落1"/>
    <w:basedOn w:val="1"/>
    <w:qFormat/>
    <w:uiPriority w:val="99"/>
    <w:pPr>
      <w:ind w:firstLine="420" w:firstLineChars="200"/>
    </w:pPr>
    <w:rPr>
      <w:rFonts w:ascii="等线" w:hAnsi="等线" w:eastAsia="等线"/>
    </w:rPr>
  </w:style>
  <w:style w:type="character" w:customStyle="1" w:styleId="180">
    <w:name w:val="正文文本 字符"/>
    <w:qFormat/>
    <w:uiPriority w:val="99"/>
    <w:rPr>
      <w:kern w:val="2"/>
      <w:sz w:val="24"/>
      <w:szCs w:val="24"/>
    </w:rPr>
  </w:style>
  <w:style w:type="character" w:customStyle="1" w:styleId="181">
    <w:name w:val="纯文本 字符"/>
    <w:qFormat/>
    <w:uiPriority w:val="99"/>
    <w:rPr>
      <w:rFonts w:ascii="宋体" w:hAnsi="Courier New" w:eastAsia="宋体" w:cs="Courier New"/>
      <w:kern w:val="2"/>
      <w:sz w:val="21"/>
      <w:szCs w:val="21"/>
      <w:lang w:val="en-US" w:eastAsia="zh-CN" w:bidi="ar-SA"/>
    </w:rPr>
  </w:style>
  <w:style w:type="paragraph" w:customStyle="1" w:styleId="182">
    <w:name w:val="表格文字"/>
    <w:basedOn w:val="1"/>
    <w:qFormat/>
    <w:uiPriority w:val="0"/>
    <w:pPr>
      <w:spacing w:before="25" w:after="25"/>
      <w:jc w:val="left"/>
    </w:pPr>
    <w:rPr>
      <w:bCs/>
      <w:spacing w:val="10"/>
      <w:kern w:val="0"/>
      <w:sz w:val="24"/>
    </w:rPr>
  </w:style>
  <w:style w:type="table" w:customStyle="1" w:styleId="183">
    <w:name w:val="Table Normal"/>
    <w:unhideWhenUsed/>
    <w:qFormat/>
    <w:uiPriority w:val="0"/>
    <w:tblPr>
      <w:tblCellMar>
        <w:top w:w="0" w:type="dxa"/>
        <w:left w:w="0" w:type="dxa"/>
        <w:bottom w:w="0" w:type="dxa"/>
        <w:right w:w="0" w:type="dxa"/>
      </w:tblCellMar>
    </w:tblPr>
  </w:style>
  <w:style w:type="character" w:customStyle="1" w:styleId="184">
    <w:name w:val="NormalCharacter"/>
    <w:semiHidden/>
    <w:qFormat/>
    <w:uiPriority w:val="0"/>
  </w:style>
  <w:style w:type="paragraph" w:customStyle="1" w:styleId="185">
    <w:name w:val="Heading4"/>
    <w:basedOn w:val="1"/>
    <w:next w:val="1"/>
    <w:qFormat/>
    <w:uiPriority w:val="0"/>
    <w:pPr>
      <w:keepNext/>
      <w:keepLines/>
      <w:spacing w:before="280" w:after="290" w:line="376" w:lineRule="auto"/>
    </w:pPr>
    <w:rPr>
      <w:rFonts w:ascii="宋体" w:hAnsi="宋体" w:eastAsia="黑体"/>
      <w:b/>
      <w:sz w:val="24"/>
    </w:rPr>
  </w:style>
  <w:style w:type="paragraph" w:customStyle="1" w:styleId="186">
    <w:name w:val="Table Text"/>
    <w:basedOn w:val="1"/>
    <w:qFormat/>
    <w:uiPriority w:val="0"/>
    <w:rPr>
      <w:rFonts w:ascii="仿宋" w:hAnsi="仿宋" w:eastAsia="仿宋" w:cs="仿宋"/>
      <w:sz w:val="20"/>
      <w:szCs w:val="20"/>
      <w:lang w:val="en-US" w:eastAsia="en-US" w:bidi="ar-SA"/>
    </w:rPr>
  </w:style>
  <w:style w:type="paragraph" w:customStyle="1" w:styleId="187">
    <w:name w:val="WPSOffice手动目录 1"/>
    <w:qFormat/>
    <w:uiPriority w:val="0"/>
    <w:pPr>
      <w:ind w:leftChars="0"/>
    </w:pPr>
    <w:rPr>
      <w:rFonts w:ascii="Times New Roman" w:hAnsi="Times New Roman" w:eastAsia="宋体" w:cs="Times New Roman"/>
      <w:sz w:val="20"/>
      <w:szCs w:val="20"/>
    </w:rPr>
  </w:style>
  <w:style w:type="paragraph" w:customStyle="1" w:styleId="188">
    <w:name w:val="leake"/>
    <w:basedOn w:val="1"/>
    <w:qFormat/>
    <w:uiPriority w:val="0"/>
    <w:pPr>
      <w:autoSpaceDE w:val="0"/>
      <w:autoSpaceDN w:val="0"/>
      <w:adjustRightInd w:val="0"/>
      <w:spacing w:line="480" w:lineRule="exact"/>
      <w:jc w:val="left"/>
    </w:pPr>
    <w:rPr>
      <w:rFonts w:ascii="仿宋_GB2312" w:eastAsia="仿宋_GB2312"/>
      <w:kern w:val="0"/>
      <w:sz w:val="28"/>
      <w:szCs w:val="28"/>
    </w:rPr>
  </w:style>
  <w:style w:type="paragraph" w:customStyle="1" w:styleId="189">
    <w:name w:val="&gt;须知前附表内容"/>
    <w:basedOn w:val="1"/>
    <w:qFormat/>
    <w:uiPriority w:val="0"/>
    <w:pPr>
      <w:ind w:firstLine="0" w:firstLineChars="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emf"/><Relationship Id="rId28" Type="http://schemas.openxmlformats.org/officeDocument/2006/relationships/theme" Target="theme/theme1.xml"/><Relationship Id="rId27" Type="http://schemas.openxmlformats.org/officeDocument/2006/relationships/header" Target="header15.xml"/><Relationship Id="rId26" Type="http://schemas.openxmlformats.org/officeDocument/2006/relationships/footer" Target="footer10.xml"/><Relationship Id="rId25" Type="http://schemas.openxmlformats.org/officeDocument/2006/relationships/header" Target="header14.xml"/><Relationship Id="rId24" Type="http://schemas.openxmlformats.org/officeDocument/2006/relationships/footer" Target="footer9.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98</Pages>
  <Words>14938</Words>
  <Characters>15503</Characters>
  <Lines>389</Lines>
  <Paragraphs>109</Paragraphs>
  <TotalTime>111</TotalTime>
  <ScaleCrop>false</ScaleCrop>
  <LinksUpToDate>false</LinksUpToDate>
  <CharactersWithSpaces>15770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2020-09-14T09:23:00Z</dcterms:created>
  <dc:creator>微软用户</dc:creator>
  <cp:lastModifiedBy>牧云溪谷</cp:lastModifiedBy>
  <cp:lastPrinted>2016-03-22T07:52:00Z</cp:lastPrinted>
  <dcterms:modified xsi:type="dcterms:W3CDTF">2025-08-21T09:56:36Z</dcterms:modified>
  <dc:title>桂财采〔2009〕 号</dc:title>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KSOTemplateDocerSaveRecord">
    <vt:lpwstr>eyJoZGlkIjoiOGM3NjU5ODdmYjk5ZDQwYzY1OGQ5YjVkN2U1NmQ0NDkiLCJ1c2VySWQiOiI0MzI0NjY5MzgifQ==</vt:lpwstr>
  </property>
  <property fmtid="{D5CDD505-2E9C-101B-9397-08002B2CF9AE}" pid="14" name="ICV">
    <vt:lpwstr>248ED2FF1202446F8B6DB891775C1958_13</vt:lpwstr>
  </property>
</Properties>
</file>