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99ED">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华文新魏" w:eastAsia="华文新魏"/>
          <w:b/>
          <w:bCs/>
          <w:color w:val="auto"/>
          <w:spacing w:val="80"/>
          <w:sz w:val="64"/>
          <w:highlight w:val="none"/>
        </w:rPr>
      </w:pPr>
    </w:p>
    <w:p w14:paraId="49884ED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华文新魏" w:eastAsia="华文新魏"/>
          <w:b/>
          <w:bCs/>
          <w:color w:val="auto"/>
          <w:spacing w:val="80"/>
          <w:sz w:val="64"/>
          <w:highlight w:val="none"/>
        </w:rPr>
      </w:pPr>
    </w:p>
    <w:p w14:paraId="57CA01D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楷体_GB2312" w:hAnsi="Times New Roman" w:eastAsia="楷体_GB2312" w:cs="Times New Roman"/>
          <w:b/>
          <w:color w:val="auto"/>
          <w:kern w:val="0"/>
          <w:sz w:val="60"/>
          <w:szCs w:val="60"/>
          <w:highlight w:val="none"/>
          <w:lang w:eastAsia="zh-CN"/>
        </w:rPr>
      </w:pPr>
      <w:r>
        <w:rPr>
          <w:rFonts w:hint="eastAsia" w:ascii="楷体_GB2312" w:eastAsia="楷体_GB2312" w:cs="Times New Roman"/>
          <w:b/>
          <w:color w:val="auto"/>
          <w:kern w:val="0"/>
          <w:sz w:val="60"/>
          <w:szCs w:val="60"/>
          <w:highlight w:val="none"/>
          <w:lang w:eastAsia="zh-CN"/>
        </w:rPr>
        <w:t>广西乐正工程项目管理有限公司</w:t>
      </w:r>
    </w:p>
    <w:p w14:paraId="165C169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05C912D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43EDAA51">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0C1B1DC4">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3CCDB4AF">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29436BB">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0B65AE3C">
      <w:pPr>
        <w:pStyle w:val="11"/>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07A41F1">
      <w:pPr>
        <w:pStyle w:val="11"/>
        <w:keepNext w:val="0"/>
        <w:keepLines w:val="0"/>
        <w:pageBreakBefore w:val="0"/>
        <w:widowControl w:val="0"/>
        <w:kinsoku/>
        <w:wordWrap/>
        <w:overflowPunct/>
        <w:topLinePunct w:val="0"/>
        <w:autoSpaceDE/>
        <w:autoSpaceDN/>
        <w:bidi w:val="0"/>
        <w:snapToGrid/>
        <w:ind w:left="0" w:leftChars="0" w:right="0" w:firstLine="0" w:firstLineChars="0"/>
        <w:jc w:val="both"/>
        <w:rPr>
          <w:rFonts w:hint="eastAsia"/>
          <w:color w:val="auto"/>
          <w:highlight w:val="none"/>
        </w:rPr>
      </w:pPr>
    </w:p>
    <w:p w14:paraId="6F1EE9F5">
      <w:pPr>
        <w:pStyle w:val="11"/>
        <w:ind w:left="0" w:leftChars="0" w:firstLine="0" w:firstLineChars="0"/>
        <w:rPr>
          <w:rFonts w:hint="eastAsia"/>
          <w:color w:val="auto"/>
          <w:highlight w:val="none"/>
        </w:rPr>
      </w:pPr>
    </w:p>
    <w:p w14:paraId="0B37267A">
      <w:pPr>
        <w:keepNext w:val="0"/>
        <w:keepLines w:val="0"/>
        <w:pageBreakBefore w:val="0"/>
        <w:widowControl w:val="0"/>
        <w:kinsoku/>
        <w:wordWrap/>
        <w:overflowPunct/>
        <w:topLinePunct w:val="0"/>
        <w:autoSpaceDE/>
        <w:autoSpaceDN/>
        <w:bidi w:val="0"/>
        <w:adjustRightInd/>
        <w:snapToGrid/>
        <w:ind w:left="2564" w:leftChars="456" w:hanging="1606" w:hangingChars="500"/>
        <w:jc w:val="left"/>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阳朔县高田镇体育中心建设项目</w:t>
      </w:r>
    </w:p>
    <w:p w14:paraId="623B1C46">
      <w:pPr>
        <w:keepNext w:val="0"/>
        <w:keepLines w:val="0"/>
        <w:pageBreakBefore w:val="0"/>
        <w:widowControl w:val="0"/>
        <w:kinsoku/>
        <w:wordWrap/>
        <w:overflowPunct/>
        <w:topLinePunct w:val="0"/>
        <w:autoSpaceDE/>
        <w:autoSpaceDN/>
        <w:bidi w:val="0"/>
        <w:adjustRightInd/>
        <w:snapToGrid/>
        <w:ind w:left="0" w:leftChars="0" w:firstLine="964" w:firstLineChars="300"/>
        <w:jc w:val="left"/>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GLZC2025-C2-210057-GXLZ</w:t>
      </w:r>
    </w:p>
    <w:p w14:paraId="1406282D">
      <w:pPr>
        <w:jc w:val="center"/>
        <w:rPr>
          <w:rFonts w:ascii="宋体" w:hAnsi="宋体" w:cs="宋体"/>
          <w:color w:val="auto"/>
          <w:sz w:val="32"/>
          <w:szCs w:val="32"/>
          <w:highlight w:val="none"/>
        </w:rPr>
      </w:pPr>
    </w:p>
    <w:p w14:paraId="2D31782E">
      <w:pPr>
        <w:pStyle w:val="2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highlight w:val="none"/>
        </w:rPr>
      </w:pPr>
    </w:p>
    <w:p w14:paraId="7EE36F30">
      <w:pPr>
        <w:pStyle w:val="24"/>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highlight w:val="none"/>
        </w:rPr>
      </w:pPr>
    </w:p>
    <w:p w14:paraId="7A865D6D">
      <w:pPr>
        <w:spacing w:line="480" w:lineRule="auto"/>
        <w:ind w:firstLine="964" w:firstLineChars="300"/>
        <w:jc w:val="both"/>
        <w:rPr>
          <w:rStyle w:val="25"/>
          <w:rFonts w:hint="eastAsia" w:ascii="宋体" w:hAnsi="宋体" w:eastAsia="宋体"/>
          <w:b/>
          <w:bCs/>
          <w:color w:val="auto"/>
          <w:spacing w:val="40"/>
          <w:sz w:val="24"/>
          <w:highlight w:val="none"/>
          <w:lang w:eastAsia="zh-CN"/>
        </w:rPr>
      </w:pPr>
      <w:r>
        <w:rPr>
          <w:rStyle w:val="25"/>
          <w:rFonts w:ascii="宋体" w:hAnsi="宋体"/>
          <w:b/>
          <w:bCs/>
          <w:color w:val="auto"/>
          <w:sz w:val="32"/>
          <w:highlight w:val="none"/>
        </w:rPr>
        <w:t>采购代理机构：</w:t>
      </w:r>
      <w:r>
        <w:rPr>
          <w:rStyle w:val="25"/>
          <w:rFonts w:hint="eastAsia" w:ascii="宋体" w:hAnsi="宋体"/>
          <w:b/>
          <w:bCs/>
          <w:color w:val="auto"/>
          <w:sz w:val="32"/>
          <w:highlight w:val="none"/>
          <w:lang w:eastAsia="zh-CN"/>
        </w:rPr>
        <w:t>广西乐正工程项目管理有限公司</w:t>
      </w:r>
    </w:p>
    <w:p w14:paraId="5BFEA3C0">
      <w:pPr>
        <w:spacing w:line="480" w:lineRule="auto"/>
        <w:ind w:left="0" w:leftChars="0" w:firstLine="0" w:firstLineChars="0"/>
        <w:jc w:val="center"/>
        <w:rPr>
          <w:rStyle w:val="25"/>
          <w:rFonts w:hint="eastAsia" w:ascii="黑体" w:eastAsia="宋体"/>
          <w:color w:val="auto"/>
          <w:sz w:val="32"/>
          <w:highlight w:val="none"/>
          <w:lang w:eastAsia="zh-CN"/>
        </w:rPr>
      </w:pPr>
      <w:r>
        <w:rPr>
          <w:rStyle w:val="25"/>
          <w:rFonts w:hint="eastAsia" w:ascii="宋体" w:hAnsi="宋体"/>
          <w:b/>
          <w:bCs/>
          <w:color w:val="auto"/>
          <w:sz w:val="32"/>
          <w:highlight w:val="none"/>
          <w:lang w:eastAsia="zh-CN"/>
        </w:rPr>
        <w:t>202</w:t>
      </w:r>
      <w:r>
        <w:rPr>
          <w:rStyle w:val="25"/>
          <w:rFonts w:hint="eastAsia" w:ascii="宋体" w:hAnsi="宋体"/>
          <w:b/>
          <w:bCs/>
          <w:color w:val="auto"/>
          <w:sz w:val="32"/>
          <w:highlight w:val="none"/>
          <w:lang w:val="en-US" w:eastAsia="zh-CN"/>
        </w:rPr>
        <w:t>5</w:t>
      </w:r>
      <w:r>
        <w:rPr>
          <w:rStyle w:val="25"/>
          <w:rFonts w:hint="eastAsia" w:ascii="宋体" w:hAnsi="宋体"/>
          <w:b/>
          <w:bCs/>
          <w:color w:val="auto"/>
          <w:sz w:val="32"/>
          <w:highlight w:val="none"/>
          <w:lang w:eastAsia="zh-CN"/>
        </w:rPr>
        <w:t>年</w:t>
      </w:r>
      <w:r>
        <w:rPr>
          <w:rStyle w:val="25"/>
          <w:rFonts w:hint="eastAsia" w:ascii="宋体" w:hAnsi="宋体"/>
          <w:b/>
          <w:bCs/>
          <w:color w:val="auto"/>
          <w:sz w:val="32"/>
          <w:highlight w:val="none"/>
          <w:lang w:val="en-US" w:eastAsia="zh-CN"/>
        </w:rPr>
        <w:t>10</w:t>
      </w:r>
      <w:r>
        <w:rPr>
          <w:rStyle w:val="25"/>
          <w:rFonts w:hint="eastAsia" w:ascii="宋体" w:hAnsi="宋体"/>
          <w:b/>
          <w:bCs/>
          <w:color w:val="auto"/>
          <w:sz w:val="32"/>
          <w:highlight w:val="none"/>
          <w:lang w:eastAsia="zh-CN"/>
        </w:rPr>
        <w:t>月</w:t>
      </w:r>
    </w:p>
    <w:p w14:paraId="188B3AD9">
      <w:pPr>
        <w:pStyle w:val="12"/>
        <w:spacing w:line="420" w:lineRule="exact"/>
        <w:jc w:val="center"/>
        <w:rPr>
          <w:rFonts w:hint="eastAsia" w:ascii="宋体" w:hAnsi="宋体" w:eastAsia="宋体"/>
          <w:b/>
          <w:bCs/>
          <w:color w:val="auto"/>
          <w:sz w:val="44"/>
          <w:szCs w:val="20"/>
          <w:highlight w:val="none"/>
          <w:lang w:val="en-US" w:eastAsia="zh-CN"/>
        </w:rPr>
      </w:pPr>
    </w:p>
    <w:p w14:paraId="30F4F6DE">
      <w:pPr>
        <w:pStyle w:val="5"/>
        <w:rPr>
          <w:rFonts w:hint="eastAsia"/>
          <w:highlight w:val="none"/>
          <w:lang w:val="en-US" w:eastAsia="zh-CN"/>
        </w:rPr>
      </w:pPr>
    </w:p>
    <w:p w14:paraId="53BCD1B0">
      <w:pPr>
        <w:pStyle w:val="12"/>
        <w:spacing w:line="420" w:lineRule="exact"/>
        <w:jc w:val="center"/>
        <w:rPr>
          <w:rFonts w:hint="eastAsia" w:ascii="宋体" w:hAnsi="宋体" w:eastAsia="宋体"/>
          <w:b/>
          <w:bCs/>
          <w:color w:val="auto"/>
          <w:sz w:val="44"/>
          <w:szCs w:val="20"/>
          <w:highlight w:val="none"/>
          <w:lang w:val="en-US" w:eastAsia="zh-CN"/>
        </w:rPr>
      </w:pPr>
    </w:p>
    <w:p w14:paraId="09243977">
      <w:pPr>
        <w:pStyle w:val="12"/>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10BBBBCC">
      <w:pPr>
        <w:pStyle w:val="6"/>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0B38550B">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0FEC5A0">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A9A9777">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1694AB4">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0816D0B9">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40B43A5">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76</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4E02BBAE">
      <w:pPr>
        <w:pStyle w:val="16"/>
        <w:keepNext w:val="0"/>
        <w:keepLines w:val="0"/>
        <w:pageBreakBefore w:val="0"/>
        <w:widowControl w:val="0"/>
        <w:tabs>
          <w:tab w:val="right" w:leader="dot" w:pos="9660"/>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96</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D1E0BF">
      <w:pPr>
        <w:pStyle w:val="1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630D89FF">
      <w:pPr>
        <w:pStyle w:val="1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3B35CF1D">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3" w:type="first"/>
          <w:pgSz w:w="11906" w:h="16838"/>
          <w:pgMar w:top="1440" w:right="1083" w:bottom="1440" w:left="1083" w:header="851" w:footer="992" w:gutter="0"/>
          <w:pgNumType w:fmt="decimal" w:start="1"/>
          <w:cols w:space="0" w:num="1"/>
          <w:rtlGutter w:val="0"/>
          <w:docGrid w:type="lines" w:linePitch="312" w:charSpace="0"/>
        </w:sectPr>
      </w:pPr>
      <w:bookmarkStart w:id="0" w:name="_Toc21930"/>
      <w:bookmarkStart w:id="1" w:name="_Toc26809"/>
      <w:bookmarkStart w:id="2" w:name="_Toc30170"/>
      <w:bookmarkStart w:id="3" w:name="_Toc28359011"/>
      <w:bookmarkStart w:id="4" w:name="_Toc1752"/>
      <w:bookmarkStart w:id="5" w:name="_Toc35393797"/>
    </w:p>
    <w:p w14:paraId="231F7B9C">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21"/>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0B4C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78EDD94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371E31E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阳朔县高田镇体育中心建设项目</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2025年11月3日9时</w:t>
            </w:r>
            <w:r>
              <w:rPr>
                <w:rFonts w:hint="eastAsia" w:ascii="宋体" w:hAnsi="宋体" w:eastAsia="宋体" w:cs="宋体"/>
                <w:color w:val="auto"/>
                <w:sz w:val="24"/>
                <w:szCs w:val="24"/>
                <w:highlight w:val="none"/>
                <w:u w:val="single"/>
              </w:rPr>
              <w:t>30分</w:t>
            </w:r>
            <w:r>
              <w:rPr>
                <w:rFonts w:hint="eastAsia" w:ascii="宋体" w:hAnsi="宋体" w:eastAsia="宋体" w:cs="宋体"/>
                <w:color w:val="auto"/>
                <w:sz w:val="24"/>
                <w:szCs w:val="24"/>
                <w:highlight w:val="none"/>
              </w:rPr>
              <w:t>（北京时间）前提交响应文件。</w:t>
            </w:r>
          </w:p>
        </w:tc>
      </w:tr>
    </w:tbl>
    <w:p w14:paraId="7B63310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3416"/>
      <w:bookmarkStart w:id="8" w:name="_Toc15564"/>
      <w:bookmarkStart w:id="9" w:name="_Toc28343"/>
      <w:bookmarkStart w:id="10" w:name="_Toc28359012"/>
      <w:bookmarkStart w:id="11" w:name="_Toc35393798"/>
      <w:bookmarkStart w:id="12" w:name="_Toc24797"/>
      <w:bookmarkStart w:id="13" w:name="_Toc35393629"/>
      <w:bookmarkStart w:id="14" w:name="_Toc28359089"/>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36979D1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GLZC2025-C2-210057-GXLZ</w:t>
      </w:r>
    </w:p>
    <w:p w14:paraId="2AD36C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阳朔县高田镇体育中心建设项目</w:t>
      </w:r>
    </w:p>
    <w:p w14:paraId="7BF6EE1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3CE3256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eastAsia="zh-CN"/>
        </w:rPr>
        <w:t>2133529.66</w:t>
      </w:r>
      <w:r>
        <w:rPr>
          <w:rFonts w:hint="eastAsia" w:ascii="宋体" w:hAnsi="宋体" w:cs="宋体"/>
          <w:color w:val="auto"/>
          <w:sz w:val="24"/>
          <w:szCs w:val="24"/>
          <w:highlight w:val="none"/>
          <w:u w:val="none"/>
          <w:lang w:val="en-US" w:eastAsia="zh-CN"/>
        </w:rPr>
        <w:t xml:space="preserve"> </w:t>
      </w:r>
    </w:p>
    <w:p w14:paraId="031517F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w:t>
      </w:r>
    </w:p>
    <w:p w14:paraId="600750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阳朔县高田镇体育中心建设项目</w:t>
      </w:r>
    </w:p>
    <w:p w14:paraId="29F651D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45E7097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u w:val="none"/>
          <w:lang w:eastAsia="zh-CN"/>
        </w:rPr>
        <w:t>2133529.66</w:t>
      </w:r>
    </w:p>
    <w:p w14:paraId="16EDF0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224CEFE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Style w:val="25"/>
          <w:rFonts w:hint="eastAsia" w:ascii="宋体" w:hAnsi="宋体" w:cs="宋体"/>
          <w:sz w:val="24"/>
          <w:szCs w:val="24"/>
          <w:highlight w:val="none"/>
        </w:rPr>
        <w:t>（1）项目地点：</w:t>
      </w:r>
      <w:r>
        <w:rPr>
          <w:rStyle w:val="25"/>
          <w:rFonts w:hint="eastAsia" w:ascii="宋体" w:hAnsi="宋体" w:cs="宋体"/>
          <w:sz w:val="24"/>
          <w:szCs w:val="24"/>
          <w:highlight w:val="none"/>
          <w:lang w:val="en-US" w:eastAsia="zh-CN"/>
        </w:rPr>
        <w:t>阳朔县高田镇蒙村村委岩碑村</w:t>
      </w:r>
      <w:r>
        <w:rPr>
          <w:rStyle w:val="25"/>
          <w:rFonts w:hint="eastAsia" w:ascii="宋体" w:hAnsi="宋体" w:cs="宋体"/>
          <w:sz w:val="24"/>
          <w:szCs w:val="24"/>
          <w:highlight w:val="none"/>
        </w:rPr>
        <w:t>；（2）工程内容为：</w:t>
      </w:r>
      <w:r>
        <w:rPr>
          <w:rStyle w:val="25"/>
          <w:rFonts w:hint="eastAsia" w:ascii="宋体" w:hAnsi="宋体" w:cs="宋体"/>
          <w:sz w:val="24"/>
          <w:szCs w:val="24"/>
          <w:highlight w:val="none"/>
          <w:lang w:eastAsia="zh-CN"/>
        </w:rPr>
        <w:t>项目总建筑面积15045.73㎡；旧建筑圆形斗牛场改造升级高规格标准篮球场1个，长度为28.20米，宽为15.20米。靠近山体部分设置钢缆防坠网高5m，长约100m。改造翻新旧有观众席，设置排水系统等；平整硬化场外空地面积约8093.90㎡，设置两个篮球场、三个羽毛球场、乒乓球台及康乐健身器材区，设置停车场及照明系统，并进行周边绿化，营造舒适的运动环境，</w:t>
      </w:r>
      <w:r>
        <w:rPr>
          <w:rStyle w:val="25"/>
          <w:rFonts w:hint="eastAsia" w:ascii="宋体" w:hAnsi="宋体" w:cs="宋体"/>
          <w:sz w:val="24"/>
          <w:szCs w:val="24"/>
          <w:highlight w:val="none"/>
        </w:rPr>
        <w:t>具体内容详见工程量清单及施工图纸；（3）质量要求：达到国家施工验收规范合格标准；</w:t>
      </w:r>
      <w:r>
        <w:rPr>
          <w:rStyle w:val="25"/>
          <w:rFonts w:ascii="宋体" w:hAnsi="宋体"/>
          <w:sz w:val="24"/>
          <w:szCs w:val="24"/>
          <w:highlight w:val="none"/>
        </w:rPr>
        <w:t>如需进一步了解详细内容，详见竞争性</w:t>
      </w:r>
      <w:r>
        <w:rPr>
          <w:rStyle w:val="25"/>
          <w:rFonts w:hint="eastAsia" w:ascii="宋体" w:hAnsi="宋体"/>
          <w:sz w:val="24"/>
          <w:szCs w:val="24"/>
          <w:highlight w:val="none"/>
        </w:rPr>
        <w:t>磋商</w:t>
      </w:r>
      <w:r>
        <w:rPr>
          <w:rStyle w:val="25"/>
          <w:rFonts w:ascii="宋体" w:hAnsi="宋体"/>
          <w:sz w:val="24"/>
          <w:szCs w:val="24"/>
          <w:highlight w:val="none"/>
        </w:rPr>
        <w:t>文件。</w:t>
      </w:r>
    </w:p>
    <w:p w14:paraId="507F8C0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eastAsia="zh-CN"/>
        </w:rPr>
        <w:t>2133529.66元</w:t>
      </w:r>
    </w:p>
    <w:p w14:paraId="79B830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Style w:val="25"/>
          <w:rFonts w:hint="eastAsia" w:ascii="宋体" w:hAnsi="宋体" w:cs="宋体"/>
          <w:sz w:val="24"/>
          <w:szCs w:val="24"/>
          <w:highlight w:val="none"/>
          <w:lang w:val="en-US" w:eastAsia="zh-CN"/>
        </w:rPr>
        <w:t>60日历天</w:t>
      </w:r>
      <w:r>
        <w:rPr>
          <w:rFonts w:hint="eastAsia" w:ascii="宋体" w:hAnsi="宋体" w:eastAsia="宋体" w:cs="宋体"/>
          <w:color w:val="auto"/>
          <w:sz w:val="24"/>
          <w:szCs w:val="24"/>
          <w:highlight w:val="none"/>
        </w:rPr>
        <w:t>。</w:t>
      </w:r>
    </w:p>
    <w:p w14:paraId="066819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515B6B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3580AA9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4261"/>
      <w:bookmarkStart w:id="16" w:name="_Toc28359090"/>
      <w:bookmarkStart w:id="17" w:name="_Toc28359013"/>
      <w:bookmarkStart w:id="18" w:name="_Toc21853"/>
      <w:bookmarkStart w:id="19" w:name="_Toc35393630"/>
      <w:bookmarkStart w:id="20" w:name="_Toc35393799"/>
      <w:bookmarkStart w:id="21" w:name="_Toc13592"/>
      <w:bookmarkStart w:id="22" w:name="_Toc4719"/>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59A0FED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满足《中华人民共和国政府采购法》第二十二条规定</w:t>
      </w:r>
      <w:r>
        <w:rPr>
          <w:rFonts w:hint="eastAsia" w:ascii="宋体" w:hAnsi="宋体" w:cs="宋体"/>
          <w:b w:val="0"/>
          <w:bCs w:val="0"/>
          <w:color w:val="auto"/>
          <w:sz w:val="24"/>
          <w:szCs w:val="24"/>
          <w:highlight w:val="none"/>
          <w:lang w:val="en-US" w:eastAsia="zh-CN"/>
        </w:rPr>
        <w:t>。</w:t>
      </w:r>
    </w:p>
    <w:p w14:paraId="64BE8AB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bookmarkStart w:id="23" w:name="_Toc28359014"/>
      <w:bookmarkStart w:id="24" w:name="_Toc28359091"/>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落实政府采购政策需满足的资格要求：</w:t>
      </w:r>
      <w:r>
        <w:rPr>
          <w:rFonts w:hint="eastAsia" w:ascii="宋体" w:hAnsi="宋体" w:eastAsia="宋体" w:cs="宋体"/>
          <w:b w:val="0"/>
          <w:bCs w:val="0"/>
          <w:color w:val="auto"/>
          <w:sz w:val="24"/>
          <w:szCs w:val="24"/>
          <w:highlight w:val="none"/>
          <w:u w:val="none"/>
        </w:rPr>
        <w:t>供应商应为中小微企业</w:t>
      </w:r>
      <w:r>
        <w:rPr>
          <w:rFonts w:hint="eastAsia" w:ascii="宋体" w:hAnsi="宋体" w:cs="宋体"/>
          <w:b w:val="0"/>
          <w:bCs w:val="0"/>
          <w:color w:val="auto"/>
          <w:sz w:val="24"/>
          <w:szCs w:val="24"/>
          <w:highlight w:val="none"/>
          <w:u w:val="none"/>
          <w:lang w:val="en-US" w:eastAsia="zh-CN"/>
        </w:rPr>
        <w:t>或</w:t>
      </w:r>
      <w:r>
        <w:rPr>
          <w:rFonts w:hint="eastAsia" w:ascii="宋体" w:hAnsi="宋体" w:eastAsia="宋体" w:cs="宋体"/>
          <w:b w:val="0"/>
          <w:bCs w:val="0"/>
          <w:color w:val="auto"/>
          <w:sz w:val="24"/>
          <w:szCs w:val="24"/>
          <w:highlight w:val="none"/>
          <w:u w:val="none"/>
        </w:rPr>
        <w:t>监狱企业、残疾人福利性单位。</w:t>
      </w:r>
    </w:p>
    <w:p w14:paraId="195CB62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本项目的特定资格要求：</w:t>
      </w:r>
      <w:bookmarkStart w:id="25" w:name="_Toc35393631"/>
      <w:bookmarkStart w:id="26" w:name="_Toc35393800"/>
      <w:r>
        <w:rPr>
          <w:rFonts w:hint="eastAsia" w:ascii="宋体" w:hAnsi="宋体" w:cs="宋体"/>
          <w:b w:val="0"/>
          <w:bCs w:val="0"/>
          <w:color w:val="auto"/>
          <w:sz w:val="24"/>
          <w:szCs w:val="24"/>
          <w:highlight w:val="none"/>
          <w:u w:val="none"/>
          <w:lang w:eastAsia="zh-CN"/>
        </w:rPr>
        <w:t>具备市政公用工程施工总承包三级（含以上）资质，并在人员、设备、资金等方面具备相应的施工能力。其中拟派项目经理须具备市政公用工程专业二级以上（含本级）注册建造师执业资格，具备有效的安全生产考核合格证书（B类）。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w:t>
      </w:r>
    </w:p>
    <w:bookmarkEnd w:id="23"/>
    <w:bookmarkEnd w:id="24"/>
    <w:bookmarkEnd w:id="25"/>
    <w:bookmarkEnd w:id="26"/>
    <w:p w14:paraId="2BDD1A8B">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25397"/>
      <w:bookmarkStart w:id="28" w:name="_Toc35393792"/>
      <w:bookmarkStart w:id="29" w:name="_Toc35393623"/>
      <w:bookmarkStart w:id="30" w:name="_Toc30519"/>
      <w:bookmarkStart w:id="31" w:name="_Toc30267"/>
      <w:bookmarkStart w:id="32" w:name="_Toc17532"/>
      <w:bookmarkStart w:id="33" w:name="_Toc28359095"/>
      <w:bookmarkStart w:id="34" w:name="_Toc35393636"/>
      <w:bookmarkStart w:id="35" w:name="_Toc35393805"/>
      <w:bookmarkStart w:id="36" w:name="_Toc28359018"/>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1D1C77CF">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2025年10月23日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2025年11月3日</w:t>
      </w:r>
      <w:r>
        <w:rPr>
          <w:rFonts w:hint="eastAsia" w:ascii="宋体" w:hAnsi="宋体" w:eastAsia="宋体" w:cs="宋体"/>
          <w:color w:val="auto"/>
          <w:sz w:val="24"/>
          <w:szCs w:val="24"/>
          <w:highlight w:val="none"/>
        </w:rPr>
        <w:t>，每天上午00:00至12:00，下午12:00至23:59（北京时间，法定节假日除外）</w:t>
      </w:r>
    </w:p>
    <w:p w14:paraId="592618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eastAsia="宋体" w:cs="宋体"/>
          <w:bCs/>
          <w:color w:val="auto"/>
          <w:sz w:val="24"/>
          <w:szCs w:val="24"/>
          <w:highlight w:val="none"/>
          <w:lang w:eastAsia="zh-CN"/>
        </w:rPr>
        <w:t>广西政府采购云平台（https://www.gcy.zfcg.gxzf.gov.cn/）</w:t>
      </w:r>
    </w:p>
    <w:p w14:paraId="50FF3D4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eastAsia="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7CF14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2E4CFDDB">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1323"/>
      <w:bookmarkStart w:id="38" w:name="_Toc2690"/>
      <w:bookmarkStart w:id="39" w:name="_Toc23691"/>
      <w:bookmarkStart w:id="40" w:name="_Toc15803"/>
      <w:bookmarkStart w:id="41" w:name="_Toc35393626"/>
      <w:bookmarkStart w:id="42" w:name="_Toc35393795"/>
      <w:r>
        <w:rPr>
          <w:rFonts w:hint="eastAsia" w:ascii="宋体" w:hAnsi="宋体" w:eastAsia="宋体" w:cs="宋体"/>
          <w:b/>
          <w:color w:val="auto"/>
          <w:sz w:val="24"/>
          <w:szCs w:val="24"/>
          <w:highlight w:val="none"/>
        </w:rPr>
        <w:t>四、响应文件提交</w:t>
      </w:r>
    </w:p>
    <w:p w14:paraId="5A5A283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2025年11月3日9时</w:t>
      </w:r>
      <w:r>
        <w:rPr>
          <w:rFonts w:hint="eastAsia" w:ascii="宋体" w:hAnsi="宋体" w:eastAsia="宋体" w:cs="宋体"/>
          <w:color w:val="auto"/>
          <w:sz w:val="24"/>
          <w:szCs w:val="24"/>
          <w:highlight w:val="none"/>
        </w:rPr>
        <w:t>30分（北京时间）</w:t>
      </w:r>
    </w:p>
    <w:p w14:paraId="56EBE1B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7C756110">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79213BB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2025年11月3日9时</w:t>
      </w:r>
      <w:r>
        <w:rPr>
          <w:rFonts w:hint="eastAsia" w:ascii="宋体" w:hAnsi="宋体" w:eastAsia="宋体" w:cs="宋体"/>
          <w:color w:val="auto"/>
          <w:sz w:val="24"/>
          <w:szCs w:val="24"/>
          <w:highlight w:val="none"/>
        </w:rPr>
        <w:t>30分（北京时间）截标后</w:t>
      </w:r>
      <w:r>
        <w:rPr>
          <w:rFonts w:hint="eastAsia" w:ascii="宋体" w:hAnsi="宋体" w:eastAsia="宋体" w:cs="宋体"/>
          <w:bCs/>
          <w:color w:val="auto"/>
          <w:sz w:val="24"/>
          <w:szCs w:val="24"/>
          <w:highlight w:val="none"/>
        </w:rPr>
        <w:t>。</w:t>
      </w:r>
    </w:p>
    <w:p w14:paraId="786F23F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3F332223">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1FB0BA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30BF0537">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77435457">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2A981D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B29E88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D98B3C">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2B5B449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78E6506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3DD0F07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46E508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66EF06BF">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）本项目专门面向中小微企业采购。</w:t>
      </w:r>
    </w:p>
    <w:p w14:paraId="3CD7CE93">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40C59860">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185ABCDD">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75671B4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（1）本项目通过</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eastAsia="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eastAsia="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eastAsia="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r>
        <w:rPr>
          <w:rFonts w:hint="eastAsia" w:ascii="宋体" w:hAnsi="宋体" w:cs="宋体"/>
          <w:color w:val="auto"/>
          <w:sz w:val="24"/>
          <w:szCs w:val="24"/>
          <w:highlight w:val="none"/>
          <w:lang w:eastAsia="zh-CN"/>
        </w:rPr>
        <w:t>。</w:t>
      </w:r>
    </w:p>
    <w:p w14:paraId="2F71F68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74DC16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1AA41E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31704E05">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51F0353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70C692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254449E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名    称：阳朔县高田镇人民政府</w:t>
      </w:r>
    </w:p>
    <w:p w14:paraId="79525EB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 xml:space="preserve">地    址：阳朔县高田镇榕荫路1号 </w:t>
      </w:r>
    </w:p>
    <w:p w14:paraId="542D80F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项目联系人：</w:t>
      </w:r>
      <w:r>
        <w:rPr>
          <w:rFonts w:hint="eastAsia" w:ascii="宋体" w:hAnsi="宋体" w:cs="宋体"/>
          <w:bCs/>
          <w:color w:val="auto"/>
          <w:sz w:val="24"/>
          <w:szCs w:val="24"/>
          <w:highlight w:val="none"/>
          <w:lang w:val="en-US" w:eastAsia="zh-CN"/>
        </w:rPr>
        <w:t xml:space="preserve">伍章健 </w:t>
      </w:r>
    </w:p>
    <w:p w14:paraId="250E635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项目联系方式：0773-8776103</w:t>
      </w:r>
      <w:r>
        <w:rPr>
          <w:rFonts w:hint="eastAsia" w:ascii="宋体" w:hAnsi="宋体" w:cs="宋体"/>
          <w:bCs/>
          <w:color w:val="auto"/>
          <w:sz w:val="24"/>
          <w:szCs w:val="24"/>
          <w:highlight w:val="none"/>
          <w:lang w:val="en-US" w:eastAsia="zh-CN"/>
        </w:rPr>
        <w:t xml:space="preserve">    </w:t>
      </w:r>
    </w:p>
    <w:p w14:paraId="0858458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color w:val="auto"/>
          <w:sz w:val="24"/>
          <w:szCs w:val="24"/>
          <w:highlight w:val="none"/>
          <w:lang w:eastAsia="zh-CN"/>
        </w:rPr>
      </w:pPr>
      <w:bookmarkStart w:id="43" w:name="_Toc28359086"/>
      <w:bookmarkStart w:id="44" w:name="_Toc28359009"/>
      <w:r>
        <w:rPr>
          <w:rFonts w:hint="eastAsia" w:ascii="宋体" w:hAnsi="宋体" w:cs="宋体"/>
          <w:bCs/>
          <w:color w:val="auto"/>
          <w:sz w:val="24"/>
          <w:szCs w:val="24"/>
          <w:highlight w:val="none"/>
          <w:lang w:eastAsia="zh-CN"/>
        </w:rPr>
        <w:t>2.采购代理机构信息</w:t>
      </w:r>
      <w:bookmarkEnd w:id="43"/>
      <w:bookmarkEnd w:id="44"/>
    </w:p>
    <w:p w14:paraId="1741048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广西乐正工程项目管理有限公司</w:t>
      </w:r>
    </w:p>
    <w:p w14:paraId="413F8C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桂林市秀峰区红岭路 1 号桂林华润中心 1 栋 B 座 16-16 号</w:t>
      </w:r>
    </w:p>
    <w:p w14:paraId="725F0B9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eastAsia="zh-CN"/>
        </w:rPr>
        <w:t>彭工</w:t>
      </w:r>
    </w:p>
    <w:p w14:paraId="747E5B1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0773-3694598</w:t>
      </w:r>
    </w:p>
    <w:p w14:paraId="2AB853D9">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highlight w:val="none"/>
          <w:lang w:val="en-US" w:eastAsia="zh-CN"/>
        </w:rPr>
      </w:pPr>
    </w:p>
    <w:p w14:paraId="0AFA5678">
      <w:pPr>
        <w:keepNext w:val="0"/>
        <w:keepLines w:val="0"/>
        <w:pageBreakBefore w:val="0"/>
        <w:widowControl w:val="0"/>
        <w:kinsoku/>
        <w:wordWrap w:val="0"/>
        <w:overflowPunct/>
        <w:topLinePunct w:val="0"/>
        <w:autoSpaceDE/>
        <w:autoSpaceDN/>
        <w:bidi w:val="0"/>
        <w:adjustRightInd/>
        <w:snapToGrid/>
        <w:spacing w:line="360" w:lineRule="exact"/>
        <w:jc w:val="both"/>
        <w:textAlignment w:val="auto"/>
        <w:outlineLvl w:val="9"/>
        <w:rPr>
          <w:rFonts w:hint="eastAsia" w:ascii="宋体" w:hAnsi="宋体" w:eastAsia="宋体" w:cs="宋体"/>
          <w:b/>
          <w:bCs/>
          <w:color w:val="auto"/>
          <w:sz w:val="24"/>
          <w:szCs w:val="24"/>
          <w:highlight w:val="none"/>
          <w:lang w:val="en-US" w:eastAsia="zh-CN"/>
        </w:rPr>
      </w:pPr>
    </w:p>
    <w:p w14:paraId="6F218495">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2025年10月23日</w:t>
      </w:r>
    </w:p>
    <w:p w14:paraId="00B11EDA">
      <w:pPr>
        <w:rPr>
          <w:rFonts w:hint="eastAsia" w:ascii="宋体" w:hAnsi="宋体" w:eastAsia="宋体" w:cs="宋体"/>
          <w:color w:val="auto"/>
          <w:highlight w:val="none"/>
        </w:rPr>
      </w:pPr>
    </w:p>
    <w:p w14:paraId="266AA0F8">
      <w:pPr>
        <w:pStyle w:val="11"/>
        <w:ind w:left="0" w:leftChars="0" w:firstLine="0" w:firstLineChars="0"/>
        <w:rPr>
          <w:rFonts w:hint="eastAsia"/>
          <w:color w:val="auto"/>
          <w:highlight w:val="none"/>
        </w:rPr>
      </w:pPr>
    </w:p>
    <w:p w14:paraId="30BF4531">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43BFA0E9">
      <w:pPr>
        <w:tabs>
          <w:tab w:val="left" w:pos="1065"/>
          <w:tab w:val="center" w:pos="4411"/>
        </w:tabs>
        <w:spacing w:line="340" w:lineRule="exact"/>
        <w:jc w:val="center"/>
        <w:rPr>
          <w:rFonts w:hint="eastAsia" w:eastAsia="宋体"/>
          <w:b/>
          <w:color w:val="auto"/>
          <w:sz w:val="28"/>
          <w:szCs w:val="28"/>
          <w:highlight w:val="none"/>
        </w:rPr>
      </w:pPr>
      <w:bookmarkStart w:id="48" w:name="_Toc1585"/>
      <w:bookmarkStart w:id="49" w:name="_Toc13547"/>
      <w:bookmarkStart w:id="50" w:name="_Toc25063"/>
      <w:bookmarkStart w:id="51" w:name="_Toc10555"/>
      <w:bookmarkStart w:id="52" w:name="_Toc13800"/>
      <w:bookmarkStart w:id="53" w:name="_Toc9508"/>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20"/>
        <w:tblW w:w="974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42"/>
        <w:gridCol w:w="1775"/>
        <w:gridCol w:w="6221"/>
      </w:tblGrid>
      <w:tr w14:paraId="0002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802" w:type="dxa"/>
            <w:shd w:val="clear" w:color="auto" w:fill="8DB3E2"/>
            <w:noWrap w:val="0"/>
            <w:vAlign w:val="center"/>
          </w:tcPr>
          <w:p w14:paraId="759DCC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9F49D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C6E54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5D35988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6964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02" w:type="dxa"/>
            <w:noWrap w:val="0"/>
            <w:vAlign w:val="center"/>
          </w:tcPr>
          <w:p w14:paraId="5E509D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5E3F9C7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0D69579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445DDE7C">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阳朔县高田镇体育中心建设项目</w:t>
            </w:r>
          </w:p>
          <w:p w14:paraId="31AF84F5">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eastAsia="zh-CN"/>
              </w:rPr>
              <w:t>GLZC2025-C2-210057-GXLZ</w:t>
            </w:r>
          </w:p>
        </w:tc>
      </w:tr>
      <w:tr w14:paraId="03D9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802" w:type="dxa"/>
            <w:noWrap w:val="0"/>
            <w:vAlign w:val="center"/>
          </w:tcPr>
          <w:p w14:paraId="6F5D7D8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BEB8DD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4F83710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1EE333ED">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val="en-US" w:eastAsia="zh-CN"/>
              </w:rPr>
              <w:t>3.1</w:t>
            </w:r>
            <w:r>
              <w:rPr>
                <w:rFonts w:hint="eastAsia" w:ascii="宋体" w:hAnsi="宋体" w:eastAsia="宋体" w:cs="宋体"/>
                <w:b w:val="0"/>
                <w:bCs w:val="0"/>
                <w:color w:val="auto"/>
                <w:sz w:val="24"/>
                <w:szCs w:val="24"/>
                <w:highlight w:val="none"/>
                <w:u w:val="none"/>
              </w:rPr>
              <w:t>满足《中华人民共和国政府采购法》第二十二条规定</w:t>
            </w:r>
            <w:r>
              <w:rPr>
                <w:rFonts w:hint="eastAsia" w:ascii="宋体" w:hAnsi="宋体" w:cs="宋体"/>
                <w:b w:val="0"/>
                <w:bCs w:val="0"/>
                <w:color w:val="auto"/>
                <w:sz w:val="24"/>
                <w:szCs w:val="24"/>
                <w:highlight w:val="none"/>
                <w:u w:val="none"/>
                <w:lang w:eastAsia="zh-CN"/>
              </w:rPr>
              <w:t>。</w:t>
            </w:r>
          </w:p>
          <w:p w14:paraId="29682CF2">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3.2落实政府采购政策需满足的资格要求：供应商应为中小微企业</w:t>
            </w:r>
            <w:r>
              <w:rPr>
                <w:rFonts w:hint="eastAsia" w:ascii="宋体" w:hAnsi="宋体" w:cs="宋体"/>
                <w:b w:val="0"/>
                <w:bCs w:val="0"/>
                <w:color w:val="auto"/>
                <w:sz w:val="24"/>
                <w:szCs w:val="24"/>
                <w:highlight w:val="none"/>
                <w:u w:val="none"/>
                <w:lang w:val="en-US" w:eastAsia="zh-CN"/>
              </w:rPr>
              <w:t>或</w:t>
            </w:r>
            <w:r>
              <w:rPr>
                <w:rFonts w:hint="eastAsia" w:ascii="宋体" w:hAnsi="宋体" w:eastAsia="宋体" w:cs="宋体"/>
                <w:b w:val="0"/>
                <w:bCs w:val="0"/>
                <w:color w:val="auto"/>
                <w:sz w:val="24"/>
                <w:szCs w:val="24"/>
                <w:highlight w:val="none"/>
                <w:u w:val="none"/>
                <w:lang w:val="en-US" w:eastAsia="zh-CN"/>
              </w:rPr>
              <w:t>监狱企业、残疾人福利性单位。</w:t>
            </w:r>
          </w:p>
          <w:p w14:paraId="253A27CB">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3.3</w:t>
            </w:r>
            <w:r>
              <w:rPr>
                <w:rFonts w:hint="eastAsia" w:ascii="宋体" w:hAnsi="宋体" w:eastAsia="宋体" w:cs="宋体"/>
                <w:b w:val="0"/>
                <w:bCs w:val="0"/>
                <w:color w:val="auto"/>
                <w:sz w:val="24"/>
                <w:szCs w:val="24"/>
                <w:highlight w:val="none"/>
                <w:u w:val="none"/>
              </w:rPr>
              <w:t>本项目的特定资格要求：</w:t>
            </w:r>
            <w:r>
              <w:rPr>
                <w:rFonts w:hint="eastAsia" w:ascii="宋体" w:hAnsi="宋体" w:cs="宋体"/>
                <w:b w:val="0"/>
                <w:bCs w:val="0"/>
                <w:color w:val="auto"/>
                <w:sz w:val="24"/>
                <w:szCs w:val="24"/>
                <w:highlight w:val="none"/>
                <w:u w:val="none"/>
                <w:lang w:eastAsia="zh-CN"/>
              </w:rPr>
              <w:t>具备市政公用工程施工总承包三级（含以上）资质，并在人员、设备、资金等方面具备相应的施工能力。其中拟派项目经理须具备市政公用工程专业二级以上（含本级）注册建造师执业资格，具备有效的安全生产考核合格证书（B类）。本项目不接受有在建、已中标未开工或已列为其他项目中标候选人第一名的建造师作为项目经理</w:t>
            </w:r>
            <w:r>
              <w:rPr>
                <w:rFonts w:hint="eastAsia" w:ascii="宋体" w:hAnsi="宋体" w:eastAsia="宋体" w:cs="宋体"/>
                <w:b w:val="0"/>
                <w:bCs w:val="0"/>
                <w:color w:val="auto"/>
                <w:kern w:val="2"/>
                <w:sz w:val="24"/>
                <w:szCs w:val="24"/>
                <w:highlight w:val="none"/>
                <w:u w:val="none"/>
                <w:lang w:val="en-US" w:eastAsia="zh-CN" w:bidi="ar-SA"/>
              </w:rPr>
              <w:t>。</w:t>
            </w:r>
          </w:p>
          <w:p w14:paraId="27EBE2CA">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3.4</w:t>
            </w:r>
            <w:r>
              <w:rPr>
                <w:rFonts w:hint="eastAsia" w:ascii="宋体" w:hAnsi="宋体" w:eastAsia="宋体" w:cs="宋体"/>
                <w:b w:val="0"/>
                <w:bCs w:val="0"/>
                <w:color w:val="auto"/>
                <w:sz w:val="24"/>
                <w:szCs w:val="24"/>
                <w:highlight w:val="none"/>
                <w:u w:val="none"/>
              </w:rPr>
              <w:t>资格条件特别说明：</w:t>
            </w:r>
          </w:p>
          <w:p w14:paraId="51C7D102">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u w:val="none"/>
              </w:rPr>
              <w:t>（1）单位负责人为同一人</w:t>
            </w:r>
            <w:r>
              <w:rPr>
                <w:rFonts w:hint="eastAsia" w:ascii="宋体" w:hAnsi="宋体" w:eastAsia="宋体" w:cs="宋体"/>
                <w:bCs/>
                <w:color w:val="auto"/>
                <w:sz w:val="24"/>
                <w:szCs w:val="24"/>
                <w:highlight w:val="none"/>
              </w:rPr>
              <w:t>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9ACD1E9">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64F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2" w:type="dxa"/>
            <w:noWrap w:val="0"/>
            <w:vAlign w:val="center"/>
          </w:tcPr>
          <w:p w14:paraId="3CCCD5A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3E5B48C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707F2D0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6B3FD1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9AE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802" w:type="dxa"/>
            <w:noWrap w:val="0"/>
            <w:vAlign w:val="center"/>
          </w:tcPr>
          <w:p w14:paraId="6D4A8B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5DF7744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0EBD83C3">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149CE93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222DB383">
            <w:pPr>
              <w:pStyle w:val="12"/>
              <w:wordWrap w:val="0"/>
              <w:spacing w:line="320" w:lineRule="exact"/>
              <w:rPr>
                <w:rFonts w:hint="eastAsia" w:ascii="宋体" w:hAnsi="宋体" w:eastAsia="宋体" w:cs="Times New Roman"/>
                <w:b/>
                <w:szCs w:val="21"/>
                <w:highlight w:val="none"/>
                <w:lang w:val="en-US" w:eastAsia="zh-CN"/>
              </w:rPr>
            </w:pPr>
            <w:r>
              <w:rPr>
                <w:rFonts w:hint="eastAsia" w:ascii="宋体" w:hAnsi="宋体" w:eastAsia="宋体" w:cs="宋体"/>
                <w:color w:val="auto"/>
                <w:sz w:val="24"/>
                <w:szCs w:val="24"/>
                <w:highlight w:val="none"/>
                <w:lang w:val="en-US" w:eastAsia="zh-CN"/>
              </w:rPr>
              <w:t>本项目预算总造价（人民币）：</w:t>
            </w:r>
            <w:r>
              <w:rPr>
                <w:rFonts w:hint="eastAsia" w:hAnsi="宋体" w:cs="宋体"/>
                <w:b/>
                <w:bCs/>
                <w:color w:val="auto"/>
                <w:sz w:val="24"/>
                <w:szCs w:val="24"/>
                <w:highlight w:val="none"/>
                <w:u w:val="none"/>
                <w:lang w:eastAsia="zh-CN"/>
              </w:rPr>
              <w:t>2133529.66元（含安全生产责任保险费暂估价4482.68元）</w:t>
            </w:r>
            <w:r>
              <w:rPr>
                <w:rFonts w:hint="eastAsia" w:ascii="宋体" w:hAnsi="宋体" w:eastAsia="宋体" w:cs="宋体"/>
                <w:b/>
                <w:bCs/>
                <w:color w:val="auto"/>
                <w:sz w:val="24"/>
                <w:szCs w:val="24"/>
                <w:highlight w:val="none"/>
                <w:lang w:val="en-US" w:eastAsia="zh-CN"/>
              </w:rPr>
              <w:t>作为招标控制价，磋商报价超过招标控制价（人民币）</w:t>
            </w:r>
            <w:r>
              <w:rPr>
                <w:rFonts w:hint="eastAsia" w:hAnsi="宋体" w:cs="宋体"/>
                <w:b/>
                <w:bCs/>
                <w:color w:val="auto"/>
                <w:sz w:val="24"/>
                <w:szCs w:val="24"/>
                <w:highlight w:val="none"/>
                <w:u w:val="none"/>
                <w:lang w:eastAsia="zh-CN"/>
              </w:rPr>
              <w:t>2133529.66元</w:t>
            </w:r>
            <w:r>
              <w:rPr>
                <w:rFonts w:hint="eastAsia" w:ascii="宋体" w:hAnsi="宋体" w:eastAsia="宋体" w:cs="宋体"/>
                <w:b/>
                <w:bCs/>
                <w:color w:val="auto"/>
                <w:sz w:val="24"/>
                <w:szCs w:val="24"/>
                <w:highlight w:val="none"/>
                <w:lang w:val="en-US" w:eastAsia="zh-CN"/>
              </w:rPr>
              <w:t>的，响应文件作无效处理。</w:t>
            </w:r>
          </w:p>
          <w:p w14:paraId="75C70C07">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5D1642B4">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75BED1F3">
            <w:pPr>
              <w:pStyle w:val="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0E82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02" w:type="dxa"/>
            <w:noWrap w:val="0"/>
            <w:vAlign w:val="center"/>
          </w:tcPr>
          <w:p w14:paraId="039163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3F0001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1A86C19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2E9032DB">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3CD1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02" w:type="dxa"/>
            <w:noWrap w:val="0"/>
            <w:vAlign w:val="center"/>
          </w:tcPr>
          <w:p w14:paraId="67D235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FBBA3F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5EDB28E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6C18F39B">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581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02" w:type="dxa"/>
            <w:noWrap w:val="0"/>
            <w:vAlign w:val="center"/>
          </w:tcPr>
          <w:p w14:paraId="71E011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6745EF8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43C210D1">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19911"/>
            <w:bookmarkStart w:id="55" w:name="_Toc12573"/>
            <w:bookmarkStart w:id="56" w:name="_Toc202"/>
            <w:bookmarkStart w:id="57" w:name="_Toc2356"/>
            <w:bookmarkStart w:id="58" w:name="_Toc27452"/>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22989CE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7E009B1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0704ED0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3F9E11FC">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072FB7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3DC0CF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4594DD8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客户服务热线 95763 进行咨询。</w:t>
            </w:r>
          </w:p>
        </w:tc>
      </w:tr>
      <w:tr w14:paraId="32F0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02" w:type="dxa"/>
            <w:noWrap w:val="0"/>
            <w:vAlign w:val="center"/>
          </w:tcPr>
          <w:p w14:paraId="27F449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2B07D2B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03DCB59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44B8604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2025年11月3日</w:t>
            </w:r>
            <w:r>
              <w:rPr>
                <w:rFonts w:hint="eastAsia" w:ascii="宋体" w:hAnsi="宋体" w:cs="宋体"/>
                <w:color w:val="auto"/>
                <w:sz w:val="24"/>
                <w:szCs w:val="24"/>
                <w:highlight w:val="none"/>
                <w:u w:val="single"/>
                <w:lang w:val="en-US" w:eastAsia="zh-CN"/>
              </w:rPr>
              <w:t>9时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46EA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2" w:type="dxa"/>
            <w:noWrap w:val="0"/>
            <w:vAlign w:val="center"/>
          </w:tcPr>
          <w:p w14:paraId="683E61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671879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53F7CF8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22C9EF84">
            <w:pPr>
              <w:pStyle w:val="7"/>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w:t>
            </w:r>
            <w:r>
              <w:rPr>
                <w:rFonts w:hint="eastAsia" w:ascii="宋体" w:hAnsi="宋体" w:cs="宋体"/>
                <w:color w:val="auto"/>
                <w:sz w:val="24"/>
                <w:szCs w:val="24"/>
                <w:highlight w:val="none"/>
                <w:lang w:eastAsia="zh-CN"/>
              </w:rPr>
              <w:t>桂林市公共资源交易中心1号政采开标仓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06F5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02" w:type="dxa"/>
            <w:noWrap w:val="0"/>
            <w:vAlign w:val="center"/>
          </w:tcPr>
          <w:p w14:paraId="45C6203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68718008">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26BBC8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0E610D36">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324C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02" w:type="dxa"/>
            <w:noWrap w:val="0"/>
            <w:vAlign w:val="center"/>
          </w:tcPr>
          <w:p w14:paraId="573D9EC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074EA3D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7531FDE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1413E1E0">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6D7E2227">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0CA04A0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79D22771">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3BD9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2" w:type="dxa"/>
            <w:noWrap w:val="0"/>
            <w:vAlign w:val="center"/>
          </w:tcPr>
          <w:p w14:paraId="0489F50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661C6F2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27231A7">
            <w:pPr>
              <w:pStyle w:val="12"/>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527E1DB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7D6F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2" w:type="dxa"/>
            <w:noWrap w:val="0"/>
            <w:vAlign w:val="center"/>
          </w:tcPr>
          <w:p w14:paraId="62BDFD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037F886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FE7CE2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493000AA">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0A01B8F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06474E06">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查询时间：成交通知书发出前；</w:t>
            </w:r>
          </w:p>
          <w:p w14:paraId="25F7C504">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信用信息查询记录和证据留存方式：在查询网站中直接打印查询记录，打印材料作为采购活动资料保存；</w:t>
            </w:r>
          </w:p>
          <w:p w14:paraId="58C5DAC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1F5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02" w:type="dxa"/>
            <w:noWrap w:val="0"/>
            <w:vAlign w:val="center"/>
          </w:tcPr>
          <w:p w14:paraId="65C1B5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4D57BAB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7930067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50D29C0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6F673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026B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02" w:type="dxa"/>
            <w:noWrap w:val="0"/>
            <w:vAlign w:val="center"/>
          </w:tcPr>
          <w:p w14:paraId="777FDC2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5EA5F28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6C1AB46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7D77A0E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本项目无需交纳履约保证金。</w:t>
            </w:r>
          </w:p>
        </w:tc>
      </w:tr>
      <w:tr w14:paraId="404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080E78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66CFAA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28BFC3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58AC819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成交通知书发出之日起8个工作日内</w:t>
            </w:r>
            <w:r>
              <w:rPr>
                <w:rFonts w:hint="eastAsia" w:ascii="宋体" w:hAnsi="宋体" w:eastAsia="宋体" w:cs="宋体"/>
                <w:color w:val="auto"/>
                <w:sz w:val="24"/>
                <w:szCs w:val="24"/>
                <w:highlight w:val="none"/>
              </w:rPr>
              <w:t>签订合同。成交供应商领取成交通知书后，应按规定与采购人签订合同。</w:t>
            </w:r>
          </w:p>
        </w:tc>
      </w:tr>
      <w:tr w14:paraId="0D21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0B9D37D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1C2476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1D4E18F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4328ED4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阳朔县</w:t>
            </w:r>
            <w:r>
              <w:rPr>
                <w:rFonts w:hint="eastAsia" w:ascii="宋体" w:hAnsi="宋体" w:eastAsia="宋体" w:cs="宋体"/>
                <w:color w:val="auto"/>
                <w:sz w:val="24"/>
                <w:szCs w:val="24"/>
                <w:highlight w:val="none"/>
              </w:rPr>
              <w:t>政府采购监管部门备案，一份由采购代理机构存档。</w:t>
            </w:r>
          </w:p>
        </w:tc>
      </w:tr>
      <w:tr w14:paraId="48F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2" w:type="dxa"/>
            <w:noWrap w:val="0"/>
            <w:vAlign w:val="center"/>
          </w:tcPr>
          <w:p w14:paraId="1EA07B4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351A674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428ABA5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28E466A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本项目的代理服务收费为人民币</w:t>
            </w:r>
            <w:r>
              <w:rPr>
                <w:rFonts w:hint="eastAsia" w:ascii="宋体" w:hAnsi="宋体" w:cs="宋体"/>
                <w:color w:val="auto"/>
                <w:sz w:val="24"/>
                <w:szCs w:val="24"/>
                <w:highlight w:val="none"/>
                <w:u w:val="single"/>
                <w:lang w:eastAsia="zh-CN"/>
              </w:rPr>
              <w:t>壹万陆仟元整（16000元）</w:t>
            </w:r>
            <w:r>
              <w:rPr>
                <w:rFonts w:hint="eastAsia" w:ascii="宋体" w:hAnsi="宋体" w:cs="宋体"/>
                <w:color w:val="auto"/>
                <w:sz w:val="24"/>
                <w:szCs w:val="24"/>
                <w:highlight w:val="none"/>
                <w:lang w:eastAsia="zh-CN"/>
              </w:rPr>
              <w:t>向成交供应商收取。</w:t>
            </w:r>
          </w:p>
        </w:tc>
      </w:tr>
      <w:tr w14:paraId="2E68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2" w:type="dxa"/>
            <w:noWrap w:val="0"/>
            <w:vAlign w:val="center"/>
          </w:tcPr>
          <w:p w14:paraId="66BFE3E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1EB936C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35C084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2B4592C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AB1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02" w:type="dxa"/>
            <w:noWrap w:val="0"/>
            <w:vAlign w:val="center"/>
          </w:tcPr>
          <w:p w14:paraId="40FD5EC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581AF70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4A680CD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26"/>
                <w:rFonts w:hint="eastAsia" w:ascii="宋体" w:hAnsi="宋体" w:eastAsia="宋体" w:cs="宋体"/>
                <w:b w:val="0"/>
                <w:bCs/>
                <w:color w:val="auto"/>
                <w:sz w:val="24"/>
                <w:szCs w:val="24"/>
                <w:highlight w:val="none"/>
              </w:rPr>
              <w:t>监督</w:t>
            </w:r>
            <w:r>
              <w:rPr>
                <w:rStyle w:val="26"/>
                <w:rFonts w:hint="eastAsia" w:ascii="宋体" w:hAnsi="宋体" w:eastAsia="宋体" w:cs="宋体"/>
                <w:b w:val="0"/>
                <w:bCs/>
                <w:color w:val="auto"/>
                <w:sz w:val="24"/>
                <w:szCs w:val="24"/>
                <w:highlight w:val="none"/>
                <w:lang w:eastAsia="zh-CN"/>
              </w:rPr>
              <w:t>管理</w:t>
            </w:r>
            <w:r>
              <w:rPr>
                <w:rStyle w:val="26"/>
                <w:rFonts w:hint="eastAsia" w:ascii="宋体" w:hAnsi="宋体" w:eastAsia="宋体" w:cs="宋体"/>
                <w:b w:val="0"/>
                <w:bCs/>
                <w:color w:val="auto"/>
                <w:sz w:val="24"/>
                <w:szCs w:val="24"/>
                <w:highlight w:val="none"/>
              </w:rPr>
              <w:t>机构</w:t>
            </w:r>
          </w:p>
        </w:tc>
        <w:tc>
          <w:tcPr>
            <w:tcW w:w="6221" w:type="dxa"/>
            <w:noWrap w:val="0"/>
            <w:vAlign w:val="top"/>
          </w:tcPr>
          <w:p w14:paraId="5D993C5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26"/>
                <w:rFonts w:hint="eastAsia" w:ascii="宋体" w:hAnsi="宋体" w:eastAsia="宋体" w:cs="宋体"/>
                <w:b w:val="0"/>
                <w:bCs/>
                <w:color w:val="auto"/>
                <w:sz w:val="24"/>
                <w:szCs w:val="24"/>
                <w:highlight w:val="none"/>
              </w:rPr>
              <w:t>监督</w:t>
            </w:r>
            <w:r>
              <w:rPr>
                <w:rStyle w:val="26"/>
                <w:rFonts w:hint="eastAsia" w:ascii="宋体" w:hAnsi="宋体" w:eastAsia="宋体" w:cs="宋体"/>
                <w:b w:val="0"/>
                <w:bCs/>
                <w:color w:val="auto"/>
                <w:sz w:val="24"/>
                <w:szCs w:val="24"/>
                <w:highlight w:val="none"/>
                <w:lang w:eastAsia="zh-CN"/>
              </w:rPr>
              <w:t>管理</w:t>
            </w:r>
            <w:r>
              <w:rPr>
                <w:rStyle w:val="26"/>
                <w:rFonts w:hint="eastAsia" w:ascii="宋体" w:hAnsi="宋体" w:eastAsia="宋体" w:cs="宋体"/>
                <w:b w:val="0"/>
                <w:bCs/>
                <w:color w:val="auto"/>
                <w:sz w:val="24"/>
                <w:szCs w:val="24"/>
                <w:highlight w:val="none"/>
              </w:rPr>
              <w:t>机构</w:t>
            </w:r>
            <w:r>
              <w:rPr>
                <w:rStyle w:val="26"/>
                <w:rFonts w:hint="eastAsia" w:ascii="宋体" w:hAnsi="宋体" w:cs="宋体"/>
                <w:b w:val="0"/>
                <w:bCs/>
                <w:color w:val="auto"/>
                <w:sz w:val="24"/>
                <w:szCs w:val="24"/>
                <w:highlight w:val="none"/>
                <w:lang w:val="en-US" w:eastAsia="zh-CN"/>
              </w:rPr>
              <w:t>：</w:t>
            </w:r>
            <w:r>
              <w:rPr>
                <w:rFonts w:hint="eastAsia" w:ascii="宋体" w:hAnsi="宋体" w:cs="宋体"/>
                <w:color w:val="auto"/>
                <w:kern w:val="0"/>
                <w:sz w:val="24"/>
                <w:szCs w:val="24"/>
                <w:highlight w:val="none"/>
                <w:lang w:eastAsia="zh-CN"/>
              </w:rPr>
              <w:t>阳朔县财政局</w:t>
            </w:r>
          </w:p>
          <w:p w14:paraId="72F6D5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0773-8811598</w:t>
            </w:r>
          </w:p>
        </w:tc>
      </w:tr>
    </w:tbl>
    <w:p w14:paraId="02491B36">
      <w:pPr>
        <w:pStyle w:val="18"/>
        <w:ind w:left="0" w:leftChars="0" w:firstLine="0" w:firstLineChars="0"/>
        <w:rPr>
          <w:rFonts w:hint="eastAsia" w:ascii="宋体" w:hAnsi="宋体" w:eastAsia="宋体" w:cs="宋体"/>
          <w:b/>
          <w:color w:val="auto"/>
          <w:sz w:val="28"/>
          <w:szCs w:val="28"/>
          <w:highlight w:val="none"/>
        </w:rPr>
      </w:pPr>
    </w:p>
    <w:p w14:paraId="054DE472">
      <w:pPr>
        <w:pStyle w:val="18"/>
        <w:ind w:left="0" w:leftChars="0" w:firstLine="0" w:firstLineChars="0"/>
        <w:rPr>
          <w:rFonts w:hint="eastAsia" w:ascii="宋体" w:hAnsi="宋体" w:eastAsia="宋体" w:cs="宋体"/>
          <w:b/>
          <w:color w:val="auto"/>
          <w:sz w:val="28"/>
          <w:szCs w:val="28"/>
          <w:highlight w:val="none"/>
        </w:rPr>
      </w:pPr>
    </w:p>
    <w:p w14:paraId="0A8F6433">
      <w:pPr>
        <w:pStyle w:val="18"/>
        <w:ind w:left="0" w:leftChars="0" w:firstLine="0" w:firstLineChars="0"/>
        <w:rPr>
          <w:rFonts w:hint="eastAsia" w:ascii="宋体" w:hAnsi="宋体" w:eastAsia="宋体" w:cs="宋体"/>
          <w:b/>
          <w:color w:val="auto"/>
          <w:sz w:val="28"/>
          <w:szCs w:val="28"/>
          <w:highlight w:val="none"/>
        </w:rPr>
      </w:pPr>
    </w:p>
    <w:p w14:paraId="08033318">
      <w:pPr>
        <w:pStyle w:val="18"/>
        <w:ind w:left="0" w:leftChars="0" w:firstLine="0" w:firstLineChars="0"/>
        <w:rPr>
          <w:rFonts w:hint="eastAsia" w:ascii="宋体" w:hAnsi="宋体" w:eastAsia="宋体" w:cs="宋体"/>
          <w:b/>
          <w:color w:val="auto"/>
          <w:sz w:val="28"/>
          <w:szCs w:val="28"/>
          <w:highlight w:val="none"/>
        </w:rPr>
      </w:pPr>
    </w:p>
    <w:p w14:paraId="15CBA85F">
      <w:pPr>
        <w:pStyle w:val="18"/>
        <w:ind w:left="0" w:leftChars="0" w:firstLine="0" w:firstLineChars="0"/>
        <w:rPr>
          <w:rFonts w:hint="eastAsia" w:ascii="宋体" w:hAnsi="宋体" w:eastAsia="宋体" w:cs="宋体"/>
          <w:b/>
          <w:color w:val="auto"/>
          <w:sz w:val="28"/>
          <w:szCs w:val="28"/>
          <w:highlight w:val="none"/>
        </w:rPr>
      </w:pPr>
    </w:p>
    <w:p w14:paraId="66E965F9">
      <w:pPr>
        <w:pStyle w:val="18"/>
        <w:ind w:left="0" w:leftChars="0" w:firstLine="0" w:firstLineChars="0"/>
        <w:rPr>
          <w:rFonts w:hint="eastAsia" w:ascii="宋体" w:hAnsi="宋体" w:eastAsia="宋体" w:cs="宋体"/>
          <w:b/>
          <w:color w:val="auto"/>
          <w:sz w:val="28"/>
          <w:szCs w:val="28"/>
          <w:highlight w:val="none"/>
        </w:rPr>
      </w:pPr>
    </w:p>
    <w:p w14:paraId="7CE968A4">
      <w:pPr>
        <w:pStyle w:val="18"/>
        <w:ind w:left="0" w:leftChars="0" w:firstLine="0" w:firstLineChars="0"/>
        <w:rPr>
          <w:rFonts w:hint="eastAsia" w:ascii="宋体" w:hAnsi="宋体" w:eastAsia="宋体" w:cs="宋体"/>
          <w:b/>
          <w:color w:val="auto"/>
          <w:sz w:val="28"/>
          <w:szCs w:val="28"/>
          <w:highlight w:val="none"/>
        </w:rPr>
      </w:pPr>
    </w:p>
    <w:p w14:paraId="21E16FBC">
      <w:pPr>
        <w:pStyle w:val="18"/>
        <w:ind w:left="0" w:leftChars="0" w:firstLine="0" w:firstLineChars="0"/>
        <w:rPr>
          <w:rFonts w:hint="eastAsia" w:ascii="宋体" w:hAnsi="宋体" w:eastAsia="宋体" w:cs="宋体"/>
          <w:b/>
          <w:color w:val="auto"/>
          <w:sz w:val="28"/>
          <w:szCs w:val="28"/>
          <w:highlight w:val="none"/>
        </w:rPr>
      </w:pPr>
    </w:p>
    <w:p w14:paraId="30E2D45A">
      <w:pPr>
        <w:pStyle w:val="19"/>
        <w:rPr>
          <w:rFonts w:hint="eastAsia" w:ascii="宋体" w:hAnsi="宋体" w:eastAsia="宋体" w:cs="宋体"/>
          <w:b/>
          <w:color w:val="auto"/>
          <w:sz w:val="28"/>
          <w:szCs w:val="28"/>
          <w:highlight w:val="none"/>
        </w:rPr>
      </w:pPr>
    </w:p>
    <w:p w14:paraId="032D44C4">
      <w:pPr>
        <w:pStyle w:val="19"/>
        <w:rPr>
          <w:rFonts w:hint="eastAsia" w:ascii="宋体" w:hAnsi="宋体" w:eastAsia="宋体" w:cs="宋体"/>
          <w:b/>
          <w:color w:val="auto"/>
          <w:sz w:val="28"/>
          <w:szCs w:val="28"/>
          <w:highlight w:val="none"/>
        </w:rPr>
      </w:pPr>
    </w:p>
    <w:p w14:paraId="4EBCD8D2">
      <w:pPr>
        <w:pStyle w:val="19"/>
        <w:rPr>
          <w:rFonts w:hint="eastAsia" w:ascii="宋体" w:hAnsi="宋体" w:eastAsia="宋体" w:cs="宋体"/>
          <w:b/>
          <w:color w:val="auto"/>
          <w:sz w:val="28"/>
          <w:szCs w:val="28"/>
          <w:highlight w:val="none"/>
        </w:rPr>
      </w:pPr>
    </w:p>
    <w:p w14:paraId="26E960EC">
      <w:pPr>
        <w:pStyle w:val="19"/>
        <w:rPr>
          <w:rFonts w:hint="eastAsia" w:ascii="宋体" w:hAnsi="宋体" w:eastAsia="宋体" w:cs="宋体"/>
          <w:b/>
          <w:color w:val="auto"/>
          <w:sz w:val="28"/>
          <w:szCs w:val="28"/>
          <w:highlight w:val="none"/>
        </w:rPr>
      </w:pPr>
    </w:p>
    <w:p w14:paraId="7487FD77">
      <w:pPr>
        <w:pStyle w:val="19"/>
        <w:rPr>
          <w:rFonts w:hint="eastAsia" w:ascii="宋体" w:hAnsi="宋体" w:eastAsia="宋体" w:cs="宋体"/>
          <w:b/>
          <w:color w:val="auto"/>
          <w:sz w:val="28"/>
          <w:szCs w:val="28"/>
          <w:highlight w:val="none"/>
        </w:rPr>
      </w:pPr>
    </w:p>
    <w:p w14:paraId="6F84BD0F">
      <w:pPr>
        <w:pStyle w:val="19"/>
        <w:rPr>
          <w:rFonts w:hint="eastAsia" w:ascii="宋体" w:hAnsi="宋体" w:eastAsia="宋体" w:cs="宋体"/>
          <w:b/>
          <w:color w:val="auto"/>
          <w:sz w:val="28"/>
          <w:szCs w:val="28"/>
          <w:highlight w:val="none"/>
        </w:rPr>
      </w:pPr>
    </w:p>
    <w:p w14:paraId="72A6507D">
      <w:pPr>
        <w:pStyle w:val="18"/>
        <w:ind w:left="0" w:leftChars="0" w:firstLine="0" w:firstLineChars="0"/>
        <w:rPr>
          <w:rFonts w:hint="eastAsia" w:ascii="宋体" w:hAnsi="宋体" w:eastAsia="宋体" w:cs="宋体"/>
          <w:b/>
          <w:color w:val="auto"/>
          <w:sz w:val="28"/>
          <w:szCs w:val="28"/>
          <w:highlight w:val="none"/>
        </w:rPr>
      </w:pPr>
    </w:p>
    <w:p w14:paraId="28FF83C3">
      <w:pPr>
        <w:pStyle w:val="19"/>
        <w:ind w:left="0" w:leftChars="0" w:firstLine="0" w:firstLineChars="0"/>
        <w:rPr>
          <w:rFonts w:hint="eastAsia" w:ascii="宋体" w:hAnsi="宋体" w:eastAsia="宋体" w:cs="宋体"/>
          <w:b/>
          <w:color w:val="auto"/>
          <w:sz w:val="28"/>
          <w:szCs w:val="28"/>
          <w:highlight w:val="none"/>
        </w:rPr>
      </w:pPr>
    </w:p>
    <w:p w14:paraId="02501664">
      <w:pPr>
        <w:pStyle w:val="19"/>
        <w:ind w:left="0" w:leftChars="0" w:firstLine="0" w:firstLineChars="0"/>
        <w:rPr>
          <w:rFonts w:hint="eastAsia" w:ascii="宋体" w:hAnsi="宋体" w:eastAsia="宋体" w:cs="宋体"/>
          <w:b/>
          <w:color w:val="auto"/>
          <w:sz w:val="28"/>
          <w:szCs w:val="28"/>
          <w:highlight w:val="none"/>
        </w:rPr>
      </w:pPr>
    </w:p>
    <w:p w14:paraId="7619915F">
      <w:pPr>
        <w:pStyle w:val="19"/>
        <w:ind w:left="0" w:leftChars="0" w:firstLine="0" w:firstLineChars="0"/>
        <w:rPr>
          <w:rFonts w:hint="eastAsia" w:ascii="宋体" w:hAnsi="宋体" w:eastAsia="宋体" w:cs="宋体"/>
          <w:b/>
          <w:color w:val="auto"/>
          <w:sz w:val="28"/>
          <w:szCs w:val="28"/>
          <w:highlight w:val="none"/>
        </w:rPr>
      </w:pPr>
    </w:p>
    <w:p w14:paraId="45D50E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b/>
          <w:bCs/>
          <w:color w:val="auto"/>
          <w:sz w:val="28"/>
          <w:szCs w:val="28"/>
          <w:highlight w:val="none"/>
        </w:rPr>
      </w:pPr>
      <w:bookmarkStart w:id="59" w:name="_Toc2231"/>
      <w:bookmarkStart w:id="60" w:name="_Toc27120"/>
      <w:bookmarkStart w:id="61" w:name="_Toc22792"/>
      <w:bookmarkStart w:id="62" w:name="_Toc27216"/>
    </w:p>
    <w:p w14:paraId="12CD52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auto"/>
          <w:sz w:val="28"/>
          <w:szCs w:val="28"/>
          <w:highlight w:val="none"/>
        </w:rPr>
      </w:pPr>
      <w:r>
        <w:rPr>
          <w:rFonts w:hint="eastAsia"/>
          <w:b/>
          <w:bCs/>
          <w:color w:val="auto"/>
          <w:sz w:val="28"/>
          <w:szCs w:val="28"/>
          <w:highlight w:val="none"/>
        </w:rPr>
        <w:t>一、总则</w:t>
      </w:r>
      <w:bookmarkEnd w:id="59"/>
      <w:bookmarkEnd w:id="60"/>
      <w:bookmarkEnd w:id="61"/>
      <w:bookmarkEnd w:id="62"/>
    </w:p>
    <w:p w14:paraId="2C6CFA2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63" w:name="_Toc2996"/>
      <w:bookmarkStart w:id="64" w:name="_Toc3367"/>
      <w:bookmarkStart w:id="65" w:name="_Toc6626"/>
      <w:r>
        <w:rPr>
          <w:rFonts w:hint="eastAsia" w:ascii="宋体" w:hAnsi="宋体" w:eastAsia="宋体" w:cs="宋体"/>
          <w:b/>
          <w:bCs/>
          <w:color w:val="auto"/>
          <w:sz w:val="24"/>
          <w:szCs w:val="24"/>
          <w:highlight w:val="none"/>
        </w:rPr>
        <w:t>1. 适应范围</w:t>
      </w:r>
      <w:bookmarkEnd w:id="63"/>
      <w:bookmarkEnd w:id="64"/>
      <w:bookmarkEnd w:id="65"/>
    </w:p>
    <w:p w14:paraId="433DB1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6AE4CA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阳朔县高田镇体育中心建设项目</w:t>
      </w:r>
    </w:p>
    <w:p w14:paraId="6156F6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GLZC2025-C2-210057-GXLZ</w:t>
      </w:r>
    </w:p>
    <w:p w14:paraId="5B6ECD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63D46AE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66" w:name="_Toc25139"/>
      <w:bookmarkStart w:id="67" w:name="_Toc2845"/>
      <w:bookmarkStart w:id="68" w:name="_Toc28336"/>
      <w:r>
        <w:rPr>
          <w:rFonts w:hint="eastAsia" w:ascii="宋体" w:hAnsi="宋体" w:eastAsia="宋体" w:cs="宋体"/>
          <w:b/>
          <w:bCs/>
          <w:color w:val="auto"/>
          <w:sz w:val="24"/>
          <w:szCs w:val="24"/>
          <w:highlight w:val="none"/>
        </w:rPr>
        <w:t>2. 定义</w:t>
      </w:r>
      <w:bookmarkEnd w:id="66"/>
      <w:bookmarkEnd w:id="67"/>
      <w:bookmarkEnd w:id="68"/>
    </w:p>
    <w:p w14:paraId="2B1CE1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0246EA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2.2“项目”系指供应商按磋商文件规定向采购人提供的</w:t>
      </w:r>
      <w:r>
        <w:rPr>
          <w:rFonts w:hint="eastAsia" w:ascii="宋体" w:hAnsi="宋体" w:cs="宋体"/>
          <w:color w:val="auto"/>
          <w:sz w:val="24"/>
          <w:szCs w:val="24"/>
          <w:highlight w:val="none"/>
          <w:lang w:eastAsia="zh-CN"/>
        </w:rPr>
        <w:t>工程</w:t>
      </w:r>
      <w:r>
        <w:rPr>
          <w:rFonts w:hint="eastAsia" w:ascii="宋体" w:hAnsi="宋体" w:eastAsia="宋体" w:cs="宋体"/>
          <w:color w:val="auto"/>
          <w:sz w:val="24"/>
          <w:szCs w:val="24"/>
          <w:highlight w:val="none"/>
        </w:rPr>
        <w:t>。</w:t>
      </w:r>
    </w:p>
    <w:p w14:paraId="0F766D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“书面形式”包括信函、传真、电报等。</w:t>
      </w:r>
    </w:p>
    <w:p w14:paraId="0B1277C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69" w:name="_Toc13017"/>
      <w:bookmarkStart w:id="70" w:name="_Toc25441"/>
      <w:bookmarkStart w:id="71" w:name="_Toc2884"/>
      <w:r>
        <w:rPr>
          <w:rFonts w:hint="eastAsia" w:ascii="宋体" w:hAnsi="宋体" w:eastAsia="宋体" w:cs="宋体"/>
          <w:b/>
          <w:bCs/>
          <w:color w:val="auto"/>
          <w:sz w:val="24"/>
          <w:szCs w:val="24"/>
          <w:highlight w:val="none"/>
        </w:rPr>
        <w:t>3. 供应商资格</w:t>
      </w:r>
      <w:bookmarkEnd w:id="69"/>
      <w:bookmarkEnd w:id="70"/>
      <w:bookmarkEnd w:id="71"/>
    </w:p>
    <w:p w14:paraId="214035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bookmarkStart w:id="72" w:name="_Toc27029"/>
      <w:bookmarkStart w:id="73" w:name="_Toc16496"/>
      <w:bookmarkStart w:id="74" w:name="_Toc9216"/>
      <w:r>
        <w:rPr>
          <w:rFonts w:hint="eastAsia" w:ascii="宋体" w:hAnsi="宋体" w:eastAsia="宋体" w:cs="宋体"/>
          <w:b w:val="0"/>
          <w:bCs w:val="0"/>
          <w:color w:val="auto"/>
          <w:sz w:val="24"/>
          <w:szCs w:val="24"/>
          <w:highlight w:val="none"/>
          <w:lang w:val="en-US" w:eastAsia="zh-CN"/>
        </w:rPr>
        <w:t>见“供应商须知前附表”。</w:t>
      </w:r>
    </w:p>
    <w:p w14:paraId="0F88B91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磋商费用</w:t>
      </w:r>
      <w:bookmarkEnd w:id="72"/>
      <w:bookmarkEnd w:id="73"/>
      <w:bookmarkEnd w:id="74"/>
    </w:p>
    <w:p w14:paraId="3038B51C">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75F4DFB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75" w:name="_Toc31376"/>
      <w:bookmarkStart w:id="76" w:name="_Toc25728"/>
      <w:bookmarkStart w:id="77" w:name="_Toc22877"/>
      <w:r>
        <w:rPr>
          <w:rFonts w:hint="eastAsia" w:ascii="宋体" w:hAnsi="宋体" w:eastAsia="宋体" w:cs="宋体"/>
          <w:b/>
          <w:bCs/>
          <w:color w:val="auto"/>
          <w:sz w:val="24"/>
          <w:szCs w:val="24"/>
          <w:highlight w:val="none"/>
        </w:rPr>
        <w:t>联合体要求</w:t>
      </w:r>
      <w:bookmarkEnd w:id="75"/>
      <w:bookmarkEnd w:id="76"/>
      <w:bookmarkEnd w:id="77"/>
    </w:p>
    <w:p w14:paraId="73C7E3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本项目不接受联合体参与磋商</w:t>
      </w:r>
      <w:r>
        <w:rPr>
          <w:rFonts w:hint="eastAsia" w:ascii="宋体" w:hAnsi="宋体" w:eastAsia="宋体" w:cs="宋体"/>
          <w:bCs/>
          <w:color w:val="auto"/>
          <w:sz w:val="24"/>
          <w:szCs w:val="24"/>
          <w:highlight w:val="none"/>
          <w:lang w:eastAsia="zh-CN"/>
        </w:rPr>
        <w:t>。</w:t>
      </w:r>
    </w:p>
    <w:p w14:paraId="080B179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78" w:name="_Toc4152"/>
      <w:bookmarkStart w:id="79" w:name="_Toc18940"/>
      <w:bookmarkStart w:id="80" w:name="_Toc2772"/>
      <w:r>
        <w:rPr>
          <w:rFonts w:hint="eastAsia" w:ascii="宋体" w:hAnsi="宋体" w:eastAsia="宋体" w:cs="宋体"/>
          <w:b/>
          <w:bCs/>
          <w:color w:val="auto"/>
          <w:sz w:val="24"/>
          <w:szCs w:val="24"/>
          <w:highlight w:val="none"/>
        </w:rPr>
        <w:t>6. 质疑和投诉</w:t>
      </w:r>
      <w:bookmarkEnd w:id="78"/>
      <w:bookmarkEnd w:id="79"/>
      <w:bookmarkEnd w:id="80"/>
      <w:r>
        <w:rPr>
          <w:rFonts w:hint="eastAsia" w:ascii="宋体" w:hAnsi="宋体" w:eastAsia="宋体" w:cs="宋体"/>
          <w:b/>
          <w:bCs/>
          <w:color w:val="auto"/>
          <w:sz w:val="24"/>
          <w:szCs w:val="24"/>
          <w:highlight w:val="none"/>
        </w:rPr>
        <w:tab/>
      </w:r>
    </w:p>
    <w:p w14:paraId="5150ECA7">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color w:val="auto"/>
          <w:sz w:val="24"/>
          <w:szCs w:val="24"/>
          <w:highlight w:val="none"/>
        </w:rPr>
        <w:t>（“质疑函”格式见附表1）</w:t>
      </w:r>
      <w:r>
        <w:rPr>
          <w:rFonts w:hint="eastAsia" w:ascii="宋体" w:hAnsi="宋体" w:eastAsia="宋体" w:cs="宋体"/>
          <w:color w:val="auto"/>
          <w:sz w:val="24"/>
          <w:szCs w:val="24"/>
          <w:highlight w:val="none"/>
        </w:rPr>
        <w:t>。否则，采购代理机构有权拒收。</w:t>
      </w:r>
    </w:p>
    <w:p w14:paraId="31967114">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4893A3F6">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4348FA04">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阳朔县</w:t>
      </w:r>
      <w:r>
        <w:rPr>
          <w:rFonts w:hint="eastAsia" w:ascii="宋体" w:hAnsi="宋体" w:eastAsia="宋体" w:cs="宋体"/>
          <w:color w:val="auto"/>
          <w:sz w:val="24"/>
          <w:szCs w:val="24"/>
          <w:highlight w:val="none"/>
        </w:rPr>
        <w:t>政府采购监督管理机构投诉</w:t>
      </w:r>
      <w:r>
        <w:rPr>
          <w:rFonts w:hint="eastAsia" w:ascii="宋体" w:hAnsi="宋体" w:eastAsia="宋体" w:cs="宋体"/>
          <w:b/>
          <w:color w:val="auto"/>
          <w:sz w:val="24"/>
          <w:szCs w:val="24"/>
          <w:highlight w:val="none"/>
        </w:rPr>
        <w:t>（“投诉书”格式见附表2）</w:t>
      </w:r>
      <w:r>
        <w:rPr>
          <w:rFonts w:hint="eastAsia" w:ascii="宋体" w:hAnsi="宋体" w:eastAsia="宋体" w:cs="宋体"/>
          <w:color w:val="auto"/>
          <w:sz w:val="24"/>
          <w:szCs w:val="24"/>
          <w:highlight w:val="none"/>
        </w:rPr>
        <w:t>。</w:t>
      </w:r>
    </w:p>
    <w:p w14:paraId="2F32B8DC">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color w:val="auto"/>
          <w:kern w:val="0"/>
          <w:sz w:val="24"/>
          <w:szCs w:val="24"/>
          <w:highlight w:val="none"/>
        </w:rPr>
        <w:t>。</w:t>
      </w:r>
    </w:p>
    <w:p w14:paraId="36C2A4EA">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62325C01">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（1）供应商的姓名或者名称、地址、邮编、联系人及联系电话；</w:t>
      </w:r>
    </w:p>
    <w:p w14:paraId="42608FFA">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（2）质疑项目的名称、编号；</w:t>
      </w:r>
    </w:p>
    <w:p w14:paraId="7350CA16">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（3）具体、明确的质疑事项和与质疑事项相关的请求；</w:t>
      </w:r>
    </w:p>
    <w:p w14:paraId="00BB7EB6">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（4）事实依据；</w:t>
      </w:r>
    </w:p>
    <w:p w14:paraId="507F589D">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（5）必要的法律依据；</w:t>
      </w:r>
    </w:p>
    <w:p w14:paraId="48C4FB99">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（6）提出质疑的日期。</w:t>
      </w:r>
    </w:p>
    <w:p w14:paraId="74A12555">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供应商为自然人的，应当由本人签字；供应商为法人或者其他组织的，应当由法定代表人或者其授权代表签字或者盖章，并加盖公章。</w:t>
      </w:r>
    </w:p>
    <w:p w14:paraId="76E1BB4D">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接收质疑函方式：以书面形式</w:t>
      </w:r>
    </w:p>
    <w:p w14:paraId="2D644DB9">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质疑联系部门及联系方式：</w:t>
      </w:r>
      <w:r>
        <w:rPr>
          <w:rFonts w:hint="eastAsia" w:ascii="宋体" w:hAnsi="宋体" w:cs="宋体"/>
          <w:color w:val="auto"/>
          <w:sz w:val="24"/>
          <w:szCs w:val="24"/>
          <w:highlight w:val="none"/>
          <w:lang w:eastAsia="zh-CN"/>
        </w:rPr>
        <w:t>广西乐正工程项目管理有限公司</w:t>
      </w: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彭工</w:t>
      </w: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0773-3694598</w:t>
      </w:r>
      <w:r>
        <w:rPr>
          <w:rFonts w:hint="eastAsia" w:ascii="宋体" w:hAnsi="宋体" w:eastAsia="宋体" w:cs="宋体"/>
          <w:color w:val="auto"/>
          <w:sz w:val="24"/>
          <w:szCs w:val="24"/>
          <w:highlight w:val="none"/>
        </w:rPr>
        <w:t>；通讯地址：</w:t>
      </w:r>
      <w:r>
        <w:rPr>
          <w:rFonts w:hint="eastAsia" w:ascii="宋体" w:hAnsi="宋体" w:cs="宋体"/>
          <w:color w:val="auto"/>
          <w:sz w:val="24"/>
          <w:szCs w:val="24"/>
          <w:highlight w:val="none"/>
          <w:lang w:eastAsia="zh-CN"/>
        </w:rPr>
        <w:t>桂林市秀峰区红岭路 1 号桂林华润中心 1 栋 B 座 16-16 号</w:t>
      </w:r>
      <w:r>
        <w:rPr>
          <w:rFonts w:hint="eastAsia" w:ascii="宋体" w:hAnsi="宋体" w:eastAsia="宋体" w:cs="宋体"/>
          <w:color w:val="auto"/>
          <w:sz w:val="24"/>
          <w:szCs w:val="24"/>
          <w:highlight w:val="none"/>
        </w:rPr>
        <w:t>。</w:t>
      </w:r>
    </w:p>
    <w:p w14:paraId="682A478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81" w:name="_Toc6998"/>
      <w:bookmarkStart w:id="82" w:name="_Toc2186"/>
      <w:bookmarkStart w:id="83" w:name="_Toc5032"/>
      <w:r>
        <w:rPr>
          <w:rFonts w:hint="eastAsia" w:ascii="宋体" w:hAnsi="宋体" w:eastAsia="宋体" w:cs="宋体"/>
          <w:b/>
          <w:bCs/>
          <w:color w:val="auto"/>
          <w:sz w:val="24"/>
          <w:szCs w:val="24"/>
          <w:highlight w:val="none"/>
        </w:rPr>
        <w:t>7. 转包与分包</w:t>
      </w:r>
      <w:bookmarkEnd w:id="81"/>
      <w:bookmarkEnd w:id="82"/>
      <w:bookmarkEnd w:id="83"/>
    </w:p>
    <w:p w14:paraId="692162AF">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177C705A">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0B801812">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 本项目不允许挂靠。</w:t>
      </w:r>
    </w:p>
    <w:p w14:paraId="43D55362">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 如发现有以上行为，采购人有权终止合同，所有损失由成交供应商承担。</w:t>
      </w:r>
    </w:p>
    <w:p w14:paraId="3E7F27D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bookmarkStart w:id="84" w:name="_Toc15097"/>
      <w:bookmarkStart w:id="85" w:name="_Toc23428"/>
      <w:bookmarkStart w:id="86" w:name="_Toc3368"/>
      <w:r>
        <w:rPr>
          <w:rFonts w:hint="eastAsia" w:ascii="宋体" w:hAnsi="宋体" w:eastAsia="宋体" w:cs="宋体"/>
          <w:b/>
          <w:bCs/>
          <w:color w:val="auto"/>
          <w:sz w:val="24"/>
          <w:szCs w:val="24"/>
          <w:highlight w:val="none"/>
        </w:rPr>
        <w:t>8. 特别说明</w:t>
      </w:r>
      <w:bookmarkEnd w:id="84"/>
      <w:bookmarkEnd w:id="85"/>
      <w:bookmarkEnd w:id="86"/>
    </w:p>
    <w:p w14:paraId="17EA0241">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554BCCFB">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167919D6">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p>
    <w:p w14:paraId="18455D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auto"/>
          <w:sz w:val="28"/>
          <w:szCs w:val="28"/>
          <w:highlight w:val="none"/>
        </w:rPr>
      </w:pPr>
      <w:bookmarkStart w:id="87" w:name="_Toc16417"/>
      <w:bookmarkStart w:id="88" w:name="_Toc25527"/>
      <w:bookmarkStart w:id="89" w:name="_Toc29496"/>
      <w:bookmarkStart w:id="90" w:name="_Toc22498"/>
    </w:p>
    <w:p w14:paraId="03B040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二、磋商文件</w:t>
      </w:r>
      <w:bookmarkEnd w:id="87"/>
      <w:bookmarkEnd w:id="88"/>
      <w:bookmarkEnd w:id="89"/>
      <w:bookmarkEnd w:id="90"/>
    </w:p>
    <w:p w14:paraId="632736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val="pt-BR"/>
        </w:rPr>
      </w:pPr>
      <w:bookmarkStart w:id="91" w:name="_Toc18964"/>
      <w:bookmarkStart w:id="92" w:name="_Toc22380"/>
      <w:bookmarkStart w:id="93" w:name="_Toc20057"/>
      <w:r>
        <w:rPr>
          <w:rFonts w:hint="eastAsia" w:ascii="宋体" w:hAnsi="宋体" w:eastAsia="宋体" w:cs="宋体"/>
          <w:b/>
          <w:bCs/>
          <w:color w:val="auto"/>
          <w:sz w:val="24"/>
          <w:szCs w:val="24"/>
          <w:highlight w:val="none"/>
          <w:lang w:val="pt-BR"/>
        </w:rPr>
        <w:t xml:space="preserve">9. </w:t>
      </w:r>
      <w:r>
        <w:rPr>
          <w:rFonts w:hint="eastAsia" w:ascii="宋体" w:hAnsi="宋体" w:eastAsia="宋体" w:cs="宋体"/>
          <w:b/>
          <w:bCs/>
          <w:color w:val="auto"/>
          <w:sz w:val="24"/>
          <w:szCs w:val="24"/>
          <w:highlight w:val="none"/>
        </w:rPr>
        <w:t>磋商文件的构成</w:t>
      </w:r>
      <w:bookmarkEnd w:id="91"/>
      <w:bookmarkEnd w:id="92"/>
      <w:bookmarkEnd w:id="93"/>
    </w:p>
    <w:p w14:paraId="738E0D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AA2D8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431021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4DBA71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2A681E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398E5D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3BA67B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37551DC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val="pt-BR"/>
        </w:rPr>
      </w:pPr>
      <w:bookmarkStart w:id="95" w:name="_Toc17932"/>
      <w:bookmarkStart w:id="96" w:name="_Toc26702"/>
      <w:r>
        <w:rPr>
          <w:rFonts w:hint="eastAsia" w:ascii="宋体" w:hAnsi="宋体" w:eastAsia="宋体" w:cs="宋体"/>
          <w:b/>
          <w:bCs/>
          <w:color w:val="auto"/>
          <w:sz w:val="24"/>
          <w:szCs w:val="24"/>
          <w:highlight w:val="none"/>
          <w:lang w:val="pt-BR"/>
        </w:rPr>
        <w:t>10. 磋商文件的澄清与修改</w:t>
      </w:r>
      <w:bookmarkEnd w:id="94"/>
      <w:bookmarkEnd w:id="95"/>
      <w:bookmarkEnd w:id="96"/>
    </w:p>
    <w:p w14:paraId="175193D7">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日前在本项目竞争性磋商公告发布的同一媒体上发布更正公告，不足</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日的，应当顺延首次响应文件提交截止时间。</w:t>
      </w:r>
    </w:p>
    <w:p w14:paraId="4822D232">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64123F63">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10.3澄清或者修改的内容为磋商文件的组成部分。当澄清或者修改通知就同一内容的表述不一致时，以最后发出的书面文件为准。</w:t>
      </w:r>
    </w:p>
    <w:p w14:paraId="0FFAAC10">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3C0008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23AA3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auto"/>
          <w:sz w:val="28"/>
          <w:szCs w:val="28"/>
          <w:highlight w:val="none"/>
        </w:rPr>
      </w:pPr>
      <w:bookmarkStart w:id="97" w:name="_Toc21873"/>
      <w:bookmarkStart w:id="98" w:name="_Toc32467"/>
      <w:bookmarkStart w:id="99" w:name="_Toc20830"/>
      <w:bookmarkStart w:id="100" w:name="_Toc17820"/>
    </w:p>
    <w:p w14:paraId="05A997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三、竞争性磋商响应文件的编制</w:t>
      </w:r>
      <w:bookmarkEnd w:id="97"/>
      <w:bookmarkEnd w:id="98"/>
      <w:bookmarkEnd w:id="99"/>
      <w:bookmarkEnd w:id="100"/>
    </w:p>
    <w:p w14:paraId="7D369C2E">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01" w:name="_Toc19747"/>
      <w:bookmarkStart w:id="102" w:name="_Toc30771"/>
      <w:r>
        <w:rPr>
          <w:rFonts w:hint="eastAsia" w:ascii="宋体" w:hAnsi="宋体" w:eastAsia="宋体" w:cs="宋体"/>
          <w:b/>
          <w:bCs/>
          <w:color w:val="auto"/>
          <w:sz w:val="24"/>
          <w:szCs w:val="24"/>
          <w:highlight w:val="none"/>
          <w:lang w:val="en-US" w:eastAsia="zh-CN"/>
        </w:rPr>
        <w:t>11.竞争性磋商响应文件编制基本要求</w:t>
      </w:r>
      <w:bookmarkEnd w:id="101"/>
      <w:bookmarkEnd w:id="102"/>
    </w:p>
    <w:p w14:paraId="3CAA27CF">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本项目实行电子响应，供应商应准备电子磋商响应文件：</w:t>
      </w:r>
    </w:p>
    <w:p w14:paraId="319F1802">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电子响应文件按广西政府采购云平台要求及本磋商文件要求制作、加密并递交。具体操作流程可参考《政府采购项目电子交易管理操作指南-供应商》。</w:t>
      </w:r>
    </w:p>
    <w:p w14:paraId="2FA5423C">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49ED3B0B">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5A224531">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66721803">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（1）供应商相应的法定</w:t>
      </w:r>
      <w:r>
        <w:rPr>
          <w:rFonts w:hint="eastAsia" w:ascii="宋体" w:hAnsi="宋体" w:eastAsia="宋体" w:cs="宋体"/>
          <w:b w:val="0"/>
          <w:bCs w:val="0"/>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144D656E">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rPr>
        <w:t>（2）供应商的授权委托书原件、委托代理人身份证正反面复印件以及由县级以上（含县级）社会养老保险经办机构出具的供应商为委托代理人</w:t>
      </w:r>
      <w:r>
        <w:rPr>
          <w:rFonts w:hint="eastAsia" w:ascii="宋体" w:hAnsi="宋体" w:cs="宋体"/>
          <w:b w:val="0"/>
          <w:bCs w:val="0"/>
          <w:color w:val="auto"/>
          <w:sz w:val="24"/>
          <w:szCs w:val="24"/>
          <w:highlight w:val="none"/>
          <w:lang w:eastAsia="zh-CN"/>
        </w:rPr>
        <w:t>缴纳的响应文件递交截止时间前半年内任意连续三个月社保证明复印件</w:t>
      </w:r>
      <w:r>
        <w:rPr>
          <w:rFonts w:hint="eastAsia" w:ascii="宋体" w:hAnsi="宋体" w:eastAsia="宋体" w:cs="宋体"/>
          <w:b/>
          <w:bCs/>
          <w:color w:val="auto"/>
          <w:sz w:val="24"/>
          <w:szCs w:val="24"/>
          <w:highlight w:val="none"/>
        </w:rPr>
        <w:t>（委托代理时必须提供）</w:t>
      </w:r>
      <w:r>
        <w:rPr>
          <w:rFonts w:hint="eastAsia" w:ascii="宋体" w:hAnsi="宋体" w:eastAsia="宋体" w:cs="宋体"/>
          <w:b w:val="0"/>
          <w:bCs w:val="0"/>
          <w:color w:val="auto"/>
          <w:sz w:val="24"/>
          <w:szCs w:val="24"/>
          <w:highlight w:val="none"/>
          <w:lang w:eastAsia="zh-CN"/>
        </w:rPr>
        <w:t>；</w:t>
      </w:r>
    </w:p>
    <w:p w14:paraId="5568B09F">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（3）供应商参加政府采购活动前3年内在经营活动中没有重大违法记录及有关信用信息的书面声明</w:t>
      </w:r>
      <w:r>
        <w:rPr>
          <w:rFonts w:hint="eastAsia" w:ascii="宋体" w:hAnsi="宋体" w:eastAsia="宋体" w:cs="宋体"/>
          <w:b/>
          <w:bCs/>
          <w:color w:val="auto"/>
          <w:sz w:val="24"/>
          <w:szCs w:val="24"/>
          <w:highlight w:val="none"/>
        </w:rPr>
        <w:t>（必须提供）</w:t>
      </w:r>
      <w:r>
        <w:rPr>
          <w:rFonts w:hint="eastAsia" w:ascii="宋体" w:hAnsi="宋体" w:eastAsia="宋体" w:cs="宋体"/>
          <w:b w:val="0"/>
          <w:bCs w:val="0"/>
          <w:color w:val="auto"/>
          <w:sz w:val="24"/>
          <w:szCs w:val="24"/>
          <w:highlight w:val="none"/>
        </w:rPr>
        <w:t>；</w:t>
      </w:r>
    </w:p>
    <w:p w14:paraId="4A9C5E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）供应商的法人或者其他组织营业执照等证明文件复印件</w:t>
      </w:r>
      <w:r>
        <w:rPr>
          <w:rFonts w:hint="eastAsia" w:ascii="宋体" w:hAnsi="宋体" w:eastAsia="宋体" w:cs="宋体"/>
          <w:b/>
          <w:bCs/>
          <w:color w:val="auto"/>
          <w:sz w:val="24"/>
          <w:szCs w:val="24"/>
          <w:highlight w:val="none"/>
        </w:rPr>
        <w:t>（必须提供，自然人除外）</w:t>
      </w:r>
      <w:r>
        <w:rPr>
          <w:rFonts w:hint="eastAsia" w:ascii="宋体" w:hAnsi="宋体" w:eastAsia="宋体" w:cs="宋体"/>
          <w:b w:val="0"/>
          <w:bCs w:val="0"/>
          <w:color w:val="auto"/>
          <w:sz w:val="24"/>
          <w:szCs w:val="24"/>
          <w:highlight w:val="none"/>
        </w:rPr>
        <w:t>；</w:t>
      </w:r>
    </w:p>
    <w:p w14:paraId="6AA4C1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供应商有效的资质证书复印件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5CE4F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6</w:t>
      </w:r>
      <w:r>
        <w:rPr>
          <w:rFonts w:hint="eastAsia" w:ascii="宋体" w:hAnsi="宋体" w:eastAsia="宋体" w:cs="宋体"/>
          <w:b w:val="0"/>
          <w:bCs/>
          <w:color w:val="auto"/>
          <w:kern w:val="0"/>
          <w:sz w:val="24"/>
          <w:szCs w:val="24"/>
          <w:highlight w:val="none"/>
          <w:lang w:eastAsia="zh-CN"/>
        </w:rPr>
        <w:t>）拟派项目经理的市政公用工程专业二级及以上注册建造师证和安全生产考核合格证书（B类）复印件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F3644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0603D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8</w:t>
      </w:r>
      <w:r>
        <w:rPr>
          <w:rFonts w:hint="eastAsia" w:ascii="宋体" w:hAnsi="宋体" w:eastAsia="宋体" w:cs="宋体"/>
          <w:b w:val="0"/>
          <w:bCs/>
          <w:color w:val="auto"/>
          <w:kern w:val="0"/>
          <w:sz w:val="24"/>
          <w:szCs w:val="24"/>
          <w:highlight w:val="none"/>
          <w:lang w:eastAsia="zh-CN"/>
        </w:rPr>
        <w:t>）</w:t>
      </w:r>
      <w:r>
        <w:rPr>
          <w:rFonts w:hint="eastAsia" w:ascii="宋体" w:hAnsi="宋体" w:cs="宋体"/>
          <w:b w:val="0"/>
          <w:bCs/>
          <w:color w:val="auto"/>
          <w:kern w:val="0"/>
          <w:sz w:val="24"/>
          <w:szCs w:val="24"/>
          <w:highlight w:val="none"/>
          <w:lang w:eastAsia="zh-CN"/>
        </w:rPr>
        <w:t>供应商2024年的财务状况报告</w:t>
      </w:r>
      <w:r>
        <w:rPr>
          <w:rFonts w:hint="eastAsia" w:ascii="宋体" w:hAnsi="宋体" w:eastAsia="宋体" w:cs="宋体"/>
          <w:b w:val="0"/>
          <w:bCs/>
          <w:color w:val="auto"/>
          <w:kern w:val="0"/>
          <w:sz w:val="24"/>
          <w:szCs w:val="24"/>
          <w:highlight w:val="none"/>
          <w:lang w:eastAsia="zh-CN"/>
        </w:rPr>
        <w:t>（或银行出具的资信证明）复印件</w:t>
      </w:r>
      <w:r>
        <w:rPr>
          <w:rFonts w:hint="eastAsia" w:ascii="宋体" w:hAnsi="宋体" w:eastAsia="宋体" w:cs="宋体"/>
          <w:b/>
          <w:bCs w:val="0"/>
          <w:color w:val="auto"/>
          <w:kern w:val="0"/>
          <w:sz w:val="24"/>
          <w:szCs w:val="24"/>
          <w:highlight w:val="none"/>
          <w:lang w:eastAsia="zh-CN"/>
        </w:rPr>
        <w:t>（必须提供）</w:t>
      </w:r>
      <w:r>
        <w:rPr>
          <w:rFonts w:hint="eastAsia" w:ascii="宋体" w:hAnsi="宋体" w:eastAsia="宋体" w:cs="宋体"/>
          <w:b w:val="0"/>
          <w:bCs/>
          <w:color w:val="auto"/>
          <w:sz w:val="24"/>
          <w:szCs w:val="24"/>
          <w:highlight w:val="none"/>
        </w:rPr>
        <w:t>；</w:t>
      </w:r>
    </w:p>
    <w:p w14:paraId="741956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供应商近半年内任意一个月或任一季度依法缴纳税收的证明材料【增值税发票(税收完税证明)或企业所得税完税证明或税务部门出具的免税证明】复印件</w:t>
      </w:r>
      <w:r>
        <w:rPr>
          <w:rFonts w:hint="eastAsia" w:ascii="宋体" w:hAnsi="宋体" w:eastAsia="宋体" w:cs="宋体"/>
          <w:b/>
          <w:bCs/>
          <w:color w:val="auto"/>
          <w:sz w:val="24"/>
          <w:szCs w:val="24"/>
          <w:highlight w:val="none"/>
        </w:rPr>
        <w:t>（必须提供）</w:t>
      </w:r>
      <w:r>
        <w:rPr>
          <w:rFonts w:hint="eastAsia" w:ascii="宋体" w:hAnsi="宋体" w:eastAsia="宋体" w:cs="宋体"/>
          <w:b w:val="0"/>
          <w:bCs w:val="0"/>
          <w:color w:val="auto"/>
          <w:sz w:val="24"/>
          <w:szCs w:val="24"/>
          <w:highlight w:val="none"/>
          <w:lang w:eastAsia="zh-CN"/>
        </w:rPr>
        <w:t>；</w:t>
      </w:r>
    </w:p>
    <w:p w14:paraId="4DDF1A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中小企业声明函或者残疾人福利性单位声明函（格式后附）或者</w:t>
      </w:r>
      <w:r>
        <w:rPr>
          <w:rFonts w:hint="eastAsia" w:ascii="宋体" w:hAnsi="宋体" w:eastAsia="宋体" w:cs="宋体"/>
          <w:b w:val="0"/>
          <w:bCs w:val="0"/>
          <w:i w:val="0"/>
          <w:i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属于监狱企业的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w:t>
      </w:r>
    </w:p>
    <w:p w14:paraId="4C60F858">
      <w:pPr>
        <w:pStyle w:val="1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outlineLvl w:val="2"/>
        <w:rPr>
          <w:rFonts w:hint="eastAsia" w:ascii="宋体" w:hAnsi="宋体" w:eastAsia="宋体" w:cs="宋体"/>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p>
    <w:p w14:paraId="7DEE7540">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bCs/>
          <w:color w:val="auto"/>
          <w:sz w:val="24"/>
          <w:szCs w:val="24"/>
          <w:highlight w:val="none"/>
        </w:rPr>
      </w:pPr>
      <w:bookmarkStart w:id="105" w:name="_Toc16312"/>
      <w:bookmarkStart w:id="106" w:name="_Toc2809"/>
      <w:bookmarkStart w:id="107" w:name="_Toc28932"/>
      <w:r>
        <w:rPr>
          <w:rFonts w:hint="eastAsia" w:ascii="宋体" w:hAnsi="宋体" w:eastAsia="宋体" w:cs="宋体"/>
          <w:b w:val="0"/>
          <w:bCs w:val="0"/>
          <w:color w:val="auto"/>
          <w:sz w:val="24"/>
          <w:szCs w:val="24"/>
          <w:highlight w:val="none"/>
          <w:lang w:val="en-US"/>
        </w:rPr>
        <w:t>（1）响应函（格式见附件）</w:t>
      </w:r>
      <w:r>
        <w:rPr>
          <w:rFonts w:hint="eastAsia" w:ascii="宋体" w:hAnsi="宋体" w:eastAsia="宋体" w:cs="宋体"/>
          <w:b/>
          <w:bCs/>
          <w:color w:val="auto"/>
          <w:sz w:val="24"/>
          <w:szCs w:val="24"/>
          <w:highlight w:val="none"/>
          <w:lang w:val="en-US"/>
        </w:rPr>
        <w:t>（必须提供）</w:t>
      </w:r>
      <w:bookmarkEnd w:id="105"/>
      <w:r>
        <w:rPr>
          <w:rFonts w:hint="eastAsia" w:ascii="宋体" w:hAnsi="宋体" w:eastAsia="宋体" w:cs="宋体"/>
          <w:b w:val="0"/>
          <w:bCs w:val="0"/>
          <w:color w:val="auto"/>
          <w:sz w:val="24"/>
          <w:szCs w:val="24"/>
          <w:highlight w:val="none"/>
          <w:lang w:val="en-US" w:eastAsia="zh-CN"/>
        </w:rPr>
        <w:t>；</w:t>
      </w:r>
      <w:bookmarkEnd w:id="106"/>
      <w:bookmarkEnd w:id="107"/>
    </w:p>
    <w:p w14:paraId="1DA0323A">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szCs w:val="24"/>
          <w:highlight w:val="none"/>
        </w:rPr>
        <w:t>工程报价汇总表</w:t>
      </w:r>
      <w:r>
        <w:rPr>
          <w:rFonts w:hint="eastAsia" w:ascii="宋体" w:hAnsi="宋体" w:eastAsia="宋体" w:cs="宋体"/>
          <w:b w:val="0"/>
          <w:bCs w:val="0"/>
          <w:color w:val="auto"/>
          <w:sz w:val="24"/>
          <w:szCs w:val="24"/>
          <w:highlight w:val="none"/>
        </w:rPr>
        <w:t>（格式见附件）</w:t>
      </w:r>
      <w:r>
        <w:rPr>
          <w:rFonts w:hint="eastAsia" w:ascii="宋体" w:hAnsi="宋体" w:eastAsia="宋体" w:cs="宋体"/>
          <w:b/>
          <w:bCs/>
          <w:color w:val="auto"/>
          <w:sz w:val="24"/>
          <w:szCs w:val="24"/>
          <w:highlight w:val="none"/>
        </w:rPr>
        <w:t>（必须提供）</w:t>
      </w:r>
      <w:r>
        <w:rPr>
          <w:rFonts w:hint="eastAsia" w:ascii="宋体" w:hAnsi="宋体" w:eastAsia="宋体" w:cs="宋体"/>
          <w:b w:val="0"/>
          <w:bCs w:val="0"/>
          <w:color w:val="auto"/>
          <w:sz w:val="24"/>
          <w:szCs w:val="24"/>
          <w:highlight w:val="none"/>
        </w:rPr>
        <w:t>；</w:t>
      </w:r>
    </w:p>
    <w:p w14:paraId="36793CE8">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已标价工程量清单</w:t>
      </w:r>
      <w:r>
        <w:rPr>
          <w:rFonts w:hint="eastAsia" w:ascii="宋体" w:hAnsi="宋体" w:eastAsia="宋体" w:cs="宋体"/>
          <w:b/>
          <w:bCs/>
          <w:color w:val="auto"/>
          <w:kern w:val="0"/>
          <w:sz w:val="24"/>
          <w:szCs w:val="24"/>
          <w:highlight w:val="none"/>
        </w:rPr>
        <w:t>（必须提供）</w:t>
      </w:r>
      <w:r>
        <w:rPr>
          <w:rFonts w:hint="eastAsia" w:ascii="宋体" w:hAnsi="宋体" w:eastAsia="宋体" w:cs="宋体"/>
          <w:b w:val="0"/>
          <w:bCs w:val="0"/>
          <w:color w:val="auto"/>
          <w:kern w:val="0"/>
          <w:sz w:val="24"/>
          <w:szCs w:val="24"/>
          <w:highlight w:val="none"/>
          <w:lang w:eastAsia="zh-CN"/>
        </w:rPr>
        <w:t>；</w:t>
      </w:r>
    </w:p>
    <w:p w14:paraId="02BA4B44">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拟投入本工程主要施工管理人员表</w:t>
      </w:r>
      <w:r>
        <w:rPr>
          <w:rFonts w:hint="eastAsia" w:ascii="宋体" w:hAnsi="宋体" w:eastAsia="宋体" w:cs="宋体"/>
          <w:b/>
          <w:bCs/>
          <w:color w:val="auto"/>
          <w:sz w:val="24"/>
          <w:szCs w:val="24"/>
          <w:highlight w:val="none"/>
          <w:lang w:val="en-US" w:eastAsia="zh-CN"/>
        </w:rPr>
        <w:t>（必须提供）</w:t>
      </w:r>
      <w:r>
        <w:rPr>
          <w:rFonts w:hint="eastAsia" w:ascii="宋体" w:hAnsi="宋体" w:cs="宋体"/>
          <w:b w:val="0"/>
          <w:bCs w:val="0"/>
          <w:color w:val="auto"/>
          <w:sz w:val="24"/>
          <w:szCs w:val="24"/>
          <w:highlight w:val="none"/>
          <w:lang w:eastAsia="zh-CN"/>
        </w:rPr>
        <w:t>；</w:t>
      </w:r>
    </w:p>
    <w:p w14:paraId="7D6DD7EC">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施工组织设计</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根据工程量清单及工程情况自行编制</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（格式自拟，必须提供）</w:t>
      </w:r>
      <w:r>
        <w:rPr>
          <w:rFonts w:hint="eastAsia" w:ascii="宋体" w:hAnsi="宋体" w:eastAsia="宋体" w:cs="宋体"/>
          <w:b w:val="0"/>
          <w:bCs w:val="0"/>
          <w:color w:val="auto"/>
          <w:sz w:val="24"/>
          <w:szCs w:val="24"/>
          <w:highlight w:val="none"/>
          <w:lang w:eastAsia="zh-CN"/>
        </w:rPr>
        <w:t>；</w:t>
      </w:r>
    </w:p>
    <w:p w14:paraId="6BA0B83C">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szCs w:val="24"/>
          <w:highlight w:val="none"/>
          <w:lang w:val="en-US" w:eastAsia="zh-CN"/>
        </w:rPr>
        <w:t>工</w:t>
      </w:r>
      <w:r>
        <w:rPr>
          <w:rFonts w:hint="eastAsia" w:ascii="宋体" w:hAnsi="宋体" w:eastAsia="宋体" w:cs="宋体"/>
          <w:b w:val="0"/>
          <w:bCs w:val="0"/>
          <w:color w:val="auto"/>
          <w:kern w:val="0"/>
          <w:sz w:val="24"/>
          <w:szCs w:val="24"/>
          <w:highlight w:val="none"/>
        </w:rPr>
        <w:t>程完工服务承诺书</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必须提供</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w:t>
      </w:r>
    </w:p>
    <w:p w14:paraId="54C86AF8">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szCs w:val="24"/>
          <w:highlight w:val="none"/>
        </w:rPr>
        <w:t>农民工工资保障金交纳与使用承诺书</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必须提供</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kern w:val="0"/>
          <w:sz w:val="24"/>
          <w:szCs w:val="24"/>
          <w:highlight w:val="none"/>
          <w:lang w:eastAsia="zh-CN"/>
        </w:rPr>
        <w:t>。</w:t>
      </w:r>
    </w:p>
    <w:p w14:paraId="56C15208">
      <w:pPr>
        <w:pStyle w:val="1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46BEA788">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cs="宋体"/>
          <w:color w:val="auto"/>
          <w:sz w:val="24"/>
          <w:szCs w:val="24"/>
          <w:highlight w:val="none"/>
          <w:lang w:eastAsia="zh-CN"/>
        </w:rPr>
        <w:t>2022年1月1日</w:t>
      </w:r>
      <w:r>
        <w:rPr>
          <w:rFonts w:hint="eastAsia" w:ascii="宋体" w:hAnsi="宋体" w:eastAsia="宋体" w:cs="宋体"/>
          <w:color w:val="auto"/>
          <w:sz w:val="24"/>
          <w:szCs w:val="24"/>
          <w:highlight w:val="none"/>
          <w:lang w:eastAsia="zh-CN"/>
        </w:rPr>
        <w:t>以来具有同类项目</w:t>
      </w:r>
      <w:r>
        <w:rPr>
          <w:rFonts w:hint="eastAsia" w:ascii="宋体" w:hAnsi="宋体" w:eastAsia="宋体" w:cs="宋体"/>
          <w:color w:val="auto"/>
          <w:sz w:val="24"/>
          <w:szCs w:val="24"/>
          <w:highlight w:val="none"/>
        </w:rPr>
        <w:t>的业绩相关证明材料（无不良记录，以中标、成交通知书或签订的合同为准，并能清晰反映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r>
        <w:rPr>
          <w:rFonts w:hint="eastAsia" w:ascii="宋体" w:hAnsi="宋体" w:eastAsia="宋体" w:cs="宋体"/>
          <w:b w:val="0"/>
          <w:bCs w:val="0"/>
          <w:color w:val="auto"/>
          <w:sz w:val="24"/>
          <w:szCs w:val="24"/>
          <w:highlight w:val="none"/>
        </w:rPr>
        <w:t>；</w:t>
      </w:r>
    </w:p>
    <w:p w14:paraId="69A7E396">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1A1EE946">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供应商提供的以上相关证明材料属于“必须提供”的文件应加盖</w:t>
      </w:r>
      <w:r>
        <w:rPr>
          <w:rFonts w:hint="eastAsia" w:ascii="宋体" w:hAnsi="宋体" w:eastAsia="宋体" w:cs="宋体"/>
          <w:b/>
          <w:bCs/>
          <w:color w:val="auto"/>
          <w:sz w:val="24"/>
          <w:szCs w:val="24"/>
          <w:highlight w:val="none"/>
          <w:lang w:eastAsia="zh-CN"/>
        </w:rPr>
        <w:t>磋商供应商</w:t>
      </w:r>
      <w:r>
        <w:rPr>
          <w:rFonts w:hint="eastAsia" w:ascii="宋体" w:hAnsi="宋体" w:eastAsia="宋体" w:cs="宋体"/>
          <w:b/>
          <w:bCs/>
          <w:color w:val="auto"/>
          <w:sz w:val="24"/>
          <w:szCs w:val="24"/>
          <w:highlight w:val="none"/>
        </w:rPr>
        <w:t>公章（CA签章）</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自然人</w:t>
      </w:r>
      <w:r>
        <w:rPr>
          <w:rFonts w:hint="eastAsia" w:ascii="宋体" w:hAnsi="宋体" w:eastAsia="宋体" w:cs="宋体"/>
          <w:b/>
          <w:bCs/>
          <w:color w:val="auto"/>
          <w:sz w:val="24"/>
          <w:szCs w:val="24"/>
          <w:highlight w:val="none"/>
          <w:lang w:eastAsia="zh-CN"/>
        </w:rPr>
        <w:t>签字或</w:t>
      </w:r>
      <w:r>
        <w:rPr>
          <w:rFonts w:hint="eastAsia" w:ascii="宋体" w:hAnsi="宋体" w:eastAsia="宋体" w:cs="宋体"/>
          <w:b/>
          <w:bCs/>
          <w:color w:val="auto"/>
          <w:sz w:val="24"/>
          <w:szCs w:val="24"/>
          <w:highlight w:val="none"/>
          <w:lang w:val="en-US" w:eastAsia="zh-CN"/>
        </w:rPr>
        <w:t>个人</w:t>
      </w:r>
      <w:r>
        <w:rPr>
          <w:rFonts w:hint="eastAsia" w:ascii="宋体" w:hAnsi="宋体" w:eastAsia="宋体" w:cs="宋体"/>
          <w:b/>
          <w:bCs/>
          <w:color w:val="auto"/>
          <w:sz w:val="24"/>
          <w:szCs w:val="24"/>
          <w:highlight w:val="none"/>
        </w:rPr>
        <w:t>CA签章，否则</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p>
    <w:p w14:paraId="04C989D3">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429BA291">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09" w:name="_Toc13660"/>
      <w:bookmarkStart w:id="110" w:name="_Toc14454"/>
      <w:bookmarkStart w:id="111" w:name="_Toc2180"/>
      <w:r>
        <w:rPr>
          <w:rFonts w:hint="eastAsia" w:ascii="宋体" w:hAnsi="宋体" w:eastAsia="宋体" w:cs="宋体"/>
          <w:b/>
          <w:bCs/>
          <w:color w:val="auto"/>
          <w:sz w:val="24"/>
          <w:szCs w:val="24"/>
          <w:highlight w:val="none"/>
          <w:lang w:val="en-US" w:eastAsia="zh-CN"/>
        </w:rPr>
        <w:t>12. 响应文件的语言及计量</w:t>
      </w:r>
      <w:bookmarkEnd w:id="109"/>
      <w:bookmarkEnd w:id="110"/>
      <w:bookmarkEnd w:id="111"/>
    </w:p>
    <w:p w14:paraId="1B5DAAAC">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19BEB641">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0C229B00">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12" w:name="_Toc8838"/>
      <w:bookmarkStart w:id="113" w:name="_Toc3058"/>
      <w:bookmarkStart w:id="114" w:name="_Toc10838"/>
      <w:r>
        <w:rPr>
          <w:rFonts w:hint="eastAsia" w:ascii="宋体" w:hAnsi="宋体" w:eastAsia="宋体" w:cs="宋体"/>
          <w:b/>
          <w:bCs/>
          <w:color w:val="auto"/>
          <w:sz w:val="24"/>
          <w:szCs w:val="24"/>
          <w:highlight w:val="none"/>
          <w:lang w:val="en-US" w:eastAsia="zh-CN"/>
        </w:rPr>
        <w:t xml:space="preserve">13. </w:t>
      </w:r>
      <w:bookmarkEnd w:id="112"/>
      <w:bookmarkEnd w:id="113"/>
      <w:bookmarkEnd w:id="114"/>
      <w:r>
        <w:rPr>
          <w:rFonts w:hint="eastAsia" w:ascii="宋体" w:hAnsi="宋体" w:eastAsia="宋体" w:cs="宋体"/>
          <w:b/>
          <w:bCs/>
          <w:color w:val="auto"/>
          <w:sz w:val="24"/>
          <w:szCs w:val="24"/>
          <w:highlight w:val="none"/>
          <w:lang w:val="en-US" w:eastAsia="zh-CN"/>
        </w:rPr>
        <w:t>磋商报价及采购预算金额</w:t>
      </w:r>
    </w:p>
    <w:p w14:paraId="2FD0DEA3">
      <w:pPr>
        <w:keepNext w:val="0"/>
        <w:keepLines w:val="0"/>
        <w:pageBreakBefore w:val="0"/>
        <w:widowControl w:val="0"/>
        <w:kinsoku/>
        <w:wordWrap w:val="0"/>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w:t>
      </w:r>
      <w:r>
        <w:rPr>
          <w:rFonts w:hint="eastAsia" w:ascii="宋体" w:hAnsi="宋体" w:cs="宋体"/>
          <w:color w:val="auto"/>
          <w:sz w:val="24"/>
          <w:szCs w:val="24"/>
          <w:highlight w:val="none"/>
          <w:lang w:val="en-US" w:eastAsia="zh-CN"/>
        </w:rPr>
        <w:t>本项目预算总造价（人民币）：</w:t>
      </w:r>
      <w:r>
        <w:rPr>
          <w:rFonts w:hint="eastAsia" w:ascii="宋体" w:hAnsi="宋体" w:cs="宋体"/>
          <w:b/>
          <w:bCs/>
          <w:color w:val="auto"/>
          <w:sz w:val="24"/>
          <w:szCs w:val="24"/>
          <w:highlight w:val="none"/>
          <w:lang w:val="en-US" w:eastAsia="zh-CN"/>
        </w:rPr>
        <w:t>2133529.66元（含安全生产责任保险费暂估价4482.68元）作为招标控制价，磋商报价超过招标控制价（人民币）2133529.66元的，响应文件作无效处理。</w:t>
      </w:r>
    </w:p>
    <w:p w14:paraId="02671E11">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00EF9BC9">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01967F1B">
      <w:pPr>
        <w:keepNext w:val="0"/>
        <w:keepLines w:val="0"/>
        <w:pageBreakBefore w:val="0"/>
        <w:widowControl w:val="0"/>
        <w:kinsoku/>
        <w:wordWrap/>
        <w:overflowPunct/>
        <w:topLinePunct w:val="0"/>
        <w:autoSpaceDE/>
        <w:autoSpaceDN/>
        <w:bidi w:val="0"/>
        <w:adjustRightInd/>
        <w:snapToGrid/>
        <w:spacing w:line="40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6FEE992D">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770C4D5F">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2511D6A7">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1D6C9018">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04D611EE">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22E1717A">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15" w:name="_Toc12156"/>
      <w:bookmarkStart w:id="116" w:name="_Toc26881"/>
      <w:bookmarkStart w:id="117" w:name="_Toc30554"/>
      <w:r>
        <w:rPr>
          <w:rFonts w:hint="eastAsia" w:ascii="宋体" w:hAnsi="宋体" w:eastAsia="宋体" w:cs="宋体"/>
          <w:b/>
          <w:bCs/>
          <w:color w:val="auto"/>
          <w:sz w:val="24"/>
          <w:szCs w:val="24"/>
          <w:highlight w:val="none"/>
          <w:lang w:val="en-US" w:eastAsia="zh-CN"/>
        </w:rPr>
        <w:t>14. 响应文件有效期</w:t>
      </w:r>
      <w:bookmarkEnd w:id="115"/>
      <w:bookmarkEnd w:id="116"/>
      <w:bookmarkEnd w:id="117"/>
    </w:p>
    <w:p w14:paraId="1B41FE24">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634FD249">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60459FC">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18" w:name="_Toc8794"/>
      <w:bookmarkStart w:id="119" w:name="_Toc22602"/>
      <w:bookmarkStart w:id="120" w:name="_Toc20698"/>
      <w:r>
        <w:rPr>
          <w:rFonts w:hint="eastAsia" w:ascii="宋体" w:hAnsi="宋体" w:eastAsia="宋体" w:cs="宋体"/>
          <w:b/>
          <w:bCs/>
          <w:color w:val="auto"/>
          <w:sz w:val="24"/>
          <w:szCs w:val="24"/>
          <w:highlight w:val="none"/>
          <w:lang w:val="en-US" w:eastAsia="zh-CN"/>
        </w:rPr>
        <w:t xml:space="preserve">15. </w:t>
      </w:r>
      <w:bookmarkEnd w:id="118"/>
      <w:bookmarkEnd w:id="119"/>
      <w:bookmarkEnd w:id="120"/>
      <w:r>
        <w:rPr>
          <w:rFonts w:hint="eastAsia" w:ascii="宋体" w:hAnsi="宋体" w:eastAsia="宋体" w:cs="宋体"/>
          <w:b/>
          <w:bCs/>
          <w:color w:val="auto"/>
          <w:sz w:val="24"/>
          <w:szCs w:val="24"/>
          <w:highlight w:val="none"/>
          <w:lang w:val="en-US" w:eastAsia="zh-CN"/>
        </w:rPr>
        <w:t>磋商保证金</w:t>
      </w:r>
    </w:p>
    <w:p w14:paraId="08BAE189">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本项目无须缴纳磋商保证金。</w:t>
      </w:r>
    </w:p>
    <w:p w14:paraId="5F851E0B">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21" w:name="_Toc387"/>
      <w:bookmarkStart w:id="122" w:name="_Toc30118"/>
      <w:bookmarkStart w:id="123" w:name="_Toc19182"/>
      <w:r>
        <w:rPr>
          <w:rFonts w:hint="eastAsia" w:ascii="宋体" w:hAnsi="宋体" w:eastAsia="宋体" w:cs="宋体"/>
          <w:b/>
          <w:bCs/>
          <w:color w:val="auto"/>
          <w:sz w:val="24"/>
          <w:szCs w:val="24"/>
          <w:highlight w:val="none"/>
          <w:lang w:val="en-US" w:eastAsia="zh-CN"/>
        </w:rPr>
        <w:t>16. 响应文件的</w:t>
      </w:r>
      <w:bookmarkEnd w:id="121"/>
      <w:r>
        <w:rPr>
          <w:rFonts w:hint="eastAsia" w:ascii="宋体" w:hAnsi="宋体" w:eastAsia="宋体" w:cs="宋体"/>
          <w:b/>
          <w:bCs/>
          <w:color w:val="auto"/>
          <w:sz w:val="24"/>
          <w:szCs w:val="24"/>
          <w:highlight w:val="none"/>
          <w:lang w:val="en-US" w:eastAsia="zh-CN"/>
        </w:rPr>
        <w:t>制作</w:t>
      </w:r>
      <w:bookmarkEnd w:id="122"/>
      <w:bookmarkEnd w:id="123"/>
    </w:p>
    <w:p w14:paraId="36586E78">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1F7F062C">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个人CA签章的，应在响应文件中涉及到签字的位置使用个人CA签章，没有办理</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个人CA签章的可在响应文件中涉及到签字的位置手写签字后扫描或者拍照做成 PDF 的格式上传即可。</w:t>
      </w:r>
    </w:p>
    <w:p w14:paraId="621D2F1E">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2764070A">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5C775987">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1F37E7C">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 xml:space="preserve">各供应商应在截标前应确保成为广西政府采购云平台正式注册入库供应商，并完成 CA 数字证书申领。因未注册入库、未办理 CA 数字证书等原因造成无法磋商或磋商失败等后果由供应商自行承担。 </w:t>
      </w:r>
    </w:p>
    <w:p w14:paraId="79889260">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供应商将广西政府采购云平台新版客户端下载、安装完成后，可通过账号密码或 CA 登录客户端进行响应文件制作。客户端请至网站下载专区查看，如有问题可拨打</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客户服务热线 95763 进行咨询。</w:t>
      </w:r>
    </w:p>
    <w:p w14:paraId="03A37F25">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24" w:name="_Toc9738"/>
      <w:bookmarkStart w:id="125" w:name="_Toc8793"/>
      <w:r>
        <w:rPr>
          <w:rFonts w:hint="eastAsia" w:ascii="宋体" w:hAnsi="宋体" w:eastAsia="宋体" w:cs="宋体"/>
          <w:b/>
          <w:bCs/>
          <w:color w:val="auto"/>
          <w:sz w:val="24"/>
          <w:szCs w:val="24"/>
          <w:highlight w:val="none"/>
          <w:lang w:val="en-US" w:eastAsia="zh-CN"/>
        </w:rPr>
        <w:t>17. 响应文件的修改和撤回</w:t>
      </w:r>
      <w:bookmarkEnd w:id="124"/>
      <w:bookmarkEnd w:id="125"/>
    </w:p>
    <w:p w14:paraId="7A818F2C">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0C599FD7">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3E5FF205">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26" w:name="_Toc24690"/>
      <w:bookmarkStart w:id="127" w:name="_Toc30156"/>
      <w:bookmarkStart w:id="128" w:name="_Toc27281"/>
      <w:r>
        <w:rPr>
          <w:rFonts w:hint="eastAsia" w:ascii="宋体" w:hAnsi="宋体" w:eastAsia="宋体" w:cs="宋体"/>
          <w:b/>
          <w:bCs/>
          <w:color w:val="auto"/>
          <w:sz w:val="24"/>
          <w:szCs w:val="24"/>
          <w:highlight w:val="none"/>
          <w:lang w:val="en-US" w:eastAsia="zh-CN"/>
        </w:rPr>
        <w:t>18. 响应文件的递交和解密</w:t>
      </w:r>
      <w:bookmarkEnd w:id="126"/>
      <w:bookmarkEnd w:id="127"/>
      <w:bookmarkEnd w:id="128"/>
    </w:p>
    <w:p w14:paraId="757FA254">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2025年11月3日</w:t>
      </w:r>
      <w:r>
        <w:rPr>
          <w:rFonts w:hint="eastAsia" w:ascii="宋体" w:hAnsi="宋体" w:cs="宋体"/>
          <w:color w:val="auto"/>
          <w:sz w:val="24"/>
          <w:szCs w:val="24"/>
          <w:highlight w:val="none"/>
          <w:u w:val="single"/>
          <w:lang w:val="en-US" w:eastAsia="zh-CN"/>
        </w:rPr>
        <w:t>9时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non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FED2961">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w:t>
      </w:r>
      <w:r>
        <w:rPr>
          <w:rFonts w:hint="eastAsia" w:ascii="宋体" w:hAnsi="宋体" w:cs="宋体"/>
          <w:color w:val="auto"/>
          <w:sz w:val="24"/>
          <w:szCs w:val="24"/>
          <w:highlight w:val="none"/>
          <w:lang w:eastAsia="zh-CN"/>
        </w:rPr>
        <w:t>桂林市公共资源交易中心1号政采开标仓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p w14:paraId="0E8B2E9A">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673E884F">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18.4 </w:t>
      </w:r>
      <w:r>
        <w:rPr>
          <w:rFonts w:hint="eastAsia" w:ascii="宋体" w:hAnsi="宋体" w:eastAsia="宋体" w:cs="宋体"/>
          <w:color w:val="auto"/>
          <w:sz w:val="24"/>
          <w:szCs w:val="24"/>
          <w:highlight w:val="none"/>
        </w:rPr>
        <w:t>电子响应文件的相关说明</w:t>
      </w:r>
    </w:p>
    <w:p w14:paraId="54850E24">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（1）供应商进行电子投标应安装客户端软件，并按照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的要求编制并加密响应文件。供应商未按规定加密的响应文件，</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将拒收。供应商应当在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截止时间前完成响应文件的传输递交，并可以补充、修改或者撤回</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响应文件。补充或者修改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响应文件的，应当先行撤回原文件，补充、修改后重新传输递交。</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截止时间前未完成传输的，视为撤回响应文件。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截止时间后递交的响应文件，</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 xml:space="preserve">将拒收。 </w:t>
      </w:r>
    </w:p>
    <w:p w14:paraId="61D9DF10">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bCs w:val="0"/>
          <w:color w:val="auto"/>
          <w:szCs w:val="28"/>
          <w:highlight w:val="none"/>
        </w:rPr>
      </w:pPr>
      <w:r>
        <w:rPr>
          <w:rFonts w:hint="eastAsia" w:ascii="宋体" w:hAnsi="宋体" w:eastAsia="宋体" w:cs="宋体"/>
          <w:color w:val="auto"/>
          <w:sz w:val="24"/>
          <w:szCs w:val="24"/>
          <w:highlight w:val="none"/>
        </w:rPr>
        <w:t>（2）如有特殊情况，采购代理机构延长截止时间和开标时间，采购代理机构和供应商的权利和义务将受到新的截止时间和开标时间的约束。</w:t>
      </w:r>
      <w:bookmarkStart w:id="129" w:name="_Toc2433"/>
    </w:p>
    <w:p w14:paraId="424D77DA">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Cs w:val="28"/>
          <w:highlight w:val="none"/>
        </w:rPr>
      </w:pPr>
    </w:p>
    <w:p w14:paraId="715F9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auto"/>
          <w:sz w:val="28"/>
          <w:szCs w:val="28"/>
          <w:highlight w:val="none"/>
        </w:rPr>
      </w:pPr>
      <w:bookmarkStart w:id="130" w:name="_Toc5807"/>
      <w:bookmarkStart w:id="131" w:name="_Toc8366"/>
      <w:bookmarkStart w:id="132" w:name="_Toc27502"/>
      <w:r>
        <w:rPr>
          <w:rFonts w:hint="eastAsia" w:ascii="Times New Roman" w:hAnsi="Times New Roman" w:eastAsia="宋体" w:cs="Times New Roman"/>
          <w:b/>
          <w:bCs/>
          <w:color w:val="auto"/>
          <w:sz w:val="28"/>
          <w:szCs w:val="28"/>
          <w:highlight w:val="none"/>
        </w:rPr>
        <w:t>四、竞争性磋商（简称磋商）与评审</w:t>
      </w:r>
      <w:bookmarkEnd w:id="129"/>
      <w:bookmarkEnd w:id="130"/>
      <w:bookmarkEnd w:id="131"/>
      <w:bookmarkEnd w:id="132"/>
    </w:p>
    <w:p w14:paraId="6EDE70C6">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33" w:name="_Toc11021"/>
      <w:bookmarkStart w:id="134" w:name="_Toc9080"/>
      <w:bookmarkStart w:id="135" w:name="_Toc31588"/>
      <w:r>
        <w:rPr>
          <w:rFonts w:hint="eastAsia" w:ascii="宋体" w:hAnsi="宋体" w:eastAsia="宋体" w:cs="宋体"/>
          <w:b/>
          <w:bCs/>
          <w:color w:val="auto"/>
          <w:sz w:val="24"/>
          <w:szCs w:val="24"/>
          <w:highlight w:val="none"/>
          <w:lang w:val="en-US" w:eastAsia="zh-CN"/>
        </w:rPr>
        <w:t>19. 磋商小组组成及磋商时间、地点、人员</w:t>
      </w:r>
      <w:bookmarkEnd w:id="133"/>
      <w:bookmarkEnd w:id="134"/>
      <w:bookmarkEnd w:id="135"/>
    </w:p>
    <w:p w14:paraId="6385B8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4D5199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474628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15137E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6F3153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eastAsia="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1FBA23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eastAsia="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75F546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eastAsia="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6CC99CAF">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36" w:name="_Toc30573"/>
      <w:bookmarkStart w:id="137" w:name="_Toc21088"/>
      <w:bookmarkStart w:id="138" w:name="_Toc25258"/>
      <w:r>
        <w:rPr>
          <w:rFonts w:hint="eastAsia" w:ascii="宋体" w:hAnsi="宋体" w:eastAsia="宋体" w:cs="宋体"/>
          <w:b/>
          <w:bCs/>
          <w:color w:val="auto"/>
          <w:sz w:val="24"/>
          <w:szCs w:val="24"/>
          <w:highlight w:val="none"/>
          <w:lang w:val="en-US" w:eastAsia="zh-CN"/>
        </w:rPr>
        <w:t>20. 评审原则</w:t>
      </w:r>
      <w:bookmarkEnd w:id="136"/>
      <w:bookmarkEnd w:id="137"/>
      <w:bookmarkEnd w:id="138"/>
    </w:p>
    <w:p w14:paraId="43B843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494D1C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32D6F1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77B7EE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364447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0D66DE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0797AC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响应文件中磋商报价表内容与响应文件中相应内容不一致的，以最后磋商报价表为准；</w:t>
      </w:r>
    </w:p>
    <w:p w14:paraId="4ACCC3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大写金额和小写金额不一致的，以大写金额为准；</w:t>
      </w:r>
    </w:p>
    <w:p w14:paraId="36C836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单价金额小数点或者百分比有明显错位的，以报价表的总价为准，并修改单价；</w:t>
      </w:r>
    </w:p>
    <w:p w14:paraId="6D2C0B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总价金额与按单价汇总金额不一致的，以单价金额计算结果为准。</w:t>
      </w:r>
    </w:p>
    <w:p w14:paraId="4EED96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A9E3061">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39" w:name="_Toc17285"/>
      <w:bookmarkStart w:id="140" w:name="_Toc21012"/>
      <w:bookmarkStart w:id="141" w:name="_Toc27193"/>
      <w:r>
        <w:rPr>
          <w:rFonts w:hint="eastAsia" w:ascii="宋体" w:hAnsi="宋体" w:eastAsia="宋体" w:cs="宋体"/>
          <w:b/>
          <w:bCs/>
          <w:color w:val="auto"/>
          <w:sz w:val="24"/>
          <w:szCs w:val="24"/>
          <w:highlight w:val="none"/>
          <w:lang w:val="en-US" w:eastAsia="zh-CN"/>
        </w:rPr>
        <w:t>21. 评审程序及磋商要求</w:t>
      </w:r>
      <w:bookmarkEnd w:id="139"/>
      <w:bookmarkEnd w:id="140"/>
      <w:bookmarkEnd w:id="141"/>
    </w:p>
    <w:p w14:paraId="04519C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28C721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77D9BF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eastAsia="宋体" w:cs="宋体"/>
          <w:color w:val="auto"/>
          <w:kern w:val="0"/>
          <w:sz w:val="24"/>
          <w:szCs w:val="24"/>
          <w:highlight w:val="none"/>
        </w:rPr>
        <w:t>磋商小组依据法律法规和竞争性磋商文件的规定，</w:t>
      </w:r>
      <w:r>
        <w:rPr>
          <w:rFonts w:hint="eastAsia" w:ascii="宋体" w:hAnsi="宋体" w:eastAsia="宋体" w:cs="宋体"/>
          <w:color w:val="auto"/>
          <w:kern w:val="0"/>
          <w:sz w:val="24"/>
          <w:szCs w:val="22"/>
          <w:highlight w:val="none"/>
        </w:rPr>
        <w:t>首先对响应文件进行资格性审查，</w:t>
      </w:r>
      <w:r>
        <w:rPr>
          <w:rFonts w:hint="eastAsia" w:ascii="宋体" w:hAnsi="宋体" w:eastAsia="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61AF2B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7DCD0C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E5FF9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07F166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（1）进入《国家企业信用信息公示系统》（网址：www.gsxt.gov.cn/index.html），输入企业名称，进入企业信息主页面；</w:t>
      </w:r>
    </w:p>
    <w:p w14:paraId="7BB52F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8C308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16B328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5EFDD591">
      <w:pPr>
        <w:pStyle w:val="8"/>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3916F7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757418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354FCE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722A30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6684B4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38F5BC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073F7A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7E4121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通过广西政府采购云平台同时</w:t>
      </w:r>
      <w:r>
        <w:rPr>
          <w:rFonts w:hint="eastAsia" w:ascii="宋体" w:hAnsi="宋体" w:eastAsia="宋体" w:cs="宋体"/>
          <w:color w:val="auto"/>
          <w:sz w:val="24"/>
          <w:szCs w:val="24"/>
          <w:highlight w:val="none"/>
        </w:rPr>
        <w:t xml:space="preserve">通知所有参加磋商的供应商。 </w:t>
      </w:r>
    </w:p>
    <w:p w14:paraId="60D535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0B798E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58E2B9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1646A6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磋商文件不能详细列明采购标的的施工要求，需经磋商由供应商提供最终设计方案或解决方案的，磋商结束后，磋商小组应当按照少数服从多数的原则投票推荐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72FE02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21.8.3</w:t>
      </w:r>
      <w:r>
        <w:rPr>
          <w:rFonts w:hint="eastAsia" w:ascii="宋体" w:hAnsi="宋体" w:eastAsia="宋体" w:cs="宋体"/>
          <w:color w:val="auto"/>
          <w:kern w:val="0"/>
          <w:sz w:val="24"/>
          <w:szCs w:val="24"/>
          <w:highlight w:val="none"/>
        </w:rPr>
        <w:t>最后报价（应答文件）是供应商响应文件的有效组成部分</w:t>
      </w:r>
      <w:r>
        <w:rPr>
          <w:rFonts w:hint="eastAsia" w:ascii="宋体" w:hAnsi="宋体" w:eastAsia="宋体" w:cs="宋体"/>
          <w:color w:val="auto"/>
          <w:kern w:val="0"/>
          <w:sz w:val="24"/>
          <w:szCs w:val="24"/>
          <w:highlight w:val="none"/>
          <w:lang w:eastAsia="zh-CN"/>
        </w:rPr>
        <w:t>。</w:t>
      </w:r>
    </w:p>
    <w:p w14:paraId="011C63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68B834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2DB902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63BEFA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03B8CE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286D40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6E43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5C3037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572E2BD">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42" w:name="_Toc32470"/>
      <w:bookmarkStart w:id="143" w:name="_Toc12420"/>
      <w:bookmarkStart w:id="144" w:name="_Toc18722"/>
      <w:r>
        <w:rPr>
          <w:rFonts w:hint="eastAsia" w:ascii="宋体" w:hAnsi="宋体" w:eastAsia="宋体" w:cs="宋体"/>
          <w:b/>
          <w:bCs/>
          <w:color w:val="auto"/>
          <w:sz w:val="24"/>
          <w:szCs w:val="24"/>
          <w:highlight w:val="none"/>
          <w:lang w:val="en-US" w:eastAsia="zh-CN"/>
        </w:rPr>
        <w:t>22. 确定成交供应商</w:t>
      </w:r>
      <w:bookmarkEnd w:id="142"/>
      <w:bookmarkEnd w:id="143"/>
      <w:bookmarkEnd w:id="144"/>
    </w:p>
    <w:p w14:paraId="4753CE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5802AF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600C13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3CC90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39B502DF">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45" w:name="_Toc15332"/>
      <w:bookmarkStart w:id="146" w:name="_Toc14882"/>
      <w:bookmarkStart w:id="147" w:name="_Toc21715"/>
      <w:r>
        <w:rPr>
          <w:rFonts w:hint="eastAsia" w:ascii="宋体" w:hAnsi="宋体" w:eastAsia="宋体" w:cs="宋体"/>
          <w:b/>
          <w:bCs/>
          <w:color w:val="auto"/>
          <w:sz w:val="24"/>
          <w:szCs w:val="24"/>
          <w:highlight w:val="none"/>
          <w:lang w:val="en-US" w:eastAsia="zh-CN"/>
        </w:rPr>
        <w:t>23. 属于下列情况之一者，响应文件无效</w:t>
      </w:r>
      <w:bookmarkEnd w:id="145"/>
      <w:bookmarkEnd w:id="146"/>
      <w:bookmarkEnd w:id="147"/>
    </w:p>
    <w:p w14:paraId="20A061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71B0E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7C15A7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1F9F54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20844E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0E8D2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0F98F8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287F36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354133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02F78E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eastAsia="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6F5BE7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4EE5724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4B00CD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180992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9CF85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1D034B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559ED0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eastAsia="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27017D8A">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48" w:name="_Toc27786"/>
      <w:bookmarkStart w:id="149" w:name="_Toc7715"/>
      <w:bookmarkStart w:id="150" w:name="_Toc5714"/>
      <w:r>
        <w:rPr>
          <w:rFonts w:hint="eastAsia" w:ascii="宋体" w:hAnsi="宋体" w:eastAsia="宋体" w:cs="宋体"/>
          <w:b/>
          <w:bCs/>
          <w:color w:val="auto"/>
          <w:sz w:val="24"/>
          <w:szCs w:val="24"/>
          <w:highlight w:val="none"/>
          <w:lang w:val="en-US" w:eastAsia="zh-CN"/>
        </w:rPr>
        <w:t>24. 出现下列情形之一的，采购人或者采购代理机构应当终止竞争性磋商采购活动，发布项目终止公告并说明原因，重新开展采购活动</w:t>
      </w:r>
      <w:bookmarkEnd w:id="148"/>
      <w:bookmarkEnd w:id="149"/>
      <w:bookmarkEnd w:id="150"/>
    </w:p>
    <w:p w14:paraId="67A654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4CAD1D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4D0635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31CBEF8E">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51" w:name="_Toc19910"/>
      <w:bookmarkStart w:id="152" w:name="_Toc22405"/>
      <w:bookmarkStart w:id="153" w:name="_Toc19105"/>
      <w:r>
        <w:rPr>
          <w:rFonts w:hint="eastAsia" w:ascii="宋体" w:hAnsi="宋体" w:eastAsia="宋体" w:cs="宋体"/>
          <w:b/>
          <w:bCs/>
          <w:color w:val="auto"/>
          <w:sz w:val="24"/>
          <w:szCs w:val="24"/>
          <w:highlight w:val="none"/>
          <w:lang w:val="en-US" w:eastAsia="zh-CN"/>
        </w:rPr>
        <w:t>25. 磋商过程的监控</w:t>
      </w:r>
      <w:bookmarkEnd w:id="151"/>
      <w:bookmarkEnd w:id="152"/>
      <w:bookmarkEnd w:id="153"/>
    </w:p>
    <w:p w14:paraId="654784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186F292A">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54" w:name="_Toc26291"/>
      <w:bookmarkStart w:id="155" w:name="_Toc14787"/>
      <w:bookmarkStart w:id="156" w:name="_Toc865"/>
      <w:r>
        <w:rPr>
          <w:rFonts w:hint="eastAsia" w:ascii="宋体" w:hAnsi="宋体" w:eastAsia="宋体" w:cs="宋体"/>
          <w:b/>
          <w:bCs/>
          <w:color w:val="auto"/>
          <w:sz w:val="24"/>
          <w:szCs w:val="24"/>
          <w:highlight w:val="none"/>
          <w:lang w:val="en-US" w:eastAsia="zh-CN"/>
        </w:rPr>
        <w:t>信用查询</w:t>
      </w:r>
      <w:bookmarkEnd w:id="154"/>
      <w:bookmarkEnd w:id="155"/>
      <w:bookmarkEnd w:id="156"/>
    </w:p>
    <w:p w14:paraId="44AA18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6A5891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2E3C30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621FA3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r>
        <w:rPr>
          <w:rFonts w:hint="eastAsia" w:ascii="宋体" w:hAnsi="宋体" w:cs="宋体"/>
          <w:color w:val="auto"/>
          <w:sz w:val="24"/>
          <w:szCs w:val="24"/>
          <w:highlight w:val="none"/>
          <w:lang w:eastAsia="zh-CN"/>
        </w:rPr>
        <w:t>；</w:t>
      </w:r>
    </w:p>
    <w:p w14:paraId="349596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5077C251">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57" w:name="_Toc9438"/>
      <w:bookmarkStart w:id="158" w:name="_Toc25468"/>
      <w:bookmarkStart w:id="159" w:name="_Toc7989"/>
      <w:r>
        <w:rPr>
          <w:rFonts w:hint="eastAsia" w:ascii="宋体" w:hAnsi="宋体" w:eastAsia="宋体" w:cs="宋体"/>
          <w:b/>
          <w:bCs/>
          <w:color w:val="auto"/>
          <w:sz w:val="24"/>
          <w:szCs w:val="24"/>
          <w:highlight w:val="none"/>
          <w:lang w:val="en-US" w:eastAsia="zh-CN"/>
        </w:rPr>
        <w:t>27. 成交结果公告及成交通知书</w:t>
      </w:r>
      <w:bookmarkEnd w:id="157"/>
      <w:bookmarkEnd w:id="158"/>
      <w:bookmarkEnd w:id="159"/>
    </w:p>
    <w:p w14:paraId="218CFD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C0563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75A552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17D4DA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szCs w:val="28"/>
          <w:highlight w:val="none"/>
        </w:rPr>
      </w:pPr>
      <w:bookmarkStart w:id="160" w:name="_Toc25593"/>
    </w:p>
    <w:p w14:paraId="0F591A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auto"/>
          <w:sz w:val="28"/>
          <w:szCs w:val="28"/>
          <w:highlight w:val="none"/>
        </w:rPr>
      </w:pPr>
      <w:bookmarkStart w:id="161" w:name="_Toc14132"/>
      <w:bookmarkStart w:id="162" w:name="_Toc24102"/>
      <w:bookmarkStart w:id="163" w:name="_Toc6429"/>
      <w:r>
        <w:rPr>
          <w:rFonts w:hint="eastAsia" w:ascii="Times New Roman" w:hAnsi="Times New Roman" w:eastAsia="宋体" w:cs="Times New Roman"/>
          <w:b/>
          <w:bCs/>
          <w:color w:val="auto"/>
          <w:sz w:val="28"/>
          <w:szCs w:val="28"/>
          <w:highlight w:val="none"/>
        </w:rPr>
        <w:t>五、签订合同</w:t>
      </w:r>
      <w:bookmarkEnd w:id="160"/>
      <w:bookmarkEnd w:id="161"/>
      <w:bookmarkEnd w:id="162"/>
      <w:bookmarkEnd w:id="163"/>
    </w:p>
    <w:p w14:paraId="18655494">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64" w:name="_Toc4019"/>
      <w:bookmarkStart w:id="165" w:name="_Toc1032"/>
      <w:bookmarkStart w:id="166" w:name="_Toc26520"/>
      <w:r>
        <w:rPr>
          <w:rFonts w:hint="eastAsia" w:ascii="宋体" w:hAnsi="宋体" w:eastAsia="宋体" w:cs="宋体"/>
          <w:b/>
          <w:bCs/>
          <w:color w:val="auto"/>
          <w:sz w:val="24"/>
          <w:szCs w:val="24"/>
          <w:highlight w:val="none"/>
          <w:lang w:val="en-US" w:eastAsia="zh-CN"/>
        </w:rPr>
        <w:t>28. 履约保证金</w:t>
      </w:r>
      <w:bookmarkEnd w:id="164"/>
      <w:bookmarkEnd w:id="165"/>
      <w:bookmarkEnd w:id="166"/>
    </w:p>
    <w:p w14:paraId="144AD11C">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67" w:name="_Toc4956"/>
      <w:bookmarkStart w:id="168" w:name="_Toc15345"/>
      <w:bookmarkStart w:id="169" w:name="_Toc22004"/>
      <w:r>
        <w:rPr>
          <w:rFonts w:hint="eastAsia" w:ascii="宋体" w:hAnsi="宋体" w:eastAsia="宋体" w:cs="宋体"/>
          <w:b/>
          <w:bCs/>
          <w:color w:val="auto"/>
          <w:sz w:val="24"/>
          <w:szCs w:val="24"/>
          <w:highlight w:val="none"/>
          <w:lang w:val="en-US" w:eastAsia="zh-CN"/>
        </w:rPr>
        <w:t>本项目无需交纳履约保证金。</w:t>
      </w:r>
    </w:p>
    <w:p w14:paraId="4D7C8764">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29. 签订合同</w:t>
      </w:r>
      <w:bookmarkEnd w:id="167"/>
      <w:bookmarkEnd w:id="168"/>
      <w:bookmarkEnd w:id="169"/>
    </w:p>
    <w:p w14:paraId="111C0E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29.1 签订合同时间：</w:t>
      </w:r>
      <w:r>
        <w:rPr>
          <w:rFonts w:hint="eastAsia" w:ascii="宋体" w:hAnsi="宋体" w:eastAsia="宋体" w:cs="宋体"/>
          <w:b w:val="0"/>
          <w:bCs w:val="0"/>
          <w:color w:val="auto"/>
          <w:sz w:val="24"/>
          <w:szCs w:val="24"/>
          <w:highlight w:val="none"/>
          <w:lang w:eastAsia="zh-CN"/>
        </w:rPr>
        <w:t>成交通知书发出之日起8个工作日内</w:t>
      </w:r>
      <w:r>
        <w:rPr>
          <w:rFonts w:hint="eastAsia" w:ascii="宋体" w:hAnsi="宋体" w:eastAsia="宋体" w:cs="宋体"/>
          <w:b w:val="0"/>
          <w:bCs w:val="0"/>
          <w:color w:val="auto"/>
          <w:sz w:val="24"/>
          <w:szCs w:val="24"/>
          <w:highlight w:val="none"/>
        </w:rPr>
        <w:t>签订合同。成交供应商领取成交通知书后，应按规定与采购人签订合同。</w:t>
      </w:r>
    </w:p>
    <w:p w14:paraId="7B4D28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C8D9A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（1）成交后不与采购人签订合同的（不可抗力除外）；</w:t>
      </w:r>
    </w:p>
    <w:p w14:paraId="499AC7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（2）将成交项目转让给他人，或者在响应文件中未说明，且未经采购人同意，将成交项目分包给他人的；</w:t>
      </w:r>
    </w:p>
    <w:p w14:paraId="550920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（3）拒绝履行合同义务的。</w:t>
      </w:r>
    </w:p>
    <w:p w14:paraId="185BE3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阳朔县</w:t>
      </w:r>
      <w:r>
        <w:rPr>
          <w:rFonts w:hint="eastAsia" w:ascii="宋体" w:hAnsi="宋体" w:eastAsia="宋体" w:cs="宋体"/>
          <w:color w:val="auto"/>
          <w:sz w:val="24"/>
          <w:szCs w:val="24"/>
          <w:highlight w:val="none"/>
        </w:rPr>
        <w:t>政府采购监管部门备案，一份由采购代理机构存档。</w:t>
      </w:r>
    </w:p>
    <w:p w14:paraId="15F1B2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14:paraId="10836C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auto"/>
          <w:sz w:val="28"/>
          <w:szCs w:val="28"/>
          <w:highlight w:val="none"/>
        </w:rPr>
      </w:pPr>
      <w:bookmarkStart w:id="170" w:name="_Toc16348"/>
      <w:bookmarkStart w:id="171" w:name="_Toc11467"/>
      <w:bookmarkStart w:id="172" w:name="_Toc4211"/>
      <w:bookmarkStart w:id="173" w:name="_Toc17898"/>
      <w:r>
        <w:rPr>
          <w:rFonts w:hint="eastAsia" w:ascii="Times New Roman" w:hAnsi="Times New Roman" w:eastAsia="宋体" w:cs="Times New Roman"/>
          <w:b/>
          <w:bCs/>
          <w:color w:val="auto"/>
          <w:sz w:val="28"/>
          <w:szCs w:val="28"/>
          <w:highlight w:val="none"/>
        </w:rPr>
        <w:t>六、其他事项</w:t>
      </w:r>
      <w:bookmarkEnd w:id="170"/>
      <w:bookmarkEnd w:id="171"/>
      <w:bookmarkEnd w:id="172"/>
      <w:bookmarkEnd w:id="173"/>
    </w:p>
    <w:p w14:paraId="7CA53ECE">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bookmarkStart w:id="174" w:name="_Toc22506"/>
      <w:bookmarkStart w:id="175" w:name="_Toc29572"/>
      <w:bookmarkStart w:id="176" w:name="_Toc28647"/>
      <w:r>
        <w:rPr>
          <w:rFonts w:hint="eastAsia" w:ascii="宋体" w:hAnsi="宋体" w:eastAsia="宋体" w:cs="宋体"/>
          <w:b/>
          <w:bCs/>
          <w:color w:val="auto"/>
          <w:sz w:val="24"/>
          <w:szCs w:val="24"/>
          <w:highlight w:val="none"/>
          <w:lang w:val="en-US" w:eastAsia="zh-CN"/>
        </w:rPr>
        <w:t>30. 采购代理服务费</w:t>
      </w:r>
      <w:bookmarkEnd w:id="174"/>
      <w:bookmarkEnd w:id="175"/>
      <w:bookmarkEnd w:id="176"/>
    </w:p>
    <w:p w14:paraId="0F616FD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32"/>
          <w:highlight w:val="none"/>
          <w:lang w:eastAsia="zh-CN"/>
        </w:rPr>
      </w:pPr>
      <w:bookmarkStart w:id="177" w:name="_Toc12374"/>
      <w:r>
        <w:rPr>
          <w:rFonts w:hint="eastAsia" w:ascii="宋体" w:hAnsi="宋体" w:cs="宋体"/>
          <w:color w:val="auto"/>
          <w:sz w:val="24"/>
          <w:szCs w:val="24"/>
          <w:highlight w:val="none"/>
          <w:lang w:eastAsia="zh-CN"/>
        </w:rPr>
        <w:t>本项目的代理服务收费为人民币</w:t>
      </w:r>
      <w:r>
        <w:rPr>
          <w:rFonts w:hint="eastAsia" w:ascii="宋体" w:hAnsi="宋体" w:cs="宋体"/>
          <w:color w:val="auto"/>
          <w:sz w:val="24"/>
          <w:szCs w:val="24"/>
          <w:highlight w:val="none"/>
          <w:u w:val="single"/>
          <w:lang w:eastAsia="zh-CN"/>
        </w:rPr>
        <w:t>壹万陆仟元整（16000元）</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lang w:eastAsia="zh-CN"/>
        </w:rPr>
        <w:t>向成交供应商收取。</w:t>
      </w:r>
    </w:p>
    <w:p w14:paraId="0E08A640">
      <w:pPr>
        <w:keepNext w:val="0"/>
        <w:keepLines w:val="0"/>
        <w:pageBreakBefore w:val="0"/>
        <w:widowControl w:val="0"/>
        <w:numPr>
          <w:ilvl w:val="0"/>
          <w:numId w:val="5"/>
        </w:numP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bookmarkStart w:id="178" w:name="_Toc132"/>
      <w:bookmarkStart w:id="179" w:name="_Toc9779"/>
      <w:r>
        <w:rPr>
          <w:rFonts w:hint="eastAsia" w:ascii="宋体" w:hAnsi="宋体" w:eastAsia="宋体" w:cs="宋体"/>
          <w:b/>
          <w:color w:val="auto"/>
          <w:sz w:val="24"/>
          <w:szCs w:val="24"/>
          <w:highlight w:val="none"/>
        </w:rPr>
        <w:t>采购代理机构银行账户：</w:t>
      </w:r>
    </w:p>
    <w:p w14:paraId="75568099">
      <w:pPr>
        <w:pStyle w:val="12"/>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账户名称：广西乐正工程项目管理有限公司桂林分公司</w:t>
      </w:r>
    </w:p>
    <w:p w14:paraId="650C0F98">
      <w:pPr>
        <w:pStyle w:val="12"/>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r>
        <w:rPr>
          <w:rFonts w:hint="eastAsia" w:hAnsi="宋体" w:cs="宋体"/>
          <w:color w:val="auto"/>
          <w:sz w:val="24"/>
          <w:szCs w:val="24"/>
          <w:highlight w:val="none"/>
          <w:lang w:eastAsia="zh-CN"/>
        </w:rPr>
        <w:t>桂林银行股份有限公司中隐路支行</w:t>
      </w:r>
    </w:p>
    <w:p w14:paraId="32641BC4">
      <w:pPr>
        <w:pStyle w:val="12"/>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val="en-US" w:eastAsia="zh-CN"/>
        </w:rPr>
        <w:t>6600</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0002</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0371</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5000</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17</w:t>
      </w:r>
    </w:p>
    <w:bookmarkEnd w:id="177"/>
    <w:bookmarkEnd w:id="178"/>
    <w:bookmarkEnd w:id="179"/>
    <w:p w14:paraId="2B09B529">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 解释权：</w:t>
      </w:r>
      <w:r>
        <w:rPr>
          <w:rFonts w:hint="eastAsia" w:ascii="宋体" w:hAnsi="宋体" w:eastAsia="宋体" w:cs="宋体"/>
          <w:b w:val="0"/>
          <w:bCs w:val="0"/>
          <w:color w:val="auto"/>
          <w:sz w:val="24"/>
          <w:szCs w:val="24"/>
          <w:highlight w:val="none"/>
          <w:lang w:val="en-US"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A28DEC3">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outlineLvl w:val="2"/>
        <w:rPr>
          <w:rFonts w:hint="eastAsia" w:ascii="宋体" w:hAnsi="宋体" w:eastAsia="宋体" w:cs="宋体"/>
          <w:color w:val="auto"/>
          <w:sz w:val="24"/>
          <w:szCs w:val="32"/>
          <w:highlight w:val="none"/>
          <w:lang w:val="en-US" w:eastAsia="zh-CN"/>
        </w:rPr>
      </w:pPr>
      <w:bookmarkStart w:id="180" w:name="_Toc32738"/>
      <w:bookmarkStart w:id="181" w:name="_Toc24551"/>
      <w:r>
        <w:rPr>
          <w:rStyle w:val="26"/>
          <w:rFonts w:hint="eastAsia" w:ascii="宋体" w:hAnsi="宋体" w:eastAsia="宋体" w:cs="宋体"/>
          <w:color w:val="auto"/>
          <w:sz w:val="24"/>
          <w:szCs w:val="24"/>
          <w:highlight w:val="none"/>
        </w:rPr>
        <w:t>32. 监督</w:t>
      </w:r>
      <w:r>
        <w:rPr>
          <w:rStyle w:val="26"/>
          <w:rFonts w:hint="eastAsia" w:ascii="宋体" w:hAnsi="宋体" w:eastAsia="宋体" w:cs="宋体"/>
          <w:color w:val="auto"/>
          <w:sz w:val="24"/>
          <w:szCs w:val="24"/>
          <w:highlight w:val="none"/>
          <w:lang w:eastAsia="zh-CN"/>
        </w:rPr>
        <w:t>管理</w:t>
      </w:r>
      <w:r>
        <w:rPr>
          <w:rStyle w:val="26"/>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kern w:val="0"/>
          <w:sz w:val="24"/>
          <w:szCs w:val="24"/>
          <w:highlight w:val="none"/>
          <w:lang w:eastAsia="zh-CN"/>
        </w:rPr>
        <w:t>阳朔县财政局</w:t>
      </w:r>
      <w:r>
        <w:rPr>
          <w:rFonts w:hint="eastAsia" w:ascii="宋体" w:hAnsi="宋体" w:eastAsia="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0773-8811598</w:t>
      </w:r>
    </w:p>
    <w:p w14:paraId="560ED7E1">
      <w:pPr>
        <w:pageBreakBefore w:val="0"/>
        <w:widowControl w:val="0"/>
        <w:kinsoku/>
        <w:wordWrap/>
        <w:overflowPunct/>
        <w:topLinePunct w:val="0"/>
        <w:bidi w:val="0"/>
        <w:spacing w:line="440" w:lineRule="exact"/>
        <w:ind w:firstLine="422" w:firstLineChars="200"/>
        <w:textAlignment w:val="auto"/>
        <w:outlineLvl w:val="2"/>
        <w:rPr>
          <w:rStyle w:val="26"/>
          <w:rFonts w:hint="eastAsia" w:ascii="宋体" w:hAnsi="宋体" w:cs="宋体"/>
          <w:color w:val="auto"/>
          <w:sz w:val="21"/>
          <w:szCs w:val="21"/>
          <w:highlight w:val="none"/>
          <w:lang w:eastAsia="zh-CN"/>
        </w:rPr>
      </w:pPr>
    </w:p>
    <w:p w14:paraId="58328A91">
      <w:pPr>
        <w:pageBreakBefore w:val="0"/>
        <w:widowControl w:val="0"/>
        <w:kinsoku/>
        <w:wordWrap/>
        <w:overflowPunct/>
        <w:topLinePunct w:val="0"/>
        <w:bidi w:val="0"/>
        <w:spacing w:line="440" w:lineRule="exact"/>
        <w:ind w:firstLine="422" w:firstLineChars="200"/>
        <w:textAlignment w:val="auto"/>
        <w:outlineLvl w:val="2"/>
        <w:rPr>
          <w:rStyle w:val="26"/>
          <w:rFonts w:hint="eastAsia" w:ascii="宋体" w:hAnsi="宋体" w:cs="宋体"/>
          <w:color w:val="auto"/>
          <w:sz w:val="21"/>
          <w:szCs w:val="21"/>
          <w:highlight w:val="none"/>
          <w:lang w:eastAsia="zh-CN"/>
        </w:rPr>
      </w:pPr>
    </w:p>
    <w:p w14:paraId="199C9723">
      <w:pPr>
        <w:pageBreakBefore w:val="0"/>
        <w:widowControl w:val="0"/>
        <w:kinsoku/>
        <w:wordWrap/>
        <w:overflowPunct/>
        <w:topLinePunct w:val="0"/>
        <w:bidi w:val="0"/>
        <w:spacing w:line="440" w:lineRule="exact"/>
        <w:ind w:firstLine="422" w:firstLineChars="200"/>
        <w:textAlignment w:val="auto"/>
        <w:outlineLvl w:val="2"/>
        <w:rPr>
          <w:rStyle w:val="26"/>
          <w:rFonts w:hint="eastAsia" w:ascii="宋体" w:hAnsi="宋体" w:cs="宋体"/>
          <w:color w:val="auto"/>
          <w:sz w:val="21"/>
          <w:szCs w:val="21"/>
          <w:highlight w:val="none"/>
          <w:lang w:eastAsia="zh-CN"/>
        </w:rPr>
      </w:pPr>
    </w:p>
    <w:p w14:paraId="6DA3037E">
      <w:pPr>
        <w:pStyle w:val="12"/>
        <w:snapToGrid w:val="0"/>
        <w:rPr>
          <w:rFonts w:hint="eastAsia" w:hAnsi="宋体"/>
          <w:b/>
          <w:color w:val="auto"/>
          <w:sz w:val="24"/>
          <w:szCs w:val="24"/>
          <w:highlight w:val="none"/>
        </w:rPr>
      </w:pPr>
    </w:p>
    <w:p w14:paraId="3BD5046E">
      <w:pPr>
        <w:pStyle w:val="12"/>
        <w:snapToGrid w:val="0"/>
        <w:rPr>
          <w:rFonts w:hint="eastAsia" w:hAnsi="宋体"/>
          <w:b/>
          <w:color w:val="auto"/>
          <w:sz w:val="24"/>
          <w:szCs w:val="24"/>
          <w:highlight w:val="none"/>
        </w:rPr>
      </w:pPr>
    </w:p>
    <w:p w14:paraId="1AAE173B">
      <w:pPr>
        <w:pStyle w:val="12"/>
        <w:snapToGrid w:val="0"/>
        <w:rPr>
          <w:rFonts w:hint="eastAsia" w:hAnsi="宋体"/>
          <w:b/>
          <w:color w:val="auto"/>
          <w:sz w:val="24"/>
          <w:szCs w:val="24"/>
          <w:highlight w:val="none"/>
        </w:rPr>
      </w:pPr>
    </w:p>
    <w:p w14:paraId="2847ED75">
      <w:pPr>
        <w:pStyle w:val="12"/>
        <w:snapToGrid w:val="0"/>
        <w:rPr>
          <w:rFonts w:hint="eastAsia" w:hAnsi="宋体"/>
          <w:b/>
          <w:color w:val="auto"/>
          <w:sz w:val="24"/>
          <w:szCs w:val="24"/>
          <w:highlight w:val="none"/>
        </w:rPr>
      </w:pPr>
    </w:p>
    <w:p w14:paraId="6F9B4AF5">
      <w:pPr>
        <w:pStyle w:val="12"/>
        <w:snapToGrid w:val="0"/>
        <w:rPr>
          <w:rFonts w:hint="eastAsia" w:hAnsi="宋体"/>
          <w:b/>
          <w:color w:val="auto"/>
          <w:sz w:val="24"/>
          <w:szCs w:val="24"/>
          <w:highlight w:val="none"/>
        </w:rPr>
      </w:pPr>
    </w:p>
    <w:p w14:paraId="049D7285">
      <w:pPr>
        <w:pStyle w:val="12"/>
        <w:snapToGrid w:val="0"/>
        <w:rPr>
          <w:rFonts w:hint="eastAsia" w:hAnsi="宋体"/>
          <w:b/>
          <w:color w:val="auto"/>
          <w:sz w:val="24"/>
          <w:szCs w:val="24"/>
          <w:highlight w:val="none"/>
        </w:rPr>
      </w:pPr>
    </w:p>
    <w:p w14:paraId="7B9A3DEA">
      <w:pPr>
        <w:pStyle w:val="12"/>
        <w:snapToGrid w:val="0"/>
        <w:rPr>
          <w:rFonts w:hint="eastAsia" w:hAnsi="宋体"/>
          <w:b/>
          <w:color w:val="auto"/>
          <w:sz w:val="24"/>
          <w:szCs w:val="24"/>
          <w:highlight w:val="none"/>
        </w:rPr>
      </w:pPr>
    </w:p>
    <w:p w14:paraId="564C4DB5">
      <w:pPr>
        <w:pStyle w:val="12"/>
        <w:snapToGrid w:val="0"/>
        <w:rPr>
          <w:rFonts w:hint="eastAsia" w:hAnsi="宋体"/>
          <w:b/>
          <w:color w:val="auto"/>
          <w:sz w:val="24"/>
          <w:szCs w:val="24"/>
          <w:highlight w:val="none"/>
        </w:rPr>
      </w:pPr>
    </w:p>
    <w:p w14:paraId="5A3B3B34">
      <w:pPr>
        <w:pStyle w:val="12"/>
        <w:snapToGrid w:val="0"/>
        <w:rPr>
          <w:rFonts w:hint="eastAsia" w:hAnsi="宋体"/>
          <w:b/>
          <w:color w:val="auto"/>
          <w:sz w:val="24"/>
          <w:szCs w:val="24"/>
          <w:highlight w:val="none"/>
        </w:rPr>
      </w:pPr>
    </w:p>
    <w:p w14:paraId="5E0527D5">
      <w:pPr>
        <w:pStyle w:val="12"/>
        <w:snapToGrid w:val="0"/>
        <w:rPr>
          <w:rFonts w:hint="eastAsia" w:hAnsi="宋体"/>
          <w:b/>
          <w:color w:val="auto"/>
          <w:sz w:val="24"/>
          <w:szCs w:val="24"/>
          <w:highlight w:val="none"/>
        </w:rPr>
      </w:pPr>
    </w:p>
    <w:p w14:paraId="09CF4D6E">
      <w:pPr>
        <w:pStyle w:val="12"/>
        <w:snapToGrid w:val="0"/>
        <w:rPr>
          <w:rFonts w:hint="eastAsia" w:hAnsi="宋体"/>
          <w:b/>
          <w:color w:val="auto"/>
          <w:sz w:val="24"/>
          <w:szCs w:val="24"/>
          <w:highlight w:val="none"/>
        </w:rPr>
      </w:pPr>
    </w:p>
    <w:p w14:paraId="7A294FF9">
      <w:pPr>
        <w:pStyle w:val="12"/>
        <w:snapToGrid w:val="0"/>
        <w:rPr>
          <w:rFonts w:hint="eastAsia" w:hAnsi="宋体"/>
          <w:b/>
          <w:color w:val="auto"/>
          <w:sz w:val="24"/>
          <w:szCs w:val="24"/>
          <w:highlight w:val="none"/>
        </w:rPr>
      </w:pPr>
    </w:p>
    <w:p w14:paraId="4B8FA68F">
      <w:pPr>
        <w:pStyle w:val="12"/>
        <w:snapToGrid w:val="0"/>
        <w:rPr>
          <w:rFonts w:hint="eastAsia" w:hAnsi="宋体"/>
          <w:b/>
          <w:color w:val="auto"/>
          <w:sz w:val="24"/>
          <w:szCs w:val="24"/>
          <w:highlight w:val="none"/>
        </w:rPr>
      </w:pPr>
    </w:p>
    <w:p w14:paraId="0A7DA745">
      <w:pPr>
        <w:pStyle w:val="12"/>
        <w:snapToGrid w:val="0"/>
        <w:rPr>
          <w:rFonts w:hint="eastAsia" w:hAnsi="宋体"/>
          <w:b/>
          <w:color w:val="auto"/>
          <w:sz w:val="24"/>
          <w:szCs w:val="24"/>
          <w:highlight w:val="none"/>
        </w:rPr>
      </w:pPr>
    </w:p>
    <w:p w14:paraId="5B21BF45">
      <w:pPr>
        <w:pStyle w:val="12"/>
        <w:snapToGrid w:val="0"/>
        <w:rPr>
          <w:rFonts w:hint="eastAsia" w:hAnsi="宋体"/>
          <w:b/>
          <w:color w:val="auto"/>
          <w:sz w:val="24"/>
          <w:szCs w:val="24"/>
          <w:highlight w:val="none"/>
        </w:rPr>
      </w:pPr>
    </w:p>
    <w:p w14:paraId="5A261BF4">
      <w:pPr>
        <w:pStyle w:val="12"/>
        <w:snapToGrid w:val="0"/>
        <w:rPr>
          <w:rFonts w:hint="eastAsia" w:hAnsi="宋体"/>
          <w:b/>
          <w:color w:val="auto"/>
          <w:sz w:val="24"/>
          <w:szCs w:val="24"/>
          <w:highlight w:val="none"/>
        </w:rPr>
      </w:pPr>
    </w:p>
    <w:p w14:paraId="11446536">
      <w:pPr>
        <w:pStyle w:val="12"/>
        <w:snapToGrid w:val="0"/>
        <w:rPr>
          <w:rFonts w:hint="eastAsia" w:hAnsi="宋体"/>
          <w:b/>
          <w:color w:val="auto"/>
          <w:sz w:val="24"/>
          <w:szCs w:val="24"/>
          <w:highlight w:val="none"/>
        </w:rPr>
      </w:pPr>
    </w:p>
    <w:p w14:paraId="0F74570A">
      <w:pPr>
        <w:pStyle w:val="12"/>
        <w:snapToGrid w:val="0"/>
        <w:rPr>
          <w:rFonts w:hint="eastAsia" w:hAnsi="宋体"/>
          <w:b/>
          <w:color w:val="auto"/>
          <w:sz w:val="24"/>
          <w:szCs w:val="24"/>
          <w:highlight w:val="none"/>
        </w:rPr>
      </w:pPr>
    </w:p>
    <w:p w14:paraId="7E602E53">
      <w:pPr>
        <w:pStyle w:val="12"/>
        <w:snapToGrid w:val="0"/>
        <w:rPr>
          <w:rFonts w:hint="eastAsia" w:hAnsi="宋体"/>
          <w:b/>
          <w:color w:val="auto"/>
          <w:sz w:val="24"/>
          <w:szCs w:val="24"/>
          <w:highlight w:val="none"/>
        </w:rPr>
      </w:pPr>
    </w:p>
    <w:p w14:paraId="36ECE881">
      <w:pPr>
        <w:pStyle w:val="12"/>
        <w:snapToGrid w:val="0"/>
        <w:rPr>
          <w:rFonts w:hint="eastAsia" w:hAnsi="宋体"/>
          <w:b/>
          <w:color w:val="auto"/>
          <w:sz w:val="24"/>
          <w:szCs w:val="24"/>
          <w:highlight w:val="none"/>
        </w:rPr>
      </w:pPr>
    </w:p>
    <w:p w14:paraId="0836E3C4">
      <w:pPr>
        <w:pStyle w:val="12"/>
        <w:snapToGrid w:val="0"/>
        <w:rPr>
          <w:rFonts w:hint="eastAsia" w:hAnsi="宋体"/>
          <w:b/>
          <w:color w:val="auto"/>
          <w:sz w:val="24"/>
          <w:szCs w:val="24"/>
          <w:highlight w:val="none"/>
        </w:rPr>
      </w:pPr>
    </w:p>
    <w:p w14:paraId="232B979D">
      <w:pPr>
        <w:pStyle w:val="12"/>
        <w:snapToGrid w:val="0"/>
        <w:rPr>
          <w:rFonts w:hint="eastAsia" w:hAnsi="宋体"/>
          <w:b/>
          <w:color w:val="auto"/>
          <w:sz w:val="24"/>
          <w:szCs w:val="24"/>
          <w:highlight w:val="none"/>
        </w:rPr>
      </w:pPr>
    </w:p>
    <w:p w14:paraId="4E22CD58">
      <w:pPr>
        <w:pStyle w:val="12"/>
        <w:snapToGrid w:val="0"/>
        <w:rPr>
          <w:rFonts w:hint="eastAsia" w:hAnsi="宋体"/>
          <w:b/>
          <w:color w:val="auto"/>
          <w:sz w:val="24"/>
          <w:szCs w:val="24"/>
          <w:highlight w:val="none"/>
        </w:rPr>
      </w:pPr>
    </w:p>
    <w:p w14:paraId="4B1766EC">
      <w:pPr>
        <w:pStyle w:val="12"/>
        <w:snapToGrid w:val="0"/>
        <w:rPr>
          <w:rFonts w:hint="eastAsia" w:hAnsi="宋体"/>
          <w:b/>
          <w:color w:val="auto"/>
          <w:sz w:val="24"/>
          <w:szCs w:val="24"/>
          <w:highlight w:val="none"/>
        </w:rPr>
      </w:pPr>
    </w:p>
    <w:p w14:paraId="5C94EE84">
      <w:pPr>
        <w:pStyle w:val="12"/>
        <w:snapToGrid w:val="0"/>
        <w:rPr>
          <w:rFonts w:hint="eastAsia" w:hAnsi="宋体"/>
          <w:b/>
          <w:color w:val="auto"/>
          <w:sz w:val="24"/>
          <w:szCs w:val="24"/>
          <w:highlight w:val="none"/>
        </w:rPr>
      </w:pPr>
    </w:p>
    <w:p w14:paraId="171CE88E">
      <w:pPr>
        <w:pStyle w:val="12"/>
        <w:snapToGrid w:val="0"/>
        <w:rPr>
          <w:rFonts w:hint="eastAsia" w:hAnsi="宋体"/>
          <w:b/>
          <w:color w:val="auto"/>
          <w:sz w:val="24"/>
          <w:szCs w:val="24"/>
          <w:highlight w:val="none"/>
        </w:rPr>
      </w:pPr>
    </w:p>
    <w:p w14:paraId="55E0B070">
      <w:pPr>
        <w:pStyle w:val="12"/>
        <w:snapToGrid w:val="0"/>
        <w:rPr>
          <w:rFonts w:hint="eastAsia" w:hAnsi="宋体"/>
          <w:b/>
          <w:color w:val="auto"/>
          <w:sz w:val="24"/>
          <w:szCs w:val="24"/>
          <w:highlight w:val="none"/>
        </w:rPr>
      </w:pPr>
    </w:p>
    <w:p w14:paraId="5AE5CBD2">
      <w:pPr>
        <w:pStyle w:val="12"/>
        <w:snapToGrid w:val="0"/>
        <w:rPr>
          <w:rFonts w:hint="eastAsia" w:hAnsi="宋体"/>
          <w:b/>
          <w:color w:val="auto"/>
          <w:sz w:val="24"/>
          <w:szCs w:val="24"/>
          <w:highlight w:val="none"/>
        </w:rPr>
      </w:pPr>
    </w:p>
    <w:p w14:paraId="669A1632">
      <w:pPr>
        <w:pStyle w:val="12"/>
        <w:snapToGrid w:val="0"/>
        <w:rPr>
          <w:rFonts w:hint="eastAsia" w:hAnsi="宋体"/>
          <w:b/>
          <w:color w:val="auto"/>
          <w:sz w:val="24"/>
          <w:szCs w:val="24"/>
          <w:highlight w:val="none"/>
        </w:rPr>
      </w:pPr>
    </w:p>
    <w:p w14:paraId="00FEE271">
      <w:pPr>
        <w:pStyle w:val="12"/>
        <w:snapToGrid w:val="0"/>
        <w:rPr>
          <w:rFonts w:hint="eastAsia" w:hAnsi="宋体"/>
          <w:b/>
          <w:color w:val="auto"/>
          <w:sz w:val="24"/>
          <w:szCs w:val="24"/>
          <w:highlight w:val="none"/>
        </w:rPr>
      </w:pPr>
    </w:p>
    <w:p w14:paraId="22A6C126">
      <w:pPr>
        <w:pStyle w:val="12"/>
        <w:snapToGrid w:val="0"/>
        <w:rPr>
          <w:rFonts w:hint="eastAsia" w:hAnsi="宋体"/>
          <w:b/>
          <w:color w:val="auto"/>
          <w:sz w:val="24"/>
          <w:szCs w:val="24"/>
          <w:highlight w:val="none"/>
        </w:rPr>
      </w:pPr>
    </w:p>
    <w:p w14:paraId="473ADBCD">
      <w:pPr>
        <w:pStyle w:val="12"/>
        <w:snapToGrid w:val="0"/>
        <w:rPr>
          <w:rFonts w:hint="eastAsia" w:hAnsi="宋体"/>
          <w:b/>
          <w:color w:val="auto"/>
          <w:sz w:val="24"/>
          <w:szCs w:val="24"/>
          <w:highlight w:val="none"/>
        </w:rPr>
      </w:pPr>
    </w:p>
    <w:p w14:paraId="4E8CE0BB">
      <w:pPr>
        <w:pStyle w:val="12"/>
        <w:snapToGrid w:val="0"/>
        <w:rPr>
          <w:rFonts w:hint="eastAsia" w:hAnsi="宋体"/>
          <w:b/>
          <w:color w:val="auto"/>
          <w:sz w:val="24"/>
          <w:szCs w:val="24"/>
          <w:highlight w:val="none"/>
        </w:rPr>
      </w:pPr>
    </w:p>
    <w:p w14:paraId="54CFED20">
      <w:pPr>
        <w:pStyle w:val="12"/>
        <w:snapToGrid w:val="0"/>
        <w:rPr>
          <w:rFonts w:hint="eastAsia" w:hAnsi="宋体"/>
          <w:b/>
          <w:color w:val="auto"/>
          <w:sz w:val="24"/>
          <w:szCs w:val="24"/>
          <w:highlight w:val="none"/>
        </w:rPr>
      </w:pPr>
      <w:r>
        <w:rPr>
          <w:rFonts w:hint="eastAsia" w:hAnsi="宋体"/>
          <w:b/>
          <w:color w:val="auto"/>
          <w:sz w:val="24"/>
          <w:szCs w:val="24"/>
          <w:highlight w:val="none"/>
        </w:rPr>
        <w:t>附表1：</w:t>
      </w:r>
    </w:p>
    <w:p w14:paraId="120B07F3">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515D25FB">
      <w:pPr>
        <w:pStyle w:val="12"/>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7CEBA544">
      <w:pPr>
        <w:pStyle w:val="12"/>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E3F5997">
      <w:pPr>
        <w:pStyle w:val="12"/>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CA0EE42">
      <w:pPr>
        <w:pStyle w:val="12"/>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4A01D112">
      <w:pPr>
        <w:pStyle w:val="12"/>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2E1580C0">
      <w:pPr>
        <w:pStyle w:val="12"/>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F536722">
      <w:pPr>
        <w:pStyle w:val="12"/>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6F77A8A2">
      <w:pPr>
        <w:pStyle w:val="12"/>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6CB0A537">
      <w:pPr>
        <w:pStyle w:val="12"/>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033FAE9E">
      <w:pPr>
        <w:pStyle w:val="12"/>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6768F11A">
      <w:pPr>
        <w:pStyle w:val="12"/>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76139C4">
      <w:pPr>
        <w:pStyle w:val="12"/>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63037E40">
      <w:pPr>
        <w:pStyle w:val="12"/>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28BE875D">
      <w:pPr>
        <w:pStyle w:val="12"/>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409F2F42">
      <w:pPr>
        <w:pStyle w:val="12"/>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15749136">
      <w:pPr>
        <w:pStyle w:val="12"/>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0F959AB4">
      <w:pPr>
        <w:pStyle w:val="12"/>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35F6A41E">
      <w:pPr>
        <w:pStyle w:val="12"/>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7B6195E6">
      <w:pPr>
        <w:pStyle w:val="12"/>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0D660D3D">
      <w:pPr>
        <w:pStyle w:val="12"/>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6D6EB1C8">
      <w:pPr>
        <w:pStyle w:val="12"/>
        <w:spacing w:line="360" w:lineRule="exact"/>
        <w:ind w:left="25" w:leftChars="12" w:firstLine="308" w:firstLineChars="147"/>
        <w:rPr>
          <w:rFonts w:hint="eastAsia" w:hAnsi="宋体"/>
          <w:color w:val="auto"/>
          <w:szCs w:val="21"/>
          <w:highlight w:val="none"/>
        </w:rPr>
      </w:pPr>
    </w:p>
    <w:p w14:paraId="66CF2597">
      <w:pPr>
        <w:pStyle w:val="12"/>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55E69327">
      <w:pPr>
        <w:pStyle w:val="12"/>
        <w:spacing w:line="360" w:lineRule="exact"/>
        <w:ind w:left="25" w:leftChars="12" w:firstLine="308" w:firstLineChars="147"/>
        <w:rPr>
          <w:rFonts w:hint="eastAsia" w:hAnsi="宋体"/>
          <w:color w:val="auto"/>
          <w:szCs w:val="21"/>
          <w:highlight w:val="none"/>
        </w:rPr>
      </w:pPr>
    </w:p>
    <w:p w14:paraId="1C096F7F">
      <w:pPr>
        <w:pStyle w:val="12"/>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47E02A8B">
      <w:pPr>
        <w:pStyle w:val="12"/>
        <w:snapToGrid w:val="0"/>
        <w:spacing w:line="340" w:lineRule="exact"/>
        <w:rPr>
          <w:rFonts w:hint="eastAsia" w:hAnsi="宋体"/>
          <w:b/>
          <w:color w:val="auto"/>
          <w:szCs w:val="21"/>
          <w:highlight w:val="none"/>
        </w:rPr>
      </w:pPr>
    </w:p>
    <w:p w14:paraId="12301253">
      <w:pPr>
        <w:pStyle w:val="12"/>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44D3495E">
      <w:pPr>
        <w:pStyle w:val="12"/>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77FFED8A">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B2D9F6">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73D2C27E">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2CB2CB5D">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41C24153">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1728EA00">
      <w:pPr>
        <w:pStyle w:val="12"/>
        <w:snapToGrid w:val="0"/>
        <w:rPr>
          <w:rFonts w:hint="eastAsia"/>
          <w:b/>
          <w:color w:val="auto"/>
          <w:sz w:val="24"/>
          <w:szCs w:val="24"/>
          <w:highlight w:val="none"/>
        </w:rPr>
      </w:pPr>
    </w:p>
    <w:p w14:paraId="6DE3E985">
      <w:pPr>
        <w:pStyle w:val="12"/>
        <w:snapToGrid w:val="0"/>
        <w:rPr>
          <w:rFonts w:hint="eastAsia"/>
          <w:b/>
          <w:color w:val="auto"/>
          <w:sz w:val="24"/>
          <w:szCs w:val="24"/>
          <w:highlight w:val="none"/>
        </w:rPr>
      </w:pPr>
    </w:p>
    <w:p w14:paraId="2B10AECD">
      <w:pPr>
        <w:pStyle w:val="12"/>
        <w:snapToGrid w:val="0"/>
        <w:rPr>
          <w:rFonts w:hint="eastAsia" w:hAnsi="宋体"/>
          <w:b/>
          <w:color w:val="auto"/>
          <w:sz w:val="24"/>
          <w:szCs w:val="24"/>
          <w:highlight w:val="none"/>
        </w:rPr>
      </w:pPr>
      <w:r>
        <w:rPr>
          <w:rFonts w:hint="eastAsia"/>
          <w:b/>
          <w:color w:val="auto"/>
          <w:sz w:val="24"/>
          <w:szCs w:val="24"/>
          <w:highlight w:val="none"/>
        </w:rPr>
        <w:t>附表2：</w:t>
      </w:r>
    </w:p>
    <w:p w14:paraId="53DBEF7A">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001CB0FC">
      <w:pPr>
        <w:pStyle w:val="12"/>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123B42A0">
      <w:pPr>
        <w:pStyle w:val="12"/>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692A10C0">
      <w:pPr>
        <w:pStyle w:val="12"/>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06814CE">
      <w:pPr>
        <w:pStyle w:val="12"/>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75E11B6A">
      <w:pPr>
        <w:pStyle w:val="12"/>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08E3D662">
      <w:pPr>
        <w:pStyle w:val="12"/>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9FD357C">
      <w:pPr>
        <w:pStyle w:val="12"/>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8233D38">
      <w:pPr>
        <w:pStyle w:val="12"/>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03AC5033">
      <w:pPr>
        <w:pStyle w:val="12"/>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029B0BF">
      <w:pPr>
        <w:pStyle w:val="12"/>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53FD09C5">
      <w:pPr>
        <w:pStyle w:val="12"/>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F5B951E">
      <w:pPr>
        <w:pStyle w:val="12"/>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635C12D">
      <w:pPr>
        <w:pStyle w:val="12"/>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08B180A6">
      <w:pPr>
        <w:pStyle w:val="12"/>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6BD236D">
      <w:pPr>
        <w:pStyle w:val="12"/>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80D433">
      <w:pPr>
        <w:pStyle w:val="12"/>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3F42AE9A">
      <w:pPr>
        <w:pStyle w:val="12"/>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3C2E2F18">
      <w:pPr>
        <w:pStyle w:val="12"/>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03FF651B">
      <w:pPr>
        <w:pStyle w:val="12"/>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521B8D35">
      <w:pPr>
        <w:pStyle w:val="12"/>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224A59B2">
      <w:pPr>
        <w:pStyle w:val="12"/>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7C60DDFF">
      <w:pPr>
        <w:pStyle w:val="12"/>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42CC951D">
      <w:pPr>
        <w:pStyle w:val="12"/>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31F62DA1">
      <w:pPr>
        <w:pStyle w:val="12"/>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75174C32">
      <w:pPr>
        <w:pStyle w:val="12"/>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5ECF62DB">
      <w:pPr>
        <w:pStyle w:val="12"/>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B9DC1D">
      <w:pPr>
        <w:pStyle w:val="12"/>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13CAAF30">
      <w:pPr>
        <w:pStyle w:val="12"/>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39C47CE7">
      <w:pPr>
        <w:pStyle w:val="12"/>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2EA0FE6C">
      <w:pPr>
        <w:pStyle w:val="12"/>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3A7E3325">
      <w:pPr>
        <w:pStyle w:val="12"/>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u w:val="single"/>
        </w:rPr>
        <w:t xml:space="preserve">                                                                           </w:t>
      </w:r>
    </w:p>
    <w:p w14:paraId="52115A86">
      <w:pPr>
        <w:pStyle w:val="12"/>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1CFCFB80">
      <w:pPr>
        <w:pStyle w:val="12"/>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509CB5E1">
      <w:pPr>
        <w:pStyle w:val="12"/>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79325614">
      <w:pPr>
        <w:pStyle w:val="12"/>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3AE5892E">
      <w:pPr>
        <w:pStyle w:val="12"/>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18AC6492">
      <w:pPr>
        <w:pStyle w:val="12"/>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9786F3B">
      <w:pPr>
        <w:pStyle w:val="12"/>
        <w:spacing w:line="400" w:lineRule="exact"/>
        <w:ind w:left="25" w:leftChars="12" w:firstLine="308" w:firstLineChars="147"/>
        <w:rPr>
          <w:rFonts w:hint="eastAsia" w:hAnsi="宋体"/>
          <w:color w:val="auto"/>
          <w:szCs w:val="21"/>
          <w:highlight w:val="none"/>
        </w:rPr>
      </w:pPr>
    </w:p>
    <w:p w14:paraId="4B9DC093">
      <w:pPr>
        <w:pStyle w:val="12"/>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5F717D1A">
      <w:pPr>
        <w:pStyle w:val="12"/>
        <w:spacing w:line="400" w:lineRule="exact"/>
        <w:ind w:left="25" w:leftChars="12" w:firstLine="308" w:firstLineChars="147"/>
        <w:rPr>
          <w:rFonts w:hint="eastAsia" w:hAnsi="宋体"/>
          <w:color w:val="auto"/>
          <w:szCs w:val="21"/>
          <w:highlight w:val="none"/>
        </w:rPr>
      </w:pPr>
    </w:p>
    <w:p w14:paraId="69D809AE">
      <w:pPr>
        <w:pStyle w:val="12"/>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D027B0C">
      <w:pPr>
        <w:pStyle w:val="12"/>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2859F765">
      <w:pPr>
        <w:pStyle w:val="12"/>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35CF11D5">
      <w:pPr>
        <w:pStyle w:val="12"/>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78272A3D">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10DAA75">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58BEE8FE">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4203D5E">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15281EC1">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25E44A61">
      <w:pPr>
        <w:pStyle w:val="12"/>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38FD7A35">
      <w:pPr>
        <w:tabs>
          <w:tab w:val="center" w:pos="4410"/>
          <w:tab w:val="left" w:pos="6735"/>
        </w:tabs>
        <w:spacing w:line="480" w:lineRule="auto"/>
        <w:jc w:val="center"/>
        <w:rPr>
          <w:rFonts w:hint="eastAsia" w:ascii="宋体" w:hAnsi="宋体" w:cs="宋体"/>
          <w:b/>
          <w:color w:val="auto"/>
          <w:sz w:val="32"/>
          <w:szCs w:val="32"/>
          <w:highlight w:val="none"/>
        </w:rPr>
      </w:pPr>
    </w:p>
    <w:p w14:paraId="3304629D">
      <w:pPr>
        <w:tabs>
          <w:tab w:val="center" w:pos="4410"/>
          <w:tab w:val="left" w:pos="6735"/>
        </w:tabs>
        <w:spacing w:line="480" w:lineRule="auto"/>
        <w:jc w:val="center"/>
        <w:rPr>
          <w:rFonts w:hint="eastAsia" w:ascii="宋体" w:hAnsi="宋体" w:cs="宋体"/>
          <w:b/>
          <w:color w:val="auto"/>
          <w:sz w:val="32"/>
          <w:szCs w:val="32"/>
          <w:highlight w:val="none"/>
        </w:rPr>
      </w:pPr>
    </w:p>
    <w:p w14:paraId="77749D10">
      <w:pPr>
        <w:tabs>
          <w:tab w:val="center" w:pos="4410"/>
          <w:tab w:val="left" w:pos="6735"/>
        </w:tabs>
        <w:spacing w:line="480" w:lineRule="auto"/>
        <w:jc w:val="center"/>
        <w:rPr>
          <w:rFonts w:hint="eastAsia" w:ascii="宋体" w:hAnsi="宋体" w:cs="宋体"/>
          <w:b/>
          <w:color w:val="auto"/>
          <w:sz w:val="32"/>
          <w:szCs w:val="32"/>
          <w:highlight w:val="none"/>
        </w:rPr>
      </w:pPr>
    </w:p>
    <w:p w14:paraId="03323BBB">
      <w:pPr>
        <w:tabs>
          <w:tab w:val="center" w:pos="4410"/>
          <w:tab w:val="left" w:pos="6735"/>
        </w:tabs>
        <w:spacing w:line="480" w:lineRule="auto"/>
        <w:jc w:val="center"/>
        <w:rPr>
          <w:rFonts w:hint="eastAsia" w:ascii="宋体" w:hAnsi="宋体" w:cs="宋体"/>
          <w:b/>
          <w:color w:val="auto"/>
          <w:sz w:val="32"/>
          <w:szCs w:val="32"/>
          <w:highlight w:val="none"/>
        </w:rPr>
      </w:pPr>
    </w:p>
    <w:p w14:paraId="4DB6DB09">
      <w:pPr>
        <w:tabs>
          <w:tab w:val="center" w:pos="4410"/>
          <w:tab w:val="left" w:pos="6735"/>
        </w:tabs>
        <w:spacing w:line="480" w:lineRule="auto"/>
        <w:jc w:val="center"/>
        <w:rPr>
          <w:rFonts w:hint="eastAsia" w:ascii="宋体" w:hAnsi="宋体" w:cs="宋体"/>
          <w:b/>
          <w:color w:val="auto"/>
          <w:sz w:val="32"/>
          <w:szCs w:val="32"/>
          <w:highlight w:val="none"/>
        </w:rPr>
      </w:pPr>
    </w:p>
    <w:p w14:paraId="6ECBBDC1">
      <w:pPr>
        <w:tabs>
          <w:tab w:val="center" w:pos="4410"/>
          <w:tab w:val="left" w:pos="6735"/>
        </w:tabs>
        <w:spacing w:line="480" w:lineRule="auto"/>
        <w:jc w:val="center"/>
        <w:rPr>
          <w:rFonts w:hint="eastAsia" w:ascii="宋体" w:hAnsi="宋体" w:cs="宋体"/>
          <w:b/>
          <w:color w:val="auto"/>
          <w:sz w:val="32"/>
          <w:szCs w:val="32"/>
          <w:highlight w:val="none"/>
        </w:rPr>
      </w:pPr>
    </w:p>
    <w:p w14:paraId="17AB7D9B">
      <w:pPr>
        <w:tabs>
          <w:tab w:val="center" w:pos="4410"/>
          <w:tab w:val="left" w:pos="6735"/>
        </w:tabs>
        <w:spacing w:line="480" w:lineRule="auto"/>
        <w:jc w:val="center"/>
        <w:rPr>
          <w:rFonts w:hint="eastAsia" w:ascii="宋体" w:hAnsi="宋体" w:cs="宋体"/>
          <w:b/>
          <w:color w:val="auto"/>
          <w:sz w:val="32"/>
          <w:szCs w:val="32"/>
          <w:highlight w:val="none"/>
        </w:rPr>
      </w:pPr>
    </w:p>
    <w:p w14:paraId="4EB6B548">
      <w:pPr>
        <w:tabs>
          <w:tab w:val="center" w:pos="4410"/>
          <w:tab w:val="left" w:pos="6735"/>
        </w:tabs>
        <w:spacing w:line="480" w:lineRule="auto"/>
        <w:jc w:val="center"/>
        <w:rPr>
          <w:rFonts w:hint="eastAsia" w:ascii="宋体" w:hAnsi="宋体" w:cs="宋体"/>
          <w:b/>
          <w:color w:val="auto"/>
          <w:sz w:val="32"/>
          <w:szCs w:val="32"/>
          <w:highlight w:val="none"/>
        </w:rPr>
      </w:pPr>
    </w:p>
    <w:p w14:paraId="29BC56E2">
      <w:pPr>
        <w:tabs>
          <w:tab w:val="center" w:pos="4410"/>
          <w:tab w:val="left" w:pos="6735"/>
        </w:tabs>
        <w:spacing w:line="480" w:lineRule="auto"/>
        <w:jc w:val="both"/>
        <w:rPr>
          <w:rFonts w:hint="eastAsia" w:ascii="宋体" w:hAnsi="宋体" w:cs="宋体"/>
          <w:b/>
          <w:color w:val="auto"/>
          <w:sz w:val="32"/>
          <w:szCs w:val="32"/>
          <w:highlight w:val="none"/>
        </w:rPr>
      </w:pPr>
    </w:p>
    <w:p w14:paraId="42D8F8A2">
      <w:pPr>
        <w:widowControl/>
        <w:shd w:val="clear" w:color="auto"/>
        <w:spacing w:line="480" w:lineRule="atLeast"/>
        <w:rPr>
          <w:rFonts w:hAnsi="宋体"/>
          <w:b/>
          <w:bCs/>
          <w:color w:val="auto"/>
          <w:sz w:val="24"/>
          <w:highlight w:val="none"/>
          <w:shd w:val="clear" w:color="auto" w:fill="auto"/>
        </w:rPr>
      </w:pPr>
      <w:r>
        <w:rPr>
          <w:rFonts w:hint="eastAsia" w:hAnsi="宋体"/>
          <w:b/>
          <w:bCs/>
          <w:color w:val="auto"/>
          <w:sz w:val="24"/>
          <w:highlight w:val="none"/>
          <w:shd w:val="clear" w:color="auto" w:fill="auto"/>
        </w:rPr>
        <w:t>附表</w:t>
      </w:r>
      <w:r>
        <w:rPr>
          <w:rFonts w:hAnsi="宋体"/>
          <w:b/>
          <w:bCs/>
          <w:color w:val="auto"/>
          <w:sz w:val="24"/>
          <w:highlight w:val="none"/>
          <w:shd w:val="clear" w:color="auto" w:fill="auto"/>
        </w:rPr>
        <w:t>3:</w:t>
      </w:r>
    </w:p>
    <w:p w14:paraId="5C2A734E">
      <w:pPr>
        <w:widowControl/>
        <w:shd w:val="clear" w:color="auto"/>
        <w:spacing w:line="480" w:lineRule="atLeast"/>
        <w:jc w:val="center"/>
        <w:rPr>
          <w:rFonts w:hint="eastAsia" w:ascii="宋体" w:hAnsi="宋体" w:cs="黑体"/>
          <w:b/>
          <w:color w:val="auto"/>
          <w:kern w:val="0"/>
          <w:sz w:val="32"/>
          <w:szCs w:val="32"/>
          <w:highlight w:val="none"/>
          <w:shd w:val="clear" w:color="auto" w:fill="auto"/>
        </w:rPr>
      </w:pPr>
      <w:r>
        <w:rPr>
          <w:rFonts w:hint="eastAsia" w:ascii="宋体" w:hAnsi="宋体" w:cs="黑体"/>
          <w:b/>
          <w:color w:val="auto"/>
          <w:kern w:val="0"/>
          <w:sz w:val="32"/>
          <w:szCs w:val="32"/>
          <w:highlight w:val="none"/>
          <w:shd w:val="clear" w:color="auto" w:fill="auto"/>
        </w:rPr>
        <w:t>政府采购项目合同验收报告（格式）</w:t>
      </w:r>
    </w:p>
    <w:p w14:paraId="43025CD7">
      <w:pPr>
        <w:pStyle w:val="11"/>
        <w:rPr>
          <w:color w:val="auto"/>
          <w:highlight w:val="none"/>
        </w:rPr>
      </w:pPr>
    </w:p>
    <w:p w14:paraId="5C280B3A">
      <w:pPr>
        <w:widowControl/>
        <w:spacing w:line="460" w:lineRule="exact"/>
        <w:ind w:firstLine="482" w:firstLineChars="0"/>
        <w:jc w:val="left"/>
        <w:rPr>
          <w:rFonts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w:t>
      </w:r>
      <w:r>
        <w:rPr>
          <w:rFonts w:ascii="宋体" w:hAnsi="宋体"/>
          <w:color w:val="auto"/>
          <w:kern w:val="0"/>
          <w:szCs w:val="24"/>
          <w:highlight w:val="none"/>
        </w:rPr>
        <w:t> </w:t>
      </w:r>
      <w:r>
        <w:rPr>
          <w:rFonts w:hint="eastAsia" w:ascii="宋体" w:hAnsi="宋体" w:cs="仿宋"/>
          <w:color w:val="auto"/>
          <w:kern w:val="0"/>
          <w:szCs w:val="24"/>
          <w:highlight w:val="none"/>
        </w:rPr>
        <w:t>提供的货物进行了验收，验收情况如下：</w:t>
      </w:r>
    </w:p>
    <w:tbl>
      <w:tblPr>
        <w:tblStyle w:val="20"/>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3B9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1C5D8DBB">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noWrap w:val="0"/>
            <w:vAlign w:val="center"/>
          </w:tcPr>
          <w:p w14:paraId="521B71C8">
            <w:pPr>
              <w:widowControl/>
              <w:spacing w:line="320" w:lineRule="atLeast"/>
              <w:ind w:firstLine="480" w:firstLineChars="0"/>
              <w:jc w:val="center"/>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36DF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79F73A51">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noWrap w:val="0"/>
            <w:vAlign w:val="center"/>
          </w:tcPr>
          <w:p w14:paraId="3CF25945">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noWrap w:val="0"/>
            <w:vAlign w:val="center"/>
          </w:tcPr>
          <w:p w14:paraId="576B5518">
            <w:pPr>
              <w:widowControl/>
              <w:spacing w:line="320" w:lineRule="atLeast"/>
              <w:ind w:firstLine="2" w:firstLineChars="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货物型号规格、标准及配置等</w:t>
            </w:r>
          </w:p>
          <w:p w14:paraId="01E526BA">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（或服务内容、标准）</w:t>
            </w:r>
          </w:p>
        </w:tc>
        <w:tc>
          <w:tcPr>
            <w:tcW w:w="998" w:type="dxa"/>
            <w:gridSpan w:val="2"/>
            <w:noWrap w:val="0"/>
            <w:vAlign w:val="center"/>
          </w:tcPr>
          <w:p w14:paraId="1219B388">
            <w:pPr>
              <w:widowControl/>
              <w:spacing w:line="320" w:lineRule="atLeast"/>
              <w:ind w:firstLine="0"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noWrap w:val="0"/>
            <w:vAlign w:val="center"/>
          </w:tcPr>
          <w:p w14:paraId="3DA35BC3">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71CE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03D2FE88">
            <w:pPr>
              <w:widowControl/>
              <w:spacing w:line="320" w:lineRule="atLeast"/>
              <w:ind w:firstLine="5"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04F8324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276F5F48">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133CF68E">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76AD0495">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222D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4C9BD838">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64A228A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39468750">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06A187A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2C2689E7">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0C42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82AB26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487CFAFC">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0786BC8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5B4C522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180AC76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30EF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216281FE">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noWrap w:val="0"/>
            <w:vAlign w:val="center"/>
          </w:tcPr>
          <w:p w14:paraId="0A2E185C">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68AA4F22">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8B7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2E32368E">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5568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2EDD2E3B">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实际供货日期</w:t>
            </w:r>
          </w:p>
        </w:tc>
        <w:tc>
          <w:tcPr>
            <w:tcW w:w="3240" w:type="dxa"/>
            <w:gridSpan w:val="2"/>
            <w:noWrap w:val="0"/>
            <w:vAlign w:val="center"/>
          </w:tcPr>
          <w:p w14:paraId="54C9101E">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57BE4730">
            <w:pPr>
              <w:widowControl/>
              <w:spacing w:line="320" w:lineRule="atLeast"/>
              <w:ind w:firstLine="46"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合同交货验收日期</w:t>
            </w:r>
          </w:p>
        </w:tc>
        <w:tc>
          <w:tcPr>
            <w:tcW w:w="2160" w:type="dxa"/>
            <w:gridSpan w:val="2"/>
            <w:noWrap w:val="0"/>
            <w:vAlign w:val="center"/>
          </w:tcPr>
          <w:p w14:paraId="13357D9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A3C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387B82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240" w:type="dxa"/>
            <w:gridSpan w:val="2"/>
            <w:noWrap w:val="0"/>
            <w:vAlign w:val="center"/>
          </w:tcPr>
          <w:p w14:paraId="79F4CEB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7EED43AA">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160" w:type="dxa"/>
            <w:gridSpan w:val="2"/>
            <w:noWrap w:val="0"/>
            <w:vAlign w:val="center"/>
          </w:tcPr>
          <w:p w14:paraId="3A892D7C">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2A56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7BA2DA82">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noWrap w:val="0"/>
            <w:tcMar>
              <w:top w:w="0" w:type="dxa"/>
              <w:left w:w="108" w:type="dxa"/>
              <w:bottom w:w="0" w:type="dxa"/>
              <w:right w:w="108" w:type="dxa"/>
            </w:tcMar>
            <w:vAlign w:val="center"/>
          </w:tcPr>
          <w:p w14:paraId="4F4744EE">
            <w:pPr>
              <w:widowControl/>
              <w:spacing w:line="320" w:lineRule="atLeast"/>
              <w:ind w:firstLine="0" w:firstLineChars="0"/>
              <w:jc w:val="left"/>
              <w:rPr>
                <w:rFonts w:ascii="宋体" w:hAnsi="宋体" w:cs="宋体"/>
                <w:color w:val="auto"/>
                <w:kern w:val="0"/>
                <w:sz w:val="21"/>
                <w:szCs w:val="24"/>
                <w:highlight w:val="none"/>
              </w:rPr>
            </w:pPr>
            <w:r>
              <w:rPr>
                <w:rFonts w:hint="eastAsia" w:ascii="宋体" w:hAnsi="宋体" w:cs="宋体"/>
                <w:color w:val="auto"/>
                <w:kern w:val="0"/>
                <w:sz w:val="21"/>
                <w:szCs w:val="24"/>
                <w:highlight w:val="none"/>
              </w:rPr>
              <w:t>（应按采购合同、采购文件、响应文件及验收方案等进行验收。可附件</w:t>
            </w:r>
            <w:r>
              <w:rPr>
                <w:rFonts w:ascii="宋体" w:hAnsi="宋体" w:cs="宋体"/>
                <w:color w:val="auto"/>
                <w:kern w:val="0"/>
                <w:sz w:val="21"/>
                <w:szCs w:val="24"/>
                <w:highlight w:val="none"/>
              </w:rPr>
              <w:t>)</w:t>
            </w:r>
          </w:p>
        </w:tc>
      </w:tr>
      <w:tr w14:paraId="7904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78C4B512">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noWrap w:val="0"/>
            <w:vAlign w:val="center"/>
          </w:tcPr>
          <w:p w14:paraId="537C5CE2">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2F9A910C">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p>
        </w:tc>
      </w:tr>
      <w:tr w14:paraId="7F4C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noWrap w:val="0"/>
            <w:vAlign w:val="center"/>
          </w:tcPr>
          <w:p w14:paraId="69170D5F">
            <w:pPr>
              <w:widowControl/>
              <w:spacing w:line="240" w:lineRule="auto"/>
              <w:ind w:firstLine="0" w:firstLineChars="0"/>
              <w:jc w:val="left"/>
              <w:rPr>
                <w:rFonts w:ascii="宋体"/>
                <w:color w:val="auto"/>
                <w:kern w:val="0"/>
                <w:sz w:val="21"/>
                <w:szCs w:val="24"/>
                <w:highlight w:val="none"/>
              </w:rPr>
            </w:pPr>
          </w:p>
        </w:tc>
        <w:tc>
          <w:tcPr>
            <w:tcW w:w="8100" w:type="dxa"/>
            <w:gridSpan w:val="6"/>
            <w:noWrap w:val="0"/>
            <w:vAlign w:val="center"/>
          </w:tcPr>
          <w:p w14:paraId="4C180D25">
            <w:pPr>
              <w:widowControl/>
              <w:spacing w:line="320" w:lineRule="atLeast"/>
              <w:ind w:firstLine="96"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4A612BA7">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0BB0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7D8ED738">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2A30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0D29997F">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35A26005">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44F4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noWrap w:val="0"/>
            <w:tcMar>
              <w:top w:w="0" w:type="dxa"/>
              <w:left w:w="108" w:type="dxa"/>
              <w:bottom w:w="0" w:type="dxa"/>
              <w:right w:w="108" w:type="dxa"/>
            </w:tcMar>
            <w:vAlign w:val="center"/>
          </w:tcPr>
          <w:p w14:paraId="3FCD509F">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成交供应商负责人签字或盖章：</w:t>
            </w:r>
          </w:p>
          <w:p w14:paraId="375FDA91">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noWrap w:val="0"/>
            <w:vAlign w:val="center"/>
          </w:tcPr>
          <w:p w14:paraId="5E450064">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5BBA7504">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57DC62CA">
      <w:pPr>
        <w:snapToGrid w:val="0"/>
        <w:spacing w:line="340" w:lineRule="exact"/>
        <w:ind w:firstLine="0" w:firstLineChars="0"/>
        <w:rPr>
          <w:rFonts w:hint="eastAsia" w:ascii="宋体" w:hAnsi="宋体" w:cs="宋体"/>
          <w:b/>
          <w:color w:val="auto"/>
          <w:szCs w:val="24"/>
          <w:highlight w:val="none"/>
        </w:rPr>
      </w:pPr>
    </w:p>
    <w:p w14:paraId="6BE0BD40">
      <w:pPr>
        <w:tabs>
          <w:tab w:val="center" w:pos="4410"/>
          <w:tab w:val="left" w:pos="6735"/>
        </w:tabs>
        <w:spacing w:line="480" w:lineRule="auto"/>
        <w:rPr>
          <w:rFonts w:hint="eastAsia" w:ascii="宋体"/>
          <w:b/>
          <w:color w:val="auto"/>
          <w:sz w:val="32"/>
          <w:szCs w:val="32"/>
          <w:highlight w:val="none"/>
        </w:rPr>
      </w:pPr>
    </w:p>
    <w:p w14:paraId="6D4484B6">
      <w:pPr>
        <w:widowControl/>
        <w:spacing w:line="240" w:lineRule="auto"/>
        <w:jc w:val="left"/>
        <w:rPr>
          <w:rFonts w:hint="eastAsia" w:ascii="黑体" w:hAnsi="黑体" w:eastAsia="黑体" w:cs="黑体"/>
          <w:color w:val="auto"/>
          <w:sz w:val="32"/>
          <w:szCs w:val="32"/>
          <w:highlight w:val="none"/>
          <w:lang w:val="zh-CN"/>
        </w:rPr>
      </w:pPr>
    </w:p>
    <w:p w14:paraId="2733D2F0">
      <w:pPr>
        <w:widowControl/>
        <w:spacing w:line="240" w:lineRule="auto"/>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0382C7A5">
      <w:pPr>
        <w:widowControl/>
        <w:spacing w:line="580" w:lineRule="exact"/>
        <w:jc w:val="center"/>
        <w:rPr>
          <w:rFonts w:hint="eastAsia" w:ascii="方正小标宋_GBK" w:eastAsia="方正小标宋_GBK"/>
          <w:color w:val="auto"/>
          <w:sz w:val="44"/>
          <w:szCs w:val="44"/>
          <w:highlight w:val="none"/>
        </w:rPr>
      </w:pPr>
    </w:p>
    <w:p w14:paraId="450FE6C8">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3346BDAC">
      <w:pPr>
        <w:widowControl/>
        <w:spacing w:line="580" w:lineRule="exact"/>
        <w:ind w:firstLine="640" w:firstLineChars="200"/>
        <w:rPr>
          <w:rFonts w:hint="eastAsia" w:eastAsia="仿宋_GB2312"/>
          <w:color w:val="auto"/>
          <w:sz w:val="32"/>
          <w:szCs w:val="32"/>
          <w:highlight w:val="none"/>
        </w:rPr>
      </w:pPr>
    </w:p>
    <w:p w14:paraId="6DCBCE03">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A7DD6CE">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744DCD74">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3BC7DEF">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23"/>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6BDCE9F">
      <w:pPr>
        <w:rPr>
          <w:rFonts w:hAnsi="宋体" w:cs="宋体"/>
          <w:b/>
          <w:bCs/>
          <w:color w:val="auto"/>
          <w:sz w:val="30"/>
          <w:szCs w:val="30"/>
          <w:highlight w:val="none"/>
        </w:rPr>
      </w:pPr>
    </w:p>
    <w:p w14:paraId="622B6D39">
      <w:pPr>
        <w:pStyle w:val="11"/>
        <w:rPr>
          <w:rFonts w:hAnsi="宋体" w:cs="宋体"/>
          <w:b/>
          <w:bCs/>
          <w:color w:val="auto"/>
          <w:sz w:val="30"/>
          <w:szCs w:val="30"/>
          <w:highlight w:val="none"/>
        </w:rPr>
      </w:pPr>
    </w:p>
    <w:p w14:paraId="689430DC">
      <w:pPr>
        <w:pStyle w:val="11"/>
        <w:rPr>
          <w:rFonts w:hAnsi="宋体" w:cs="宋体"/>
          <w:b/>
          <w:bCs/>
          <w:color w:val="auto"/>
          <w:sz w:val="30"/>
          <w:szCs w:val="30"/>
          <w:highlight w:val="none"/>
        </w:rPr>
      </w:pPr>
    </w:p>
    <w:p w14:paraId="55E7805C">
      <w:pPr>
        <w:pStyle w:val="11"/>
        <w:rPr>
          <w:rFonts w:hAnsi="宋体" w:cs="宋体"/>
          <w:b/>
          <w:bCs/>
          <w:color w:val="auto"/>
          <w:sz w:val="30"/>
          <w:szCs w:val="30"/>
          <w:highlight w:val="none"/>
        </w:rPr>
      </w:pPr>
    </w:p>
    <w:p w14:paraId="6BCFD6F9">
      <w:pPr>
        <w:pStyle w:val="11"/>
        <w:rPr>
          <w:rFonts w:hAnsi="宋体" w:cs="宋体"/>
          <w:b/>
          <w:bCs/>
          <w:color w:val="auto"/>
          <w:sz w:val="30"/>
          <w:szCs w:val="30"/>
          <w:highlight w:val="none"/>
        </w:rPr>
      </w:pPr>
    </w:p>
    <w:p w14:paraId="5592E39B">
      <w:pPr>
        <w:pStyle w:val="11"/>
        <w:rPr>
          <w:rFonts w:hAnsi="宋体" w:cs="宋体"/>
          <w:b/>
          <w:bCs/>
          <w:color w:val="auto"/>
          <w:sz w:val="30"/>
          <w:szCs w:val="30"/>
          <w:highlight w:val="none"/>
        </w:rPr>
      </w:pPr>
    </w:p>
    <w:p w14:paraId="35EB4D2A">
      <w:pPr>
        <w:pStyle w:val="11"/>
        <w:ind w:left="0" w:leftChars="0" w:firstLine="0" w:firstLineChars="0"/>
        <w:rPr>
          <w:rFonts w:hAnsi="宋体" w:cs="宋体"/>
          <w:b/>
          <w:bCs/>
          <w:color w:val="auto"/>
          <w:sz w:val="30"/>
          <w:szCs w:val="30"/>
          <w:highlight w:val="none"/>
        </w:rPr>
      </w:pPr>
    </w:p>
    <w:p w14:paraId="00C49E5F">
      <w:pPr>
        <w:spacing w:line="580" w:lineRule="exact"/>
        <w:jc w:val="center"/>
        <w:rPr>
          <w:rFonts w:hint="eastAsia" w:ascii="宋体" w:hAnsi="宋体" w:eastAsia="宋体" w:cs="宋体"/>
          <w:color w:val="auto"/>
          <w:sz w:val="32"/>
          <w:szCs w:val="32"/>
          <w:highlight w:val="none"/>
        </w:rPr>
      </w:pPr>
    </w:p>
    <w:p w14:paraId="6AC591E8">
      <w:pPr>
        <w:numPr>
          <w:ilvl w:val="0"/>
          <w:numId w:val="6"/>
        </w:num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6272"/>
      <w:bookmarkStart w:id="183" w:name="_Toc22630"/>
      <w:bookmarkStart w:id="184" w:name="_Toc28939"/>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6F45C75C">
      <w:pPr>
        <w:widowControl w:val="0"/>
        <w:numPr>
          <w:ilvl w:val="0"/>
          <w:numId w:val="0"/>
        </w:numPr>
        <w:jc w:val="center"/>
        <w:outlineLvl w:val="0"/>
        <w:rPr>
          <w:rFonts w:hint="eastAsia" w:ascii="华文中宋" w:hAnsi="华文中宋" w:eastAsia="华文中宋" w:cs="华文中宋"/>
          <w:b/>
          <w:bCs/>
          <w:color w:val="auto"/>
          <w:kern w:val="2"/>
          <w:sz w:val="32"/>
          <w:szCs w:val="32"/>
          <w:highlight w:val="none"/>
          <w:lang w:val="en-US" w:eastAsia="zh-CN" w:bidi="ar-SA"/>
        </w:rPr>
      </w:pPr>
    </w:p>
    <w:p w14:paraId="0D974E75">
      <w:pPr>
        <w:widowControl w:val="0"/>
        <w:numPr>
          <w:ilvl w:val="0"/>
          <w:numId w:val="0"/>
        </w:numPr>
        <w:jc w:val="center"/>
        <w:outlineLvl w:val="0"/>
        <w:rPr>
          <w:rFonts w:hint="eastAsia" w:ascii="华文中宋" w:hAnsi="华文中宋" w:eastAsia="华文中宋" w:cs="华文中宋"/>
          <w:b/>
          <w:bCs/>
          <w:color w:val="auto"/>
          <w:kern w:val="2"/>
          <w:sz w:val="32"/>
          <w:szCs w:val="32"/>
          <w:highlight w:val="none"/>
          <w:lang w:val="en-US" w:eastAsia="zh-CN" w:bidi="ar-SA"/>
        </w:rPr>
      </w:pPr>
    </w:p>
    <w:p w14:paraId="36CC8904">
      <w:pPr>
        <w:widowControl w:val="0"/>
        <w:numPr>
          <w:ilvl w:val="0"/>
          <w:numId w:val="0"/>
        </w:numPr>
        <w:jc w:val="center"/>
        <w:outlineLvl w:val="0"/>
        <w:rPr>
          <w:rFonts w:hint="eastAsia" w:ascii="华文中宋" w:hAnsi="华文中宋" w:eastAsia="华文中宋" w:cs="华文中宋"/>
          <w:b/>
          <w:bCs/>
          <w:color w:val="auto"/>
          <w:kern w:val="2"/>
          <w:sz w:val="32"/>
          <w:szCs w:val="32"/>
          <w:highlight w:val="none"/>
          <w:lang w:val="en-US" w:eastAsia="zh-CN" w:bidi="ar-SA"/>
        </w:rPr>
      </w:pPr>
    </w:p>
    <w:p w14:paraId="7A508294">
      <w:pPr>
        <w:keepNext w:val="0"/>
        <w:keepLines w:val="0"/>
        <w:pageBreakBefore w:val="0"/>
        <w:tabs>
          <w:tab w:val="left" w:pos="210"/>
        </w:tabs>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24"/>
          <w:szCs w:val="24"/>
          <w:highlight w:val="none"/>
          <w:lang w:val="en-US" w:eastAsia="zh-CN"/>
        </w:rPr>
      </w:pPr>
      <w:bookmarkStart w:id="186" w:name="_Toc29479"/>
      <w:r>
        <w:rPr>
          <w:rFonts w:hint="eastAsia" w:ascii="宋体" w:hAnsi="宋体" w:eastAsia="宋体" w:cs="宋体"/>
          <w:b/>
          <w:bCs/>
          <w:color w:val="auto"/>
          <w:sz w:val="24"/>
          <w:szCs w:val="24"/>
          <w:highlight w:val="none"/>
          <w:lang w:val="en-US" w:eastAsia="zh-CN"/>
        </w:rPr>
        <w:t>工程量清单（另册）</w:t>
      </w:r>
      <w:bookmarkEnd w:id="186"/>
    </w:p>
    <w:p w14:paraId="30F662DB">
      <w:pPr>
        <w:rPr>
          <w:rFonts w:hint="eastAsia"/>
          <w:color w:val="auto"/>
          <w:highlight w:val="none"/>
          <w:lang w:eastAsia="zh-CN"/>
        </w:rPr>
      </w:pPr>
    </w:p>
    <w:p w14:paraId="0A06C15B">
      <w:pPr>
        <w:jc w:val="center"/>
        <w:outlineLvl w:val="0"/>
        <w:rPr>
          <w:rFonts w:hint="eastAsia" w:ascii="华文中宋" w:hAnsi="华文中宋" w:eastAsia="华文中宋" w:cs="华文中宋"/>
          <w:b/>
          <w:bCs/>
          <w:color w:val="auto"/>
          <w:sz w:val="32"/>
          <w:szCs w:val="32"/>
          <w:highlight w:val="none"/>
        </w:rPr>
      </w:pPr>
      <w:bookmarkStart w:id="187" w:name="_Toc26783"/>
      <w:bookmarkStart w:id="188" w:name="_Toc10833"/>
      <w:r>
        <w:rPr>
          <w:rFonts w:hint="eastAsia" w:ascii="华文中宋" w:hAnsi="华文中宋" w:eastAsia="华文中宋" w:cs="华文中宋"/>
          <w:b/>
          <w:bCs/>
          <w:color w:val="auto"/>
          <w:sz w:val="32"/>
          <w:szCs w:val="32"/>
          <w:highlight w:val="none"/>
          <w:lang w:eastAsia="zh-CN"/>
        </w:rPr>
        <w:br w:type="page"/>
      </w:r>
      <w:bookmarkStart w:id="189"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7"/>
      <w:bookmarkEnd w:id="188"/>
      <w:bookmarkEnd w:id="189"/>
    </w:p>
    <w:p w14:paraId="60D5ED92">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3700"/>
      <w:r>
        <w:rPr>
          <w:rFonts w:hint="eastAsia" w:ascii="宋体" w:hAnsi="宋体" w:eastAsia="宋体" w:cs="宋体"/>
          <w:b/>
          <w:bCs/>
          <w:color w:val="auto"/>
          <w:sz w:val="24"/>
          <w:szCs w:val="24"/>
          <w:highlight w:val="none"/>
        </w:rPr>
        <w:t>一、评审依据及方式</w:t>
      </w:r>
      <w:bookmarkEnd w:id="190"/>
    </w:p>
    <w:p w14:paraId="709C1901">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3E9651D1">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1FA0662B">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439F34D5">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1" w:name="_Toc29329"/>
      <w:r>
        <w:rPr>
          <w:rFonts w:hint="eastAsia" w:ascii="宋体" w:hAnsi="宋体" w:eastAsia="宋体" w:cs="宋体"/>
          <w:b/>
          <w:bCs/>
          <w:color w:val="auto"/>
          <w:sz w:val="24"/>
          <w:szCs w:val="24"/>
          <w:highlight w:val="none"/>
        </w:rPr>
        <w:t>二、评审办法</w:t>
      </w:r>
      <w:bookmarkEnd w:id="191"/>
    </w:p>
    <w:p w14:paraId="4D13EEAB">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76250CA7">
      <w:pPr>
        <w:pStyle w:val="1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r>
        <w:rPr>
          <w:rFonts w:hint="eastAsia" w:hAnsi="宋体" w:cs="宋体"/>
          <w:bCs/>
          <w:color w:val="auto"/>
          <w:sz w:val="24"/>
          <w:szCs w:val="24"/>
          <w:highlight w:val="none"/>
          <w:lang w:val="en-US" w:eastAsia="zh-CN"/>
        </w:rPr>
        <w:t>。</w:t>
      </w:r>
    </w:p>
    <w:p w14:paraId="607271D0">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7603441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（1）以进入综合评分环节的最低的最后报价为基准价，基准价报价得分为30分。</w:t>
      </w:r>
    </w:p>
    <w:p w14:paraId="7932A52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（2）供应商磋商报价得分=（磋商基准价/供应商的最后报价）×30分。</w:t>
      </w:r>
    </w:p>
    <w:p w14:paraId="1DF725ED">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0B6AA100">
      <w:pPr>
        <w:pStyle w:val="18"/>
        <w:numPr>
          <w:ilvl w:val="0"/>
          <w:numId w:val="0"/>
        </w:numPr>
        <w:ind w:firstLine="241" w:firstLineChars="100"/>
        <w:rPr>
          <w:rFonts w:hint="eastAsia" w:eastAsia="宋体"/>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总体概述</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4分</w:t>
      </w:r>
      <w:r>
        <w:rPr>
          <w:rFonts w:hint="eastAsia" w:ascii="宋体" w:hAnsi="宋体" w:cs="宋体"/>
          <w:b/>
          <w:bCs/>
          <w:color w:val="auto"/>
          <w:sz w:val="24"/>
          <w:szCs w:val="24"/>
          <w:highlight w:val="none"/>
          <w:lang w:eastAsia="zh-CN"/>
        </w:rPr>
        <w:t>）</w:t>
      </w:r>
    </w:p>
    <w:p w14:paraId="5C1F678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优</w:t>
      </w:r>
      <w:r>
        <w:rPr>
          <w:rFonts w:hint="eastAsia" w:ascii="宋体" w:hAnsi="宋体" w:cs="宋体"/>
          <w:b w:val="0"/>
          <w:bCs/>
          <w:color w:val="auto"/>
          <w:kern w:val="0"/>
          <w:sz w:val="24"/>
          <w:szCs w:val="24"/>
          <w:highlight w:val="none"/>
        </w:rPr>
        <w:t>（4分）</w:t>
      </w:r>
      <w:r>
        <w:rPr>
          <w:rFonts w:hint="eastAsia" w:ascii="宋体" w:hAnsi="宋体" w:cs="宋体"/>
          <w:b w:val="0"/>
          <w:bCs/>
          <w:color w:val="auto"/>
          <w:sz w:val="24"/>
          <w:szCs w:val="24"/>
          <w:highlight w:val="none"/>
        </w:rPr>
        <w:t>：对项目总体有深刻认识，表达清晰、完整、严谨、合理，措施先进、具体、有效、成熟；施工段划分清晰、合理，符合规范要求。</w:t>
      </w:r>
    </w:p>
    <w:p w14:paraId="7D5F2F2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良</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3</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：对项目总体有一定认识，表达清晰、完整，措施具体有效；施工段划分清晰，符合规范要求。</w:t>
      </w:r>
    </w:p>
    <w:p w14:paraId="17FB618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中</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2</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：对项目总体有认识，有一定的措施但部分不具体；施工段划分较合理，符合规范要求。</w:t>
      </w:r>
    </w:p>
    <w:p w14:paraId="081CE9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差</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1</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：对项目认识不足，表达不清晰，措施不具体；施工段划分不合理。</w:t>
      </w:r>
    </w:p>
    <w:p w14:paraId="43038820">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主要施工方法</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10分</w:t>
      </w:r>
      <w:r>
        <w:rPr>
          <w:rFonts w:hint="eastAsia" w:ascii="宋体" w:hAnsi="宋体" w:eastAsia="宋体" w:cs="宋体"/>
          <w:b/>
          <w:bCs/>
          <w:color w:val="auto"/>
          <w:sz w:val="24"/>
          <w:szCs w:val="24"/>
          <w:highlight w:val="none"/>
          <w:lang w:eastAsia="zh-CN"/>
        </w:rPr>
        <w:t>）</w:t>
      </w:r>
    </w:p>
    <w:p w14:paraId="4CFC060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优</w:t>
      </w:r>
      <w:r>
        <w:rPr>
          <w:rFonts w:hint="eastAsia" w:ascii="宋体" w:hAnsi="宋体" w:cs="宋体"/>
          <w:b w:val="0"/>
          <w:bCs/>
          <w:color w:val="auto"/>
          <w:kern w:val="0"/>
          <w:sz w:val="24"/>
          <w:szCs w:val="24"/>
          <w:highlight w:val="none"/>
        </w:rPr>
        <w:t>（10分）</w:t>
      </w:r>
      <w:r>
        <w:rPr>
          <w:rFonts w:hint="eastAsia" w:ascii="宋体" w:hAnsi="宋体" w:cs="宋体"/>
          <w:b w:val="0"/>
          <w:bCs/>
          <w:color w:val="auto"/>
          <w:sz w:val="24"/>
          <w:szCs w:val="24"/>
          <w:highlight w:val="none"/>
        </w:rPr>
        <w:t>：各主要分部施工方法符合项目实际，有详尽的施工技术方案，工艺先进、方法科学合理、可行，能指导具体施工并确保安全</w:t>
      </w:r>
      <w:r>
        <w:rPr>
          <w:rFonts w:hint="eastAsia" w:ascii="宋体" w:hAnsi="宋体" w:cs="宋体"/>
          <w:b w:val="0"/>
          <w:bCs/>
          <w:color w:val="auto"/>
          <w:sz w:val="24"/>
          <w:szCs w:val="24"/>
          <w:highlight w:val="none"/>
          <w:lang w:eastAsia="zh-CN"/>
        </w:rPr>
        <w:t>。</w:t>
      </w:r>
    </w:p>
    <w:p w14:paraId="558142E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良</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8</w:t>
      </w:r>
      <w:r>
        <w:rPr>
          <w:rFonts w:hint="eastAsia" w:ascii="宋体" w:hAnsi="宋体" w:cs="宋体"/>
          <w:b w:val="0"/>
          <w:bCs/>
          <w:color w:val="auto"/>
          <w:kern w:val="0"/>
          <w:sz w:val="24"/>
          <w:szCs w:val="24"/>
          <w:highlight w:val="none"/>
        </w:rPr>
        <w:t>.5分）</w:t>
      </w:r>
      <w:r>
        <w:rPr>
          <w:rFonts w:hint="eastAsia" w:ascii="宋体" w:hAnsi="宋体" w:cs="宋体"/>
          <w:b w:val="0"/>
          <w:bCs/>
          <w:color w:val="auto"/>
          <w:sz w:val="24"/>
          <w:szCs w:val="24"/>
          <w:highlight w:val="none"/>
        </w:rPr>
        <w:t>：各主要分部施工方法符合项目实际，有较详尽的施工技术方案，工艺较好、方法科学合理、可行，能指导具体施工并确保安全</w:t>
      </w:r>
      <w:r>
        <w:rPr>
          <w:rFonts w:hint="eastAsia" w:ascii="宋体" w:hAnsi="宋体" w:cs="宋体"/>
          <w:b w:val="0"/>
          <w:bCs/>
          <w:color w:val="auto"/>
          <w:sz w:val="24"/>
          <w:szCs w:val="24"/>
          <w:highlight w:val="none"/>
          <w:lang w:eastAsia="zh-CN"/>
        </w:rPr>
        <w:t>。</w:t>
      </w:r>
    </w:p>
    <w:p w14:paraId="7B244F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rPr>
        <w:t>中</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6.5</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：各主要分部施工方法能满足项目需求，有施工技术方案，能指导具体施工并确保安全</w:t>
      </w:r>
      <w:r>
        <w:rPr>
          <w:rFonts w:hint="eastAsia" w:ascii="宋体" w:hAnsi="宋体" w:cs="宋体"/>
          <w:b w:val="0"/>
          <w:bCs/>
          <w:color w:val="auto"/>
          <w:sz w:val="24"/>
          <w:szCs w:val="24"/>
          <w:highlight w:val="none"/>
          <w:lang w:eastAsia="zh-CN"/>
        </w:rPr>
        <w:t>。</w:t>
      </w:r>
    </w:p>
    <w:p w14:paraId="2A6D294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szCs w:val="24"/>
          <w:highlight w:val="none"/>
          <w:lang w:eastAsia="zh-CN"/>
        </w:rPr>
      </w:pPr>
      <w:r>
        <w:rPr>
          <w:rFonts w:hint="eastAsia" w:ascii="宋体" w:hAnsi="宋体" w:cs="宋体"/>
          <w:b w:val="0"/>
          <w:bCs/>
          <w:color w:val="auto"/>
          <w:sz w:val="24"/>
          <w:szCs w:val="24"/>
          <w:highlight w:val="none"/>
        </w:rPr>
        <w:t>差</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1</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：各主要分部施工方法不能满足项目需求，没有施工技术方案，不能指导具体施工并确保安全</w:t>
      </w:r>
      <w:r>
        <w:rPr>
          <w:rFonts w:hint="eastAsia" w:ascii="宋体" w:hAnsi="宋体" w:cs="宋体"/>
          <w:b w:val="0"/>
          <w:bCs/>
          <w:color w:val="auto"/>
          <w:sz w:val="24"/>
          <w:szCs w:val="24"/>
          <w:highlight w:val="none"/>
          <w:lang w:eastAsia="zh-CN"/>
        </w:rPr>
        <w:t>。</w:t>
      </w:r>
    </w:p>
    <w:p w14:paraId="2E249D65">
      <w:pPr>
        <w:pStyle w:val="18"/>
        <w:numPr>
          <w:ilvl w:val="0"/>
          <w:numId w:val="0"/>
        </w:numPr>
        <w:ind w:firstLine="241" w:firstLineChars="1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施工进度、施工进度计划和各阶段进度的保证措施</w:t>
      </w:r>
      <w:r>
        <w:rPr>
          <w:rFonts w:hint="eastAsia" w:ascii="宋体" w:hAnsi="宋体" w:cs="宋体"/>
          <w:b/>
          <w:bCs/>
          <w:color w:val="auto"/>
          <w:kern w:val="0"/>
          <w:sz w:val="24"/>
          <w:szCs w:val="24"/>
          <w:highlight w:val="none"/>
        </w:rPr>
        <w:t>（6分）</w:t>
      </w:r>
    </w:p>
    <w:p w14:paraId="23C9FCD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优（6分）：关键线路清晰、准确、完整，计划编制合理、可行，关键节点的控制措施有力、合理、可行。</w:t>
      </w:r>
    </w:p>
    <w:p w14:paraId="065CC98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良（</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分）：关键线路清晰、准确、完整，计划编制可行，关键节点的控制措施合理、可行。</w:t>
      </w:r>
    </w:p>
    <w:p w14:paraId="221C42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中（</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分）：关键线路基本准确，计划编制合理，关键节点的控制措施基本可行。</w:t>
      </w:r>
    </w:p>
    <w:p w14:paraId="0A48996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分）：关键线路不准确，计划编制不合理，关键节点的控制不可行。</w:t>
      </w:r>
    </w:p>
    <w:p w14:paraId="0428111C">
      <w:pPr>
        <w:pStyle w:val="18"/>
        <w:numPr>
          <w:ilvl w:val="0"/>
          <w:numId w:val="0"/>
        </w:numPr>
        <w:ind w:left="0" w:leftChars="0" w:firstLine="241" w:firstLineChars="100"/>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sz w:val="24"/>
          <w:szCs w:val="24"/>
          <w:highlight w:val="none"/>
        </w:rPr>
        <w:t>劳动力和材料投入计划及其保证措施</w:t>
      </w: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分）</w:t>
      </w:r>
    </w:p>
    <w:p w14:paraId="0DA6896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优（</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分）：投入计划与进度计划呼应，较好满足施工需要，调配投入计划合理、准确。</w:t>
      </w:r>
    </w:p>
    <w:p w14:paraId="40F3CE8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良（</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分）：投入计划与进度计划呼应，基本满足施工需要，调配投入计划基本合理、准确。</w:t>
      </w:r>
    </w:p>
    <w:p w14:paraId="464665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中（</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分）：投入计划与进度计划呼应，基本满足施工需要，调配投入计划基本合理。</w:t>
      </w:r>
    </w:p>
    <w:p w14:paraId="5552941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差（</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分）：投入计划与进度计划不呼应，不能满足施工需要。</w:t>
      </w:r>
    </w:p>
    <w:p w14:paraId="347178D1">
      <w:pPr>
        <w:pStyle w:val="18"/>
        <w:numPr>
          <w:ilvl w:val="0"/>
          <w:numId w:val="0"/>
        </w:numPr>
        <w:ind w:left="0" w:leftChars="0" w:firstLine="241" w:firstLineChars="1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szCs w:val="24"/>
          <w:highlight w:val="none"/>
          <w:lang w:val="en-US" w:eastAsia="zh-CN"/>
        </w:rPr>
        <w:t>施工平面布置和临时设施布置（4分）</w:t>
      </w:r>
    </w:p>
    <w:p w14:paraId="5E3C12D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优（</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分）：总体布置有针对性、合理，较好满足施工需要，符合安全、文明生产要求。</w:t>
      </w:r>
    </w:p>
    <w:p w14:paraId="5605E9F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良（</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分）：总体布置合理，能满足施工需要，基本符合安全、文明生产要求。</w:t>
      </w:r>
    </w:p>
    <w:p w14:paraId="23E49B2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中（</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分）：总体布置基本合理，基本满足施工需要。</w:t>
      </w:r>
    </w:p>
    <w:p w14:paraId="008F120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分）：总体布置不合理，不符合安全、文明生产要求。</w:t>
      </w:r>
    </w:p>
    <w:p w14:paraId="3C50B1C3">
      <w:pPr>
        <w:pStyle w:val="19"/>
        <w:numPr>
          <w:ilvl w:val="0"/>
          <w:numId w:val="0"/>
        </w:numPr>
        <w:spacing w:line="360" w:lineRule="auto"/>
        <w:ind w:left="0" w:leftChars="0" w:firstLine="241" w:firstLineChars="1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（6）关键施工技术、工艺及工程实施的重点、难点和解决方案（8分）</w:t>
      </w:r>
    </w:p>
    <w:p w14:paraId="359241C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优（</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分）：对项目关键技术、工艺有深入的表达，对重点、难点有先进合理的施工措施并有可行的安全措施，解决方案完整、经济、安全、切实可行，措施得力。</w:t>
      </w:r>
    </w:p>
    <w:p w14:paraId="4D89B3D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良（</w:t>
      </w:r>
      <w:r>
        <w:rPr>
          <w:rFonts w:hint="eastAsia" w:ascii="宋体" w:hAnsi="宋体" w:eastAsia="宋体" w:cs="宋体"/>
          <w:b w:val="0"/>
          <w:bCs/>
          <w:color w:val="auto"/>
          <w:sz w:val="24"/>
          <w:szCs w:val="24"/>
          <w:highlight w:val="none"/>
          <w:lang w:val="en-US" w:eastAsia="zh-CN"/>
        </w:rPr>
        <w:t>6.5</w:t>
      </w:r>
      <w:r>
        <w:rPr>
          <w:rFonts w:hint="eastAsia" w:ascii="宋体" w:hAnsi="宋体" w:eastAsia="宋体" w:cs="宋体"/>
          <w:b w:val="0"/>
          <w:bCs/>
          <w:color w:val="auto"/>
          <w:sz w:val="24"/>
          <w:szCs w:val="24"/>
          <w:highlight w:val="none"/>
        </w:rPr>
        <w:t>分）：对项目关键技术、工艺有深入的表达，对重点、难点有合理的建议，解决方案经济、安全、基本可行。</w:t>
      </w:r>
    </w:p>
    <w:p w14:paraId="4BA4CDF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中（</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分）：对项目关键技术有一定了解，对重点、难点有建议，解决方案基本可行。</w:t>
      </w:r>
    </w:p>
    <w:p w14:paraId="29C51F2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差（</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分）：对项目关键技术有表述，对重点、难点有建议，解决方案不可行。</w:t>
      </w:r>
    </w:p>
    <w:p w14:paraId="429A9D24">
      <w:pPr>
        <w:pStyle w:val="18"/>
        <w:numPr>
          <w:ilvl w:val="0"/>
          <w:numId w:val="0"/>
        </w:numPr>
        <w:ind w:left="0" w:leftChars="0" w:firstLine="241" w:firstLineChars="1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b/>
          <w:bCs/>
          <w:color w:val="auto"/>
          <w:sz w:val="24"/>
          <w:szCs w:val="24"/>
          <w:highlight w:val="none"/>
          <w:lang w:val="en-US" w:eastAsia="zh-CN"/>
        </w:rPr>
        <w:t>安全文明施工措施（14分）</w:t>
      </w:r>
    </w:p>
    <w:p w14:paraId="600DC28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优</w:t>
      </w:r>
      <w:r>
        <w:rPr>
          <w:rFonts w:hint="eastAsia" w:ascii="宋体" w:hAnsi="宋体" w:cs="宋体"/>
          <w:b w:val="0"/>
          <w:bCs/>
          <w:color w:val="auto"/>
          <w:kern w:val="0"/>
          <w:sz w:val="24"/>
          <w:szCs w:val="24"/>
          <w:highlight w:val="none"/>
        </w:rPr>
        <w:t>（14分）</w:t>
      </w:r>
      <w:r>
        <w:rPr>
          <w:rFonts w:hint="eastAsia" w:ascii="宋体" w:hAnsi="宋体" w:cs="宋体"/>
          <w:b w:val="0"/>
          <w:bCs/>
          <w:color w:val="auto"/>
          <w:sz w:val="24"/>
          <w:szCs w:val="24"/>
          <w:highlight w:val="none"/>
        </w:rPr>
        <w:t>：针对项目实际情况，有先进、具体、完整、可行的实施措施，采用规范正确、清晰。</w:t>
      </w:r>
    </w:p>
    <w:p w14:paraId="15B9D8C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良</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12</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：针对项目实际情况，有合理的措施且具体、完整，采用规范正确。</w:t>
      </w:r>
    </w:p>
    <w:p w14:paraId="17B97B2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中</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8</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：有基本合理的措施，采用规范正确。</w:t>
      </w:r>
    </w:p>
    <w:p w14:paraId="06DE9B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差</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1</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：安全文明措施不得力，采用规范不正确。</w:t>
      </w:r>
    </w:p>
    <w:p w14:paraId="562C6B9B">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（8）质量保证与承诺（10分）</w:t>
      </w:r>
    </w:p>
    <w:p w14:paraId="6DF1A2A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优</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10</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：针对项目实际提出先进、可行、具体的保证措施，超过磋商文件的质量要求及施工验收规范要求。</w:t>
      </w:r>
    </w:p>
    <w:p w14:paraId="2F02ACD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良</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8.5</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：针对项目实际提出先进、可行、具体的保证措施，满足磋商文件的质量要求。</w:t>
      </w:r>
    </w:p>
    <w:p w14:paraId="0A6A43F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中</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6.5</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：具体措施可行，满足磋商文件的质量要求。</w:t>
      </w:r>
    </w:p>
    <w:p w14:paraId="3DCEC772">
      <w:pPr>
        <w:pStyle w:val="1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差</w:t>
      </w:r>
      <w:r>
        <w:rPr>
          <w:rFonts w:hint="eastAsia" w:ascii="宋体" w:hAnsi="宋体" w:cs="宋体"/>
          <w:b w:val="0"/>
          <w:bCs/>
          <w:color w:val="auto"/>
          <w:kern w:val="0"/>
          <w:sz w:val="24"/>
          <w:szCs w:val="24"/>
          <w:highlight w:val="none"/>
        </w:rPr>
        <w:t>（</w:t>
      </w:r>
      <w:r>
        <w:rPr>
          <w:rFonts w:hint="eastAsia" w:hAnsi="宋体" w:cs="宋体"/>
          <w:b w:val="0"/>
          <w:bCs/>
          <w:color w:val="auto"/>
          <w:kern w:val="0"/>
          <w:sz w:val="24"/>
          <w:szCs w:val="24"/>
          <w:highlight w:val="none"/>
          <w:lang w:val="en-US" w:eastAsia="zh-CN"/>
        </w:rPr>
        <w:t>1</w:t>
      </w:r>
      <w:r>
        <w:rPr>
          <w:rFonts w:hint="eastAsia" w:ascii="宋体" w:hAnsi="宋体" w:cs="宋体"/>
          <w:b w:val="0"/>
          <w:bCs/>
          <w:color w:val="auto"/>
          <w:kern w:val="0"/>
          <w:sz w:val="24"/>
          <w:szCs w:val="24"/>
          <w:highlight w:val="none"/>
        </w:rPr>
        <w:t>分）</w:t>
      </w:r>
      <w:r>
        <w:rPr>
          <w:rFonts w:hint="eastAsia" w:ascii="宋体" w:hAnsi="宋体" w:cs="宋体"/>
          <w:b w:val="0"/>
          <w:bCs/>
          <w:color w:val="auto"/>
          <w:sz w:val="24"/>
          <w:szCs w:val="24"/>
          <w:highlight w:val="none"/>
        </w:rPr>
        <w:t>：措施不可行。</w:t>
      </w:r>
    </w:p>
    <w:p w14:paraId="2A80B70E">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业绩</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满分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1230BB1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cs="宋体"/>
          <w:color w:val="auto"/>
          <w:sz w:val="24"/>
          <w:szCs w:val="24"/>
          <w:highlight w:val="none"/>
          <w:lang w:eastAsia="zh-CN"/>
        </w:rPr>
        <w:t>提供</w:t>
      </w:r>
      <w:r>
        <w:rPr>
          <w:rFonts w:hint="eastAsia" w:ascii="宋体" w:hAnsi="宋体" w:cs="宋体"/>
          <w:color w:val="auto"/>
          <w:sz w:val="24"/>
          <w:szCs w:val="24"/>
          <w:highlight w:val="none"/>
          <w:lang w:val="en-US" w:eastAsia="zh-CN"/>
        </w:rPr>
        <w:t>2022年1月1日以来具有同类</w:t>
      </w:r>
      <w:r>
        <w:rPr>
          <w:rFonts w:hint="eastAsia" w:ascii="宋体" w:hAnsi="宋体" w:eastAsia="宋体" w:cs="宋体"/>
          <w:color w:val="auto"/>
          <w:sz w:val="24"/>
          <w:szCs w:val="24"/>
          <w:highlight w:val="none"/>
          <w:lang w:eastAsia="zh-CN"/>
        </w:rPr>
        <w:t>项目业绩，</w:t>
      </w:r>
      <w:r>
        <w:rPr>
          <w:rFonts w:hint="eastAsia" w:ascii="宋体" w:hAnsi="宋体" w:cs="宋体"/>
          <w:b w:val="0"/>
          <w:bCs w:val="0"/>
          <w:color w:val="auto"/>
          <w:sz w:val="24"/>
          <w:szCs w:val="24"/>
          <w:highlight w:val="none"/>
          <w:lang w:val="en-US" w:eastAsia="zh-CN"/>
        </w:rPr>
        <w:t>每个得5分，满分10分（</w:t>
      </w:r>
      <w:r>
        <w:rPr>
          <w:rFonts w:hint="eastAsia" w:ascii="宋体" w:hAnsi="宋体" w:cs="宋体"/>
          <w:color w:val="auto"/>
          <w:sz w:val="24"/>
          <w:szCs w:val="24"/>
          <w:highlight w:val="none"/>
          <w:lang w:val="en-US" w:eastAsia="zh-CN"/>
        </w:rPr>
        <w:t>需提供中标、成交通知书或签订的合同为准，并能清晰反映项目的名称、采购内容、采购金额、采购时间，否则不得分</w:t>
      </w:r>
      <w:r>
        <w:rPr>
          <w:rFonts w:hint="eastAsia" w:ascii="宋体" w:hAnsi="宋体" w:cs="宋体"/>
          <w:b w:val="0"/>
          <w:bCs w:val="0"/>
          <w:color w:val="auto"/>
          <w:sz w:val="24"/>
          <w:szCs w:val="24"/>
          <w:highlight w:val="none"/>
          <w:lang w:val="en-US" w:eastAsia="zh-CN"/>
        </w:rPr>
        <w:t>）。</w:t>
      </w:r>
    </w:p>
    <w:p w14:paraId="0513199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、综合得分＝1+2+3</w:t>
      </w:r>
    </w:p>
    <w:p w14:paraId="36613D90">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2"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2"/>
    </w:p>
    <w:p w14:paraId="6D59C80A">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技术分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F3E50E5">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F4A13A0">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15D8295D">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F3A5B2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p>
    <w:p w14:paraId="6430486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p>
    <w:p w14:paraId="3FDC625B">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p>
    <w:p w14:paraId="7CA22C7C">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bookmarkStart w:id="1224" w:name="_GoBack"/>
      <w:bookmarkEnd w:id="1224"/>
      <w:bookmarkStart w:id="193" w:name="_Toc4774"/>
      <w:bookmarkStart w:id="194" w:name="_Toc8466"/>
    </w:p>
    <w:p w14:paraId="1FD03863">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4115F249">
      <w:pPr>
        <w:pStyle w:val="12"/>
        <w:keepNext w:val="0"/>
        <w:keepLines w:val="0"/>
        <w:pageBreakBefore w:val="0"/>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32E5D84A">
      <w:pPr>
        <w:jc w:val="center"/>
        <w:outlineLvl w:val="0"/>
        <w:rPr>
          <w:rFonts w:hint="eastAsia" w:ascii="华文中宋" w:hAnsi="华文中宋" w:eastAsia="华文中宋" w:cs="华文中宋"/>
          <w:b/>
          <w:bCs/>
          <w:color w:val="auto"/>
          <w:sz w:val="32"/>
          <w:szCs w:val="32"/>
          <w:highlight w:val="none"/>
        </w:rPr>
      </w:pPr>
      <w:bookmarkStart w:id="195" w:name="_Toc25717"/>
      <w:bookmarkStart w:id="196" w:name="_Toc2913"/>
      <w:bookmarkStart w:id="197" w:name="_Toc11185"/>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3"/>
      <w:bookmarkEnd w:id="194"/>
      <w:bookmarkEnd w:id="195"/>
      <w:bookmarkEnd w:id="196"/>
      <w:bookmarkEnd w:id="197"/>
    </w:p>
    <w:p w14:paraId="323F05DF">
      <w:pPr>
        <w:widowControl/>
        <w:spacing w:line="360" w:lineRule="auto"/>
        <w:jc w:val="center"/>
        <w:outlineLvl w:val="1"/>
        <w:rPr>
          <w:rFonts w:ascii="宋体" w:hAnsi="宋体" w:eastAsia="宋体" w:cs="宋体"/>
          <w:color w:val="auto"/>
          <w:kern w:val="0"/>
          <w:sz w:val="32"/>
          <w:szCs w:val="32"/>
          <w:highlight w:val="none"/>
        </w:rPr>
      </w:pPr>
      <w:bookmarkStart w:id="198" w:name="_Toc2559"/>
      <w:bookmarkStart w:id="199" w:name="_Toc29710"/>
      <w:bookmarkStart w:id="200" w:name="_Toc24269"/>
      <w:bookmarkStart w:id="201" w:name="_Toc10014"/>
      <w:r>
        <w:rPr>
          <w:rFonts w:hint="eastAsia" w:ascii="宋体" w:hAnsi="宋体" w:eastAsia="宋体" w:cs="宋体"/>
          <w:color w:val="auto"/>
          <w:kern w:val="0"/>
          <w:sz w:val="32"/>
          <w:szCs w:val="32"/>
          <w:highlight w:val="none"/>
        </w:rPr>
        <w:t>第一部分 合同协议书</w:t>
      </w:r>
      <w:bookmarkEnd w:id="198"/>
      <w:bookmarkEnd w:id="199"/>
    </w:p>
    <w:p w14:paraId="61ABBB60">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阳朔县高田镇人民政府</w:t>
      </w:r>
    </w:p>
    <w:p w14:paraId="7432EDC8">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eastAsia="zh-CN"/>
        </w:rPr>
        <w:t xml:space="preserve">                </w:t>
      </w:r>
    </w:p>
    <w:p w14:paraId="51A4EC65">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阳朔县高田镇体育中心建设项目</w:t>
      </w:r>
      <w:r>
        <w:rPr>
          <w:rFonts w:hint="eastAsia" w:ascii="宋体" w:hAnsi="宋体" w:eastAsia="宋体" w:cs="宋体"/>
          <w:color w:val="auto"/>
          <w:kern w:val="0"/>
          <w:sz w:val="22"/>
          <w:szCs w:val="22"/>
          <w:highlight w:val="none"/>
        </w:rPr>
        <w:t>工程施工及有关事项协商一致，共同达成如下协议：</w:t>
      </w:r>
    </w:p>
    <w:p w14:paraId="0B0223D2">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1F532F92">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阳朔县高田镇体育中心建设项目</w:t>
      </w:r>
      <w:r>
        <w:rPr>
          <w:rFonts w:hint="eastAsia" w:ascii="宋体" w:hAnsi="宋体" w:eastAsia="宋体" w:cs="宋体"/>
          <w:color w:val="auto"/>
          <w:kern w:val="0"/>
          <w:sz w:val="22"/>
          <w:szCs w:val="22"/>
          <w:highlight w:val="none"/>
        </w:rPr>
        <w:t>。</w:t>
      </w:r>
    </w:p>
    <w:p w14:paraId="396E1DC8">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宋体"/>
          <w:color w:val="auto"/>
          <w:kern w:val="0"/>
          <w:sz w:val="22"/>
          <w:szCs w:val="22"/>
          <w:highlight w:val="none"/>
          <w:u w:val="single"/>
          <w:lang w:eastAsia="zh-CN"/>
        </w:rPr>
        <w:t>本项目位于阳朔县高田镇蒙村村委岩碑村</w:t>
      </w:r>
      <w:r>
        <w:rPr>
          <w:rFonts w:hint="eastAsia" w:ascii="宋体" w:hAnsi="宋体" w:eastAsia="宋体" w:cs="宋体"/>
          <w:color w:val="auto"/>
          <w:kern w:val="0"/>
          <w:sz w:val="22"/>
          <w:szCs w:val="22"/>
          <w:highlight w:val="none"/>
        </w:rPr>
        <w:t>。</w:t>
      </w:r>
    </w:p>
    <w:p w14:paraId="30A73643">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590EC58F">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499A8F96">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hint="eastAsia" w:ascii="宋体" w:hAnsi="宋体" w:cs="宋体"/>
          <w:color w:val="auto"/>
          <w:kern w:val="0"/>
          <w:sz w:val="22"/>
          <w:szCs w:val="22"/>
          <w:highlight w:val="none"/>
          <w:lang w:eastAsia="zh-CN"/>
        </w:rPr>
        <w:t>项目总建筑面积15045.73㎡；旧建筑圆形斗牛场改造升级高规格标准篮球场1个，长度为28.20米，宽为15.20米。靠近山体部分设置钢缆防坠网高5m，长约100m。改造翻新旧有观众席，设置排水系统等；平整硬化场外空地面积约8093.90㎡，设置两个篮球场、三个羽毛球场、乒乓球台及康乐健身器材区，设置停车场及照明系统，并进行周边绿化，营造舒适的运动环境，</w:t>
      </w:r>
      <w:r>
        <w:rPr>
          <w:rFonts w:hint="eastAsia" w:ascii="宋体" w:hAnsi="宋体" w:eastAsia="宋体" w:cs="宋体"/>
          <w:color w:val="auto"/>
          <w:kern w:val="0"/>
          <w:sz w:val="22"/>
          <w:szCs w:val="22"/>
          <w:highlight w:val="none"/>
        </w:rPr>
        <w:t>具体内容详见工程量清单及施工图纸</w:t>
      </w:r>
      <w:r>
        <w:rPr>
          <w:rFonts w:ascii="宋体" w:hAnsi="宋体" w:eastAsia="宋体" w:cs="宋体"/>
          <w:color w:val="auto"/>
          <w:kern w:val="0"/>
          <w:sz w:val="22"/>
          <w:szCs w:val="22"/>
          <w:highlight w:val="none"/>
          <w:u w:val="none"/>
        </w:rPr>
        <w:t>。</w:t>
      </w:r>
    </w:p>
    <w:p w14:paraId="74FEC56C">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7EF10AF1">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5C00A9C4">
      <w:pPr>
        <w:widowControl/>
        <w:spacing w:line="360" w:lineRule="auto"/>
        <w:ind w:firstLine="420"/>
        <w:rPr>
          <w:rFonts w:ascii="宋体" w:hAnsi="宋体" w:eastAsia="宋体" w:cs="宋体"/>
          <w:color w:val="auto"/>
          <w:kern w:val="0"/>
          <w:sz w:val="22"/>
          <w:szCs w:val="22"/>
          <w:highlight w:val="none"/>
          <w:u w:val="single"/>
        </w:rPr>
      </w:pPr>
      <w:r>
        <w:rPr>
          <w:rFonts w:hint="eastAsia" w:ascii="宋体" w:hAnsi="宋体" w:cs="宋体"/>
          <w:color w:val="auto"/>
          <w:kern w:val="0"/>
          <w:sz w:val="22"/>
          <w:szCs w:val="22"/>
          <w:highlight w:val="none"/>
          <w:u w:val="single"/>
          <w:lang w:eastAsia="zh-CN"/>
        </w:rPr>
        <w:t>项目总建筑面积15045.73㎡；旧建筑圆形斗牛场改造升级高规格标准篮球场1个，长度为28.20米，宽为15.20米。靠近山体部分设置钢缆防坠网高5m，长约100m。改造翻新旧有观众席，设置排水系统等；平整硬化场外空地面积约8093.90㎡，设置两个篮球场、三个羽毛球场、乒乓球台及康乐健身器材区，设置停车场及照明系统，并进行周边绿化，营造舒适的运动环境，</w:t>
      </w:r>
      <w:r>
        <w:rPr>
          <w:rFonts w:hint="eastAsia" w:ascii="宋体" w:hAnsi="宋体" w:eastAsia="宋体" w:cs="宋体"/>
          <w:color w:val="auto"/>
          <w:kern w:val="0"/>
          <w:sz w:val="22"/>
          <w:szCs w:val="22"/>
          <w:highlight w:val="none"/>
          <w:u w:val="single"/>
        </w:rPr>
        <w:t>具体内容详见工程量清单及施工图纸</w:t>
      </w:r>
      <w:r>
        <w:rPr>
          <w:rFonts w:ascii="宋体" w:hAnsi="宋体" w:eastAsia="宋体" w:cs="宋体"/>
          <w:color w:val="auto"/>
          <w:kern w:val="0"/>
          <w:sz w:val="22"/>
          <w:szCs w:val="22"/>
          <w:highlight w:val="none"/>
          <w:u w:val="single"/>
        </w:rPr>
        <w:t>。</w:t>
      </w:r>
    </w:p>
    <w:p w14:paraId="400BF54A">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40DE4E22">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6C4B1E5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5EB0E69F">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52E3457A">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4480CC2C">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达到国家施工验收规范合格标准</w:t>
      </w:r>
      <w:r>
        <w:rPr>
          <w:rFonts w:ascii="宋体" w:hAnsi="宋体" w:eastAsia="宋体" w:cs="宋体"/>
          <w:color w:val="auto"/>
          <w:kern w:val="0"/>
          <w:sz w:val="22"/>
          <w:szCs w:val="22"/>
          <w:highlight w:val="none"/>
        </w:rPr>
        <w:t>。</w:t>
      </w:r>
    </w:p>
    <w:p w14:paraId="62E124E6">
      <w:pPr>
        <w:widowControl/>
        <w:spacing w:line="360" w:lineRule="auto"/>
        <w:rPr>
          <w:rFonts w:ascii="宋体" w:hAnsi="宋体" w:eastAsia="宋体" w:cs="宋体"/>
          <w:b/>
          <w:color w:val="auto"/>
          <w:kern w:val="0"/>
          <w:sz w:val="22"/>
          <w:szCs w:val="22"/>
          <w:highlight w:val="none"/>
        </w:rPr>
      </w:pPr>
      <w:bookmarkStart w:id="202" w:name="_Toc406419156"/>
      <w:bookmarkStart w:id="203" w:name="_Toc428222875"/>
      <w:bookmarkStart w:id="204" w:name="_Toc406522031"/>
      <w:r>
        <w:rPr>
          <w:rFonts w:hint="eastAsia" w:ascii="宋体" w:hAnsi="宋体" w:eastAsia="宋体" w:cs="宋体"/>
          <w:b/>
          <w:color w:val="auto"/>
          <w:kern w:val="0"/>
          <w:sz w:val="22"/>
          <w:szCs w:val="22"/>
          <w:highlight w:val="none"/>
        </w:rPr>
        <w:t>四、签约合同价与合同价格形式</w:t>
      </w:r>
      <w:bookmarkEnd w:id="202"/>
      <w:bookmarkEnd w:id="203"/>
      <w:bookmarkEnd w:id="204"/>
    </w:p>
    <w:p w14:paraId="6D897824">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439A276C">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1.1工程造价：暂定合同价人民币（大写）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p>
    <w:p w14:paraId="4A098C12">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1.2防尘</w:t>
      </w:r>
      <w:r>
        <w:rPr>
          <w:rFonts w:hint="eastAsia" w:ascii="宋体" w:hAnsi="宋体" w:eastAsia="宋体" w:cs="宋体"/>
          <w:color w:val="auto"/>
          <w:sz w:val="22"/>
          <w:szCs w:val="22"/>
          <w:highlight w:val="none"/>
        </w:rPr>
        <w:t>治理</w:t>
      </w:r>
      <w:r>
        <w:rPr>
          <w:rFonts w:hint="eastAsia" w:ascii="宋体" w:hAnsi="宋体" w:eastAsia="宋体" w:cs="宋体"/>
          <w:color w:val="auto"/>
          <w:kern w:val="0"/>
          <w:sz w:val="22"/>
          <w:szCs w:val="22"/>
          <w:highlight w:val="none"/>
        </w:rPr>
        <w:t>费：根据市住建〔2016〕34号文件《关于市建成区、临桂新区、灵川县范围内建筑工程新增扬尘防治费用的通知》和市住建[2016]156号文件《关于市建成区、临桂新区、灵川县范围内建筑工程新增扬尘防治费用通知的补充说明》计算扬尘防治费。</w:t>
      </w:r>
    </w:p>
    <w:p w14:paraId="1CCD232A">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05ADA116">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3CAF022F">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7B1098E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1F40B5C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298ACA03">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7DE38E9C">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53FCCEA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60A964A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72DF351F">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06A3704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7465CDC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7617D03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3A5028E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62D80EE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1B455CD2">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7F8AC1F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737A9DD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1A6D8C97">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50B7A36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7EBFFDFB">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1C2783F0">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87E69D0">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18B59D23">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6C6CBFED">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3C966C3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阳朔县</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0087BD0E">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2E4A78A4">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15CE474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5CFC4090">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15464DB1">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4D852BA1">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份，均具有同等法律效力，发包人执</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份。</w:t>
      </w:r>
    </w:p>
    <w:p w14:paraId="1625AE23">
      <w:pPr>
        <w:widowControl/>
        <w:snapToGrid w:val="0"/>
        <w:spacing w:line="360" w:lineRule="auto"/>
        <w:ind w:left="6090" w:hanging="6090"/>
        <w:rPr>
          <w:rFonts w:ascii="宋体" w:hAnsi="宋体" w:eastAsia="宋体" w:cs="宋体"/>
          <w:color w:val="auto"/>
          <w:kern w:val="0"/>
          <w:sz w:val="22"/>
          <w:szCs w:val="22"/>
          <w:highlight w:val="none"/>
        </w:rPr>
      </w:pPr>
    </w:p>
    <w:p w14:paraId="0757ACC1">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1AE72D86">
      <w:pPr>
        <w:widowControl/>
        <w:snapToGrid w:val="0"/>
        <w:spacing w:line="360" w:lineRule="auto"/>
        <w:ind w:left="6090" w:hanging="3780"/>
        <w:rPr>
          <w:rFonts w:ascii="宋体" w:hAnsi="宋体" w:eastAsia="宋体" w:cs="宋体"/>
          <w:color w:val="auto"/>
          <w:kern w:val="0"/>
          <w:sz w:val="22"/>
          <w:szCs w:val="22"/>
          <w:highlight w:val="none"/>
        </w:rPr>
      </w:pPr>
    </w:p>
    <w:p w14:paraId="6A8F7E4C">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2EFC53E3">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05" w:name="_Toc351203494"/>
      <w:bookmarkStart w:id="206"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51E40F0F">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761B8E0A">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32BEDA17">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40846378">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77782E46">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1ECD1738">
      <w:pPr>
        <w:widowControl/>
        <w:snapToGrid w:val="0"/>
        <w:spacing w:line="480" w:lineRule="auto"/>
        <w:rPr>
          <w:rFonts w:hint="default" w:ascii="宋体" w:hAnsi="宋体" w:eastAsia="宋体" w:cs="宋体"/>
          <w:color w:val="auto"/>
          <w:kern w:val="0"/>
          <w:sz w:val="22"/>
          <w:szCs w:val="22"/>
          <w:highlight w:val="none"/>
          <w:lang w:val="en-US"/>
        </w:rPr>
      </w:pPr>
      <w:bookmarkStart w:id="207" w:name="_Toc20042"/>
      <w:bookmarkStart w:id="208" w:name="_Toc8797"/>
      <w:bookmarkStart w:id="209" w:name="_Toc3198"/>
      <w:bookmarkStart w:id="210" w:name="_Toc30960"/>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07"/>
      <w:bookmarkEnd w:id="208"/>
      <w:bookmarkEnd w:id="209"/>
      <w:bookmarkEnd w:id="210"/>
      <w:r>
        <w:rPr>
          <w:rFonts w:hint="eastAsia" w:ascii="宋体" w:hAnsi="宋体" w:eastAsia="宋体" w:cs="宋体"/>
          <w:color w:val="auto"/>
          <w:kern w:val="0"/>
          <w:sz w:val="22"/>
          <w:szCs w:val="22"/>
          <w:highlight w:val="none"/>
          <w:u w:val="single"/>
          <w:lang w:val="en-US" w:eastAsia="zh-CN"/>
        </w:rPr>
        <w:t xml:space="preserve">                                         </w:t>
      </w:r>
    </w:p>
    <w:p w14:paraId="2A2FD434">
      <w:pPr>
        <w:widowControl/>
        <w:snapToGrid w:val="0"/>
        <w:spacing w:line="480" w:lineRule="auto"/>
        <w:rPr>
          <w:rFonts w:hint="eastAsia" w:ascii="宋体" w:hAnsi="宋体" w:eastAsia="宋体" w:cs="宋体"/>
          <w:color w:val="auto"/>
          <w:kern w:val="0"/>
          <w:sz w:val="32"/>
          <w:szCs w:val="32"/>
          <w:highlight w:val="none"/>
        </w:rPr>
      </w:pPr>
      <w:bookmarkStart w:id="211" w:name="_Toc21532"/>
      <w:bookmarkStart w:id="212" w:name="_Toc8638"/>
      <w:bookmarkStart w:id="213" w:name="_Toc1362"/>
      <w:bookmarkStart w:id="214" w:name="_Toc4673"/>
      <w:bookmarkStart w:id="215" w:name="_Toc2144"/>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1"/>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32"/>
          <w:szCs w:val="32"/>
          <w:highlight w:val="none"/>
        </w:rPr>
        <w:br w:type="page"/>
      </w:r>
    </w:p>
    <w:bookmarkEnd w:id="205"/>
    <w:bookmarkEnd w:id="206"/>
    <w:p w14:paraId="58A6D8BD">
      <w:pPr>
        <w:pStyle w:val="41"/>
        <w:pageBreakBefore w:val="0"/>
        <w:kinsoku/>
        <w:overflowPunct/>
        <w:bidi w:val="0"/>
        <w:spacing w:line="360" w:lineRule="auto"/>
        <w:jc w:val="center"/>
        <w:outlineLvl w:val="9"/>
        <w:rPr>
          <w:rFonts w:hint="eastAsia" w:ascii="宋体" w:cs="宋体"/>
          <w:color w:val="auto"/>
          <w:sz w:val="32"/>
          <w:highlight w:val="none"/>
        </w:rPr>
      </w:pPr>
      <w:r>
        <w:rPr>
          <w:rFonts w:hint="eastAsia" w:ascii="宋体" w:cs="宋体"/>
          <w:color w:val="auto"/>
          <w:sz w:val="32"/>
          <w:highlight w:val="none"/>
          <w:lang w:val="en-US" w:eastAsia="zh-CN"/>
        </w:rPr>
        <w:t xml:space="preserve">第二部分 </w:t>
      </w:r>
      <w:r>
        <w:rPr>
          <w:rFonts w:hint="eastAsia" w:ascii="宋体" w:cs="宋体"/>
          <w:color w:val="auto"/>
          <w:sz w:val="32"/>
          <w:highlight w:val="none"/>
        </w:rPr>
        <w:t>通用合同条款</w:t>
      </w:r>
    </w:p>
    <w:p w14:paraId="414E393A">
      <w:pPr>
        <w:pStyle w:val="41"/>
        <w:pageBreakBefore w:val="0"/>
        <w:kinsoku/>
        <w:overflowPunct/>
        <w:bidi w:val="0"/>
        <w:spacing w:line="360" w:lineRule="auto"/>
        <w:outlineLvl w:val="9"/>
        <w:rPr>
          <w:rFonts w:hint="eastAsia" w:ascii="宋体" w:cs="宋体"/>
          <w:b/>
          <w:bCs/>
          <w:color w:val="auto"/>
          <w:sz w:val="28"/>
          <w:szCs w:val="28"/>
          <w:highlight w:val="none"/>
        </w:rPr>
      </w:pPr>
    </w:p>
    <w:p w14:paraId="084BE59D">
      <w:pPr>
        <w:pStyle w:val="41"/>
        <w:pageBreakBefore w:val="0"/>
        <w:kinsoku/>
        <w:overflowPunct/>
        <w:bidi w:val="0"/>
        <w:spacing w:line="360" w:lineRule="auto"/>
        <w:ind w:firstLine="440" w:firstLineChars="200"/>
        <w:outlineLvl w:val="9"/>
        <w:rPr>
          <w:rFonts w:hint="eastAsia" w:ascii="宋体" w:cs="宋体"/>
          <w:b w:val="0"/>
          <w:bCs w:val="0"/>
          <w:color w:val="auto"/>
          <w:sz w:val="22"/>
          <w:szCs w:val="22"/>
          <w:highlight w:val="none"/>
        </w:rPr>
      </w:pPr>
      <w:r>
        <w:rPr>
          <w:rFonts w:hint="eastAsia" w:ascii="宋体" w:cs="宋体"/>
          <w:b w:val="0"/>
          <w:bCs w:val="0"/>
          <w:color w:val="auto"/>
          <w:sz w:val="22"/>
          <w:szCs w:val="22"/>
          <w:highlight w:val="none"/>
        </w:rPr>
        <w:t>本工程的施工合同通用条款按国家工商行政管理局和建设部颁布的：《建设工程施工合同（示范文本）》（GF-2017-0201）通用条款执行。</w:t>
      </w:r>
    </w:p>
    <w:p w14:paraId="2CCE6768">
      <w:pPr>
        <w:pStyle w:val="41"/>
        <w:pageBreakBefore w:val="0"/>
        <w:kinsoku/>
        <w:overflowPunct/>
        <w:bidi w:val="0"/>
        <w:spacing w:line="360" w:lineRule="auto"/>
        <w:jc w:val="center"/>
        <w:outlineLvl w:val="9"/>
        <w:rPr>
          <w:rFonts w:hint="eastAsia" w:ascii="宋体" w:cs="宋体"/>
          <w:color w:val="auto"/>
          <w:sz w:val="32"/>
          <w:highlight w:val="none"/>
        </w:rPr>
      </w:pPr>
    </w:p>
    <w:p w14:paraId="22533884">
      <w:pPr>
        <w:pStyle w:val="41"/>
        <w:pageBreakBefore w:val="0"/>
        <w:kinsoku/>
        <w:overflowPunct/>
        <w:bidi w:val="0"/>
        <w:spacing w:line="360" w:lineRule="auto"/>
        <w:jc w:val="center"/>
        <w:outlineLvl w:val="9"/>
        <w:rPr>
          <w:rFonts w:hint="eastAsia" w:ascii="宋体" w:cs="宋体"/>
          <w:color w:val="auto"/>
          <w:sz w:val="32"/>
          <w:highlight w:val="none"/>
        </w:rPr>
      </w:pPr>
    </w:p>
    <w:p w14:paraId="6192FAB3">
      <w:pPr>
        <w:pStyle w:val="41"/>
        <w:pageBreakBefore w:val="0"/>
        <w:kinsoku/>
        <w:overflowPunct/>
        <w:bidi w:val="0"/>
        <w:spacing w:line="360" w:lineRule="auto"/>
        <w:jc w:val="center"/>
        <w:outlineLvl w:val="9"/>
        <w:rPr>
          <w:rFonts w:hint="eastAsia" w:ascii="宋体" w:cs="宋体"/>
          <w:color w:val="auto"/>
          <w:sz w:val="32"/>
          <w:highlight w:val="none"/>
        </w:rPr>
      </w:pPr>
    </w:p>
    <w:p w14:paraId="3C1C9AAA">
      <w:pPr>
        <w:pStyle w:val="41"/>
        <w:pageBreakBefore w:val="0"/>
        <w:kinsoku/>
        <w:overflowPunct/>
        <w:bidi w:val="0"/>
        <w:spacing w:line="360" w:lineRule="auto"/>
        <w:jc w:val="center"/>
        <w:outlineLvl w:val="9"/>
        <w:rPr>
          <w:rFonts w:hint="eastAsia" w:ascii="宋体" w:cs="宋体"/>
          <w:color w:val="auto"/>
          <w:sz w:val="32"/>
          <w:highlight w:val="none"/>
        </w:rPr>
      </w:pPr>
    </w:p>
    <w:p w14:paraId="29105ED0">
      <w:pPr>
        <w:pStyle w:val="41"/>
        <w:pageBreakBefore w:val="0"/>
        <w:kinsoku/>
        <w:overflowPunct/>
        <w:bidi w:val="0"/>
        <w:spacing w:line="360" w:lineRule="auto"/>
        <w:jc w:val="center"/>
        <w:outlineLvl w:val="9"/>
        <w:rPr>
          <w:rFonts w:hint="eastAsia" w:ascii="宋体" w:cs="宋体"/>
          <w:color w:val="auto"/>
          <w:sz w:val="32"/>
          <w:highlight w:val="none"/>
        </w:rPr>
      </w:pPr>
    </w:p>
    <w:p w14:paraId="02ADD2BA">
      <w:pPr>
        <w:pStyle w:val="41"/>
        <w:pageBreakBefore w:val="0"/>
        <w:kinsoku/>
        <w:overflowPunct/>
        <w:bidi w:val="0"/>
        <w:spacing w:line="360" w:lineRule="auto"/>
        <w:jc w:val="center"/>
        <w:outlineLvl w:val="9"/>
        <w:rPr>
          <w:rFonts w:hint="eastAsia" w:ascii="宋体" w:cs="宋体"/>
          <w:color w:val="auto"/>
          <w:sz w:val="32"/>
          <w:highlight w:val="none"/>
        </w:rPr>
      </w:pPr>
    </w:p>
    <w:p w14:paraId="0A0FEA2C">
      <w:pPr>
        <w:pStyle w:val="41"/>
        <w:pageBreakBefore w:val="0"/>
        <w:kinsoku/>
        <w:overflowPunct/>
        <w:bidi w:val="0"/>
        <w:spacing w:line="360" w:lineRule="auto"/>
        <w:jc w:val="center"/>
        <w:outlineLvl w:val="9"/>
        <w:rPr>
          <w:rFonts w:hint="eastAsia" w:ascii="宋体" w:cs="宋体"/>
          <w:color w:val="auto"/>
          <w:sz w:val="32"/>
          <w:highlight w:val="none"/>
        </w:rPr>
      </w:pPr>
    </w:p>
    <w:p w14:paraId="3AA8DE43">
      <w:pPr>
        <w:pStyle w:val="41"/>
        <w:pageBreakBefore w:val="0"/>
        <w:kinsoku/>
        <w:overflowPunct/>
        <w:bidi w:val="0"/>
        <w:spacing w:line="360" w:lineRule="auto"/>
        <w:jc w:val="center"/>
        <w:outlineLvl w:val="9"/>
        <w:rPr>
          <w:rFonts w:hint="eastAsia" w:ascii="宋体" w:cs="宋体"/>
          <w:color w:val="auto"/>
          <w:sz w:val="32"/>
          <w:highlight w:val="none"/>
        </w:rPr>
      </w:pPr>
    </w:p>
    <w:p w14:paraId="5D9CF727">
      <w:pPr>
        <w:pStyle w:val="41"/>
        <w:pageBreakBefore w:val="0"/>
        <w:kinsoku/>
        <w:overflowPunct/>
        <w:bidi w:val="0"/>
        <w:spacing w:line="360" w:lineRule="auto"/>
        <w:jc w:val="center"/>
        <w:outlineLvl w:val="9"/>
        <w:rPr>
          <w:rFonts w:hint="eastAsia" w:ascii="宋体" w:cs="宋体"/>
          <w:color w:val="auto"/>
          <w:sz w:val="32"/>
          <w:highlight w:val="none"/>
        </w:rPr>
      </w:pPr>
    </w:p>
    <w:p w14:paraId="0837D296">
      <w:pPr>
        <w:pStyle w:val="41"/>
        <w:pageBreakBefore w:val="0"/>
        <w:kinsoku/>
        <w:overflowPunct/>
        <w:bidi w:val="0"/>
        <w:spacing w:line="360" w:lineRule="auto"/>
        <w:jc w:val="center"/>
        <w:outlineLvl w:val="9"/>
        <w:rPr>
          <w:rFonts w:hint="eastAsia" w:ascii="宋体" w:cs="宋体"/>
          <w:color w:val="auto"/>
          <w:sz w:val="32"/>
          <w:highlight w:val="none"/>
        </w:rPr>
      </w:pPr>
    </w:p>
    <w:p w14:paraId="3ECA73E3">
      <w:pPr>
        <w:pStyle w:val="41"/>
        <w:pageBreakBefore w:val="0"/>
        <w:kinsoku/>
        <w:overflowPunct/>
        <w:bidi w:val="0"/>
        <w:spacing w:line="360" w:lineRule="auto"/>
        <w:jc w:val="center"/>
        <w:outlineLvl w:val="9"/>
        <w:rPr>
          <w:rFonts w:hint="eastAsia" w:ascii="宋体" w:cs="宋体"/>
          <w:color w:val="auto"/>
          <w:sz w:val="32"/>
          <w:highlight w:val="none"/>
        </w:rPr>
      </w:pPr>
    </w:p>
    <w:p w14:paraId="67158D2E">
      <w:pPr>
        <w:pStyle w:val="41"/>
        <w:pageBreakBefore w:val="0"/>
        <w:kinsoku/>
        <w:overflowPunct/>
        <w:bidi w:val="0"/>
        <w:spacing w:line="360" w:lineRule="auto"/>
        <w:jc w:val="center"/>
        <w:outlineLvl w:val="9"/>
        <w:rPr>
          <w:rFonts w:hint="eastAsia" w:ascii="宋体" w:cs="宋体"/>
          <w:color w:val="auto"/>
          <w:sz w:val="44"/>
          <w:highlight w:val="none"/>
        </w:rPr>
      </w:pPr>
      <w:r>
        <w:rPr>
          <w:rFonts w:hint="eastAsia" w:ascii="宋体" w:cs="宋体"/>
          <w:color w:val="auto"/>
          <w:sz w:val="32"/>
          <w:highlight w:val="none"/>
        </w:rPr>
        <w:t>第三部分 专用合同条款</w:t>
      </w:r>
    </w:p>
    <w:p w14:paraId="568DEEB0">
      <w:pPr>
        <w:pStyle w:val="41"/>
        <w:pageBreakBefore w:val="0"/>
        <w:kinsoku/>
        <w:overflowPunct/>
        <w:bidi w:val="0"/>
        <w:spacing w:before="0" w:after="0" w:line="360" w:lineRule="auto"/>
        <w:rPr>
          <w:rFonts w:hint="eastAsia" w:ascii="宋体" w:cs="宋体"/>
          <w:color w:val="auto"/>
          <w:sz w:val="22"/>
          <w:szCs w:val="22"/>
          <w:highlight w:val="none"/>
        </w:rPr>
      </w:pPr>
      <w:bookmarkStart w:id="216" w:name="_Toc351203633"/>
      <w:bookmarkStart w:id="217" w:name="_Toc520505839"/>
      <w:bookmarkStart w:id="218" w:name="_Toc29153"/>
      <w:bookmarkStart w:id="219" w:name="_Toc406522213"/>
      <w:r>
        <w:rPr>
          <w:rFonts w:hint="eastAsia" w:ascii="宋体" w:cs="宋体"/>
          <w:color w:val="auto"/>
          <w:sz w:val="22"/>
          <w:szCs w:val="22"/>
          <w:highlight w:val="none"/>
        </w:rPr>
        <w:t>1</w:t>
      </w:r>
      <w:bookmarkStart w:id="220" w:name="_Toc296891196"/>
      <w:bookmarkStart w:id="221" w:name="_Toc296503156"/>
      <w:bookmarkStart w:id="222" w:name="_Toc296346657"/>
      <w:bookmarkStart w:id="223" w:name="_Toc297048342"/>
      <w:bookmarkStart w:id="224" w:name="_Toc296944495"/>
      <w:bookmarkStart w:id="225" w:name="_Toc292559866"/>
      <w:bookmarkStart w:id="226" w:name="_Toc296890984"/>
      <w:bookmarkStart w:id="227" w:name="_Toc292559361"/>
      <w:bookmarkStart w:id="228" w:name="_Toc296347155"/>
      <w:bookmarkStart w:id="229" w:name="_Toc297120456"/>
      <w:r>
        <w:rPr>
          <w:rFonts w:hint="eastAsia" w:ascii="宋体" w:cs="宋体"/>
          <w:color w:val="auto"/>
          <w:sz w:val="22"/>
          <w:szCs w:val="22"/>
          <w:highlight w:val="none"/>
        </w:rPr>
        <w:t>. 一般约定</w:t>
      </w:r>
      <w:bookmarkEnd w:id="216"/>
      <w:bookmarkEnd w:id="217"/>
      <w:bookmarkEnd w:id="218"/>
      <w:bookmarkEnd w:id="219"/>
    </w:p>
    <w:bookmarkEnd w:id="220"/>
    <w:bookmarkEnd w:id="221"/>
    <w:bookmarkEnd w:id="222"/>
    <w:bookmarkEnd w:id="223"/>
    <w:bookmarkEnd w:id="224"/>
    <w:bookmarkEnd w:id="225"/>
    <w:bookmarkEnd w:id="226"/>
    <w:bookmarkEnd w:id="227"/>
    <w:bookmarkEnd w:id="228"/>
    <w:bookmarkEnd w:id="229"/>
    <w:p w14:paraId="43C70E02">
      <w:pPr>
        <w:pStyle w:val="41"/>
        <w:pageBreakBefore w:val="0"/>
        <w:kinsoku/>
        <w:overflowPunct/>
        <w:bidi w:val="0"/>
        <w:spacing w:before="0" w:after="0" w:line="360" w:lineRule="auto"/>
        <w:rPr>
          <w:rFonts w:hint="eastAsia" w:ascii="宋体" w:cs="宋体"/>
          <w:color w:val="auto"/>
          <w:sz w:val="22"/>
          <w:szCs w:val="22"/>
          <w:highlight w:val="none"/>
        </w:rPr>
      </w:pPr>
      <w:bookmarkStart w:id="230" w:name="_Toc1434"/>
      <w:bookmarkStart w:id="231" w:name="_Toc520505840"/>
      <w:bookmarkStart w:id="232" w:name="_Toc406522214"/>
      <w:r>
        <w:rPr>
          <w:rFonts w:hint="eastAsia" w:ascii="宋体" w:cs="宋体"/>
          <w:color w:val="auto"/>
          <w:sz w:val="22"/>
          <w:szCs w:val="22"/>
          <w:highlight w:val="none"/>
        </w:rPr>
        <w:t>1.1 词语定义</w:t>
      </w:r>
      <w:bookmarkEnd w:id="230"/>
      <w:bookmarkEnd w:id="231"/>
      <w:bookmarkEnd w:id="232"/>
    </w:p>
    <w:p w14:paraId="1D9BBA2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1.1.1合同</w:t>
      </w:r>
    </w:p>
    <w:p w14:paraId="72281314">
      <w:pPr>
        <w:pageBreakBefore w:val="0"/>
        <w:kinsoku/>
        <w:overflowPunct/>
        <w:bidi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2"/>
          <w:highlight w:val="none"/>
        </w:rPr>
        <w:t>1.1.1.10其他合同文件包括：</w:t>
      </w:r>
      <w:r>
        <w:rPr>
          <w:rFonts w:hint="eastAsia" w:ascii="宋体" w:hAnsi="宋体" w:cs="宋体"/>
          <w:color w:val="auto"/>
          <w:szCs w:val="21"/>
          <w:highlight w:val="none"/>
          <w:u w:val="single"/>
        </w:rPr>
        <w:t>（1）本合同协议书；（2）成交通知书；（3）响应函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szCs w:val="21"/>
          <w:highlight w:val="none"/>
        </w:rPr>
        <w:t>。</w:t>
      </w:r>
    </w:p>
    <w:p w14:paraId="61741D1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1.1.2 合同当事人及其他相关方</w:t>
      </w:r>
    </w:p>
    <w:p w14:paraId="12848F71">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1.1.2.4监理人：</w:t>
      </w:r>
    </w:p>
    <w:p w14:paraId="347514E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名    称：</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68CB660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资质类别和等级：</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6AF641A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联系电话：</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357865F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电子信箱：</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6D25FC7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通信地址：</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16C730A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1.1.2.5 设计人：</w:t>
      </w:r>
    </w:p>
    <w:p w14:paraId="0C558E9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名    称：</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5060926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资质类别和等级：</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41CF771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联系电话：</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09337D2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电子信箱：</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432B167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通信地址：</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716240D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1.1.3 工程和设备</w:t>
      </w:r>
    </w:p>
    <w:p w14:paraId="05373BD0">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1.1.3.7 作为施工现场组成部分的其他场所包括：</w:t>
      </w:r>
      <w:r>
        <w:rPr>
          <w:rFonts w:hint="eastAsia" w:ascii="宋体" w:hAnsi="宋体" w:cs="宋体"/>
          <w:color w:val="auto"/>
          <w:szCs w:val="22"/>
          <w:highlight w:val="none"/>
          <w:u w:val="single"/>
        </w:rPr>
        <w:t>为完成永久工程必不可少的临时工程。</w:t>
      </w:r>
    </w:p>
    <w:p w14:paraId="218619F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1.1.3.9 永久占地包括：</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122AB4E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1.1.3.10 临时占地包括：</w:t>
      </w:r>
      <w:r>
        <w:rPr>
          <w:rFonts w:hint="eastAsia" w:ascii="宋体" w:hAnsi="宋体" w:cs="宋体"/>
          <w:color w:val="auto"/>
          <w:szCs w:val="22"/>
          <w:highlight w:val="none"/>
          <w:u w:val="single"/>
        </w:rPr>
        <w:t>由承包人根据现场踏勘情况结合施工现场所处位置自行解决的各类设施及仓库、生活用房等</w:t>
      </w:r>
      <w:r>
        <w:rPr>
          <w:rFonts w:hint="eastAsia" w:ascii="宋体" w:hAnsi="宋体" w:cs="宋体"/>
          <w:color w:val="auto"/>
          <w:szCs w:val="22"/>
          <w:highlight w:val="none"/>
        </w:rPr>
        <w:t>。</w:t>
      </w:r>
    </w:p>
    <w:p w14:paraId="19EBF41B">
      <w:pPr>
        <w:pStyle w:val="41"/>
        <w:pageBreakBefore w:val="0"/>
        <w:kinsoku/>
        <w:overflowPunct/>
        <w:bidi w:val="0"/>
        <w:spacing w:before="0" w:after="0" w:line="360" w:lineRule="auto"/>
        <w:rPr>
          <w:rFonts w:hint="eastAsia" w:ascii="宋体" w:cs="宋体"/>
          <w:color w:val="auto"/>
          <w:sz w:val="22"/>
          <w:szCs w:val="22"/>
          <w:highlight w:val="none"/>
        </w:rPr>
      </w:pPr>
      <w:bookmarkStart w:id="233" w:name="_Toc406522215"/>
      <w:bookmarkStart w:id="234" w:name="_Toc25000"/>
      <w:bookmarkStart w:id="235" w:name="_Toc520505841"/>
      <w:r>
        <w:rPr>
          <w:rFonts w:hint="eastAsia" w:ascii="宋体" w:cs="宋体"/>
          <w:color w:val="auto"/>
          <w:sz w:val="22"/>
          <w:szCs w:val="22"/>
          <w:highlight w:val="none"/>
        </w:rPr>
        <w:t>1.3法律</w:t>
      </w:r>
      <w:bookmarkEnd w:id="233"/>
      <w:bookmarkEnd w:id="234"/>
      <w:bookmarkEnd w:id="235"/>
      <w:r>
        <w:rPr>
          <w:rFonts w:hint="eastAsia" w:ascii="宋体" w:cs="宋体"/>
          <w:color w:val="auto"/>
          <w:sz w:val="22"/>
          <w:szCs w:val="22"/>
          <w:highlight w:val="none"/>
        </w:rPr>
        <w:t xml:space="preserve"> </w:t>
      </w:r>
    </w:p>
    <w:p w14:paraId="7D9F21E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适用于合同的其他规范性文件：</w:t>
      </w:r>
      <w:r>
        <w:rPr>
          <w:rFonts w:hint="eastAsia" w:ascii="宋体" w:hAnsi="宋体" w:cs="宋体"/>
          <w:color w:val="auto"/>
          <w:szCs w:val="22"/>
          <w:highlight w:val="none"/>
          <w:u w:val="single"/>
        </w:rPr>
        <w:t>1、《中华人民共和国建筑法》、《民法典》等中华人民共和国及广西壮族自治区颁布的与本合同工程有关的现行法律、行政法规。2、广西壮族自治区及桂林市有关规定</w:t>
      </w:r>
      <w:r>
        <w:rPr>
          <w:rFonts w:hint="eastAsia" w:ascii="宋体" w:hAnsi="宋体" w:cs="宋体"/>
          <w:color w:val="auto"/>
          <w:szCs w:val="22"/>
          <w:highlight w:val="none"/>
        </w:rPr>
        <w:t>。</w:t>
      </w:r>
    </w:p>
    <w:p w14:paraId="147247B1">
      <w:pPr>
        <w:pStyle w:val="41"/>
        <w:pageBreakBefore w:val="0"/>
        <w:kinsoku/>
        <w:overflowPunct/>
        <w:bidi w:val="0"/>
        <w:spacing w:before="0" w:after="0" w:line="360" w:lineRule="auto"/>
        <w:rPr>
          <w:rFonts w:hint="eastAsia" w:ascii="宋体" w:cs="宋体"/>
          <w:color w:val="auto"/>
          <w:sz w:val="22"/>
          <w:szCs w:val="22"/>
          <w:highlight w:val="none"/>
        </w:rPr>
      </w:pPr>
      <w:bookmarkStart w:id="236" w:name="_Toc520505842"/>
      <w:bookmarkStart w:id="237" w:name="_Toc406522216"/>
      <w:bookmarkStart w:id="238" w:name="_Toc23937"/>
      <w:r>
        <w:rPr>
          <w:rFonts w:hint="eastAsia" w:ascii="宋体" w:cs="宋体"/>
          <w:color w:val="auto"/>
          <w:sz w:val="22"/>
          <w:szCs w:val="22"/>
          <w:highlight w:val="none"/>
        </w:rPr>
        <w:t>1.4 标准和规范</w:t>
      </w:r>
      <w:bookmarkEnd w:id="236"/>
      <w:bookmarkEnd w:id="237"/>
      <w:bookmarkEnd w:id="238"/>
    </w:p>
    <w:p w14:paraId="23C335C1">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1.4.1适用于工程的标准规范包括：</w:t>
      </w:r>
      <w:r>
        <w:rPr>
          <w:rFonts w:hint="eastAsia" w:ascii="宋体" w:hAnsi="宋体" w:cs="宋体"/>
          <w:color w:val="auto"/>
          <w:szCs w:val="22"/>
          <w:highlight w:val="none"/>
          <w:u w:val="single"/>
        </w:rPr>
        <w:t>为确保工程的质量，承包人除遵照现行国家、行业、地方颁布的有关施工、技术、质量、档案等方面的标准（含图集）、规范和规定外，还必须执行发包人提供的标准、规范和规定</w:t>
      </w:r>
      <w:r>
        <w:rPr>
          <w:rFonts w:hint="eastAsia" w:ascii="宋体" w:hAnsi="宋体" w:cs="宋体"/>
          <w:color w:val="auto"/>
          <w:szCs w:val="22"/>
          <w:highlight w:val="none"/>
        </w:rPr>
        <w:t>。</w:t>
      </w:r>
    </w:p>
    <w:p w14:paraId="593D897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1.4.2 发包人提供国外标准、规范的名称：</w:t>
      </w:r>
      <w:r>
        <w:rPr>
          <w:rFonts w:hint="eastAsia" w:ascii="宋体" w:hAnsi="宋体" w:cs="宋体"/>
          <w:color w:val="auto"/>
          <w:szCs w:val="22"/>
          <w:highlight w:val="none"/>
          <w:u w:val="single"/>
        </w:rPr>
        <w:t>/</w:t>
      </w:r>
      <w:r>
        <w:rPr>
          <w:rFonts w:hint="eastAsia" w:ascii="宋体" w:hAnsi="宋体" w:cs="宋体"/>
          <w:color w:val="auto"/>
          <w:szCs w:val="22"/>
          <w:highlight w:val="none"/>
        </w:rPr>
        <w:t>；</w:t>
      </w:r>
    </w:p>
    <w:p w14:paraId="519E1FC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发包人提供国外标准、规范的份数：</w:t>
      </w:r>
      <w:r>
        <w:rPr>
          <w:rFonts w:hint="eastAsia" w:ascii="宋体" w:hAnsi="宋体" w:cs="宋体"/>
          <w:color w:val="auto"/>
          <w:szCs w:val="22"/>
          <w:highlight w:val="none"/>
          <w:u w:val="single"/>
        </w:rPr>
        <w:t>/</w:t>
      </w:r>
      <w:r>
        <w:rPr>
          <w:rFonts w:hint="eastAsia" w:ascii="宋体" w:hAnsi="宋体" w:cs="宋体"/>
          <w:color w:val="auto"/>
          <w:szCs w:val="22"/>
          <w:highlight w:val="none"/>
        </w:rPr>
        <w:t>；</w:t>
      </w:r>
    </w:p>
    <w:p w14:paraId="15ECB37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发包人提供国外标准、规范的名称：</w:t>
      </w:r>
      <w:r>
        <w:rPr>
          <w:rFonts w:hint="eastAsia" w:ascii="宋体" w:hAnsi="宋体" w:cs="宋体"/>
          <w:color w:val="auto"/>
          <w:szCs w:val="22"/>
          <w:highlight w:val="none"/>
          <w:u w:val="single"/>
        </w:rPr>
        <w:t>/</w:t>
      </w:r>
      <w:r>
        <w:rPr>
          <w:rFonts w:hint="eastAsia" w:ascii="宋体" w:hAnsi="宋体" w:cs="宋体"/>
          <w:color w:val="auto"/>
          <w:szCs w:val="22"/>
          <w:highlight w:val="none"/>
        </w:rPr>
        <w:t>。</w:t>
      </w:r>
    </w:p>
    <w:p w14:paraId="68750A4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1.4.3发包人对工程的技术标准和功能要求的特殊要求：</w:t>
      </w:r>
      <w:r>
        <w:rPr>
          <w:rFonts w:hint="eastAsia" w:ascii="宋体" w:hAnsi="宋体" w:cs="宋体"/>
          <w:color w:val="auto"/>
          <w:szCs w:val="22"/>
          <w:highlight w:val="none"/>
          <w:u w:val="single"/>
        </w:rPr>
        <w:t>/</w:t>
      </w:r>
      <w:r>
        <w:rPr>
          <w:rFonts w:hint="eastAsia" w:ascii="宋体" w:hAnsi="宋体" w:cs="宋体"/>
          <w:color w:val="auto"/>
          <w:szCs w:val="22"/>
          <w:highlight w:val="none"/>
        </w:rPr>
        <w:t>。</w:t>
      </w:r>
    </w:p>
    <w:p w14:paraId="0251C011">
      <w:pPr>
        <w:pStyle w:val="41"/>
        <w:pageBreakBefore w:val="0"/>
        <w:kinsoku/>
        <w:overflowPunct/>
        <w:bidi w:val="0"/>
        <w:spacing w:before="0" w:after="0" w:line="360" w:lineRule="auto"/>
        <w:rPr>
          <w:rFonts w:hint="eastAsia" w:ascii="宋体" w:cs="宋体"/>
          <w:color w:val="auto"/>
          <w:sz w:val="22"/>
          <w:szCs w:val="22"/>
          <w:highlight w:val="none"/>
        </w:rPr>
      </w:pPr>
      <w:bookmarkStart w:id="239" w:name="_Toc520505843"/>
      <w:bookmarkStart w:id="240" w:name="_Toc406522217"/>
      <w:bookmarkStart w:id="241" w:name="_Toc30939"/>
      <w:r>
        <w:rPr>
          <w:rFonts w:hint="eastAsia" w:ascii="宋体" w:cs="宋体"/>
          <w:color w:val="auto"/>
          <w:sz w:val="22"/>
          <w:szCs w:val="22"/>
          <w:highlight w:val="none"/>
        </w:rPr>
        <w:t>1.5 合同文件的优先顺序</w:t>
      </w:r>
      <w:bookmarkEnd w:id="239"/>
      <w:bookmarkEnd w:id="240"/>
      <w:bookmarkEnd w:id="241"/>
    </w:p>
    <w:p w14:paraId="15690736">
      <w:pPr>
        <w:pageBreakBefore w:val="0"/>
        <w:kinsoku/>
        <w:overflowPunct/>
        <w:bidi w:val="0"/>
        <w:spacing w:line="360" w:lineRule="auto"/>
        <w:rPr>
          <w:rFonts w:hint="eastAsia" w:ascii="宋体" w:hAnsi="宋体" w:cs="宋体"/>
          <w:color w:val="auto"/>
          <w:kern w:val="0"/>
          <w:szCs w:val="21"/>
          <w:highlight w:val="none"/>
        </w:rPr>
      </w:pPr>
      <w:r>
        <w:rPr>
          <w:rFonts w:hint="eastAsia" w:ascii="宋体" w:hAnsi="宋体" w:cs="宋体"/>
          <w:color w:val="auto"/>
          <w:szCs w:val="22"/>
          <w:highlight w:val="none"/>
        </w:rPr>
        <w:t>合同文件组成及优先顺序为：</w:t>
      </w:r>
      <w:r>
        <w:rPr>
          <w:rFonts w:hint="eastAsia" w:ascii="宋体" w:hAnsi="宋体" w:cs="宋体"/>
          <w:color w:val="auto"/>
          <w:szCs w:val="21"/>
          <w:highlight w:val="none"/>
          <w:u w:val="single"/>
        </w:rPr>
        <w:t>（1）本合同协议书；（2）成交通知书；（3）响应函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szCs w:val="21"/>
          <w:highlight w:val="none"/>
        </w:rPr>
        <w:t>。</w:t>
      </w:r>
    </w:p>
    <w:p w14:paraId="35678DAE">
      <w:pPr>
        <w:pStyle w:val="41"/>
        <w:pageBreakBefore w:val="0"/>
        <w:kinsoku/>
        <w:overflowPunct/>
        <w:bidi w:val="0"/>
        <w:spacing w:before="0" w:after="0" w:line="360" w:lineRule="auto"/>
        <w:rPr>
          <w:rFonts w:hint="eastAsia" w:ascii="宋体" w:cs="宋体"/>
          <w:color w:val="auto"/>
          <w:sz w:val="22"/>
          <w:szCs w:val="22"/>
          <w:highlight w:val="none"/>
        </w:rPr>
      </w:pPr>
      <w:bookmarkStart w:id="242" w:name="_Toc32071"/>
      <w:bookmarkStart w:id="243" w:name="_Toc406522218"/>
      <w:bookmarkStart w:id="244" w:name="_Toc520505844"/>
      <w:r>
        <w:rPr>
          <w:rFonts w:hint="eastAsia" w:ascii="宋体" w:cs="宋体"/>
          <w:color w:val="auto"/>
          <w:sz w:val="22"/>
          <w:szCs w:val="22"/>
          <w:highlight w:val="none"/>
        </w:rPr>
        <w:t>1.6 图纸和承包人文件</w:t>
      </w:r>
      <w:bookmarkEnd w:id="242"/>
      <w:bookmarkEnd w:id="243"/>
      <w:bookmarkEnd w:id="244"/>
      <w:r>
        <w:rPr>
          <w:rFonts w:hint="eastAsia" w:ascii="宋体" w:cs="宋体"/>
          <w:color w:val="auto"/>
          <w:sz w:val="22"/>
          <w:szCs w:val="22"/>
          <w:highlight w:val="none"/>
        </w:rPr>
        <w:tab/>
      </w:r>
    </w:p>
    <w:p w14:paraId="7F7E08B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1.6.1 图纸的提供</w:t>
      </w:r>
    </w:p>
    <w:p w14:paraId="7951A03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发包人向承包人提供图纸的期限：</w:t>
      </w:r>
      <w:r>
        <w:rPr>
          <w:rFonts w:hint="eastAsia" w:ascii="宋体" w:hAnsi="宋体" w:cs="宋体"/>
          <w:color w:val="auto"/>
          <w:szCs w:val="22"/>
          <w:highlight w:val="none"/>
          <w:u w:val="single"/>
        </w:rPr>
        <w:t>开工前15天</w:t>
      </w:r>
      <w:r>
        <w:rPr>
          <w:rFonts w:hint="eastAsia" w:ascii="宋体" w:hAnsi="宋体" w:cs="宋体"/>
          <w:color w:val="auto"/>
          <w:szCs w:val="22"/>
          <w:highlight w:val="none"/>
        </w:rPr>
        <w:t>；</w:t>
      </w:r>
    </w:p>
    <w:p w14:paraId="110F659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发包人向承包人提供图纸的数量：</w:t>
      </w:r>
      <w:r>
        <w:rPr>
          <w:rFonts w:hint="eastAsia" w:ascii="宋体" w:hAnsi="宋体" w:cs="宋体"/>
          <w:color w:val="auto"/>
          <w:szCs w:val="22"/>
          <w:highlight w:val="none"/>
          <w:u w:val="single"/>
        </w:rPr>
        <w:t>捌份全套（含施工完毕后发包人提供的竣工图叁套）</w:t>
      </w:r>
      <w:r>
        <w:rPr>
          <w:rFonts w:hint="eastAsia" w:ascii="宋体" w:hAnsi="宋体" w:cs="宋体"/>
          <w:color w:val="auto"/>
          <w:szCs w:val="22"/>
          <w:highlight w:val="none"/>
        </w:rPr>
        <w:t>；</w:t>
      </w:r>
    </w:p>
    <w:p w14:paraId="5579ADD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发包人向承包人提供图纸的内容：</w:t>
      </w:r>
      <w:r>
        <w:rPr>
          <w:rFonts w:hint="eastAsia" w:ascii="宋体" w:hAnsi="宋体" w:cs="宋体"/>
          <w:color w:val="auto"/>
          <w:szCs w:val="22"/>
          <w:highlight w:val="none"/>
          <w:u w:val="single"/>
        </w:rPr>
        <w:t>施工图纸和其他技术资料给承包人。上述图纸及技术资料，未经监理工程师和业主同意，承包人不得提供给与本工程无关的第三方</w:t>
      </w:r>
      <w:r>
        <w:rPr>
          <w:rFonts w:hint="eastAsia" w:ascii="宋体" w:hAnsi="宋体" w:cs="宋体"/>
          <w:color w:val="auto"/>
          <w:szCs w:val="22"/>
          <w:highlight w:val="none"/>
        </w:rPr>
        <w:t>。</w:t>
      </w:r>
    </w:p>
    <w:p w14:paraId="79E8B79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1.6.4 承包人文件</w:t>
      </w:r>
    </w:p>
    <w:p w14:paraId="4546CFC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需要由承包人提供的文件，包括：</w:t>
      </w:r>
      <w:r>
        <w:rPr>
          <w:rFonts w:hint="eastAsia" w:ascii="宋体" w:hAnsi="宋体" w:cs="宋体"/>
          <w:color w:val="auto"/>
          <w:szCs w:val="22"/>
          <w:highlight w:val="none"/>
          <w:u w:val="single"/>
        </w:rPr>
        <w:t xml:space="preserve">   </w:t>
      </w:r>
      <w:r>
        <w:rPr>
          <w:rFonts w:hint="eastAsia" w:ascii="宋体" w:hAnsi="宋体" w:cs="宋体"/>
          <w:color w:val="auto"/>
          <w:highlight w:val="none"/>
          <w:u w:val="single"/>
        </w:rPr>
        <w:t>（成交后双方约定填写）</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0C510D5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承包人提供的文件的期限为：</w:t>
      </w:r>
      <w:r>
        <w:rPr>
          <w:rFonts w:hint="eastAsia" w:ascii="宋体" w:hAnsi="宋体" w:cs="宋体"/>
          <w:color w:val="auto"/>
          <w:highlight w:val="none"/>
          <w:u w:val="single"/>
        </w:rPr>
        <w:t>合同签订后7个工作日内</w:t>
      </w:r>
      <w:r>
        <w:rPr>
          <w:rFonts w:hint="eastAsia" w:ascii="宋体" w:hAnsi="宋体" w:cs="宋体"/>
          <w:color w:val="auto"/>
          <w:szCs w:val="22"/>
          <w:highlight w:val="none"/>
        </w:rPr>
        <w:t>；</w:t>
      </w:r>
    </w:p>
    <w:p w14:paraId="0F52C2C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承包人提供的文件的数量为：</w:t>
      </w:r>
      <w:r>
        <w:rPr>
          <w:rFonts w:hint="eastAsia" w:ascii="宋体" w:hAnsi="宋体" w:cs="宋体"/>
          <w:color w:val="auto"/>
          <w:szCs w:val="22"/>
          <w:highlight w:val="none"/>
          <w:u w:val="single"/>
        </w:rPr>
        <w:t>肆套</w:t>
      </w:r>
      <w:r>
        <w:rPr>
          <w:rFonts w:hint="eastAsia" w:ascii="宋体" w:hAnsi="宋体" w:cs="宋体"/>
          <w:color w:val="auto"/>
          <w:szCs w:val="22"/>
          <w:highlight w:val="none"/>
        </w:rPr>
        <w:t>；</w:t>
      </w:r>
    </w:p>
    <w:p w14:paraId="5EFEB56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承包人提供的文件的形式为：</w:t>
      </w:r>
      <w:r>
        <w:rPr>
          <w:rFonts w:hint="eastAsia" w:ascii="宋体" w:hAnsi="宋体" w:cs="宋体"/>
          <w:color w:val="auto"/>
          <w:highlight w:val="none"/>
          <w:u w:val="single"/>
        </w:rPr>
        <w:t>纸质版及相应电子文档</w:t>
      </w:r>
      <w:r>
        <w:rPr>
          <w:rFonts w:hint="eastAsia" w:ascii="宋体" w:hAnsi="宋体" w:cs="宋体"/>
          <w:color w:val="auto"/>
          <w:szCs w:val="22"/>
          <w:highlight w:val="none"/>
        </w:rPr>
        <w:t>；</w:t>
      </w:r>
    </w:p>
    <w:p w14:paraId="6323881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发包人审批承包人文件的期限：</w:t>
      </w:r>
      <w:r>
        <w:rPr>
          <w:rFonts w:hint="eastAsia" w:ascii="宋体" w:hAnsi="宋体" w:cs="宋体"/>
          <w:color w:val="auto"/>
          <w:szCs w:val="22"/>
          <w:highlight w:val="none"/>
          <w:u w:val="single"/>
        </w:rPr>
        <w:t>自收到承包人提供的文件之日起10天内</w:t>
      </w:r>
      <w:r>
        <w:rPr>
          <w:rFonts w:hint="eastAsia" w:ascii="宋体" w:hAnsi="宋体" w:cs="宋体"/>
          <w:color w:val="auto"/>
          <w:szCs w:val="22"/>
          <w:highlight w:val="none"/>
        </w:rPr>
        <w:t>。</w:t>
      </w:r>
    </w:p>
    <w:p w14:paraId="44804E6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1.6.5 现场图纸准备</w:t>
      </w:r>
    </w:p>
    <w:p w14:paraId="23F7539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关于现场图纸准备的约定：</w:t>
      </w:r>
      <w:r>
        <w:rPr>
          <w:rFonts w:hint="eastAsia" w:ascii="宋体" w:hAnsi="宋体" w:cs="宋体"/>
          <w:color w:val="auto"/>
          <w:szCs w:val="22"/>
          <w:highlight w:val="none"/>
          <w:u w:val="single"/>
        </w:rPr>
        <w:t>施工期间现场至少保留2套完整的图纸</w:t>
      </w:r>
      <w:r>
        <w:rPr>
          <w:rFonts w:hint="eastAsia" w:ascii="宋体" w:hAnsi="宋体" w:cs="宋体"/>
          <w:color w:val="auto"/>
          <w:szCs w:val="22"/>
          <w:highlight w:val="none"/>
        </w:rPr>
        <w:t>。</w:t>
      </w:r>
    </w:p>
    <w:p w14:paraId="66410CA3">
      <w:pPr>
        <w:pStyle w:val="41"/>
        <w:pageBreakBefore w:val="0"/>
        <w:kinsoku/>
        <w:overflowPunct/>
        <w:bidi w:val="0"/>
        <w:spacing w:before="0" w:after="0" w:line="360" w:lineRule="auto"/>
        <w:rPr>
          <w:rFonts w:hint="eastAsia" w:ascii="宋体" w:cs="宋体"/>
          <w:color w:val="auto"/>
          <w:sz w:val="22"/>
          <w:szCs w:val="22"/>
          <w:highlight w:val="none"/>
        </w:rPr>
      </w:pPr>
      <w:bookmarkStart w:id="245" w:name="_Toc520505845"/>
      <w:bookmarkStart w:id="246" w:name="_Toc8963"/>
      <w:bookmarkStart w:id="247" w:name="_Toc406522219"/>
      <w:r>
        <w:rPr>
          <w:rFonts w:hint="eastAsia" w:ascii="宋体" w:cs="宋体"/>
          <w:color w:val="auto"/>
          <w:sz w:val="22"/>
          <w:szCs w:val="22"/>
          <w:highlight w:val="none"/>
        </w:rPr>
        <w:t>1.7 联络</w:t>
      </w:r>
      <w:bookmarkEnd w:id="245"/>
      <w:bookmarkEnd w:id="246"/>
      <w:bookmarkEnd w:id="247"/>
    </w:p>
    <w:p w14:paraId="55E2417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1.7.1发包人和承包人应当在</w:t>
      </w:r>
      <w:r>
        <w:rPr>
          <w:rFonts w:hint="eastAsia" w:ascii="宋体" w:hAnsi="宋体" w:cs="宋体"/>
          <w:color w:val="auto"/>
          <w:szCs w:val="22"/>
          <w:highlight w:val="none"/>
          <w:u w:val="single"/>
        </w:rPr>
        <w:t xml:space="preserve">  7　</w:t>
      </w:r>
      <w:r>
        <w:rPr>
          <w:rFonts w:hint="eastAsia" w:ascii="宋体" w:hAnsi="宋体" w:cs="宋体"/>
          <w:color w:val="auto"/>
          <w:szCs w:val="22"/>
          <w:highlight w:val="none"/>
        </w:rPr>
        <w:t>天内将与合同有关的通知、批准、证明、证书、指示、指令、要求、请求、同意、意见、确定和决定等书面函件送达对方当事人。</w:t>
      </w:r>
    </w:p>
    <w:p w14:paraId="74E1D8C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1.7.2 发包人接收文件的地点：</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3CF7EB6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发包人指定的接收人为：</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273658A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承包人接收文件的地点：</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25BA60C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承包人指定的接收人为：</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3432AD5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监理人接收文件的地点：</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48D776F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监理人指定的接收人为：</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2E983586">
      <w:pPr>
        <w:pStyle w:val="41"/>
        <w:pageBreakBefore w:val="0"/>
        <w:kinsoku/>
        <w:overflowPunct/>
        <w:bidi w:val="0"/>
        <w:spacing w:before="0" w:after="0" w:line="360" w:lineRule="auto"/>
        <w:rPr>
          <w:rFonts w:hint="eastAsia" w:ascii="宋体" w:cs="宋体"/>
          <w:color w:val="auto"/>
          <w:sz w:val="22"/>
          <w:szCs w:val="22"/>
          <w:highlight w:val="none"/>
        </w:rPr>
      </w:pPr>
      <w:bookmarkStart w:id="248" w:name="_Toc13698"/>
      <w:bookmarkStart w:id="249" w:name="_Toc406522220"/>
      <w:bookmarkStart w:id="250" w:name="_Toc520505846"/>
      <w:r>
        <w:rPr>
          <w:rFonts w:hint="eastAsia" w:ascii="宋体" w:cs="宋体"/>
          <w:color w:val="auto"/>
          <w:sz w:val="22"/>
          <w:szCs w:val="22"/>
          <w:highlight w:val="none"/>
        </w:rPr>
        <w:t>1.10 交通运输</w:t>
      </w:r>
      <w:bookmarkEnd w:id="248"/>
      <w:bookmarkEnd w:id="249"/>
      <w:bookmarkEnd w:id="250"/>
    </w:p>
    <w:p w14:paraId="7125AC2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w:t>
      </w:r>
      <w:bookmarkStart w:id="251" w:name="_Toc304295521"/>
      <w:bookmarkStart w:id="252" w:name="_Toc312677986"/>
      <w:bookmarkStart w:id="253" w:name="_Toc303539100"/>
      <w:bookmarkStart w:id="254" w:name="_Toc318581155"/>
      <w:bookmarkStart w:id="255" w:name="_Toc300934943"/>
      <w:r>
        <w:rPr>
          <w:rFonts w:hint="eastAsia" w:ascii="宋体" w:hAnsi="宋体" w:cs="宋体"/>
          <w:color w:val="auto"/>
          <w:szCs w:val="22"/>
          <w:highlight w:val="none"/>
        </w:rPr>
        <w:t>.10.1 出入现场的权利</w:t>
      </w:r>
    </w:p>
    <w:p w14:paraId="09DFCA7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关于出入现场的权利的约定：</w:t>
      </w:r>
      <w:r>
        <w:rPr>
          <w:rFonts w:hint="eastAsia" w:ascii="宋体" w:hAnsi="宋体" w:cs="宋体"/>
          <w:color w:val="auto"/>
          <w:highlight w:val="none"/>
          <w:u w:val="single"/>
        </w:rPr>
        <w:t>由承包人按照发包人要求负责取得出入施工现场所需的批准手续和全部权利。以及取得因施工所需修建道路、桥梁以及其他基础设施的权利，由发包人承担相关手续费用和建设费用。</w:t>
      </w:r>
      <w:r>
        <w:rPr>
          <w:rFonts w:hint="eastAsia" w:ascii="宋体" w:hAnsi="宋体" w:cs="宋体"/>
          <w:color w:val="auto"/>
          <w:szCs w:val="22"/>
          <w:highlight w:val="none"/>
        </w:rPr>
        <w:t>。</w:t>
      </w:r>
    </w:p>
    <w:bookmarkEnd w:id="251"/>
    <w:bookmarkEnd w:id="252"/>
    <w:bookmarkEnd w:id="253"/>
    <w:bookmarkEnd w:id="254"/>
    <w:bookmarkEnd w:id="255"/>
    <w:p w14:paraId="62E882C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w:t>
      </w:r>
      <w:bookmarkStart w:id="256" w:name="_Toc300934944"/>
      <w:bookmarkStart w:id="257" w:name="_Toc318581156"/>
      <w:bookmarkStart w:id="258" w:name="_Toc312677987"/>
      <w:bookmarkStart w:id="259" w:name="_Toc303539101"/>
      <w:bookmarkStart w:id="260" w:name="_Toc304295522"/>
      <w:r>
        <w:rPr>
          <w:rFonts w:hint="eastAsia" w:ascii="宋体" w:hAnsi="宋体" w:cs="宋体"/>
          <w:color w:val="auto"/>
          <w:szCs w:val="22"/>
          <w:highlight w:val="none"/>
        </w:rPr>
        <w:t>.10.3 场内交通</w:t>
      </w:r>
    </w:p>
    <w:p w14:paraId="0DD6048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关于场外交通和场内交通的边界的约定：</w:t>
      </w:r>
      <w:r>
        <w:rPr>
          <w:rFonts w:hint="eastAsia" w:ascii="宋体" w:hAnsi="宋体" w:cs="宋体"/>
          <w:color w:val="auto"/>
          <w:szCs w:val="22"/>
          <w:highlight w:val="none"/>
          <w:u w:val="single"/>
        </w:rPr>
        <w:t>双方另行协商</w:t>
      </w:r>
      <w:r>
        <w:rPr>
          <w:rFonts w:hint="eastAsia" w:ascii="宋体" w:hAnsi="宋体" w:cs="宋体"/>
          <w:color w:val="auto"/>
          <w:szCs w:val="22"/>
          <w:highlight w:val="none"/>
        </w:rPr>
        <w:t>。</w:t>
      </w:r>
    </w:p>
    <w:p w14:paraId="519C740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关于发包人向承包人免费提供满足工程施工需要的场内道路和交通设施的约定：</w:t>
      </w:r>
      <w:r>
        <w:rPr>
          <w:rFonts w:hint="eastAsia" w:ascii="宋体" w:hAnsi="宋体" w:cs="宋体"/>
          <w:color w:val="auto"/>
          <w:highlight w:val="none"/>
          <w:u w:val="single"/>
        </w:rPr>
        <w:t>施工现场内临时道路、水、电、排污、通讯由承包人负责建设并承担相关费用</w:t>
      </w:r>
      <w:r>
        <w:rPr>
          <w:rFonts w:hint="eastAsia" w:ascii="宋体" w:hAnsi="宋体" w:cs="宋体"/>
          <w:color w:val="auto"/>
          <w:szCs w:val="21"/>
          <w:highlight w:val="none"/>
        </w:rPr>
        <w:t>。</w:t>
      </w:r>
      <w:r>
        <w:rPr>
          <w:rFonts w:hint="eastAsia" w:ascii="宋体" w:hAnsi="宋体" w:cs="宋体"/>
          <w:color w:val="auto"/>
          <w:szCs w:val="22"/>
          <w:highlight w:val="none"/>
        </w:rPr>
        <w:t>。</w:t>
      </w:r>
      <w:bookmarkEnd w:id="256"/>
      <w:bookmarkEnd w:id="257"/>
      <w:bookmarkEnd w:id="258"/>
      <w:bookmarkEnd w:id="259"/>
      <w:bookmarkEnd w:id="260"/>
      <w:r>
        <w:rPr>
          <w:rFonts w:hint="eastAsia" w:ascii="宋体" w:hAnsi="宋体" w:cs="宋体"/>
          <w:color w:val="auto"/>
          <w:szCs w:val="22"/>
          <w:highlight w:val="none"/>
        </w:rPr>
        <w:t xml:space="preserve">  </w:t>
      </w:r>
      <w:bookmarkStart w:id="261" w:name="_Toc318581157"/>
    </w:p>
    <w:p w14:paraId="56445D9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1.10.4超大件和超重件的运输</w:t>
      </w:r>
    </w:p>
    <w:p w14:paraId="033928A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运输超大件或超重件所需的道路和桥梁临时加固改造费用和其他有关费用由</w:t>
      </w:r>
      <w:r>
        <w:rPr>
          <w:rFonts w:hint="eastAsia" w:ascii="宋体" w:hAnsi="宋体" w:cs="宋体"/>
          <w:color w:val="auto"/>
          <w:szCs w:val="22"/>
          <w:highlight w:val="none"/>
          <w:u w:val="single"/>
        </w:rPr>
        <w:t xml:space="preserve">承包人 </w:t>
      </w:r>
      <w:r>
        <w:rPr>
          <w:rFonts w:hint="eastAsia" w:ascii="宋体" w:hAnsi="宋体" w:cs="宋体"/>
          <w:color w:val="auto"/>
          <w:szCs w:val="22"/>
          <w:highlight w:val="none"/>
        </w:rPr>
        <w:t>承担。</w:t>
      </w:r>
    </w:p>
    <w:bookmarkEnd w:id="261"/>
    <w:p w14:paraId="2E8CB89C">
      <w:pPr>
        <w:pStyle w:val="41"/>
        <w:pageBreakBefore w:val="0"/>
        <w:kinsoku/>
        <w:overflowPunct/>
        <w:bidi w:val="0"/>
        <w:spacing w:before="0" w:after="0" w:line="360" w:lineRule="auto"/>
        <w:rPr>
          <w:rFonts w:hint="eastAsia" w:ascii="宋体" w:cs="宋体"/>
          <w:color w:val="auto"/>
          <w:sz w:val="22"/>
          <w:szCs w:val="22"/>
          <w:highlight w:val="none"/>
        </w:rPr>
      </w:pPr>
      <w:bookmarkStart w:id="262" w:name="_Toc23775"/>
      <w:bookmarkStart w:id="263" w:name="_Toc406522221"/>
      <w:bookmarkStart w:id="264" w:name="_Toc520505847"/>
      <w:r>
        <w:rPr>
          <w:rFonts w:hint="eastAsia" w:ascii="宋体" w:cs="宋体"/>
          <w:color w:val="auto"/>
          <w:sz w:val="22"/>
          <w:szCs w:val="22"/>
          <w:highlight w:val="none"/>
        </w:rPr>
        <w:t>1.11 知识产权</w:t>
      </w:r>
      <w:bookmarkEnd w:id="262"/>
      <w:bookmarkEnd w:id="263"/>
      <w:bookmarkEnd w:id="264"/>
    </w:p>
    <w:p w14:paraId="501FCB33">
      <w:pPr>
        <w:pStyle w:val="42"/>
        <w:pageBreakBefore w:val="0"/>
        <w:kinsoku/>
        <w:overflowPunct/>
        <w:bidi w:val="0"/>
        <w:spacing w:line="360" w:lineRule="auto"/>
        <w:ind w:firstLine="0" w:firstLineChars="0"/>
        <w:rPr>
          <w:rFonts w:hint="eastAsia" w:ascii="宋体" w:hAnsi="宋体" w:cs="宋体"/>
          <w:color w:val="auto"/>
          <w:szCs w:val="22"/>
          <w:highlight w:val="none"/>
        </w:rPr>
      </w:pPr>
      <w:r>
        <w:rPr>
          <w:rFonts w:hint="eastAsia" w:ascii="宋体" w:hAnsi="宋体" w:cs="宋体"/>
          <w:color w:val="auto"/>
          <w:szCs w:val="22"/>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14F47453">
      <w:pPr>
        <w:pStyle w:val="42"/>
        <w:pageBreakBefore w:val="0"/>
        <w:kinsoku/>
        <w:overflowPunct/>
        <w:bidi w:val="0"/>
        <w:spacing w:line="360" w:lineRule="auto"/>
        <w:ind w:firstLine="0" w:firstLineChars="0"/>
        <w:rPr>
          <w:rFonts w:hint="eastAsia" w:ascii="宋体" w:hAnsi="宋体" w:cs="宋体"/>
          <w:color w:val="auto"/>
          <w:szCs w:val="22"/>
          <w:highlight w:val="none"/>
        </w:rPr>
      </w:pPr>
      <w:r>
        <w:rPr>
          <w:rFonts w:hint="eastAsia" w:ascii="宋体" w:hAnsi="宋体" w:cs="宋体"/>
          <w:color w:val="auto"/>
          <w:szCs w:val="22"/>
          <w:highlight w:val="none"/>
        </w:rPr>
        <w:t>关于发包人提供的上述文件的使用限制的要求：</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673A1196">
      <w:pPr>
        <w:pStyle w:val="42"/>
        <w:pageBreakBefore w:val="0"/>
        <w:kinsoku/>
        <w:overflowPunct/>
        <w:bidi w:val="0"/>
        <w:spacing w:line="360" w:lineRule="auto"/>
        <w:ind w:firstLine="0" w:firstLineChars="0"/>
        <w:rPr>
          <w:rFonts w:hint="eastAsia" w:ascii="宋体" w:hAnsi="宋体" w:cs="宋体"/>
          <w:color w:val="auto"/>
          <w:szCs w:val="22"/>
          <w:highlight w:val="none"/>
        </w:rPr>
      </w:pPr>
      <w:r>
        <w:rPr>
          <w:rFonts w:hint="eastAsia" w:ascii="宋体" w:hAnsi="宋体" w:cs="宋体"/>
          <w:color w:val="auto"/>
          <w:szCs w:val="22"/>
          <w:highlight w:val="none"/>
        </w:rPr>
        <w:t>1.11.2 关于承包人为实施工程所编制文件的著作权的归属：</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768459E7">
      <w:pPr>
        <w:pStyle w:val="42"/>
        <w:pageBreakBefore w:val="0"/>
        <w:kinsoku/>
        <w:overflowPunct/>
        <w:bidi w:val="0"/>
        <w:spacing w:line="360" w:lineRule="auto"/>
        <w:ind w:firstLine="0" w:firstLineChars="0"/>
        <w:rPr>
          <w:rFonts w:hint="eastAsia" w:ascii="宋体" w:hAnsi="宋体" w:cs="宋体"/>
          <w:color w:val="auto"/>
          <w:szCs w:val="22"/>
          <w:highlight w:val="none"/>
        </w:rPr>
      </w:pPr>
      <w:r>
        <w:rPr>
          <w:rFonts w:hint="eastAsia" w:ascii="宋体" w:hAnsi="宋体" w:cs="宋体"/>
          <w:color w:val="auto"/>
          <w:szCs w:val="22"/>
          <w:highlight w:val="none"/>
        </w:rPr>
        <w:t>关于承包人提供的上述文件的使用限制的要求：</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67188BAC">
      <w:pPr>
        <w:pStyle w:val="42"/>
        <w:pageBreakBefore w:val="0"/>
        <w:kinsoku/>
        <w:overflowPunct/>
        <w:bidi w:val="0"/>
        <w:spacing w:line="360" w:lineRule="auto"/>
        <w:ind w:firstLine="0" w:firstLineChars="0"/>
        <w:rPr>
          <w:rFonts w:hint="eastAsia" w:ascii="宋体" w:hAnsi="宋体" w:cs="宋体"/>
          <w:color w:val="auto"/>
          <w:szCs w:val="22"/>
          <w:highlight w:val="none"/>
          <w:u w:val="single"/>
        </w:rPr>
      </w:pPr>
      <w:r>
        <w:rPr>
          <w:rFonts w:hint="eastAsia" w:ascii="宋体" w:hAnsi="宋体" w:cs="宋体"/>
          <w:color w:val="auto"/>
          <w:szCs w:val="22"/>
          <w:highlight w:val="none"/>
        </w:rPr>
        <w:t>1.11.4 承包人在施工过程中所采用的专利、专有技术、技术秘密的使用费的承担方式：</w:t>
      </w:r>
    </w:p>
    <w:p w14:paraId="6C6EAA30">
      <w:pPr>
        <w:pStyle w:val="42"/>
        <w:pageBreakBefore w:val="0"/>
        <w:kinsoku/>
        <w:overflowPunct/>
        <w:bidi w:val="0"/>
        <w:spacing w:line="360" w:lineRule="auto"/>
        <w:ind w:firstLine="0" w:firstLineChars="0"/>
        <w:rPr>
          <w:rFonts w:hint="eastAsia" w:ascii="宋体" w:hAnsi="宋体" w:cs="宋体"/>
          <w:color w:val="auto"/>
          <w:szCs w:val="22"/>
          <w:highlight w:val="none"/>
          <w:u w:val="single"/>
        </w:rPr>
      </w:pPr>
      <w:r>
        <w:rPr>
          <w:rFonts w:hint="eastAsia" w:ascii="宋体" w:hAnsi="宋体" w:cs="宋体"/>
          <w:color w:val="auto"/>
          <w:szCs w:val="22"/>
          <w:highlight w:val="none"/>
          <w:u w:val="single"/>
        </w:rPr>
        <w:t>由承包人自行承担相关费用</w:t>
      </w:r>
      <w:r>
        <w:rPr>
          <w:rFonts w:hint="eastAsia" w:ascii="宋体" w:hAnsi="宋体" w:cs="宋体"/>
          <w:color w:val="auto"/>
          <w:szCs w:val="22"/>
          <w:highlight w:val="none"/>
        </w:rPr>
        <w:t>。</w:t>
      </w:r>
    </w:p>
    <w:p w14:paraId="3D2D1CE6">
      <w:pPr>
        <w:pStyle w:val="42"/>
        <w:pageBreakBefore w:val="0"/>
        <w:kinsoku/>
        <w:overflowPunct/>
        <w:bidi w:val="0"/>
        <w:spacing w:line="360" w:lineRule="auto"/>
        <w:ind w:firstLine="0" w:firstLineChars="0"/>
        <w:rPr>
          <w:rFonts w:hint="eastAsia" w:ascii="宋体" w:hAnsi="宋体" w:cs="宋体"/>
          <w:color w:val="auto"/>
          <w:szCs w:val="22"/>
          <w:highlight w:val="none"/>
        </w:rPr>
      </w:pPr>
      <w:r>
        <w:rPr>
          <w:rFonts w:hint="eastAsia" w:ascii="宋体" w:hAnsi="宋体" w:cs="宋体"/>
          <w:color w:val="auto"/>
          <w:szCs w:val="22"/>
          <w:highlight w:val="none"/>
        </w:rPr>
        <w:t>1.13工程量清单错误的修正</w:t>
      </w:r>
    </w:p>
    <w:p w14:paraId="49AC9E30">
      <w:pPr>
        <w:pStyle w:val="42"/>
        <w:pageBreakBefore w:val="0"/>
        <w:kinsoku/>
        <w:overflowPunct/>
        <w:bidi w:val="0"/>
        <w:spacing w:line="360" w:lineRule="auto"/>
        <w:rPr>
          <w:rFonts w:ascii="宋体" w:hAnsi="宋体" w:cs="宋体"/>
          <w:color w:val="auto"/>
          <w:szCs w:val="22"/>
          <w:highlight w:val="none"/>
        </w:rPr>
      </w:pPr>
      <w:r>
        <w:rPr>
          <w:rFonts w:hint="eastAsia" w:ascii="宋体" w:hAnsi="宋体" w:cs="宋体"/>
          <w:color w:val="auto"/>
          <w:szCs w:val="22"/>
          <w:highlight w:val="none"/>
        </w:rPr>
        <w:t>出现工程量清单错误时，是否调整合同价格：</w:t>
      </w:r>
      <w:r>
        <w:rPr>
          <w:rFonts w:hint="eastAsia" w:ascii="宋体" w:hAnsi="宋体" w:cs="宋体"/>
          <w:color w:val="auto"/>
          <w:szCs w:val="22"/>
          <w:highlight w:val="none"/>
          <w:u w:val="single"/>
        </w:rPr>
        <w:t>允许调整合同价格。工程量清单存在缺项、漏项的，工程量按实际发生计量，其结算综合单价参照专用合同条款10.4执行。</w:t>
      </w:r>
    </w:p>
    <w:p w14:paraId="05F69BA3">
      <w:pPr>
        <w:pageBreakBefore w:val="0"/>
        <w:kinsoku/>
        <w:overflowPunct/>
        <w:bidi w:val="0"/>
        <w:spacing w:line="360" w:lineRule="auto"/>
        <w:ind w:firstLine="520" w:firstLineChars="248"/>
        <w:rPr>
          <w:rFonts w:hint="eastAsia" w:ascii="宋体" w:hAnsi="宋体" w:cs="宋体"/>
          <w:b/>
          <w:color w:val="auto"/>
          <w:spacing w:val="-47"/>
          <w:position w:val="-2"/>
          <w:highlight w:val="none"/>
          <w:u w:val="single"/>
        </w:rPr>
      </w:pPr>
      <w:r>
        <w:rPr>
          <w:rFonts w:hint="eastAsia" w:ascii="宋体" w:hAnsi="宋体" w:cs="宋体"/>
          <w:color w:val="auto"/>
          <w:highlight w:val="none"/>
          <w:u w:val="single"/>
        </w:rPr>
        <w:t>国家和自治区及工程所在地政府或行政主管部门颁发文件调整人工、材料、机械台班及其它有关费用标准的，按文件规定之日起进行调整。</w:t>
      </w:r>
    </w:p>
    <w:p w14:paraId="392BD71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允许调整合同价格的工程量偏差范围：</w:t>
      </w:r>
      <w:r>
        <w:rPr>
          <w:rFonts w:hint="eastAsia" w:ascii="宋体" w:hAnsi="宋体" w:cs="宋体"/>
          <w:color w:val="auto"/>
          <w:szCs w:val="22"/>
          <w:highlight w:val="none"/>
          <w:u w:val="single"/>
        </w:rPr>
        <w:t>工程量按实际完成的工程量计量，其综合单价不随工程量变化而变化</w:t>
      </w:r>
      <w:r>
        <w:rPr>
          <w:rFonts w:hint="eastAsia" w:ascii="宋体" w:hAnsi="宋体" w:cs="宋体"/>
          <w:color w:val="auto"/>
          <w:szCs w:val="22"/>
          <w:highlight w:val="none"/>
        </w:rPr>
        <w:t>。</w:t>
      </w:r>
    </w:p>
    <w:p w14:paraId="71D3E622">
      <w:pPr>
        <w:pStyle w:val="41"/>
        <w:pageBreakBefore w:val="0"/>
        <w:kinsoku/>
        <w:overflowPunct/>
        <w:bidi w:val="0"/>
        <w:spacing w:before="0" w:after="0" w:line="360" w:lineRule="auto"/>
        <w:rPr>
          <w:rFonts w:hint="eastAsia" w:ascii="宋体" w:cs="宋体"/>
          <w:color w:val="auto"/>
          <w:sz w:val="22"/>
          <w:szCs w:val="22"/>
          <w:highlight w:val="none"/>
        </w:rPr>
      </w:pPr>
      <w:bookmarkStart w:id="265" w:name="_Toc351203634"/>
      <w:bookmarkStart w:id="266" w:name="_Toc520505848"/>
      <w:bookmarkStart w:id="267" w:name="_Toc406522222"/>
      <w:r>
        <w:rPr>
          <w:rFonts w:hint="eastAsia" w:ascii="宋体" w:cs="宋体"/>
          <w:color w:val="auto"/>
          <w:sz w:val="22"/>
          <w:szCs w:val="22"/>
          <w:highlight w:val="none"/>
        </w:rPr>
        <w:t>2</w:t>
      </w:r>
      <w:bookmarkStart w:id="268" w:name="_Toc296346658"/>
      <w:bookmarkStart w:id="269" w:name="_Toc296891197"/>
      <w:bookmarkStart w:id="270" w:name="_Toc296347156"/>
      <w:bookmarkStart w:id="271" w:name="_Toc296944496"/>
      <w:bookmarkStart w:id="272" w:name="_Toc292559867"/>
      <w:bookmarkStart w:id="273" w:name="_Toc292559362"/>
      <w:bookmarkStart w:id="274" w:name="_Toc297120457"/>
      <w:bookmarkStart w:id="275" w:name="_Toc296503157"/>
      <w:bookmarkStart w:id="276" w:name="_Toc296890985"/>
      <w:bookmarkStart w:id="277" w:name="_Toc297048343"/>
      <w:r>
        <w:rPr>
          <w:rFonts w:hint="eastAsia" w:ascii="宋体" w:cs="宋体"/>
          <w:color w:val="auto"/>
          <w:sz w:val="22"/>
          <w:szCs w:val="22"/>
          <w:highlight w:val="none"/>
        </w:rPr>
        <w:t>. 发包人</w:t>
      </w:r>
      <w:bookmarkEnd w:id="265"/>
      <w:bookmarkEnd w:id="266"/>
      <w:bookmarkEnd w:id="267"/>
    </w:p>
    <w:bookmarkEnd w:id="268"/>
    <w:bookmarkEnd w:id="269"/>
    <w:bookmarkEnd w:id="270"/>
    <w:bookmarkEnd w:id="271"/>
    <w:bookmarkEnd w:id="272"/>
    <w:bookmarkEnd w:id="273"/>
    <w:bookmarkEnd w:id="274"/>
    <w:bookmarkEnd w:id="275"/>
    <w:bookmarkEnd w:id="276"/>
    <w:bookmarkEnd w:id="277"/>
    <w:p w14:paraId="05120163">
      <w:pPr>
        <w:pStyle w:val="41"/>
        <w:pageBreakBefore w:val="0"/>
        <w:kinsoku/>
        <w:overflowPunct/>
        <w:bidi w:val="0"/>
        <w:spacing w:before="0" w:after="0" w:line="360" w:lineRule="auto"/>
        <w:rPr>
          <w:rFonts w:hint="eastAsia" w:ascii="宋体" w:cs="宋体"/>
          <w:color w:val="auto"/>
          <w:sz w:val="22"/>
          <w:szCs w:val="22"/>
          <w:highlight w:val="none"/>
        </w:rPr>
      </w:pPr>
      <w:bookmarkStart w:id="278" w:name="_Toc520505849"/>
      <w:bookmarkStart w:id="279" w:name="_Toc406522223"/>
      <w:bookmarkStart w:id="280" w:name="_Toc1626"/>
      <w:r>
        <w:rPr>
          <w:rFonts w:hint="eastAsia" w:ascii="宋体" w:cs="宋体"/>
          <w:color w:val="auto"/>
          <w:sz w:val="22"/>
          <w:szCs w:val="22"/>
          <w:highlight w:val="none"/>
        </w:rPr>
        <w:t>2.2 发包人代表</w:t>
      </w:r>
      <w:bookmarkEnd w:id="278"/>
      <w:bookmarkEnd w:id="279"/>
      <w:bookmarkEnd w:id="280"/>
    </w:p>
    <w:p w14:paraId="40FFFFD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发包人代表：</w:t>
      </w:r>
    </w:p>
    <w:p w14:paraId="15BC58E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姓    名：</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1FD6833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身份证号：</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6BA0FA7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职    务：</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742679E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联系电话：</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3F6050E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电子信箱：</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1D5571F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通信地址：</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3D447D1C">
      <w:pPr>
        <w:pStyle w:val="42"/>
        <w:pageBreakBefore w:val="0"/>
        <w:kinsoku/>
        <w:overflowPunct/>
        <w:bidi w:val="0"/>
        <w:spacing w:line="360" w:lineRule="auto"/>
        <w:rPr>
          <w:rFonts w:hint="eastAsia" w:ascii="宋体" w:hAnsi="宋体" w:cs="宋体"/>
          <w:b/>
          <w:color w:val="auto"/>
          <w:szCs w:val="22"/>
          <w:highlight w:val="none"/>
        </w:rPr>
      </w:pPr>
      <w:r>
        <w:rPr>
          <w:rFonts w:hint="eastAsia" w:ascii="宋体" w:hAnsi="宋体" w:cs="宋体"/>
          <w:color w:val="auto"/>
          <w:szCs w:val="22"/>
          <w:highlight w:val="none"/>
        </w:rPr>
        <w:t>发包人对发包人代表的授权范围如下：</w:t>
      </w:r>
      <w:r>
        <w:rPr>
          <w:rFonts w:hint="eastAsia" w:ascii="宋体" w:hAnsi="宋体" w:cs="宋体"/>
          <w:color w:val="auto"/>
          <w:szCs w:val="22"/>
          <w:highlight w:val="none"/>
          <w:u w:val="single"/>
        </w:rPr>
        <w:t>在本合同履行时代表发包人，对工程进度、质量、投资（成本）进行控制，负责图纸问题的处理、办理中间交工工程验收手续，负责现场签证，解决由发包人授权处理的事宜。但无权减轻合同中规定的承包人的责任或义务。发包人现场工程师可以随时向发包人现场代表授予发包人现场工程师的任何权力，并以书面形式向承包人确认。发包人项目部发出的所有文件必须经发包人现场工程师签署后方为有效。但涉及工程造价调整和工程量变更的一切文件和签证，工程师按</w:t>
      </w:r>
      <w:r>
        <w:rPr>
          <w:rFonts w:hint="eastAsia" w:ascii="宋体" w:hAnsi="宋体" w:cs="宋体"/>
          <w:color w:val="auto"/>
          <w:szCs w:val="22"/>
          <w:highlight w:val="none"/>
          <w:u w:val="single"/>
          <w:lang w:val="zh-CN"/>
        </w:rPr>
        <w:t>发包人</w:t>
      </w:r>
      <w:r>
        <w:rPr>
          <w:rFonts w:hint="eastAsia" w:ascii="宋体" w:hAnsi="宋体" w:cs="宋体"/>
          <w:color w:val="auto"/>
          <w:szCs w:val="22"/>
          <w:highlight w:val="none"/>
          <w:u w:val="single"/>
        </w:rPr>
        <w:t>有关管理规定完成审批程序并加盖发包人单位公章方为有效。没有盖章的上述文件即使有工程师的签字亦为无效。发包人现场代表应对发包人现场工程师负责，他的职责是监督工程、试验、调试和检查与工程有关的任何材料、设备或施工工艺，发包人现场代表无权减轻合同中规定的承包人的责任或义务。发包人现场工程师和发包人现场代表的更换和委派，应提前七天以书面形式通知承包人。</w:t>
      </w:r>
      <w:r>
        <w:rPr>
          <w:rFonts w:hint="eastAsia" w:ascii="宋体" w:hAnsi="宋体" w:cs="宋体"/>
          <w:color w:val="auto"/>
          <w:szCs w:val="22"/>
          <w:highlight w:val="none"/>
          <w:u w:val="single"/>
          <w:lang w:val="zh-CN"/>
        </w:rPr>
        <w:t>但其在任职期间签署的各种资料，符合正常手续的，发包人应予以认可</w:t>
      </w:r>
      <w:r>
        <w:rPr>
          <w:rFonts w:hint="eastAsia" w:ascii="宋体" w:hAnsi="宋体" w:cs="宋体"/>
          <w:color w:val="auto"/>
          <w:szCs w:val="22"/>
          <w:highlight w:val="none"/>
        </w:rPr>
        <w:t>。</w:t>
      </w:r>
    </w:p>
    <w:p w14:paraId="6CABC5A9">
      <w:pPr>
        <w:pStyle w:val="41"/>
        <w:pageBreakBefore w:val="0"/>
        <w:kinsoku/>
        <w:overflowPunct/>
        <w:bidi w:val="0"/>
        <w:spacing w:before="0" w:after="0" w:line="360" w:lineRule="auto"/>
        <w:rPr>
          <w:rFonts w:hint="eastAsia" w:ascii="宋体" w:cs="宋体"/>
          <w:color w:val="auto"/>
          <w:sz w:val="22"/>
          <w:szCs w:val="22"/>
          <w:highlight w:val="none"/>
        </w:rPr>
      </w:pPr>
      <w:bookmarkStart w:id="281" w:name="_Toc406522224"/>
      <w:bookmarkStart w:id="282" w:name="_Toc520505850"/>
      <w:bookmarkStart w:id="283" w:name="_Toc21124"/>
      <w:r>
        <w:rPr>
          <w:rFonts w:hint="eastAsia" w:ascii="宋体" w:cs="宋体"/>
          <w:color w:val="auto"/>
          <w:sz w:val="22"/>
          <w:szCs w:val="22"/>
          <w:highlight w:val="none"/>
        </w:rPr>
        <w:t>2.4 施工现场、施工条件和基础资料的提供</w:t>
      </w:r>
      <w:bookmarkEnd w:id="281"/>
      <w:bookmarkEnd w:id="282"/>
      <w:bookmarkEnd w:id="283"/>
    </w:p>
    <w:p w14:paraId="7590EDB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2.4.1 提供施工现场</w:t>
      </w:r>
    </w:p>
    <w:p w14:paraId="5DA9E9A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关于发包人移交施工现场的期限要求：</w:t>
      </w:r>
      <w:r>
        <w:rPr>
          <w:rFonts w:hint="eastAsia" w:ascii="宋体" w:hAnsi="宋体" w:cs="宋体"/>
          <w:color w:val="auto"/>
          <w:szCs w:val="22"/>
          <w:highlight w:val="none"/>
          <w:u w:val="single"/>
        </w:rPr>
        <w:t>施工场地发包人于开工前7日提供，料场及临时设施场地由承包人自行解决，费用已纳入报价</w:t>
      </w:r>
      <w:r>
        <w:rPr>
          <w:rFonts w:hint="eastAsia" w:ascii="宋体" w:hAnsi="宋体" w:cs="宋体"/>
          <w:color w:val="auto"/>
          <w:szCs w:val="22"/>
          <w:highlight w:val="none"/>
        </w:rPr>
        <w:t>。</w:t>
      </w:r>
    </w:p>
    <w:p w14:paraId="2BDE71C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2.4.2 提供施工条件</w:t>
      </w:r>
    </w:p>
    <w:p w14:paraId="2294AF39">
      <w:pPr>
        <w:pStyle w:val="42"/>
        <w:pageBreakBefore w:val="0"/>
        <w:kinsoku/>
        <w:overflowPunct/>
        <w:bidi w:val="0"/>
        <w:spacing w:line="360" w:lineRule="auto"/>
        <w:rPr>
          <w:rFonts w:hint="eastAsia" w:ascii="宋体" w:hAnsi="宋体" w:cs="宋体"/>
          <w:color w:val="auto"/>
          <w:highlight w:val="none"/>
          <w:u w:val="single"/>
        </w:rPr>
      </w:pPr>
      <w:r>
        <w:rPr>
          <w:rFonts w:hint="eastAsia" w:ascii="宋体" w:hAnsi="宋体" w:cs="宋体"/>
          <w:color w:val="auto"/>
          <w:szCs w:val="22"/>
          <w:highlight w:val="none"/>
        </w:rPr>
        <w:t>关于发包人应负责提供施工所需要的条件，包括：</w:t>
      </w:r>
      <w:r>
        <w:rPr>
          <w:rFonts w:hint="eastAsia" w:ascii="宋体" w:hAnsi="宋体" w:cs="宋体"/>
          <w:color w:val="auto"/>
          <w:highlight w:val="none"/>
          <w:u w:val="single"/>
        </w:rPr>
        <w:t>1、发包人负责提供电源，距离项目地块红线100米距离内，由本工程承包人接入施工现场，设置分电源箱，并单独装表计量。结算时，发包人将按照向供电部门缴纳电费的单价和承包人的实际用电数量扣回用电费用（含分摊的线路损耗费用）。</w:t>
      </w:r>
    </w:p>
    <w:p w14:paraId="086E318C">
      <w:pPr>
        <w:pStyle w:val="42"/>
        <w:pageBreakBefore w:val="0"/>
        <w:numPr>
          <w:ilvl w:val="0"/>
          <w:numId w:val="8"/>
        </w:numPr>
        <w:kinsoku/>
        <w:overflowPunct/>
        <w:bidi w:val="0"/>
        <w:spacing w:line="360" w:lineRule="auto"/>
        <w:rPr>
          <w:rFonts w:hint="eastAsia" w:ascii="宋体" w:hAnsi="宋体" w:cs="宋体"/>
          <w:color w:val="auto"/>
          <w:highlight w:val="none"/>
          <w:u w:val="single"/>
        </w:rPr>
      </w:pPr>
      <w:r>
        <w:rPr>
          <w:rFonts w:hint="eastAsia" w:ascii="宋体" w:hAnsi="宋体" w:cs="宋体"/>
          <w:color w:val="auto"/>
          <w:highlight w:val="none"/>
          <w:u w:val="single"/>
        </w:rPr>
        <w:t>发包人负责提供水源，距离项目地块红线100米距离内，由本工程承包人接入施工现场，并单独装表计量。结算时，发包人将按照向供水部门缴纳水费的单价和承包人的实际用水数量扣回用水费用。</w:t>
      </w:r>
    </w:p>
    <w:p w14:paraId="19D8B547">
      <w:pPr>
        <w:pStyle w:val="42"/>
        <w:pageBreakBefore w:val="0"/>
        <w:kinsoku/>
        <w:overflowPunct/>
        <w:bidi w:val="0"/>
        <w:spacing w:line="360" w:lineRule="auto"/>
        <w:ind w:firstLine="315" w:firstLineChars="150"/>
        <w:rPr>
          <w:rFonts w:hint="eastAsia" w:ascii="宋体" w:hAnsi="宋体" w:cs="宋体"/>
          <w:color w:val="auto"/>
          <w:szCs w:val="22"/>
          <w:highlight w:val="none"/>
        </w:rPr>
      </w:pPr>
      <w:r>
        <w:rPr>
          <w:rFonts w:hint="eastAsia" w:ascii="宋体" w:hAnsi="宋体" w:cs="宋体"/>
          <w:color w:val="auto"/>
          <w:szCs w:val="22"/>
          <w:highlight w:val="none"/>
        </w:rPr>
        <w:t>2.4.3为了保障发包人和承包人的财产、人员安全和日常工作的正常开展，除基本的安全防护外，承包人应根据现场实际情况对施工区域周围采取一次或重复多次必要的额外安全防护措施，所产生的费用由承包人负责，发包人不再受理相关签证，请承包人在报价时酌情考虑。</w:t>
      </w:r>
    </w:p>
    <w:p w14:paraId="67412510">
      <w:pPr>
        <w:pStyle w:val="41"/>
        <w:pageBreakBefore w:val="0"/>
        <w:kinsoku/>
        <w:overflowPunct/>
        <w:bidi w:val="0"/>
        <w:spacing w:before="0" w:after="0" w:line="360" w:lineRule="auto"/>
        <w:rPr>
          <w:rFonts w:hint="eastAsia" w:ascii="宋体" w:cs="宋体"/>
          <w:color w:val="auto"/>
          <w:sz w:val="22"/>
          <w:szCs w:val="22"/>
          <w:highlight w:val="none"/>
        </w:rPr>
      </w:pPr>
      <w:bookmarkStart w:id="284" w:name="_Toc406522225"/>
      <w:bookmarkStart w:id="285" w:name="_Toc520505851"/>
      <w:bookmarkStart w:id="286" w:name="_Toc1282"/>
      <w:r>
        <w:rPr>
          <w:rFonts w:hint="eastAsia" w:ascii="宋体" w:cs="宋体"/>
          <w:color w:val="auto"/>
          <w:sz w:val="22"/>
          <w:szCs w:val="22"/>
          <w:highlight w:val="none"/>
        </w:rPr>
        <w:t>2.5 资金来源证明及支付担保</w:t>
      </w:r>
      <w:bookmarkEnd w:id="284"/>
      <w:bookmarkEnd w:id="285"/>
      <w:bookmarkEnd w:id="286"/>
    </w:p>
    <w:p w14:paraId="0D8A849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发包人提供资金来源证明的期限要求：</w:t>
      </w:r>
      <w:r>
        <w:rPr>
          <w:rFonts w:hint="eastAsia" w:ascii="宋体" w:hAnsi="宋体" w:cs="宋体"/>
          <w:color w:val="auto"/>
          <w:szCs w:val="22"/>
          <w:highlight w:val="none"/>
          <w:u w:val="single"/>
        </w:rPr>
        <w:t xml:space="preserve">  </w:t>
      </w:r>
      <w:r>
        <w:rPr>
          <w:rFonts w:hint="eastAsia" w:ascii="宋体" w:hAnsi="宋体" w:cs="宋体"/>
          <w:color w:val="auto"/>
          <w:highlight w:val="none"/>
          <w:u w:val="single"/>
        </w:rPr>
        <w:t>按通用条款执行</w:t>
      </w:r>
      <w:r>
        <w:rPr>
          <w:rFonts w:hint="eastAsia" w:ascii="宋体" w:hAnsi="宋体" w:cs="宋体"/>
          <w:color w:val="auto"/>
          <w:szCs w:val="22"/>
          <w:highlight w:val="none"/>
        </w:rPr>
        <w:t>。</w:t>
      </w:r>
    </w:p>
    <w:p w14:paraId="3393327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发包人是否提供支付担保：</w:t>
      </w:r>
      <w:r>
        <w:rPr>
          <w:rFonts w:hint="eastAsia" w:ascii="宋体" w:hAnsi="宋体" w:cs="宋体"/>
          <w:color w:val="auto"/>
          <w:szCs w:val="22"/>
          <w:highlight w:val="none"/>
          <w:u w:val="single"/>
        </w:rPr>
        <w:t>否</w:t>
      </w:r>
      <w:r>
        <w:rPr>
          <w:rFonts w:hint="eastAsia" w:ascii="宋体" w:hAnsi="宋体" w:cs="宋体"/>
          <w:color w:val="auto"/>
          <w:szCs w:val="22"/>
          <w:highlight w:val="none"/>
        </w:rPr>
        <w:t>。</w:t>
      </w:r>
    </w:p>
    <w:p w14:paraId="69344606">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发包人提供支付担保的形式：</w:t>
      </w:r>
      <w:r>
        <w:rPr>
          <w:rFonts w:hint="eastAsia" w:ascii="宋体" w:hAnsi="宋体" w:cs="宋体"/>
          <w:color w:val="auto"/>
          <w:szCs w:val="22"/>
          <w:highlight w:val="none"/>
          <w:u w:val="single"/>
        </w:rPr>
        <w:t xml:space="preserve">  </w:t>
      </w:r>
      <w:r>
        <w:rPr>
          <w:rFonts w:hint="eastAsia" w:ascii="宋体" w:hAnsi="宋体" w:cs="宋体"/>
          <w:color w:val="auto"/>
          <w:highlight w:val="none"/>
          <w:u w:val="single"/>
        </w:rPr>
        <w:t>按通用条款执行</w:t>
      </w:r>
      <w:r>
        <w:rPr>
          <w:rFonts w:hint="eastAsia" w:ascii="宋体" w:hAnsi="宋体" w:cs="宋体"/>
          <w:color w:val="auto"/>
          <w:szCs w:val="22"/>
          <w:highlight w:val="none"/>
        </w:rPr>
        <w:t>。</w:t>
      </w:r>
    </w:p>
    <w:p w14:paraId="5B4BFE99">
      <w:pPr>
        <w:pStyle w:val="41"/>
        <w:pageBreakBefore w:val="0"/>
        <w:kinsoku/>
        <w:overflowPunct/>
        <w:bidi w:val="0"/>
        <w:spacing w:before="0" w:after="0" w:line="360" w:lineRule="auto"/>
        <w:rPr>
          <w:rFonts w:hint="eastAsia" w:ascii="宋体" w:cs="宋体"/>
          <w:color w:val="auto"/>
          <w:sz w:val="22"/>
          <w:szCs w:val="22"/>
          <w:highlight w:val="none"/>
        </w:rPr>
      </w:pPr>
      <w:bookmarkStart w:id="287" w:name="_Toc22984"/>
      <w:bookmarkStart w:id="288" w:name="_Toc406522226"/>
      <w:bookmarkStart w:id="289" w:name="_Toc351203635"/>
      <w:bookmarkStart w:id="290" w:name="_Toc520505852"/>
      <w:r>
        <w:rPr>
          <w:rFonts w:hint="eastAsia" w:ascii="宋体" w:cs="宋体"/>
          <w:color w:val="auto"/>
          <w:sz w:val="22"/>
          <w:szCs w:val="22"/>
          <w:highlight w:val="none"/>
        </w:rPr>
        <w:t>3</w:t>
      </w:r>
      <w:bookmarkStart w:id="291" w:name="_Toc296890986"/>
      <w:bookmarkStart w:id="292" w:name="_Toc296503158"/>
      <w:bookmarkStart w:id="293" w:name="_Toc296347157"/>
      <w:bookmarkStart w:id="294" w:name="_Toc292559363"/>
      <w:bookmarkStart w:id="295" w:name="_Toc296346659"/>
      <w:bookmarkStart w:id="296" w:name="_Toc296891198"/>
      <w:bookmarkStart w:id="297" w:name="_Toc297048344"/>
      <w:bookmarkStart w:id="298" w:name="_Toc296944497"/>
      <w:bookmarkStart w:id="299" w:name="_Toc297120458"/>
      <w:bookmarkStart w:id="300" w:name="_Toc292559868"/>
      <w:r>
        <w:rPr>
          <w:rFonts w:hint="eastAsia" w:ascii="宋体" w:cs="宋体"/>
          <w:color w:val="auto"/>
          <w:sz w:val="22"/>
          <w:szCs w:val="22"/>
          <w:highlight w:val="none"/>
        </w:rPr>
        <w:t>. 承包人</w:t>
      </w:r>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p w14:paraId="7704A40A">
      <w:pPr>
        <w:pStyle w:val="41"/>
        <w:pageBreakBefore w:val="0"/>
        <w:kinsoku/>
        <w:overflowPunct/>
        <w:bidi w:val="0"/>
        <w:spacing w:before="0" w:after="0" w:line="360" w:lineRule="auto"/>
        <w:rPr>
          <w:rFonts w:hint="eastAsia" w:ascii="宋体" w:cs="宋体"/>
          <w:color w:val="auto"/>
          <w:sz w:val="22"/>
          <w:szCs w:val="22"/>
          <w:highlight w:val="none"/>
        </w:rPr>
      </w:pPr>
      <w:bookmarkStart w:id="301" w:name="_Toc17188"/>
      <w:bookmarkStart w:id="302" w:name="_Toc406522227"/>
      <w:bookmarkStart w:id="303" w:name="_Toc520505853"/>
      <w:r>
        <w:rPr>
          <w:rFonts w:hint="eastAsia" w:ascii="宋体" w:cs="宋体"/>
          <w:color w:val="auto"/>
          <w:sz w:val="22"/>
          <w:szCs w:val="22"/>
          <w:highlight w:val="none"/>
        </w:rPr>
        <w:t>3.1 承包人的一般义务</w:t>
      </w:r>
      <w:bookmarkEnd w:id="301"/>
      <w:bookmarkEnd w:id="302"/>
      <w:bookmarkEnd w:id="303"/>
    </w:p>
    <w:p w14:paraId="3552959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（9）承包人提交的竣工资料的内容：</w:t>
      </w:r>
      <w:r>
        <w:rPr>
          <w:rFonts w:hint="eastAsia" w:ascii="宋体" w:hAnsi="宋体" w:cs="宋体"/>
          <w:color w:val="auto"/>
          <w:szCs w:val="22"/>
          <w:highlight w:val="none"/>
          <w:u w:val="single"/>
        </w:rPr>
        <w:t>承包人在竣工验收通过后30天内向发包人移交完整的竣工资料及竣工图纸五套，竣工资料及竣工图纸必须准确真实的反映实际施工情况，且已经过监理工程师审核确认。承包人应及时配合发包人向桂林市</w:t>
      </w:r>
      <w:r>
        <w:rPr>
          <w:rFonts w:hint="eastAsia" w:ascii="宋体" w:hAnsi="宋体" w:cs="宋体"/>
          <w:color w:val="auto"/>
          <w:szCs w:val="22"/>
          <w:highlight w:val="none"/>
          <w:u w:val="single"/>
          <w:lang w:eastAsia="zh-CN"/>
        </w:rPr>
        <w:t>阳朔县</w:t>
      </w:r>
      <w:r>
        <w:rPr>
          <w:rFonts w:hint="eastAsia" w:ascii="宋体" w:hAnsi="宋体" w:cs="宋体"/>
          <w:color w:val="auto"/>
          <w:szCs w:val="22"/>
          <w:highlight w:val="none"/>
          <w:u w:val="single"/>
        </w:rPr>
        <w:t>档案馆办理工程资料验收和移交，属于发包人应提供的资料由发包人提供，竣工资料由发包人汇总整理后移交档案馆；承包人未按规定配合发包人按时向档案馆移交相关资料的</w:t>
      </w:r>
      <w:r>
        <w:rPr>
          <w:rFonts w:hint="eastAsia" w:ascii="宋体" w:hAnsi="宋体" w:cs="宋体"/>
          <w:color w:val="auto"/>
          <w:szCs w:val="22"/>
          <w:highlight w:val="none"/>
          <w:u w:val="single"/>
          <w:lang w:val="zh-CN"/>
        </w:rPr>
        <w:t>，每逾期一天应向发包人支付500元/天的违约金并另赔偿给发包人造成的损失</w:t>
      </w:r>
      <w:r>
        <w:rPr>
          <w:rFonts w:hint="eastAsia" w:ascii="宋体" w:hAnsi="宋体" w:cs="宋体"/>
          <w:color w:val="auto"/>
          <w:szCs w:val="22"/>
          <w:highlight w:val="none"/>
          <w:u w:val="single"/>
        </w:rPr>
        <w:t>。</w:t>
      </w:r>
    </w:p>
    <w:p w14:paraId="71EF9C0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承包人需要提交的竣工资料套数：</w:t>
      </w:r>
      <w:r>
        <w:rPr>
          <w:rFonts w:hint="eastAsia" w:ascii="宋体" w:hAnsi="宋体" w:cs="宋体"/>
          <w:color w:val="auto"/>
          <w:szCs w:val="22"/>
          <w:highlight w:val="none"/>
          <w:u w:val="single"/>
        </w:rPr>
        <w:t>五方验收合格后，双方应签署验收合格证书，共一式伍份，其中发包人三份，承包人二份。如在五方验收过程中发现问题需要整改，发包人在五方验收后5天内，提出整改意见，承包人按此意见整改，并在发包人限定的时间内全部整改完成，因此而发生的整改或返修费用全部由承包人承担</w:t>
      </w:r>
      <w:r>
        <w:rPr>
          <w:rFonts w:hint="eastAsia" w:ascii="宋体" w:hAnsi="宋体" w:cs="宋体"/>
          <w:color w:val="auto"/>
          <w:szCs w:val="22"/>
          <w:highlight w:val="none"/>
        </w:rPr>
        <w:t>。</w:t>
      </w:r>
    </w:p>
    <w:p w14:paraId="205D09B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承包人提交的竣工资料的费用承担：</w:t>
      </w:r>
      <w:r>
        <w:rPr>
          <w:rFonts w:hint="eastAsia" w:ascii="宋体" w:hAnsi="宋体" w:cs="宋体"/>
          <w:color w:val="auto"/>
          <w:szCs w:val="22"/>
          <w:highlight w:val="none"/>
          <w:u w:val="single"/>
        </w:rPr>
        <w:t>承包人自理</w:t>
      </w:r>
      <w:r>
        <w:rPr>
          <w:rFonts w:hint="eastAsia" w:ascii="宋体" w:hAnsi="宋体" w:cs="宋体"/>
          <w:color w:val="auto"/>
          <w:szCs w:val="22"/>
          <w:highlight w:val="none"/>
        </w:rPr>
        <w:t>。</w:t>
      </w:r>
    </w:p>
    <w:p w14:paraId="794FC8A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承包人提交的竣工资料移交时间：</w:t>
      </w:r>
      <w:r>
        <w:rPr>
          <w:rFonts w:hint="eastAsia" w:ascii="宋体" w:hAnsi="宋体" w:cs="宋体"/>
          <w:color w:val="auto"/>
          <w:szCs w:val="22"/>
          <w:highlight w:val="none"/>
          <w:u w:val="single"/>
        </w:rPr>
        <w:t>在工程具备竣工验收条件后，承包人应按国家、行业、地方及发包人关于工程竣工验收有关规定，提前15天向监理提供完整竣工资料、竣工验收报告及工程质量保修书等文件，监理在收到材料后3天内做出是否符合验收条件的答复，否则视为符合条件。监理认为符合验收条件后组织发包人、监理、承包人进行内部初步验收，并提出初验的整改要求，承包单位须在此后的十天内完成整改并通过初验。内部初验合格后，由发包人负责与有关部门联系，确定竣工验收日期，组织相关部门、设计单位、监理、发包人、承包人等参加竣工验收。发包人在竣工验收后5天内提出整改意见及整改时限，承包人按发包人要求进行整改，并承担因自身原因造成的费用</w:t>
      </w:r>
      <w:r>
        <w:rPr>
          <w:rFonts w:hint="eastAsia" w:ascii="宋体" w:hAnsi="宋体" w:cs="宋体"/>
          <w:color w:val="auto"/>
          <w:szCs w:val="22"/>
          <w:highlight w:val="none"/>
        </w:rPr>
        <w:t>。</w:t>
      </w:r>
    </w:p>
    <w:p w14:paraId="7B504D7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承包人提交的竣工资料形式要求：</w:t>
      </w:r>
      <w:r>
        <w:rPr>
          <w:rFonts w:hint="eastAsia" w:ascii="宋体" w:hAnsi="宋体" w:cs="宋体"/>
          <w:color w:val="auto"/>
          <w:szCs w:val="22"/>
          <w:highlight w:val="none"/>
          <w:u w:val="single"/>
        </w:rPr>
        <w:t>以书面及电子版形式提交</w:t>
      </w:r>
      <w:r>
        <w:rPr>
          <w:rFonts w:hint="eastAsia" w:ascii="宋体" w:hAnsi="宋体" w:cs="宋体"/>
          <w:color w:val="auto"/>
          <w:szCs w:val="22"/>
          <w:highlight w:val="none"/>
        </w:rPr>
        <w:t>。</w:t>
      </w:r>
    </w:p>
    <w:p w14:paraId="1E79E03F">
      <w:pPr>
        <w:pageBreakBefore w:val="0"/>
        <w:kinsoku/>
        <w:overflowPunct/>
        <w:bidi w:val="0"/>
        <w:spacing w:line="360" w:lineRule="auto"/>
        <w:ind w:firstLine="525" w:firstLineChars="250"/>
        <w:rPr>
          <w:rFonts w:hint="eastAsia" w:ascii="宋体" w:hAnsi="宋体" w:cs="宋体"/>
          <w:color w:val="auto"/>
          <w:highlight w:val="none"/>
          <w:u w:val="single"/>
        </w:rPr>
      </w:pPr>
      <w:r>
        <w:rPr>
          <w:rFonts w:hint="eastAsia" w:ascii="宋体" w:hAnsi="宋体" w:cs="宋体"/>
          <w:color w:val="auto"/>
          <w:highlight w:val="none"/>
        </w:rPr>
        <w:t>（10）承包人应履行的其他义务：</w:t>
      </w:r>
      <w:r>
        <w:rPr>
          <w:rFonts w:hint="eastAsia" w:ascii="宋体" w:hAnsi="宋体" w:cs="宋体"/>
          <w:color w:val="auto"/>
          <w:highlight w:val="none"/>
          <w:u w:val="single"/>
        </w:rPr>
        <w:t>a、在图纸会审后7天内，向监理工程师提交如下资料：</w:t>
      </w:r>
      <w:r>
        <w:rPr>
          <w:rFonts w:hint="eastAsia" w:ascii="宋体" w:hAnsi="宋体" w:cs="宋体"/>
          <w:color w:val="auto"/>
          <w:highlight w:val="none"/>
          <w:u w:val="single"/>
        </w:rPr>
        <w:fldChar w:fldCharType="begin"/>
      </w:r>
      <w:r>
        <w:rPr>
          <w:rFonts w:hint="eastAsia" w:ascii="宋体" w:hAnsi="宋体" w:cs="宋体"/>
          <w:color w:val="auto"/>
          <w:highlight w:val="none"/>
          <w:u w:val="single"/>
        </w:rPr>
        <w:instrText xml:space="preserve"> = 1 \* GB3 </w:instrText>
      </w:r>
      <w:r>
        <w:rPr>
          <w:rFonts w:hint="eastAsia" w:ascii="宋体" w:hAnsi="宋体" w:cs="宋体"/>
          <w:color w:val="auto"/>
          <w:highlight w:val="none"/>
          <w:u w:val="single"/>
        </w:rPr>
        <w:fldChar w:fldCharType="separate"/>
      </w:r>
      <w:r>
        <w:rPr>
          <w:rFonts w:hint="eastAsia" w:ascii="宋体" w:hAnsi="宋体" w:cs="宋体"/>
          <w:color w:val="auto"/>
          <w:highlight w:val="none"/>
          <w:u w:val="single"/>
        </w:rPr>
        <w:t>①</w:t>
      </w:r>
      <w:r>
        <w:rPr>
          <w:rFonts w:hint="eastAsia" w:ascii="宋体" w:hAnsi="宋体" w:cs="宋体"/>
          <w:color w:val="auto"/>
          <w:highlight w:val="none"/>
          <w:u w:val="single"/>
        </w:rPr>
        <w:fldChar w:fldCharType="end"/>
      </w:r>
      <w:r>
        <w:rPr>
          <w:rFonts w:hint="eastAsia" w:ascii="宋体" w:hAnsi="宋体" w:cs="宋体"/>
          <w:color w:val="auto"/>
          <w:highlight w:val="none"/>
          <w:u w:val="single"/>
        </w:rPr>
        <w:t>符合本合同工期及发包人要求的施工组织设计；</w:t>
      </w:r>
      <w:r>
        <w:rPr>
          <w:rFonts w:hint="eastAsia" w:ascii="宋体" w:hAnsi="宋体" w:cs="宋体"/>
          <w:color w:val="auto"/>
          <w:highlight w:val="none"/>
          <w:u w:val="single"/>
        </w:rPr>
        <w:fldChar w:fldCharType="begin"/>
      </w:r>
      <w:r>
        <w:rPr>
          <w:rFonts w:hint="eastAsia" w:ascii="宋体" w:hAnsi="宋体" w:cs="宋体"/>
          <w:color w:val="auto"/>
          <w:highlight w:val="none"/>
          <w:u w:val="single"/>
        </w:rPr>
        <w:instrText xml:space="preserve"> = 2 \* GB3 </w:instrText>
      </w:r>
      <w:r>
        <w:rPr>
          <w:rFonts w:hint="eastAsia" w:ascii="宋体" w:hAnsi="宋体" w:cs="宋体"/>
          <w:color w:val="auto"/>
          <w:highlight w:val="none"/>
          <w:u w:val="single"/>
        </w:rPr>
        <w:fldChar w:fldCharType="separate"/>
      </w:r>
      <w:r>
        <w:rPr>
          <w:rFonts w:hint="eastAsia" w:ascii="宋体" w:hAnsi="宋体" w:cs="宋体"/>
          <w:color w:val="auto"/>
          <w:highlight w:val="none"/>
          <w:u w:val="single"/>
        </w:rPr>
        <w:t>②</w:t>
      </w:r>
      <w:r>
        <w:rPr>
          <w:rFonts w:hint="eastAsia" w:ascii="宋体" w:hAnsi="宋体" w:cs="宋体"/>
          <w:color w:val="auto"/>
          <w:highlight w:val="none"/>
          <w:u w:val="single"/>
        </w:rPr>
        <w:fldChar w:fldCharType="end"/>
      </w:r>
      <w:r>
        <w:rPr>
          <w:rFonts w:hint="eastAsia" w:ascii="宋体" w:hAnsi="宋体" w:cs="宋体"/>
          <w:color w:val="auto"/>
          <w:highlight w:val="none"/>
          <w:u w:val="single"/>
        </w:rPr>
        <w:t>施工进度计划；</w:t>
      </w:r>
      <w:r>
        <w:rPr>
          <w:rFonts w:hint="eastAsia" w:ascii="宋体" w:hAnsi="宋体" w:cs="宋体"/>
          <w:color w:val="auto"/>
          <w:highlight w:val="none"/>
          <w:u w:val="single"/>
        </w:rPr>
        <w:fldChar w:fldCharType="begin"/>
      </w:r>
      <w:r>
        <w:rPr>
          <w:rFonts w:hint="eastAsia" w:ascii="宋体" w:hAnsi="宋体" w:cs="宋体"/>
          <w:color w:val="auto"/>
          <w:highlight w:val="none"/>
          <w:u w:val="single"/>
        </w:rPr>
        <w:instrText xml:space="preserve"> = 3 \* GB3 </w:instrText>
      </w:r>
      <w:r>
        <w:rPr>
          <w:rFonts w:hint="eastAsia" w:ascii="宋体" w:hAnsi="宋体" w:cs="宋体"/>
          <w:color w:val="auto"/>
          <w:highlight w:val="none"/>
          <w:u w:val="single"/>
        </w:rPr>
        <w:fldChar w:fldCharType="separate"/>
      </w:r>
      <w:r>
        <w:rPr>
          <w:rFonts w:hint="eastAsia" w:ascii="宋体" w:hAnsi="宋体" w:cs="宋体"/>
          <w:color w:val="auto"/>
          <w:highlight w:val="none"/>
          <w:u w:val="single"/>
        </w:rPr>
        <w:t>③</w:t>
      </w:r>
      <w:r>
        <w:rPr>
          <w:rFonts w:hint="eastAsia" w:ascii="宋体" w:hAnsi="宋体" w:cs="宋体"/>
          <w:color w:val="auto"/>
          <w:highlight w:val="none"/>
          <w:u w:val="single"/>
        </w:rPr>
        <w:fldChar w:fldCharType="end"/>
      </w:r>
      <w:r>
        <w:rPr>
          <w:rFonts w:hint="eastAsia" w:ascii="宋体" w:hAnsi="宋体" w:cs="宋体"/>
          <w:color w:val="auto"/>
          <w:highlight w:val="none"/>
          <w:u w:val="single"/>
        </w:rPr>
        <w:t>管理人员名单、职称（职务）、上岗证（操作证）、资料员姓名；</w:t>
      </w:r>
      <w:r>
        <w:rPr>
          <w:rFonts w:hint="eastAsia" w:ascii="宋体" w:hAnsi="宋体" w:cs="宋体"/>
          <w:color w:val="auto"/>
          <w:highlight w:val="none"/>
          <w:u w:val="single"/>
        </w:rPr>
        <w:fldChar w:fldCharType="begin"/>
      </w:r>
      <w:r>
        <w:rPr>
          <w:rFonts w:hint="eastAsia" w:ascii="宋体" w:hAnsi="宋体" w:cs="宋体"/>
          <w:color w:val="auto"/>
          <w:highlight w:val="none"/>
          <w:u w:val="single"/>
        </w:rPr>
        <w:instrText xml:space="preserve"> = 4 \* GB3 </w:instrText>
      </w:r>
      <w:r>
        <w:rPr>
          <w:rFonts w:hint="eastAsia" w:ascii="宋体" w:hAnsi="宋体" w:cs="宋体"/>
          <w:color w:val="auto"/>
          <w:highlight w:val="none"/>
          <w:u w:val="single"/>
        </w:rPr>
        <w:fldChar w:fldCharType="separate"/>
      </w:r>
      <w:r>
        <w:rPr>
          <w:rFonts w:hint="eastAsia" w:ascii="宋体" w:hAnsi="宋体" w:cs="宋体"/>
          <w:color w:val="auto"/>
          <w:highlight w:val="none"/>
          <w:u w:val="single"/>
        </w:rPr>
        <w:t>④</w:t>
      </w:r>
      <w:r>
        <w:rPr>
          <w:rFonts w:hint="eastAsia" w:ascii="宋体" w:hAnsi="宋体" w:cs="宋体"/>
          <w:color w:val="auto"/>
          <w:highlight w:val="none"/>
          <w:u w:val="single"/>
        </w:rPr>
        <w:fldChar w:fldCharType="end"/>
      </w:r>
      <w:r>
        <w:rPr>
          <w:rFonts w:hint="eastAsia" w:ascii="宋体" w:hAnsi="宋体" w:cs="宋体"/>
          <w:color w:val="auto"/>
          <w:highlight w:val="none"/>
          <w:u w:val="single"/>
        </w:rPr>
        <w:t>安全文明施工措施；</w:t>
      </w:r>
      <w:r>
        <w:rPr>
          <w:rFonts w:hint="eastAsia" w:ascii="宋体" w:hAnsi="宋体" w:cs="宋体"/>
          <w:color w:val="auto"/>
          <w:highlight w:val="none"/>
          <w:u w:val="single"/>
        </w:rPr>
        <w:fldChar w:fldCharType="begin"/>
      </w:r>
      <w:r>
        <w:rPr>
          <w:rFonts w:hint="eastAsia" w:ascii="宋体" w:hAnsi="宋体" w:cs="宋体"/>
          <w:color w:val="auto"/>
          <w:highlight w:val="none"/>
          <w:u w:val="single"/>
        </w:rPr>
        <w:instrText xml:space="preserve"> = 5 \* GB3 </w:instrText>
      </w:r>
      <w:r>
        <w:rPr>
          <w:rFonts w:hint="eastAsia" w:ascii="宋体" w:hAnsi="宋体" w:cs="宋体"/>
          <w:color w:val="auto"/>
          <w:highlight w:val="none"/>
          <w:u w:val="single"/>
        </w:rPr>
        <w:fldChar w:fldCharType="separate"/>
      </w:r>
      <w:r>
        <w:rPr>
          <w:rFonts w:hint="eastAsia" w:ascii="宋体" w:hAnsi="宋体" w:cs="宋体"/>
          <w:color w:val="auto"/>
          <w:highlight w:val="none"/>
          <w:u w:val="single"/>
        </w:rPr>
        <w:t>⑤</w:t>
      </w:r>
      <w:r>
        <w:rPr>
          <w:rFonts w:hint="eastAsia" w:ascii="宋体" w:hAnsi="宋体" w:cs="宋体"/>
          <w:color w:val="auto"/>
          <w:highlight w:val="none"/>
          <w:u w:val="single"/>
        </w:rPr>
        <w:fldChar w:fldCharType="end"/>
      </w:r>
      <w:r>
        <w:rPr>
          <w:rFonts w:hint="eastAsia" w:ascii="宋体" w:hAnsi="宋体" w:cs="宋体"/>
          <w:color w:val="auto"/>
          <w:highlight w:val="none"/>
          <w:u w:val="single"/>
        </w:rPr>
        <w:t>质量保证体系；⑥、每月25日前提供当月施工统计报表和下月进度计划各一份交监理及业主。</w:t>
      </w:r>
    </w:p>
    <w:p w14:paraId="6BFA1740">
      <w:pPr>
        <w:pageBreakBefore w:val="0"/>
        <w:kinsoku/>
        <w:overflowPunct/>
        <w:bidi w:val="0"/>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b、</w:t>
      </w:r>
      <w:r>
        <w:rPr>
          <w:rFonts w:hint="eastAsia" w:ascii="宋体" w:hAnsi="宋体" w:cs="宋体"/>
          <w:color w:val="auto"/>
          <w:highlight w:val="none"/>
          <w:u w:val="single"/>
        </w:rPr>
        <w:t>承包人应按建设行政管理部门和相关部门的要求，自费承担施工安全保卫工作（含警卫）和提供相应设施（如护板、围栏等），以保护公共安全，并提供方便，发包人不再另行签证费用。</w:t>
      </w:r>
    </w:p>
    <w:p w14:paraId="418CF570">
      <w:pPr>
        <w:pageBreakBefore w:val="0"/>
        <w:kinsoku/>
        <w:overflowPunct/>
        <w:bidi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c</w:t>
      </w:r>
      <w:r>
        <w:rPr>
          <w:rFonts w:hint="eastAsia" w:ascii="宋体" w:hAnsi="宋体" w:cs="宋体"/>
          <w:bCs/>
          <w:color w:val="auto"/>
          <w:highlight w:val="none"/>
        </w:rPr>
        <w:t>、</w:t>
      </w:r>
      <w:r>
        <w:rPr>
          <w:rFonts w:hint="eastAsia" w:ascii="宋体" w:hAnsi="宋体" w:cs="宋体"/>
          <w:color w:val="auto"/>
          <w:highlight w:val="none"/>
        </w:rPr>
        <w:t>需承包人办理的有关施工场地交通、环卫和施工噪音管理等手续：</w:t>
      </w:r>
      <w:r>
        <w:rPr>
          <w:rFonts w:hint="eastAsia" w:ascii="宋体" w:hAnsi="宋体" w:cs="宋体"/>
          <w:color w:val="auto"/>
          <w:highlight w:val="none"/>
          <w:u w:val="single"/>
          <w:lang w:val="zh-CN"/>
        </w:rPr>
        <w:t>①办理交通特别通行证；②环卫部门规定的施工场地卫生手续；③城管部门手续(占道手续除外)；④建设行政主管部门手续(费用承担按工程项目当地造价站的计价文件规定执行)；⑤环保局夜间施工及噪声；</w:t>
      </w:r>
      <w:r>
        <w:rPr>
          <w:rFonts w:hint="eastAsia" w:ascii="宋体" w:hAnsi="宋体" w:cs="宋体"/>
          <w:color w:val="auto"/>
          <w:highlight w:val="none"/>
          <w:u w:val="single"/>
          <w:lang w:val="zh-CN"/>
        </w:rPr>
        <w:fldChar w:fldCharType="begin"/>
      </w:r>
      <w:r>
        <w:rPr>
          <w:rFonts w:hint="eastAsia" w:ascii="宋体" w:hAnsi="宋体" w:cs="宋体"/>
          <w:color w:val="auto"/>
          <w:highlight w:val="none"/>
          <w:u w:val="single"/>
          <w:lang w:val="zh-CN"/>
        </w:rPr>
        <w:instrText xml:space="preserve"> = 6 \* GB3 </w:instrText>
      </w:r>
      <w:r>
        <w:rPr>
          <w:rFonts w:hint="eastAsia" w:ascii="宋体" w:hAnsi="宋体" w:cs="宋体"/>
          <w:color w:val="auto"/>
          <w:highlight w:val="none"/>
          <w:u w:val="single"/>
          <w:lang w:val="zh-CN"/>
        </w:rPr>
        <w:fldChar w:fldCharType="separate"/>
      </w:r>
      <w:r>
        <w:rPr>
          <w:rFonts w:hint="eastAsia" w:ascii="宋体" w:hAnsi="宋体" w:cs="宋体"/>
          <w:color w:val="auto"/>
          <w:highlight w:val="none"/>
          <w:u w:val="single"/>
          <w:lang w:val="zh-CN"/>
        </w:rPr>
        <w:t>⑥</w:t>
      </w:r>
      <w:r>
        <w:rPr>
          <w:rFonts w:hint="eastAsia" w:ascii="宋体" w:hAnsi="宋体" w:cs="宋体"/>
          <w:color w:val="auto"/>
          <w:highlight w:val="none"/>
          <w:u w:val="single"/>
          <w:lang w:val="zh-CN"/>
        </w:rPr>
        <w:fldChar w:fldCharType="end"/>
      </w:r>
      <w:r>
        <w:rPr>
          <w:rFonts w:hint="eastAsia" w:ascii="宋体" w:hAnsi="宋体" w:cs="宋体"/>
          <w:color w:val="auto"/>
          <w:highlight w:val="none"/>
          <w:u w:val="single"/>
          <w:lang w:val="zh-CN"/>
        </w:rPr>
        <w:t>办理排污许可证（缴纳排污费）等手续；办理上述相关手续所需费用由承包人承担，</w:t>
      </w:r>
      <w:r>
        <w:rPr>
          <w:rFonts w:hint="eastAsia" w:ascii="宋体" w:hAnsi="宋体" w:cs="宋体"/>
          <w:color w:val="auto"/>
          <w:highlight w:val="none"/>
          <w:u w:val="single"/>
        </w:rPr>
        <w:t>并且承担由于非发包人原因违反规定引起的罚款或超标费用。</w:t>
      </w:r>
      <w:r>
        <w:rPr>
          <w:rFonts w:hint="eastAsia" w:ascii="宋体" w:hAnsi="宋体" w:cs="宋体"/>
          <w:color w:val="auto"/>
          <w:highlight w:val="none"/>
          <w:u w:val="single"/>
          <w:lang w:val="zh-CN"/>
        </w:rPr>
        <w:t>负责</w:t>
      </w:r>
      <w:r>
        <w:rPr>
          <w:rFonts w:hint="eastAsia" w:ascii="宋体" w:hAnsi="宋体" w:cs="宋体"/>
          <w:color w:val="auto"/>
          <w:highlight w:val="none"/>
          <w:u w:val="single"/>
        </w:rPr>
        <w:t>协调施工场内、场外与施工有关的各种关系，办理合同约定应由承包人办理的各种证件、批件</w:t>
      </w:r>
      <w:r>
        <w:rPr>
          <w:rFonts w:hint="eastAsia" w:ascii="宋体" w:hAnsi="宋体" w:cs="宋体"/>
          <w:color w:val="auto"/>
          <w:highlight w:val="none"/>
        </w:rPr>
        <w:t>。</w:t>
      </w:r>
    </w:p>
    <w:p w14:paraId="52E09029">
      <w:pPr>
        <w:pageBreakBefore w:val="0"/>
        <w:kinsoku/>
        <w:overflowPunct/>
        <w:autoSpaceDE w:val="0"/>
        <w:autoSpaceDN w:val="0"/>
        <w:bidi w:val="0"/>
        <w:adjustRightInd w:val="0"/>
        <w:spacing w:line="360" w:lineRule="auto"/>
        <w:ind w:firstLine="420" w:firstLineChars="200"/>
        <w:outlineLvl w:val="0"/>
        <w:rPr>
          <w:rFonts w:hint="eastAsia" w:ascii="宋体" w:hAnsi="宋体" w:cs="宋体"/>
          <w:color w:val="auto"/>
          <w:highlight w:val="none"/>
          <w:u w:val="single"/>
        </w:rPr>
      </w:pPr>
      <w:bookmarkStart w:id="304" w:name="_Toc2740"/>
      <w:bookmarkStart w:id="305" w:name="_Toc520505854"/>
      <w:r>
        <w:rPr>
          <w:rFonts w:hint="eastAsia" w:ascii="宋体" w:hAnsi="宋体" w:cs="宋体"/>
          <w:color w:val="auto"/>
          <w:highlight w:val="none"/>
        </w:rPr>
        <w:t>d、施工场地周围地下管线和邻近建筑物、构筑物（含文物保护建筑）、古树名木的保护要求及费用承担：</w:t>
      </w:r>
      <w:r>
        <w:rPr>
          <w:rFonts w:hint="eastAsia" w:ascii="宋体" w:hAnsi="宋体" w:cs="宋体"/>
          <w:color w:val="auto"/>
          <w:highlight w:val="none"/>
          <w:u w:val="single"/>
        </w:rPr>
        <w:t>在发包人向承包人提供本工程占地处的地下管线图后，由承包人按有关部门要求进行保护，提出相应的保护措施，报请监理工程师和发包人审批，费用经监理工程师审核，发包人审定后支付。如因承包人原因造成损失的费用由承包人承担。</w:t>
      </w:r>
      <w:bookmarkEnd w:id="304"/>
      <w:bookmarkEnd w:id="305"/>
    </w:p>
    <w:p w14:paraId="6C3F79F4">
      <w:pPr>
        <w:pageBreakBefore w:val="0"/>
        <w:kinsoku/>
        <w:overflowPunct/>
        <w:autoSpaceDE w:val="0"/>
        <w:autoSpaceDN w:val="0"/>
        <w:bidi w:val="0"/>
        <w:adjustRightInd w:val="0"/>
        <w:spacing w:line="360" w:lineRule="auto"/>
        <w:ind w:firstLine="420" w:firstLineChars="200"/>
        <w:outlineLvl w:val="0"/>
        <w:rPr>
          <w:rFonts w:hint="eastAsia" w:ascii="宋体" w:hAnsi="宋体" w:cs="宋体"/>
          <w:color w:val="auto"/>
          <w:highlight w:val="none"/>
        </w:rPr>
      </w:pPr>
      <w:bookmarkStart w:id="306" w:name="_Toc520505855"/>
      <w:bookmarkStart w:id="307" w:name="_Toc14602"/>
      <w:r>
        <w:rPr>
          <w:rFonts w:hint="eastAsia" w:ascii="宋体" w:hAnsi="宋体" w:cs="宋体"/>
          <w:color w:val="auto"/>
          <w:highlight w:val="none"/>
        </w:rPr>
        <w:t>e、施工场地清洁卫生的要求：</w:t>
      </w:r>
      <w:r>
        <w:rPr>
          <w:rFonts w:hint="eastAsia" w:ascii="宋体" w:hAnsi="宋体" w:cs="宋体"/>
          <w:color w:val="auto"/>
          <w:highlight w:val="none"/>
          <w:u w:val="single"/>
        </w:rPr>
        <w:t>按桂林市有关文明施工规定执行，配置保洁人员，保证施工场地及其有关的环境卫生符合市容要求，做到工完场清。承包人负责施工期间至竣工验收合格交付发包人前的承包范围内的卫生保洁工作，要求室内外环境卫生打扫干净符合发包人要求方能交付。如未能达到现行相关建筑工程安全、文明施工管理规定的，发包人有权扣除该事项需要费用</w:t>
      </w:r>
      <w:r>
        <w:rPr>
          <w:rFonts w:hint="eastAsia" w:ascii="宋体" w:hAnsi="宋体" w:cs="宋体"/>
          <w:color w:val="auto"/>
          <w:highlight w:val="none"/>
        </w:rPr>
        <w:t>。</w:t>
      </w:r>
      <w:bookmarkEnd w:id="306"/>
      <w:bookmarkEnd w:id="307"/>
    </w:p>
    <w:p w14:paraId="22823E96">
      <w:pPr>
        <w:pageBreakBefore w:val="0"/>
        <w:kinsoku/>
        <w:overflowPunct/>
        <w:autoSpaceDE w:val="0"/>
        <w:autoSpaceDN w:val="0"/>
        <w:bidi w:val="0"/>
        <w:adjustRightInd w:val="0"/>
        <w:spacing w:line="360" w:lineRule="auto"/>
        <w:ind w:firstLine="411" w:firstLineChars="196"/>
        <w:outlineLvl w:val="0"/>
        <w:rPr>
          <w:rFonts w:hint="eastAsia" w:ascii="宋体" w:hAnsi="宋体" w:cs="宋体"/>
          <w:color w:val="auto"/>
          <w:highlight w:val="none"/>
          <w:u w:val="single"/>
        </w:rPr>
      </w:pPr>
      <w:bookmarkStart w:id="308" w:name="_Toc520505856"/>
      <w:bookmarkStart w:id="309" w:name="_Toc12069"/>
      <w:r>
        <w:rPr>
          <w:rFonts w:hint="eastAsia" w:ascii="宋体" w:hAnsi="宋体" w:cs="宋体"/>
          <w:color w:val="auto"/>
          <w:highlight w:val="none"/>
        </w:rPr>
        <w:t>f、已完工程成品保护的特殊要求及费用承担：</w:t>
      </w:r>
      <w:bookmarkStart w:id="310" w:name="_Toc374021429"/>
      <w:r>
        <w:rPr>
          <w:rFonts w:hint="eastAsia" w:ascii="宋体" w:hAnsi="宋体" w:cs="宋体"/>
          <w:color w:val="auto"/>
          <w:highlight w:val="none"/>
          <w:u w:val="single"/>
        </w:rPr>
        <w:t>从开工之日起，承包人应全面负责照管本合同工程及将用于和施工在本合同工程中的材料、设备直到本合同工程《工程质量保修书》签发之日为止，并承担此期间发生的相关费用。</w:t>
      </w:r>
      <w:bookmarkEnd w:id="308"/>
      <w:bookmarkEnd w:id="309"/>
      <w:bookmarkEnd w:id="310"/>
    </w:p>
    <w:p w14:paraId="2766759E">
      <w:pPr>
        <w:pageBreakBefore w:val="0"/>
        <w:kinsoku/>
        <w:overflowPunct/>
        <w:bidi w:val="0"/>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h、双方约定承包人应做的其他工作：</w:t>
      </w:r>
      <w:r>
        <w:rPr>
          <w:rFonts w:hint="eastAsia" w:ascii="宋体" w:hAnsi="宋体" w:cs="宋体"/>
          <w:color w:val="auto"/>
          <w:highlight w:val="none"/>
          <w:u w:val="single"/>
        </w:rPr>
        <w:t>1、承包人应负责其施工区域内工地现场临时设施、道路、管线的施工和保养，从发包人指定的水电接驳点接驳施工用水用电，并有义务采取措施避免工程施工对红线范围内地下管线造成破坏；2、承包人对本工程的质量、进度、安全及文明施工、成品保护、现场保安等负有不可推卸的管理责任。</w:t>
      </w:r>
    </w:p>
    <w:p w14:paraId="1A31C36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u w:val="single"/>
        </w:rPr>
        <w:t>g、其他：墙改、散装水泥及城建档案资料等保证金或押金由发包人负责缴纳，承包人应根据发包人要求提供合法发票及合格的资料。否则由于承包人原因造成有关保证金或押金未能全部退回的，扣除部分的保证金或押金由承包人负责，发包人有权从应支付承包人的任何工程款项中扣除。</w:t>
      </w:r>
      <w:r>
        <w:rPr>
          <w:rFonts w:hint="eastAsia" w:ascii="宋体" w:hAnsi="宋体" w:cs="宋体"/>
          <w:color w:val="auto"/>
          <w:szCs w:val="22"/>
          <w:highlight w:val="none"/>
        </w:rPr>
        <w:t>。</w:t>
      </w:r>
    </w:p>
    <w:p w14:paraId="36DA9A02">
      <w:pPr>
        <w:pStyle w:val="41"/>
        <w:pageBreakBefore w:val="0"/>
        <w:kinsoku/>
        <w:overflowPunct/>
        <w:bidi w:val="0"/>
        <w:spacing w:before="0" w:after="0" w:line="360" w:lineRule="auto"/>
        <w:rPr>
          <w:rFonts w:hint="eastAsia" w:ascii="宋体" w:cs="宋体"/>
          <w:color w:val="auto"/>
          <w:sz w:val="22"/>
          <w:szCs w:val="22"/>
          <w:highlight w:val="none"/>
        </w:rPr>
      </w:pPr>
      <w:bookmarkStart w:id="311" w:name="_Toc406522228"/>
      <w:bookmarkStart w:id="312" w:name="_Toc520505857"/>
      <w:bookmarkStart w:id="313" w:name="_Toc22765"/>
      <w:r>
        <w:rPr>
          <w:rFonts w:hint="eastAsia" w:ascii="宋体" w:cs="宋体"/>
          <w:color w:val="auto"/>
          <w:sz w:val="22"/>
          <w:szCs w:val="22"/>
          <w:highlight w:val="none"/>
        </w:rPr>
        <w:t>3.2 项目经理</w:t>
      </w:r>
      <w:bookmarkEnd w:id="311"/>
      <w:bookmarkEnd w:id="312"/>
      <w:bookmarkEnd w:id="313"/>
    </w:p>
    <w:p w14:paraId="11CD027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3.2.1 项目经理：</w:t>
      </w:r>
    </w:p>
    <w:p w14:paraId="38062CA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姓    名：</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7AC05DF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身份证号：</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48AA402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建造师执业资格等级：</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7DAC407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建造师注册证书号：</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281D134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建造师执业印章号：</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642825A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安全生产考核合格证书号：</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0FC2118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联系电话：</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2FFFE9B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电子信箱：</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2DE14AB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通信地址：</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1BB0048A">
      <w:pPr>
        <w:pageBreakBefore w:val="0"/>
        <w:kinsoku/>
        <w:wordWrap w:val="0"/>
        <w:overflowPunct/>
        <w:bidi w:val="0"/>
        <w:spacing w:line="360" w:lineRule="auto"/>
        <w:ind w:left="508" w:leftChars="242"/>
        <w:rPr>
          <w:rFonts w:hint="eastAsia" w:ascii="宋体" w:hAnsi="宋体" w:cs="宋体"/>
          <w:color w:val="auto"/>
          <w:highlight w:val="none"/>
          <w:u w:val="singl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（1）对本工程的施工进行全面管理，包括对</w:t>
      </w:r>
    </w:p>
    <w:p w14:paraId="5172E017">
      <w:pPr>
        <w:pageBreakBefore w:val="0"/>
        <w:kinsoku/>
        <w:wordWrap w:val="0"/>
        <w:overflowPunct/>
        <w:bidi w:val="0"/>
        <w:spacing w:line="360" w:lineRule="auto"/>
        <w:rPr>
          <w:rFonts w:hint="eastAsia" w:ascii="宋体" w:hAnsi="宋体" w:cs="宋体"/>
          <w:color w:val="auto"/>
          <w:highlight w:val="none"/>
          <w:u w:val="single"/>
        </w:rPr>
      </w:pPr>
      <w:r>
        <w:rPr>
          <w:rFonts w:hint="eastAsia" w:ascii="宋体" w:hAnsi="宋体" w:cs="宋体"/>
          <w:color w:val="auto"/>
          <w:highlight w:val="none"/>
          <w:u w:val="single"/>
        </w:rPr>
        <w:t>工程质量、进度、安全、成本等进行管理，行使施工合同约定的权利，履行施工合同约定的义务；（2）经发包人同意分包的专业工程，项目经理参与选择并使用具有相应资质的分包人（由发包人指定分包的除外）；（3）施工合同约定由承包人采购的材料、工程设备，项目经理参与选择物资供应单位；（4）代表承包人应工程施工中的相关事务（本授权第一项约定的事务）进行协商，代表承包人参加发包人组织与本工程有关会议；（5）负责与发包人、监理人办理设计变更、现场签证等手续，及时办理本工程相关索赔；（6）负责签收发包人、监理人往来函件，承包人的要求、通知均应以书面形式由承包人项目经理签字并加盖承包人公司公章后递交发包人；（7）代表承包人接受监理工程师或发包人现场代表发出的指示和指令。</w:t>
      </w:r>
    </w:p>
    <w:p w14:paraId="7C4D182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u w:val="single"/>
        </w:rPr>
        <w:t>但未经承包人盖章同意不得以承包人和（或本工程项目部）名义向外融资、采购材料设备、租用建筑周转材料、雇佣劳动力、签订分包合同等从事一切为承包人设立义务或责任的行为。</w:t>
      </w:r>
      <w:r>
        <w:rPr>
          <w:rFonts w:hint="eastAsia" w:ascii="宋体" w:hAnsi="宋体" w:cs="宋体"/>
          <w:color w:val="auto"/>
          <w:szCs w:val="22"/>
          <w:highlight w:val="none"/>
        </w:rPr>
        <w:t>。</w:t>
      </w:r>
    </w:p>
    <w:p w14:paraId="13717456">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关于项目经理每月在施工现场的时间要求：</w:t>
      </w:r>
      <w:r>
        <w:rPr>
          <w:rFonts w:hint="eastAsia" w:ascii="宋体" w:hAnsi="宋体" w:cs="宋体"/>
          <w:color w:val="auto"/>
          <w:highlight w:val="none"/>
          <w:u w:val="single"/>
        </w:rPr>
        <w:t>项目经理每月在岗带班时间不得少于当月施工时间的80%。</w:t>
      </w:r>
      <w:r>
        <w:rPr>
          <w:rFonts w:hint="eastAsia" w:ascii="宋体" w:hAnsi="宋体" w:cs="宋体"/>
          <w:color w:val="auto"/>
          <w:szCs w:val="22"/>
          <w:highlight w:val="none"/>
          <w:u w:val="single"/>
        </w:rPr>
        <w:t>　</w:t>
      </w:r>
    </w:p>
    <w:p w14:paraId="2BBA27FF">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项目经理未经批准，擅自离开施工现场的违约责任：</w:t>
      </w:r>
      <w:r>
        <w:rPr>
          <w:rFonts w:hint="eastAsia" w:ascii="宋体" w:hAnsi="宋体" w:cs="宋体"/>
          <w:color w:val="auto"/>
          <w:szCs w:val="22"/>
          <w:highlight w:val="none"/>
          <w:u w:val="single"/>
        </w:rPr>
        <w:t xml:space="preserve">项目经理每月在岗带班时间不得少于当月施工时间的80%。未经发包人同意或正当理由，项目经理每月在岗带班时间少于当月施工时间80%的，少在岗带班一天，发包人有权处违约金500元/日（人民币）  </w:t>
      </w:r>
      <w:r>
        <w:rPr>
          <w:rFonts w:hint="eastAsia" w:ascii="宋体" w:hAnsi="宋体" w:cs="宋体"/>
          <w:color w:val="auto"/>
          <w:szCs w:val="22"/>
          <w:highlight w:val="none"/>
        </w:rPr>
        <w:t>。</w:t>
      </w:r>
    </w:p>
    <w:p w14:paraId="39A5EBA4">
      <w:pPr>
        <w:pStyle w:val="42"/>
        <w:pageBreakBefore w:val="0"/>
        <w:kinsoku/>
        <w:overflowPunct/>
        <w:bidi w:val="0"/>
        <w:spacing w:line="360" w:lineRule="auto"/>
        <w:ind w:firstLine="315" w:firstLineChars="150"/>
        <w:rPr>
          <w:rFonts w:hint="eastAsia" w:ascii="宋体" w:hAnsi="宋体" w:cs="宋体"/>
          <w:color w:val="auto"/>
          <w:szCs w:val="22"/>
          <w:highlight w:val="none"/>
        </w:rPr>
      </w:pPr>
      <w:r>
        <w:rPr>
          <w:rFonts w:hint="eastAsia" w:ascii="宋体" w:hAnsi="宋体" w:cs="宋体"/>
          <w:color w:val="auto"/>
          <w:szCs w:val="22"/>
          <w:highlight w:val="none"/>
        </w:rPr>
        <w:t>承包人未提交劳动合同，以及没有为项目经理缴纳社会保险证明的违约责任：</w:t>
      </w:r>
      <w:r>
        <w:rPr>
          <w:rFonts w:hint="eastAsia" w:ascii="宋体" w:hAnsi="宋体" w:cs="宋体"/>
          <w:color w:val="auto"/>
          <w:highlight w:val="none"/>
          <w:u w:val="single"/>
        </w:rPr>
        <w:t>承包人承担10000元的违约金，责令限期提交劳动合同并补缴社会保险</w:t>
      </w:r>
      <w:r>
        <w:rPr>
          <w:rFonts w:hint="eastAsia" w:ascii="宋体" w:hAnsi="宋体" w:cs="宋体"/>
          <w:color w:val="auto"/>
          <w:szCs w:val="22"/>
          <w:highlight w:val="none"/>
        </w:rPr>
        <w:t>。</w:t>
      </w:r>
    </w:p>
    <w:p w14:paraId="0BEE72B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3.2.3 承包人擅自更换项目经理的违约责任：</w:t>
      </w:r>
      <w:r>
        <w:rPr>
          <w:rFonts w:hint="eastAsia" w:ascii="宋体" w:hAnsi="宋体" w:cs="宋体"/>
          <w:color w:val="auto"/>
          <w:szCs w:val="22"/>
          <w:highlight w:val="none"/>
          <w:u w:val="single"/>
        </w:rPr>
        <w:t>承包人项目经理必须与承包人磋商时所承诺的人员一致，并在 （成交后填写） 前到任。在监理人向承包人颁发（成交后填写）前，项目经理不得同时兼任其他任何项目的项目经理（符合桂建管﹝2013﹞17号和桂建管﹝2014﹞25号文除外）。未经发包人书面同意，承包人擅自更换项目经理的视为违约，违约金处5000元/人•次（人民币）</w:t>
      </w:r>
      <w:r>
        <w:rPr>
          <w:rFonts w:hint="eastAsia" w:ascii="宋体" w:hAnsi="宋体" w:cs="宋体"/>
          <w:color w:val="auto"/>
          <w:szCs w:val="22"/>
          <w:highlight w:val="none"/>
        </w:rPr>
        <w:t>。</w:t>
      </w:r>
    </w:p>
    <w:p w14:paraId="0199A49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3.2.4 承包人无正当理由拒绝更换项目经理的违约责任：</w:t>
      </w:r>
      <w:r>
        <w:rPr>
          <w:rFonts w:hint="eastAsia" w:ascii="宋体" w:hAnsi="宋体" w:cs="宋体"/>
          <w:color w:val="auto"/>
          <w:szCs w:val="22"/>
          <w:highlight w:val="none"/>
          <w:u w:val="single"/>
        </w:rPr>
        <w:t>因承包人项目经理不称职，发包人要求调换而未及时调换的，视为承包人违约，必须向发包人交纳处罚金5000元/人•次（人民币）</w:t>
      </w:r>
      <w:r>
        <w:rPr>
          <w:rFonts w:hint="eastAsia" w:ascii="宋体" w:hAnsi="宋体" w:cs="宋体"/>
          <w:color w:val="auto"/>
          <w:szCs w:val="22"/>
          <w:highlight w:val="none"/>
        </w:rPr>
        <w:t>。</w:t>
      </w:r>
    </w:p>
    <w:p w14:paraId="3B2D752B">
      <w:pPr>
        <w:pStyle w:val="41"/>
        <w:pageBreakBefore w:val="0"/>
        <w:kinsoku/>
        <w:overflowPunct/>
        <w:bidi w:val="0"/>
        <w:spacing w:before="0" w:after="0" w:line="360" w:lineRule="auto"/>
        <w:rPr>
          <w:rFonts w:hint="eastAsia" w:ascii="宋体" w:cs="宋体"/>
          <w:color w:val="auto"/>
          <w:sz w:val="22"/>
          <w:szCs w:val="22"/>
          <w:highlight w:val="none"/>
        </w:rPr>
      </w:pPr>
      <w:bookmarkStart w:id="314" w:name="_Toc389065275"/>
      <w:bookmarkStart w:id="315" w:name="_Toc18684"/>
      <w:bookmarkStart w:id="316" w:name="_Toc373227709"/>
      <w:bookmarkStart w:id="317" w:name="_Toc520505858"/>
      <w:bookmarkStart w:id="318" w:name="_Toc373478356"/>
      <w:bookmarkStart w:id="319" w:name="_Toc395382511"/>
      <w:bookmarkStart w:id="320" w:name="_Toc406522229"/>
      <w:r>
        <w:rPr>
          <w:rFonts w:hint="eastAsia" w:ascii="宋体" w:cs="宋体"/>
          <w:color w:val="auto"/>
          <w:sz w:val="22"/>
          <w:szCs w:val="22"/>
          <w:highlight w:val="none"/>
        </w:rPr>
        <w:t>3.3 承包人人员</w:t>
      </w:r>
      <w:bookmarkEnd w:id="314"/>
      <w:bookmarkEnd w:id="315"/>
      <w:bookmarkEnd w:id="316"/>
      <w:bookmarkEnd w:id="317"/>
      <w:bookmarkEnd w:id="318"/>
      <w:bookmarkEnd w:id="319"/>
      <w:bookmarkEnd w:id="320"/>
    </w:p>
    <w:p w14:paraId="66E93A8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3.3.1 承包人提交项目管理机构及施工现场管理人员安排报告（格式见合同附件3）的期限：</w:t>
      </w:r>
      <w:r>
        <w:rPr>
          <w:rFonts w:hint="eastAsia" w:ascii="宋体" w:hAnsi="宋体" w:cs="宋体"/>
          <w:color w:val="auto"/>
          <w:szCs w:val="22"/>
          <w:highlight w:val="none"/>
          <w:u w:val="single"/>
        </w:rPr>
        <w:t>接到开工令后7日内</w:t>
      </w:r>
      <w:r>
        <w:rPr>
          <w:rFonts w:hint="eastAsia" w:ascii="宋体" w:hAnsi="宋体" w:cs="宋体"/>
          <w:color w:val="auto"/>
          <w:szCs w:val="22"/>
          <w:highlight w:val="none"/>
        </w:rPr>
        <w:t>。</w:t>
      </w:r>
    </w:p>
    <w:p w14:paraId="2296DA1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3.3.3 承包人无正当理由拒绝撤换主要施工管理人员的违约责任：</w:t>
      </w:r>
      <w:r>
        <w:rPr>
          <w:rFonts w:hint="eastAsia" w:ascii="宋体" w:hAnsi="宋体" w:cs="宋体"/>
          <w:color w:val="auto"/>
          <w:szCs w:val="22"/>
          <w:highlight w:val="none"/>
          <w:u w:val="single"/>
        </w:rPr>
        <w:t>因承包人主要施工管理人员不称职，发包人要求调换而无正当理由拒绝撤换或未及时调换的，视为承包人违约，必须向发包人交纳处罚金，处罚标准：技术负责人2000元/人•次（人民币）；专业工程师500元/人•次（人民币）</w:t>
      </w:r>
      <w:r>
        <w:rPr>
          <w:rFonts w:hint="eastAsia" w:ascii="宋体" w:hAnsi="宋体" w:cs="宋体"/>
          <w:color w:val="auto"/>
          <w:szCs w:val="22"/>
          <w:highlight w:val="none"/>
        </w:rPr>
        <w:t>。</w:t>
      </w:r>
    </w:p>
    <w:p w14:paraId="408BC07D">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3.3.4 承包人主要施工管理人员离开施工现场的批准要求：</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74AB6DC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3.3.5 承包人擅自更换主要施工管理人员的违约责任：</w:t>
      </w:r>
      <w:r>
        <w:rPr>
          <w:rFonts w:hint="eastAsia" w:ascii="宋体" w:hAnsi="宋体" w:cs="宋体"/>
          <w:color w:val="auto"/>
          <w:szCs w:val="22"/>
          <w:highlight w:val="none"/>
          <w:u w:val="single"/>
        </w:rPr>
        <w:t>项目技术负责人、专职安全员及其承诺的其它在场管理人员未经发包人书面同意不准擅自更换，擅自更换项目技术负责人处2000元/人•次（人民币）违约金；擅自更换专职安全员处1000元/人•次（人民币）违约金；擅自更换其它在场管理人员处500元/人•次（人民币）违约金</w:t>
      </w:r>
      <w:r>
        <w:rPr>
          <w:rFonts w:hint="eastAsia" w:ascii="宋体" w:hAnsi="宋体" w:cs="宋体"/>
          <w:color w:val="auto"/>
          <w:szCs w:val="22"/>
          <w:highlight w:val="none"/>
        </w:rPr>
        <w:t>。</w:t>
      </w:r>
    </w:p>
    <w:p w14:paraId="1D99002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承包人主要施工管理人员擅自离开施工现场的违约责任：</w:t>
      </w:r>
      <w:r>
        <w:rPr>
          <w:rFonts w:hint="eastAsia" w:ascii="宋体" w:hAnsi="宋体" w:cs="宋体"/>
          <w:color w:val="auto"/>
          <w:szCs w:val="22"/>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ascii="宋体" w:hAnsi="宋体" w:cs="宋体"/>
          <w:color w:val="auto"/>
          <w:szCs w:val="22"/>
          <w:highlight w:val="none"/>
        </w:rPr>
        <w:t>。</w:t>
      </w:r>
    </w:p>
    <w:p w14:paraId="6A544A7B">
      <w:pPr>
        <w:pStyle w:val="41"/>
        <w:pageBreakBefore w:val="0"/>
        <w:kinsoku/>
        <w:overflowPunct/>
        <w:bidi w:val="0"/>
        <w:spacing w:before="0" w:after="0" w:line="360" w:lineRule="auto"/>
        <w:rPr>
          <w:rFonts w:hint="eastAsia" w:ascii="宋体" w:cs="宋体"/>
          <w:color w:val="auto"/>
          <w:sz w:val="22"/>
          <w:szCs w:val="22"/>
          <w:highlight w:val="none"/>
        </w:rPr>
      </w:pPr>
      <w:bookmarkStart w:id="321" w:name="_Toc520505859"/>
      <w:bookmarkStart w:id="322" w:name="_Toc15246"/>
      <w:bookmarkStart w:id="323" w:name="_Toc406522230"/>
      <w:r>
        <w:rPr>
          <w:rFonts w:hint="eastAsia" w:ascii="宋体" w:cs="宋体"/>
          <w:color w:val="auto"/>
          <w:sz w:val="22"/>
          <w:szCs w:val="22"/>
          <w:highlight w:val="none"/>
        </w:rPr>
        <w:t>3</w:t>
      </w:r>
      <w:bookmarkStart w:id="324" w:name="_Toc303539102"/>
      <w:bookmarkStart w:id="325" w:name="_Toc304295523"/>
      <w:bookmarkStart w:id="326" w:name="_Toc296347158"/>
      <w:bookmarkStart w:id="327" w:name="_Toc296503159"/>
      <w:bookmarkStart w:id="328" w:name="_Toc297048345"/>
      <w:bookmarkStart w:id="329" w:name="_Toc297123492"/>
      <w:bookmarkStart w:id="330" w:name="_Toc296944498"/>
      <w:bookmarkStart w:id="331" w:name="_Toc296890987"/>
      <w:bookmarkStart w:id="332" w:name="_Toc297120459"/>
      <w:bookmarkStart w:id="333" w:name="_Toc292559364"/>
      <w:bookmarkStart w:id="334" w:name="_Toc296346660"/>
      <w:bookmarkStart w:id="335" w:name="_Toc296891199"/>
      <w:bookmarkStart w:id="336" w:name="_Toc292559869"/>
      <w:bookmarkStart w:id="337" w:name="_Toc297216151"/>
      <w:bookmarkStart w:id="338" w:name="_Toc312677988"/>
      <w:bookmarkStart w:id="339" w:name="_Toc300934945"/>
      <w:r>
        <w:rPr>
          <w:rFonts w:hint="eastAsia" w:ascii="宋体" w:cs="宋体"/>
          <w:color w:val="auto"/>
          <w:sz w:val="22"/>
          <w:szCs w:val="22"/>
          <w:highlight w:val="none"/>
        </w:rPr>
        <w:t>.5 分包</w:t>
      </w:r>
      <w:bookmarkEnd w:id="321"/>
      <w:bookmarkEnd w:id="322"/>
      <w:bookmarkEnd w:id="323"/>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14:paraId="4DD1726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w:t>
      </w:r>
      <w:bookmarkStart w:id="340" w:name="_Toc296347159"/>
      <w:bookmarkStart w:id="341" w:name="_Toc312677989"/>
      <w:bookmarkStart w:id="342" w:name="_Toc296346661"/>
      <w:bookmarkStart w:id="343" w:name="_Toc292559870"/>
      <w:bookmarkStart w:id="344" w:name="_Toc297123493"/>
      <w:bookmarkStart w:id="345" w:name="_Toc300934946"/>
      <w:bookmarkStart w:id="346" w:name="_Toc296891200"/>
      <w:bookmarkStart w:id="347" w:name="_Toc296503160"/>
      <w:bookmarkStart w:id="348" w:name="_Toc304295524"/>
      <w:bookmarkStart w:id="349" w:name="_Toc296944499"/>
      <w:bookmarkStart w:id="350" w:name="_Toc297120460"/>
      <w:bookmarkStart w:id="351" w:name="_Toc297048346"/>
      <w:bookmarkStart w:id="352" w:name="_Toc296890988"/>
      <w:bookmarkStart w:id="353" w:name="_Toc292559365"/>
      <w:bookmarkStart w:id="354" w:name="_Toc303539103"/>
      <w:bookmarkStart w:id="355" w:name="_Toc297216152"/>
      <w:bookmarkStart w:id="356" w:name="_Toc318581158"/>
      <w:r>
        <w:rPr>
          <w:rFonts w:hint="eastAsia" w:ascii="宋体" w:hAnsi="宋体" w:cs="宋体"/>
          <w:color w:val="auto"/>
          <w:szCs w:val="22"/>
          <w:highlight w:val="none"/>
        </w:rPr>
        <w:t>.5.1 分包的一般约定</w:t>
      </w:r>
    </w:p>
    <w:p w14:paraId="327A352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禁止分包的工程包括：</w:t>
      </w:r>
      <w:r>
        <w:rPr>
          <w:rFonts w:hint="eastAsia" w:ascii="宋体" w:hAnsi="宋体" w:cs="宋体"/>
          <w:color w:val="auto"/>
          <w:highlight w:val="none"/>
          <w:u w:val="single"/>
        </w:rPr>
        <w:t>本工程不允许分包（劳务分包除外）</w:t>
      </w:r>
      <w:r>
        <w:rPr>
          <w:rFonts w:hint="eastAsia" w:ascii="宋体" w:hAnsi="宋体" w:cs="宋体"/>
          <w:color w:val="auto"/>
          <w:szCs w:val="22"/>
          <w:highlight w:val="none"/>
        </w:rPr>
        <w:t>。</w:t>
      </w:r>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14:paraId="542D9843">
      <w:pPr>
        <w:pStyle w:val="41"/>
        <w:pageBreakBefore w:val="0"/>
        <w:kinsoku/>
        <w:overflowPunct/>
        <w:bidi w:val="0"/>
        <w:spacing w:before="0" w:after="0" w:line="360" w:lineRule="auto"/>
        <w:rPr>
          <w:rFonts w:hint="eastAsia" w:ascii="宋体" w:cs="宋体"/>
          <w:color w:val="auto"/>
          <w:sz w:val="22"/>
          <w:szCs w:val="22"/>
          <w:highlight w:val="none"/>
        </w:rPr>
      </w:pPr>
      <w:bookmarkStart w:id="357" w:name="_Toc15053"/>
      <w:bookmarkStart w:id="358" w:name="_Toc520505860"/>
      <w:bookmarkStart w:id="359" w:name="_Toc406522231"/>
      <w:r>
        <w:rPr>
          <w:rFonts w:hint="eastAsia" w:ascii="宋体" w:cs="宋体"/>
          <w:color w:val="auto"/>
          <w:sz w:val="22"/>
          <w:szCs w:val="22"/>
          <w:highlight w:val="none"/>
        </w:rPr>
        <w:t>3.6 工程照管与成品、半成品保护</w:t>
      </w:r>
      <w:bookmarkEnd w:id="357"/>
      <w:bookmarkEnd w:id="358"/>
      <w:bookmarkEnd w:id="359"/>
    </w:p>
    <w:p w14:paraId="686F3073">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承包人负责照管工程及工程相关的材料、工程设备的起始时间：</w:t>
      </w:r>
      <w:r>
        <w:rPr>
          <w:rFonts w:hint="eastAsia" w:ascii="宋体" w:hAnsi="宋体" w:cs="宋体"/>
          <w:color w:val="auto"/>
          <w:szCs w:val="22"/>
          <w:highlight w:val="none"/>
          <w:u w:val="single"/>
        </w:rPr>
        <w:t>从开工之日起，承包人应全面负责照管本合同工程及将用于和施工在本合同工程中的成品、半成品、材料、设备等直到本合同工程《工程质量保修书》签发之日为止，并承担此期间发生的相关费用，发包人不再另行签证费用。发包人要求采取特殊措施保护的工程部位</w:t>
      </w:r>
      <w:r>
        <w:rPr>
          <w:rFonts w:hint="eastAsia" w:ascii="宋体" w:hAnsi="宋体" w:cs="宋体"/>
          <w:color w:val="auto"/>
          <w:szCs w:val="22"/>
          <w:highlight w:val="none"/>
          <w:u w:val="single"/>
          <w:lang w:val="zh-CN"/>
        </w:rPr>
        <w:t>(此为非正常施工程序所需采取的特别保护,不含发包人指定的分包方进场施工过程中</w:t>
      </w:r>
      <w:r>
        <w:rPr>
          <w:rFonts w:hint="eastAsia" w:ascii="宋体" w:hAnsi="宋体" w:cs="宋体"/>
          <w:color w:val="auto"/>
          <w:szCs w:val="22"/>
          <w:highlight w:val="none"/>
          <w:u w:val="single"/>
        </w:rPr>
        <w:t>承包人</w:t>
      </w:r>
      <w:r>
        <w:rPr>
          <w:rFonts w:hint="eastAsia" w:ascii="宋体" w:hAnsi="宋体" w:cs="宋体"/>
          <w:color w:val="auto"/>
          <w:szCs w:val="22"/>
          <w:highlight w:val="none"/>
          <w:u w:val="single"/>
          <w:lang w:val="zh-CN"/>
        </w:rPr>
        <w:t>所需采取的必要配合保护)</w:t>
      </w:r>
      <w:r>
        <w:rPr>
          <w:rFonts w:hint="eastAsia" w:ascii="宋体" w:hAnsi="宋体" w:cs="宋体"/>
          <w:color w:val="auto"/>
          <w:szCs w:val="22"/>
          <w:highlight w:val="none"/>
          <w:u w:val="single"/>
        </w:rPr>
        <w:t>，所发生费用经发包人确认后由发包人承担</w:t>
      </w:r>
      <w:r>
        <w:rPr>
          <w:rFonts w:hint="eastAsia" w:ascii="宋体" w:hAnsi="宋体" w:cs="宋体"/>
          <w:color w:val="auto"/>
          <w:szCs w:val="22"/>
          <w:highlight w:val="none"/>
        </w:rPr>
        <w:t>。</w:t>
      </w:r>
    </w:p>
    <w:p w14:paraId="0AB88970">
      <w:pPr>
        <w:pStyle w:val="41"/>
        <w:pageBreakBefore w:val="0"/>
        <w:kinsoku/>
        <w:overflowPunct/>
        <w:bidi w:val="0"/>
        <w:spacing w:before="0" w:after="0" w:line="360" w:lineRule="auto"/>
        <w:rPr>
          <w:rFonts w:hint="eastAsia" w:ascii="宋体" w:cs="宋体"/>
          <w:color w:val="auto"/>
          <w:sz w:val="22"/>
          <w:szCs w:val="22"/>
          <w:highlight w:val="none"/>
        </w:rPr>
      </w:pPr>
      <w:bookmarkStart w:id="360" w:name="_Toc520505861"/>
      <w:bookmarkStart w:id="361" w:name="_Toc406522232"/>
      <w:bookmarkStart w:id="362" w:name="_Toc6813"/>
      <w:r>
        <w:rPr>
          <w:rFonts w:hint="eastAsia" w:ascii="宋体" w:cs="宋体"/>
          <w:color w:val="auto"/>
          <w:sz w:val="22"/>
          <w:szCs w:val="22"/>
          <w:highlight w:val="none"/>
        </w:rPr>
        <w:t>3.7 履约担保</w:t>
      </w:r>
      <w:bookmarkEnd w:id="360"/>
      <w:bookmarkEnd w:id="361"/>
      <w:bookmarkEnd w:id="362"/>
    </w:p>
    <w:p w14:paraId="286E7981">
      <w:pPr>
        <w:pageBreakBefore w:val="0"/>
        <w:kinsoku/>
        <w:overflowPunct/>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承包人是否提供履约担保：</w:t>
      </w:r>
      <w:r>
        <w:rPr>
          <w:rFonts w:hint="eastAsia" w:ascii="宋体" w:hAnsi="宋体" w:cs="宋体"/>
          <w:color w:val="auto"/>
          <w:highlight w:val="none"/>
          <w:u w:val="single"/>
        </w:rPr>
        <w:t xml:space="preserve"> 无</w:t>
      </w:r>
      <w:r>
        <w:rPr>
          <w:rFonts w:hint="eastAsia" w:ascii="宋体" w:hAnsi="宋体" w:cs="宋体"/>
          <w:color w:val="auto"/>
          <w:szCs w:val="21"/>
          <w:highlight w:val="none"/>
          <w:u w:val="single"/>
        </w:rPr>
        <w:t>。</w:t>
      </w:r>
    </w:p>
    <w:p w14:paraId="63273EB5">
      <w:pPr>
        <w:pStyle w:val="41"/>
        <w:pageBreakBefore w:val="0"/>
        <w:kinsoku/>
        <w:overflowPunct/>
        <w:bidi w:val="0"/>
        <w:spacing w:before="0" w:after="0" w:line="360" w:lineRule="auto"/>
        <w:rPr>
          <w:rFonts w:hint="eastAsia" w:ascii="宋体" w:cs="宋体"/>
          <w:color w:val="auto"/>
          <w:sz w:val="22"/>
          <w:szCs w:val="22"/>
          <w:highlight w:val="none"/>
        </w:rPr>
      </w:pPr>
      <w:bookmarkStart w:id="363" w:name="_Toc351203636"/>
      <w:bookmarkStart w:id="364" w:name="_Toc31537"/>
      <w:bookmarkStart w:id="365" w:name="_Toc406522233"/>
      <w:bookmarkStart w:id="366" w:name="_Toc520505862"/>
      <w:r>
        <w:rPr>
          <w:rFonts w:hint="eastAsia" w:ascii="宋体" w:cs="宋体"/>
          <w:color w:val="auto"/>
          <w:sz w:val="22"/>
          <w:szCs w:val="22"/>
          <w:highlight w:val="none"/>
        </w:rPr>
        <w:t>4</w:t>
      </w:r>
      <w:bookmarkStart w:id="367" w:name="_Toc292559366"/>
      <w:bookmarkStart w:id="368" w:name="_Toc296944501"/>
      <w:bookmarkStart w:id="369" w:name="_Toc296347161"/>
      <w:bookmarkStart w:id="370" w:name="_Toc296891202"/>
      <w:bookmarkStart w:id="371" w:name="_Toc297120462"/>
      <w:bookmarkStart w:id="372" w:name="_Toc292559871"/>
      <w:bookmarkStart w:id="373" w:name="_Toc297048348"/>
      <w:bookmarkStart w:id="374" w:name="_Toc296346663"/>
      <w:bookmarkStart w:id="375" w:name="_Toc267251413"/>
      <w:bookmarkStart w:id="376" w:name="_Toc296503162"/>
      <w:bookmarkStart w:id="377" w:name="_Toc296890990"/>
      <w:r>
        <w:rPr>
          <w:rFonts w:hint="eastAsia" w:ascii="宋体" w:cs="宋体"/>
          <w:color w:val="auto"/>
          <w:sz w:val="22"/>
          <w:szCs w:val="22"/>
          <w:highlight w:val="none"/>
        </w:rPr>
        <w:t>. 监</w:t>
      </w:r>
      <w:bookmarkEnd w:id="367"/>
      <w:bookmarkEnd w:id="368"/>
      <w:bookmarkEnd w:id="369"/>
      <w:bookmarkEnd w:id="370"/>
      <w:bookmarkEnd w:id="371"/>
      <w:bookmarkEnd w:id="372"/>
      <w:bookmarkEnd w:id="373"/>
      <w:bookmarkEnd w:id="374"/>
      <w:bookmarkEnd w:id="375"/>
      <w:bookmarkEnd w:id="376"/>
      <w:bookmarkEnd w:id="377"/>
      <w:r>
        <w:rPr>
          <w:rFonts w:hint="eastAsia" w:ascii="宋体" w:cs="宋体"/>
          <w:color w:val="auto"/>
          <w:sz w:val="22"/>
          <w:szCs w:val="22"/>
          <w:highlight w:val="none"/>
        </w:rPr>
        <w:t>理人</w:t>
      </w:r>
      <w:bookmarkEnd w:id="363"/>
      <w:bookmarkEnd w:id="364"/>
      <w:bookmarkEnd w:id="365"/>
      <w:bookmarkEnd w:id="366"/>
    </w:p>
    <w:p w14:paraId="3DADD818">
      <w:pPr>
        <w:pStyle w:val="41"/>
        <w:pageBreakBefore w:val="0"/>
        <w:kinsoku/>
        <w:overflowPunct/>
        <w:bidi w:val="0"/>
        <w:spacing w:before="0" w:after="0" w:line="360" w:lineRule="auto"/>
        <w:rPr>
          <w:rFonts w:hint="eastAsia" w:ascii="宋体" w:cs="宋体"/>
          <w:color w:val="auto"/>
          <w:sz w:val="22"/>
          <w:szCs w:val="22"/>
          <w:highlight w:val="none"/>
        </w:rPr>
      </w:pPr>
      <w:bookmarkStart w:id="378" w:name="_Toc520505863"/>
      <w:bookmarkStart w:id="379" w:name="_Toc406522234"/>
      <w:bookmarkStart w:id="380" w:name="_Toc20312"/>
      <w:r>
        <w:rPr>
          <w:rFonts w:hint="eastAsia" w:ascii="宋体" w:cs="宋体"/>
          <w:color w:val="auto"/>
          <w:sz w:val="22"/>
          <w:szCs w:val="22"/>
          <w:highlight w:val="none"/>
        </w:rPr>
        <w:t>4.1监理人的一般规定</w:t>
      </w:r>
      <w:bookmarkEnd w:id="378"/>
      <w:bookmarkEnd w:id="379"/>
      <w:bookmarkEnd w:id="380"/>
    </w:p>
    <w:p w14:paraId="3909CF4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关于监理人的监理内容：</w:t>
      </w:r>
      <w:r>
        <w:rPr>
          <w:rFonts w:hint="eastAsia" w:ascii="宋体" w:hAnsi="宋体" w:cs="宋体"/>
          <w:color w:val="auto"/>
          <w:szCs w:val="22"/>
          <w:highlight w:val="none"/>
          <w:u w:val="single"/>
        </w:rPr>
        <w:t>工程施工进度、质量、投资（即审核签证工程量）三大控制，以及合同管理、信息管理、安全管理等，具体内容另行协商约定</w:t>
      </w:r>
      <w:r>
        <w:rPr>
          <w:rFonts w:hint="eastAsia" w:ascii="宋体" w:hAnsi="宋体" w:cs="宋体"/>
          <w:color w:val="auto"/>
          <w:szCs w:val="22"/>
          <w:highlight w:val="none"/>
        </w:rPr>
        <w:t>。</w:t>
      </w:r>
    </w:p>
    <w:p w14:paraId="0A5E757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关于监理人的监理权限：</w:t>
      </w:r>
      <w:r>
        <w:rPr>
          <w:rFonts w:hint="eastAsia" w:ascii="宋体" w:hAnsi="宋体" w:cs="宋体"/>
          <w:color w:val="auto"/>
          <w:szCs w:val="22"/>
          <w:highlight w:val="none"/>
          <w:u w:val="single"/>
          <w:lang w:val="zh-CN"/>
        </w:rPr>
        <w:t>代表发包人履行合同，具体职权内容按照发包人与监理单位签订的工程监理合同确定（包含</w:t>
      </w:r>
      <w:r>
        <w:rPr>
          <w:rFonts w:hint="eastAsia" w:ascii="宋体" w:hAnsi="宋体" w:cs="宋体"/>
          <w:color w:val="auto"/>
          <w:szCs w:val="22"/>
          <w:highlight w:val="none"/>
          <w:u w:val="single"/>
        </w:rPr>
        <w:t>施工质量、施工进度、合同内的验收计价、工程资料、安全文明施工、施工前材质试验或同步的试验、检测等全方位旁站式监理责任制）</w:t>
      </w:r>
      <w:r>
        <w:rPr>
          <w:rFonts w:hint="eastAsia" w:ascii="宋体" w:hAnsi="宋体" w:cs="宋体"/>
          <w:color w:val="auto"/>
          <w:szCs w:val="22"/>
          <w:highlight w:val="none"/>
        </w:rPr>
        <w:t xml:space="preserve">。 </w:t>
      </w:r>
    </w:p>
    <w:p w14:paraId="535D8CF8">
      <w:pPr>
        <w:pStyle w:val="42"/>
        <w:pageBreakBefore w:val="0"/>
        <w:kinsoku/>
        <w:overflowPunct/>
        <w:bidi w:val="0"/>
        <w:spacing w:line="360" w:lineRule="auto"/>
        <w:ind w:firstLine="0" w:firstLineChars="0"/>
        <w:rPr>
          <w:rFonts w:hint="eastAsia" w:ascii="宋体" w:hAnsi="宋体" w:cs="宋体"/>
          <w:color w:val="auto"/>
          <w:szCs w:val="22"/>
          <w:highlight w:val="none"/>
        </w:rPr>
      </w:pPr>
      <w:r>
        <w:rPr>
          <w:rFonts w:hint="eastAsia" w:ascii="宋体" w:hAnsi="宋体" w:cs="宋体"/>
          <w:color w:val="auto"/>
          <w:szCs w:val="22"/>
          <w:highlight w:val="none"/>
        </w:rPr>
        <w:t>关于监理人在施工现场的办公场所、生活场所的提供和费用承担的约定：</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7038A5F7">
      <w:pPr>
        <w:pStyle w:val="41"/>
        <w:pageBreakBefore w:val="0"/>
        <w:kinsoku/>
        <w:overflowPunct/>
        <w:bidi w:val="0"/>
        <w:spacing w:before="0" w:after="0" w:line="360" w:lineRule="auto"/>
        <w:rPr>
          <w:rFonts w:hint="eastAsia" w:ascii="宋体" w:cs="宋体"/>
          <w:color w:val="auto"/>
          <w:sz w:val="22"/>
          <w:szCs w:val="22"/>
          <w:highlight w:val="none"/>
        </w:rPr>
      </w:pPr>
      <w:bookmarkStart w:id="381" w:name="_Toc406522235"/>
      <w:bookmarkStart w:id="382" w:name="_Toc520505864"/>
      <w:bookmarkStart w:id="383" w:name="_Toc20334"/>
      <w:r>
        <w:rPr>
          <w:rFonts w:hint="eastAsia" w:ascii="宋体" w:cs="宋体"/>
          <w:color w:val="auto"/>
          <w:sz w:val="22"/>
          <w:szCs w:val="22"/>
          <w:highlight w:val="none"/>
        </w:rPr>
        <w:t>4.2 监理人员</w:t>
      </w:r>
      <w:bookmarkEnd w:id="381"/>
      <w:bookmarkEnd w:id="382"/>
      <w:bookmarkEnd w:id="383"/>
    </w:p>
    <w:p w14:paraId="6C3270D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总监理工程师：</w:t>
      </w:r>
    </w:p>
    <w:p w14:paraId="1FA9470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姓    名：</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74C27E7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职    务：</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7DD55FF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监理工程师执业资格证书号：</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3030CA0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联系电话：</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7ECEBD9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电子信箱：</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62346FF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通信地址：</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107382E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关于监理人的其他约定：</w:t>
      </w:r>
      <w:r>
        <w:rPr>
          <w:rFonts w:hint="eastAsia" w:ascii="宋体" w:hAnsi="宋体" w:cs="宋体"/>
          <w:color w:val="auto"/>
          <w:szCs w:val="22"/>
          <w:highlight w:val="none"/>
          <w:u w:val="single"/>
        </w:rPr>
        <w:t>（成交后填写）</w:t>
      </w:r>
      <w:r>
        <w:rPr>
          <w:rFonts w:hint="eastAsia" w:ascii="宋体" w:hAnsi="宋体" w:cs="宋体"/>
          <w:color w:val="auto"/>
          <w:szCs w:val="22"/>
          <w:highlight w:val="none"/>
        </w:rPr>
        <w:t>。</w:t>
      </w:r>
    </w:p>
    <w:p w14:paraId="67091AF4">
      <w:pPr>
        <w:pStyle w:val="41"/>
        <w:pageBreakBefore w:val="0"/>
        <w:kinsoku/>
        <w:overflowPunct/>
        <w:bidi w:val="0"/>
        <w:spacing w:before="0" w:after="0" w:line="360" w:lineRule="auto"/>
        <w:rPr>
          <w:rFonts w:hint="eastAsia" w:ascii="宋体" w:cs="宋体"/>
          <w:color w:val="auto"/>
          <w:sz w:val="22"/>
          <w:szCs w:val="22"/>
          <w:highlight w:val="none"/>
        </w:rPr>
      </w:pPr>
      <w:bookmarkStart w:id="384" w:name="_Toc32509"/>
      <w:bookmarkStart w:id="385" w:name="_Toc406522236"/>
      <w:bookmarkStart w:id="386" w:name="_Toc520505865"/>
      <w:r>
        <w:rPr>
          <w:rFonts w:hint="eastAsia" w:ascii="宋体" w:cs="宋体"/>
          <w:color w:val="auto"/>
          <w:sz w:val="22"/>
          <w:szCs w:val="22"/>
          <w:highlight w:val="none"/>
        </w:rPr>
        <w:t>4.4 商定或确定</w:t>
      </w:r>
      <w:bookmarkEnd w:id="384"/>
      <w:bookmarkEnd w:id="385"/>
      <w:bookmarkEnd w:id="386"/>
    </w:p>
    <w:p w14:paraId="507AC8AB">
      <w:pPr>
        <w:pStyle w:val="42"/>
        <w:pageBreakBefore w:val="0"/>
        <w:kinsoku/>
        <w:overflowPunct/>
        <w:bidi w:val="0"/>
        <w:spacing w:line="360" w:lineRule="auto"/>
        <w:rPr>
          <w:rFonts w:hint="eastAsia" w:ascii="宋体" w:hAnsi="宋体" w:cs="宋体"/>
          <w:color w:val="auto"/>
          <w:szCs w:val="22"/>
          <w:highlight w:val="none"/>
        </w:rPr>
      </w:pPr>
      <w:bookmarkStart w:id="387" w:name="_Toc267251418"/>
      <w:r>
        <w:rPr>
          <w:rFonts w:hint="eastAsia" w:ascii="宋体" w:hAnsi="宋体" w:cs="宋体"/>
          <w:color w:val="auto"/>
          <w:szCs w:val="22"/>
          <w:highlight w:val="none"/>
        </w:rPr>
        <w:t>在发包人和承包人不能通过协商达成一致意见时，发包人授权监理人对以下事项进行确定：</w:t>
      </w:r>
    </w:p>
    <w:p w14:paraId="049F9CF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w:t>
      </w:r>
      <w:r>
        <w:rPr>
          <w:rFonts w:hint="eastAsia" w:ascii="宋体" w:hAnsi="宋体" w:cs="宋体"/>
          <w:color w:val="auto"/>
          <w:szCs w:val="22"/>
          <w:highlight w:val="none"/>
          <w:u w:val="single"/>
        </w:rPr>
        <w:t xml:space="preserve">           </w:t>
      </w:r>
      <w:r>
        <w:rPr>
          <w:rFonts w:hint="eastAsia" w:ascii="宋体" w:hAnsi="宋体" w:cs="宋体"/>
          <w:color w:val="auto"/>
          <w:highlight w:val="none"/>
          <w:u w:val="single"/>
        </w:rPr>
        <w:t xml:space="preserve">按通用条款执行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0870A6B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3E49476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30DEC440">
      <w:pPr>
        <w:pStyle w:val="41"/>
        <w:pageBreakBefore w:val="0"/>
        <w:kinsoku/>
        <w:overflowPunct/>
        <w:bidi w:val="0"/>
        <w:spacing w:before="0" w:after="0" w:line="360" w:lineRule="auto"/>
        <w:rPr>
          <w:rFonts w:hint="eastAsia" w:ascii="宋体" w:cs="宋体"/>
          <w:color w:val="auto"/>
          <w:sz w:val="22"/>
          <w:szCs w:val="22"/>
          <w:highlight w:val="none"/>
        </w:rPr>
      </w:pPr>
      <w:bookmarkStart w:id="388" w:name="_Toc12430"/>
      <w:bookmarkStart w:id="389" w:name="_Toc520505866"/>
      <w:bookmarkStart w:id="390" w:name="_Toc351203637"/>
      <w:bookmarkStart w:id="391" w:name="_Toc406522237"/>
      <w:r>
        <w:rPr>
          <w:rFonts w:hint="eastAsia" w:ascii="宋体" w:cs="宋体"/>
          <w:color w:val="auto"/>
          <w:sz w:val="22"/>
          <w:szCs w:val="22"/>
          <w:highlight w:val="none"/>
        </w:rPr>
        <w:t>5</w:t>
      </w:r>
      <w:bookmarkEnd w:id="387"/>
      <w:r>
        <w:rPr>
          <w:rFonts w:hint="eastAsia" w:ascii="宋体" w:cs="宋体"/>
          <w:color w:val="auto"/>
          <w:sz w:val="22"/>
          <w:szCs w:val="22"/>
          <w:highlight w:val="none"/>
        </w:rPr>
        <w:t>. 工程质量</w:t>
      </w:r>
      <w:bookmarkEnd w:id="388"/>
      <w:bookmarkEnd w:id="389"/>
      <w:bookmarkEnd w:id="390"/>
      <w:bookmarkEnd w:id="391"/>
    </w:p>
    <w:p w14:paraId="083BBC5A">
      <w:pPr>
        <w:pStyle w:val="41"/>
        <w:pageBreakBefore w:val="0"/>
        <w:kinsoku/>
        <w:overflowPunct/>
        <w:bidi w:val="0"/>
        <w:spacing w:before="0" w:after="0" w:line="360" w:lineRule="auto"/>
        <w:rPr>
          <w:rFonts w:hint="eastAsia" w:ascii="宋体" w:cs="宋体"/>
          <w:color w:val="auto"/>
          <w:sz w:val="22"/>
          <w:szCs w:val="22"/>
          <w:highlight w:val="none"/>
        </w:rPr>
      </w:pPr>
      <w:bookmarkStart w:id="392" w:name="_Toc406522238"/>
      <w:bookmarkStart w:id="393" w:name="_Toc11278"/>
      <w:bookmarkStart w:id="394" w:name="_Toc520505867"/>
      <w:r>
        <w:rPr>
          <w:rFonts w:hint="eastAsia" w:ascii="宋体" w:cs="宋体"/>
          <w:color w:val="auto"/>
          <w:sz w:val="22"/>
          <w:szCs w:val="22"/>
          <w:highlight w:val="none"/>
        </w:rPr>
        <w:t>5.1 质量要求</w:t>
      </w:r>
      <w:bookmarkEnd w:id="392"/>
      <w:bookmarkEnd w:id="393"/>
      <w:bookmarkEnd w:id="394"/>
    </w:p>
    <w:p w14:paraId="4008D06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5</w:t>
      </w:r>
      <w:bookmarkStart w:id="395" w:name="_Toc297123496"/>
      <w:bookmarkStart w:id="396" w:name="_Toc312677997"/>
      <w:bookmarkStart w:id="397" w:name="_Toc300934949"/>
      <w:bookmarkStart w:id="398" w:name="_Toc318581164"/>
      <w:bookmarkStart w:id="399" w:name="_Toc303539106"/>
      <w:bookmarkStart w:id="400" w:name="_Toc304295527"/>
      <w:bookmarkStart w:id="401" w:name="_Toc297216155"/>
      <w:r>
        <w:rPr>
          <w:rFonts w:hint="eastAsia" w:ascii="宋体" w:hAnsi="宋体" w:cs="宋体"/>
          <w:color w:val="auto"/>
          <w:szCs w:val="22"/>
          <w:highlight w:val="none"/>
        </w:rPr>
        <w:t>.1.1 特殊质量标准和要求：</w:t>
      </w:r>
      <w:r>
        <w:rPr>
          <w:rFonts w:hint="eastAsia" w:ascii="宋体" w:hAnsi="宋体" w:cs="宋体"/>
          <w:color w:val="auto"/>
          <w:szCs w:val="22"/>
          <w:highlight w:val="none"/>
          <w:u w:val="single"/>
        </w:rPr>
        <w:t>达到国家要求的合格标准，工程质量应达到合同约定要求、设计要求、现行国家或行业标准；工程质量验收应以国家或行业的质量检验评定标准为依据</w:t>
      </w:r>
      <w:r>
        <w:rPr>
          <w:rFonts w:hint="eastAsia" w:ascii="宋体" w:hAnsi="宋体" w:cs="宋体"/>
          <w:color w:val="auto"/>
          <w:szCs w:val="22"/>
          <w:highlight w:val="none"/>
        </w:rPr>
        <w:t>。</w:t>
      </w:r>
    </w:p>
    <w:p w14:paraId="570A39D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u w:val="single"/>
        </w:rPr>
        <w:t>双方对工程质量有争议，由双方同意的工程质量检测机构鉴定，所需费用及因此造成的损失，由责任方承担。双方均有责任，由双方根据其责任分别承担。</w:t>
      </w:r>
    </w:p>
    <w:p w14:paraId="4FF4BD6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关于工程奖项的约定：</w:t>
      </w:r>
      <w:r>
        <w:rPr>
          <w:rFonts w:hint="eastAsia" w:ascii="宋体" w:hAnsi="宋体" w:cs="宋体"/>
          <w:color w:val="auto"/>
          <w:szCs w:val="22"/>
          <w:highlight w:val="none"/>
          <w:u w:val="single"/>
        </w:rPr>
        <w:t>/</w:t>
      </w:r>
      <w:r>
        <w:rPr>
          <w:rFonts w:hint="eastAsia" w:ascii="宋体" w:hAnsi="宋体" w:cs="宋体"/>
          <w:color w:val="auto"/>
          <w:szCs w:val="22"/>
          <w:highlight w:val="none"/>
        </w:rPr>
        <w:t>。</w:t>
      </w:r>
    </w:p>
    <w:p w14:paraId="525CE7CE">
      <w:pPr>
        <w:pStyle w:val="41"/>
        <w:pageBreakBefore w:val="0"/>
        <w:kinsoku/>
        <w:overflowPunct/>
        <w:bidi w:val="0"/>
        <w:spacing w:before="0" w:after="0" w:line="360" w:lineRule="auto"/>
        <w:rPr>
          <w:rFonts w:hint="eastAsia" w:ascii="宋体" w:cs="宋体"/>
          <w:color w:val="auto"/>
          <w:sz w:val="22"/>
          <w:szCs w:val="22"/>
          <w:highlight w:val="none"/>
        </w:rPr>
      </w:pPr>
      <w:bookmarkStart w:id="402" w:name="_Toc406522239"/>
      <w:bookmarkStart w:id="403" w:name="_Toc22056"/>
      <w:bookmarkStart w:id="404" w:name="_Toc520505868"/>
      <w:r>
        <w:rPr>
          <w:rFonts w:hint="eastAsia" w:ascii="宋体" w:cs="宋体"/>
          <w:color w:val="auto"/>
          <w:sz w:val="22"/>
          <w:szCs w:val="22"/>
          <w:highlight w:val="none"/>
        </w:rPr>
        <w:t>5.3 隐蔽工程检查</w:t>
      </w:r>
      <w:bookmarkEnd w:id="402"/>
      <w:bookmarkEnd w:id="403"/>
      <w:bookmarkEnd w:id="404"/>
    </w:p>
    <w:p w14:paraId="12CBF4B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5.3.2承包人提前通知监理人隐蔽工程检查的期限的约定：</w:t>
      </w:r>
      <w:r>
        <w:rPr>
          <w:rFonts w:hint="eastAsia" w:ascii="宋体" w:hAnsi="宋体" w:cs="宋体"/>
          <w:color w:val="auto"/>
          <w:highlight w:val="none"/>
          <w:u w:val="single"/>
        </w:rPr>
        <w:t>任何部位的工程需要覆盖或隐蔽前，承包人均应提前12小时通知发包人、监理工程师进行中间验收并拍照，没有发包人、监理工程师的批准，均不得隐蔽或验收。</w:t>
      </w:r>
      <w:r>
        <w:rPr>
          <w:rFonts w:hint="eastAsia" w:ascii="宋体" w:hAnsi="宋体" w:cs="宋体"/>
          <w:color w:val="auto"/>
          <w:highlight w:val="none"/>
          <w:u w:val="single"/>
          <w:lang w:val="zh-CN"/>
        </w:rPr>
        <w:t>对相关单位所提出涉及工程质量、安全管理等存在问题时，必须进行整改，承包人应在监理人及相关人员指示的时间内修整返工后，由监理人及相关人员重新检查。否则发包人按规定有权进行经济处罚</w:t>
      </w:r>
      <w:r>
        <w:rPr>
          <w:rFonts w:hint="eastAsia" w:ascii="宋体" w:hAnsi="宋体" w:cs="宋体"/>
          <w:color w:val="auto"/>
          <w:highlight w:val="none"/>
        </w:rPr>
        <w:t>。</w:t>
      </w:r>
    </w:p>
    <w:p w14:paraId="7B6DA2C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监理人不能按时进行检查时，应提前</w:t>
      </w:r>
      <w:r>
        <w:rPr>
          <w:rFonts w:hint="eastAsia" w:ascii="宋体" w:hAnsi="宋体" w:cs="宋体"/>
          <w:color w:val="auto"/>
          <w:szCs w:val="22"/>
          <w:highlight w:val="none"/>
          <w:u w:val="single"/>
        </w:rPr>
        <w:t>24</w:t>
      </w:r>
      <w:r>
        <w:rPr>
          <w:rFonts w:hint="eastAsia" w:ascii="宋体" w:hAnsi="宋体" w:cs="宋体"/>
          <w:color w:val="auto"/>
          <w:szCs w:val="22"/>
          <w:highlight w:val="none"/>
        </w:rPr>
        <w:t>小时提交书面延期要求。</w:t>
      </w:r>
    </w:p>
    <w:p w14:paraId="72E0D6C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关于延期最长不得超过：</w:t>
      </w:r>
      <w:r>
        <w:rPr>
          <w:rFonts w:hint="eastAsia" w:ascii="宋体" w:hAnsi="宋体" w:cs="宋体"/>
          <w:color w:val="auto"/>
          <w:szCs w:val="22"/>
          <w:highlight w:val="none"/>
          <w:u w:val="single"/>
        </w:rPr>
        <w:t>48</w:t>
      </w:r>
      <w:r>
        <w:rPr>
          <w:rFonts w:hint="eastAsia" w:ascii="宋体" w:hAnsi="宋体" w:cs="宋体"/>
          <w:color w:val="auto"/>
          <w:szCs w:val="22"/>
          <w:highlight w:val="none"/>
        </w:rPr>
        <w:t>小时。</w:t>
      </w:r>
    </w:p>
    <w:p w14:paraId="43001AA5">
      <w:pPr>
        <w:pStyle w:val="41"/>
        <w:pageBreakBefore w:val="0"/>
        <w:kinsoku/>
        <w:overflowPunct/>
        <w:bidi w:val="0"/>
        <w:spacing w:before="0" w:after="0" w:line="360" w:lineRule="auto"/>
        <w:rPr>
          <w:rFonts w:hint="eastAsia" w:ascii="宋体" w:cs="宋体"/>
          <w:color w:val="auto"/>
          <w:sz w:val="22"/>
          <w:szCs w:val="22"/>
          <w:highlight w:val="none"/>
        </w:rPr>
      </w:pPr>
      <w:bookmarkStart w:id="405" w:name="_Toc406522240"/>
      <w:bookmarkStart w:id="406" w:name="_Toc23159"/>
      <w:bookmarkStart w:id="407" w:name="_Toc351203638"/>
      <w:bookmarkStart w:id="408" w:name="_Toc520505869"/>
      <w:r>
        <w:rPr>
          <w:rFonts w:hint="eastAsia" w:ascii="宋体" w:cs="宋体"/>
          <w:color w:val="auto"/>
          <w:sz w:val="22"/>
          <w:szCs w:val="22"/>
          <w:highlight w:val="none"/>
        </w:rPr>
        <w:t>6. 安全文明施工与环境保护</w:t>
      </w:r>
      <w:bookmarkEnd w:id="405"/>
      <w:bookmarkEnd w:id="406"/>
      <w:bookmarkEnd w:id="407"/>
      <w:bookmarkEnd w:id="408"/>
    </w:p>
    <w:p w14:paraId="3F07A229">
      <w:pPr>
        <w:pStyle w:val="41"/>
        <w:pageBreakBefore w:val="0"/>
        <w:kinsoku/>
        <w:overflowPunct/>
        <w:bidi w:val="0"/>
        <w:spacing w:before="0" w:after="0" w:line="360" w:lineRule="auto"/>
        <w:rPr>
          <w:rFonts w:hint="eastAsia" w:ascii="宋体" w:cs="宋体"/>
          <w:color w:val="auto"/>
          <w:sz w:val="22"/>
          <w:szCs w:val="22"/>
          <w:highlight w:val="none"/>
        </w:rPr>
      </w:pPr>
      <w:bookmarkStart w:id="409" w:name="_Toc31841"/>
      <w:bookmarkStart w:id="410" w:name="_Toc520505870"/>
      <w:bookmarkStart w:id="411" w:name="_Toc406522241"/>
      <w:r>
        <w:rPr>
          <w:rFonts w:hint="eastAsia" w:ascii="宋体" w:cs="宋体"/>
          <w:color w:val="auto"/>
          <w:sz w:val="22"/>
          <w:szCs w:val="22"/>
          <w:highlight w:val="none"/>
        </w:rPr>
        <w:t>6.1安全文明施工</w:t>
      </w:r>
      <w:bookmarkEnd w:id="409"/>
      <w:bookmarkEnd w:id="410"/>
      <w:bookmarkEnd w:id="411"/>
    </w:p>
    <w:p w14:paraId="7C9FD85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6.1.1 项目安全生产的达标目标及相应事项的约定：</w:t>
      </w:r>
      <w:r>
        <w:rPr>
          <w:rFonts w:hint="eastAsia" w:ascii="宋体" w:hAnsi="宋体" w:cs="宋体"/>
          <w:color w:val="auto"/>
          <w:szCs w:val="22"/>
          <w:highlight w:val="none"/>
          <w:u w:val="single"/>
        </w:rPr>
        <w:t>按通用条款及桂林市有关规定执行</w:t>
      </w:r>
      <w:r>
        <w:rPr>
          <w:rFonts w:hint="eastAsia" w:ascii="宋体" w:hAnsi="宋体" w:cs="宋体"/>
          <w:color w:val="auto"/>
          <w:szCs w:val="22"/>
          <w:highlight w:val="none"/>
        </w:rPr>
        <w:t>。</w:t>
      </w:r>
    </w:p>
    <w:p w14:paraId="09061BCE">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6.1.4 关于治安保卫的特别约定：</w:t>
      </w:r>
      <w:r>
        <w:rPr>
          <w:rFonts w:hint="eastAsia" w:ascii="宋体" w:hAnsi="宋体" w:cs="宋体"/>
          <w:color w:val="auto"/>
          <w:szCs w:val="22"/>
          <w:highlight w:val="none"/>
          <w:u w:val="single"/>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2732821">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关于编制施工场地治安管理计划的约定：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3651146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6.1.5 文明施工</w:t>
      </w:r>
    </w:p>
    <w:p w14:paraId="743B123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合同当事人对文明施工的要求：</w:t>
      </w:r>
      <w:r>
        <w:rPr>
          <w:rFonts w:hint="eastAsia" w:ascii="宋体" w:hAnsi="宋体" w:cs="宋体"/>
          <w:color w:val="auto"/>
          <w:szCs w:val="22"/>
          <w:highlight w:val="none"/>
          <w:u w:val="single"/>
        </w:rPr>
        <w:t>按通用条款及桂林市有关规定执行</w:t>
      </w:r>
      <w:r>
        <w:rPr>
          <w:rFonts w:hint="eastAsia" w:ascii="宋体" w:hAnsi="宋体" w:cs="宋体"/>
          <w:color w:val="auto"/>
          <w:szCs w:val="22"/>
          <w:highlight w:val="none"/>
        </w:rPr>
        <w:t>。</w:t>
      </w:r>
    </w:p>
    <w:p w14:paraId="2A1880AB">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6.1.6 关于安全文明施工费支付比例和支付期限的约定：</w:t>
      </w:r>
      <w:r>
        <w:rPr>
          <w:rFonts w:hint="eastAsia" w:ascii="宋体" w:hAnsi="宋体" w:cs="宋体"/>
          <w:color w:val="auto"/>
          <w:szCs w:val="22"/>
          <w:highlight w:val="none"/>
          <w:u w:val="single"/>
        </w:rPr>
        <w:t>使用要求：专款专用。具体按《广西壮族自治区建筑工程安全防护、文明施工措施费及管理细则》（桂建质〔2006〕22号）和桂林市建规[2007]131号文及市建规[2008]224号文相关规定执行。</w:t>
      </w:r>
    </w:p>
    <w:p w14:paraId="32E12EE4">
      <w:pPr>
        <w:pageBreakBefore w:val="0"/>
        <w:kinsoku/>
        <w:overflowPunct/>
        <w:autoSpaceDE w:val="0"/>
        <w:autoSpaceDN w:val="0"/>
        <w:bidi w:val="0"/>
        <w:adjustRightInd w:val="0"/>
        <w:spacing w:line="360" w:lineRule="auto"/>
        <w:ind w:firstLine="420" w:firstLineChars="200"/>
        <w:rPr>
          <w:rFonts w:hint="eastAsia" w:ascii="宋体" w:hAnsi="宋体" w:cs="宋体"/>
          <w:color w:val="auto"/>
          <w:highlight w:val="none"/>
        </w:rPr>
      </w:pPr>
      <w:bookmarkStart w:id="412" w:name="_Toc373478368"/>
      <w:bookmarkStart w:id="413" w:name="_Toc389065287"/>
      <w:bookmarkStart w:id="414" w:name="_Toc373227721"/>
      <w:r>
        <w:rPr>
          <w:rFonts w:hint="eastAsia" w:ascii="宋体" w:hAnsi="宋体" w:cs="宋体"/>
          <w:color w:val="auto"/>
          <w:highlight w:val="none"/>
        </w:rPr>
        <w:t>6.</w:t>
      </w:r>
      <w:r>
        <w:rPr>
          <w:rFonts w:ascii="宋体" w:hAnsi="宋体" w:cs="宋体"/>
          <w:color w:val="auto"/>
          <w:highlight w:val="none"/>
        </w:rPr>
        <w:t>3</w:t>
      </w:r>
      <w:r>
        <w:rPr>
          <w:rFonts w:hint="eastAsia" w:ascii="宋体" w:hAnsi="宋体" w:cs="宋体"/>
          <w:color w:val="auto"/>
          <w:highlight w:val="none"/>
        </w:rPr>
        <w:t xml:space="preserve"> 环境保护</w:t>
      </w:r>
      <w:bookmarkEnd w:id="412"/>
      <w:bookmarkEnd w:id="413"/>
      <w:bookmarkEnd w:id="414"/>
    </w:p>
    <w:p w14:paraId="0BBE4A82">
      <w:pPr>
        <w:pageBreakBefore w:val="0"/>
        <w:kinsoku/>
        <w:overflowPunct/>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因施工需要，经发包人批准，由承包人办理有关施工场地交通、环卫和施工噪音管理等手续，费用由承包人负责。</w:t>
      </w:r>
    </w:p>
    <w:p w14:paraId="09A696FD">
      <w:pPr>
        <w:pageBreakBefore w:val="0"/>
        <w:kinsoku/>
        <w:overflowPunct/>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395"/>
    <w:bookmarkEnd w:id="396"/>
    <w:bookmarkEnd w:id="397"/>
    <w:bookmarkEnd w:id="398"/>
    <w:bookmarkEnd w:id="399"/>
    <w:bookmarkEnd w:id="400"/>
    <w:bookmarkEnd w:id="401"/>
    <w:p w14:paraId="5A7BFEB7">
      <w:pPr>
        <w:pStyle w:val="41"/>
        <w:pageBreakBefore w:val="0"/>
        <w:kinsoku/>
        <w:overflowPunct/>
        <w:bidi w:val="0"/>
        <w:spacing w:before="0" w:after="0" w:line="360" w:lineRule="auto"/>
        <w:rPr>
          <w:rFonts w:hint="eastAsia" w:ascii="宋体" w:cs="宋体"/>
          <w:color w:val="auto"/>
          <w:sz w:val="22"/>
          <w:szCs w:val="22"/>
          <w:highlight w:val="none"/>
        </w:rPr>
      </w:pPr>
      <w:bookmarkStart w:id="415" w:name="_Toc520505871"/>
      <w:bookmarkStart w:id="416" w:name="_Toc9746"/>
      <w:bookmarkStart w:id="417" w:name="_Toc406522242"/>
      <w:bookmarkStart w:id="418" w:name="_Toc351203639"/>
      <w:r>
        <w:rPr>
          <w:rFonts w:hint="eastAsia" w:ascii="宋体" w:cs="宋体"/>
          <w:color w:val="auto"/>
          <w:sz w:val="22"/>
          <w:szCs w:val="22"/>
          <w:highlight w:val="none"/>
        </w:rPr>
        <w:t>7. 工期和进度</w:t>
      </w:r>
      <w:bookmarkEnd w:id="415"/>
      <w:bookmarkEnd w:id="416"/>
      <w:bookmarkEnd w:id="417"/>
      <w:bookmarkEnd w:id="418"/>
    </w:p>
    <w:p w14:paraId="324A002E">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19" w:name="_Toc26343"/>
      <w:bookmarkStart w:id="420" w:name="_Toc520505872"/>
      <w:bookmarkStart w:id="421" w:name="_Toc406522243"/>
      <w:r>
        <w:rPr>
          <w:rFonts w:hint="eastAsia" w:ascii="宋体" w:cs="宋体"/>
          <w:color w:val="auto"/>
          <w:sz w:val="22"/>
          <w:szCs w:val="22"/>
          <w:highlight w:val="none"/>
        </w:rPr>
        <w:t>7.1 施工组织设计</w:t>
      </w:r>
      <w:bookmarkEnd w:id="419"/>
      <w:bookmarkEnd w:id="420"/>
      <w:bookmarkEnd w:id="421"/>
    </w:p>
    <w:p w14:paraId="4E12209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7.1.1 合同当事人约定的施工组织设计应包括的其他内容：</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4542820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7.1.2 施工组织设计的提交和修改</w:t>
      </w:r>
    </w:p>
    <w:p w14:paraId="169936B1">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承包人提交详细施工组织设计的期限的约定：</w:t>
      </w:r>
      <w:r>
        <w:rPr>
          <w:rFonts w:hint="eastAsia" w:ascii="宋体" w:hAnsi="宋体" w:cs="宋体"/>
          <w:color w:val="auto"/>
          <w:szCs w:val="22"/>
          <w:highlight w:val="none"/>
          <w:u w:val="single"/>
        </w:rPr>
        <w:t>在图纸会审后7天内，提交详细的符合本合同工期及发包人要求的施工组织设计和进度计划等专项施工方案（工程招标时采用的施工组织设计不作为结算依据）</w:t>
      </w:r>
      <w:r>
        <w:rPr>
          <w:rFonts w:hint="eastAsia" w:ascii="宋体" w:hAnsi="宋体" w:cs="宋体"/>
          <w:color w:val="auto"/>
          <w:szCs w:val="22"/>
          <w:highlight w:val="none"/>
        </w:rPr>
        <w:t>。</w:t>
      </w:r>
    </w:p>
    <w:p w14:paraId="3F63DED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发包人和监理人在收到详细的施工组织设计后确认或提出修改意见的期限：</w:t>
      </w:r>
      <w:r>
        <w:rPr>
          <w:rFonts w:hint="eastAsia" w:ascii="宋体" w:hAnsi="宋体" w:cs="宋体"/>
          <w:color w:val="auto"/>
          <w:szCs w:val="22"/>
          <w:highlight w:val="none"/>
          <w:u w:val="single"/>
        </w:rPr>
        <w:t>收到上述文件后7天内，审查批准或提出修改意见，逾期既不审批又不提出修改意见，则视为已同意该施工组织设计或进度计划</w:t>
      </w:r>
      <w:r>
        <w:rPr>
          <w:rFonts w:hint="eastAsia" w:ascii="宋体" w:hAnsi="宋体" w:cs="宋体"/>
          <w:color w:val="auto"/>
          <w:szCs w:val="22"/>
          <w:highlight w:val="none"/>
        </w:rPr>
        <w:t>。</w:t>
      </w:r>
    </w:p>
    <w:p w14:paraId="4B7E5AF6">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22" w:name="_Toc520505873"/>
      <w:bookmarkStart w:id="423" w:name="_Toc26142"/>
      <w:bookmarkStart w:id="424" w:name="_Toc406522244"/>
      <w:r>
        <w:rPr>
          <w:rFonts w:hint="eastAsia" w:ascii="宋体" w:cs="宋体"/>
          <w:color w:val="auto"/>
          <w:sz w:val="22"/>
          <w:szCs w:val="22"/>
          <w:highlight w:val="none"/>
        </w:rPr>
        <w:t>7</w:t>
      </w:r>
      <w:bookmarkStart w:id="425" w:name="_Toc312677479"/>
      <w:bookmarkStart w:id="426" w:name="_Toc303539123"/>
      <w:bookmarkStart w:id="427" w:name="_Toc297123514"/>
      <w:bookmarkStart w:id="428" w:name="_Toc312678005"/>
      <w:bookmarkStart w:id="429" w:name="_Toc304295541"/>
      <w:bookmarkStart w:id="430" w:name="_Toc300934966"/>
      <w:bookmarkStart w:id="431" w:name="_Toc297216173"/>
      <w:r>
        <w:rPr>
          <w:rFonts w:hint="eastAsia" w:ascii="宋体" w:cs="宋体"/>
          <w:color w:val="auto"/>
          <w:sz w:val="22"/>
          <w:szCs w:val="22"/>
          <w:highlight w:val="none"/>
        </w:rPr>
        <w:t>.2 施工进度计划</w:t>
      </w:r>
      <w:bookmarkEnd w:id="422"/>
      <w:bookmarkEnd w:id="423"/>
      <w:bookmarkEnd w:id="424"/>
    </w:p>
    <w:p w14:paraId="2142081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7.2.2 施工进度计划的修订</w:t>
      </w:r>
    </w:p>
    <w:p w14:paraId="140DE8D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发包人和监理人在收到修订的施工进度计划后确认或提出修改意见的期限：</w:t>
      </w:r>
      <w:r>
        <w:rPr>
          <w:rFonts w:hint="eastAsia" w:ascii="宋体" w:hAnsi="宋体" w:cs="宋体"/>
          <w:color w:val="auto"/>
          <w:szCs w:val="22"/>
          <w:highlight w:val="none"/>
          <w:u w:val="single"/>
        </w:rPr>
        <w:t>收到承包人提交的施工进度计划后7天内审查批准或提出修改意见</w:t>
      </w:r>
      <w:r>
        <w:rPr>
          <w:rFonts w:hint="eastAsia" w:ascii="宋体" w:hAnsi="宋体" w:cs="宋体"/>
          <w:color w:val="auto"/>
          <w:szCs w:val="22"/>
          <w:highlight w:val="none"/>
        </w:rPr>
        <w:t>。</w:t>
      </w:r>
    </w:p>
    <w:p w14:paraId="7A3B8B4A">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32" w:name="_Toc520505874"/>
      <w:bookmarkStart w:id="433" w:name="_Toc406522245"/>
      <w:r>
        <w:rPr>
          <w:rFonts w:hint="eastAsia" w:ascii="宋体" w:cs="宋体"/>
          <w:color w:val="auto"/>
          <w:sz w:val="22"/>
          <w:szCs w:val="22"/>
          <w:highlight w:val="none"/>
        </w:rPr>
        <w:t>7.3 开工</w:t>
      </w:r>
      <w:bookmarkEnd w:id="432"/>
      <w:bookmarkEnd w:id="433"/>
    </w:p>
    <w:p w14:paraId="3CE1726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7.3.1 开工准备</w:t>
      </w:r>
    </w:p>
    <w:p w14:paraId="6333FA7F">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关于承包人提交工程开工报审表的期限：</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608F4BF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关于发包人应完成的其他开工准备工作及期限：</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29BDE25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关于承包人应完成的其他开工准备工作及期限：</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0F682E9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7.3.2开工通知</w:t>
      </w:r>
    </w:p>
    <w:p w14:paraId="2EFEE12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因发包人原因造成监理人未能在计划开工日期之日起</w:t>
      </w:r>
      <w:r>
        <w:rPr>
          <w:rFonts w:hint="eastAsia" w:ascii="宋体" w:hAnsi="宋体" w:cs="宋体"/>
          <w:color w:val="auto"/>
          <w:szCs w:val="22"/>
          <w:highlight w:val="none"/>
          <w:u w:val="single"/>
        </w:rPr>
        <w:t>90</w:t>
      </w:r>
      <w:r>
        <w:rPr>
          <w:rFonts w:hint="eastAsia" w:ascii="宋体" w:hAnsi="宋体" w:cs="宋体"/>
          <w:color w:val="auto"/>
          <w:szCs w:val="22"/>
          <w:highlight w:val="none"/>
        </w:rPr>
        <w:t>天内发出开工通知的，承包人有权提出价格调整要求，或者解除合同。</w:t>
      </w:r>
    </w:p>
    <w:bookmarkEnd w:id="425"/>
    <w:bookmarkEnd w:id="426"/>
    <w:bookmarkEnd w:id="427"/>
    <w:bookmarkEnd w:id="428"/>
    <w:bookmarkEnd w:id="429"/>
    <w:bookmarkEnd w:id="430"/>
    <w:bookmarkEnd w:id="431"/>
    <w:p w14:paraId="60D55EFE">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34" w:name="_Toc520505875"/>
      <w:bookmarkStart w:id="435" w:name="_Toc406522246"/>
      <w:bookmarkStart w:id="436" w:name="_Toc3494"/>
      <w:r>
        <w:rPr>
          <w:rFonts w:hint="eastAsia" w:ascii="宋体" w:cs="宋体"/>
          <w:color w:val="auto"/>
          <w:sz w:val="22"/>
          <w:szCs w:val="22"/>
          <w:highlight w:val="none"/>
        </w:rPr>
        <w:t>7.4 测量放线</w:t>
      </w:r>
      <w:bookmarkEnd w:id="434"/>
      <w:bookmarkEnd w:id="435"/>
      <w:bookmarkEnd w:id="436"/>
    </w:p>
    <w:p w14:paraId="0BB17026">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7.4.1发包人通过监理人向承包人提供测量基准点、基准线和水准点及其书面资料的期限：</w:t>
      </w:r>
      <w:r>
        <w:rPr>
          <w:rFonts w:hint="eastAsia" w:ascii="宋体" w:hAnsi="宋体" w:cs="宋体"/>
          <w:color w:val="auto"/>
          <w:highlight w:val="none"/>
          <w:u w:val="single"/>
        </w:rPr>
        <w:t>承包人进入工地后进行现场书面交桩。水准点、座标控制点交验完毕，即由承包人负责保护，此后由于破坏或失准带来的重新测量、放点费用及由此造成的其他损失均由承包人负担；</w:t>
      </w:r>
      <w:r>
        <w:rPr>
          <w:rFonts w:hint="eastAsia" w:ascii="宋体" w:hAnsi="宋体" w:cs="宋体"/>
          <w:bCs/>
          <w:color w:val="auto"/>
          <w:highlight w:val="none"/>
          <w:u w:val="single"/>
        </w:rPr>
        <w:t xml:space="preserve"> </w:t>
      </w:r>
      <w:r>
        <w:rPr>
          <w:rFonts w:hint="eastAsia" w:ascii="宋体" w:hAnsi="宋体" w:cs="宋体"/>
          <w:color w:val="auto"/>
          <w:kern w:val="0"/>
          <w:highlight w:val="none"/>
          <w:u w:val="single"/>
        </w:rPr>
        <w:t>承包人应</w:t>
      </w:r>
      <w:r>
        <w:rPr>
          <w:rFonts w:hint="eastAsia" w:ascii="宋体" w:hAnsi="宋体" w:cs="宋体"/>
          <w:bCs/>
          <w:color w:val="auto"/>
          <w:highlight w:val="none"/>
          <w:u w:val="single"/>
        </w:rPr>
        <w:t>于开工通知后七天内现场校验，并</w:t>
      </w:r>
      <w:r>
        <w:rPr>
          <w:rFonts w:hint="eastAsia" w:ascii="宋体" w:hAnsi="宋体" w:cs="宋体"/>
          <w:color w:val="auto"/>
          <w:kern w:val="0"/>
          <w:highlight w:val="none"/>
          <w:u w:val="single"/>
        </w:rPr>
        <w:t>根据国家测绘基准、测绘系统和工程测量技术规范，按上述基准点（线）以及合同工程精度要求，测设施工控制网，</w:t>
      </w:r>
      <w:r>
        <w:rPr>
          <w:rFonts w:hint="eastAsia" w:ascii="宋体" w:hAnsi="宋体" w:cs="宋体"/>
          <w:bCs/>
          <w:color w:val="auto"/>
          <w:highlight w:val="none"/>
          <w:u w:val="single"/>
        </w:rPr>
        <w:t>三方做好签认工作；承包人应于</w:t>
      </w:r>
      <w:r>
        <w:rPr>
          <w:rFonts w:hint="eastAsia" w:ascii="宋体" w:hAnsi="宋体" w:cs="宋体"/>
          <w:color w:val="auto"/>
          <w:kern w:val="0"/>
          <w:highlight w:val="none"/>
          <w:u w:val="single"/>
        </w:rPr>
        <w:t>开工前3天，</w:t>
      </w:r>
      <w:r>
        <w:rPr>
          <w:rFonts w:hint="eastAsia" w:ascii="宋体" w:hAnsi="宋体" w:cs="宋体"/>
          <w:color w:val="auto"/>
          <w:highlight w:val="none"/>
          <w:u w:val="single"/>
        </w:rPr>
        <w:t>并在工程竣工后将施工控制网点移交发包人</w:t>
      </w:r>
      <w:r>
        <w:rPr>
          <w:rFonts w:hint="eastAsia" w:ascii="宋体" w:hAnsi="宋体" w:cs="宋体"/>
          <w:color w:val="auto"/>
          <w:highlight w:val="none"/>
        </w:rPr>
        <w:t>。</w:t>
      </w:r>
    </w:p>
    <w:p w14:paraId="0B90CE4B">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37" w:name="_Toc520505876"/>
      <w:bookmarkStart w:id="438" w:name="_Toc406522247"/>
      <w:bookmarkStart w:id="439" w:name="_Toc15089"/>
      <w:r>
        <w:rPr>
          <w:rFonts w:hint="eastAsia" w:ascii="宋体" w:cs="宋体"/>
          <w:color w:val="auto"/>
          <w:sz w:val="22"/>
          <w:szCs w:val="22"/>
          <w:highlight w:val="none"/>
        </w:rPr>
        <w:t>7</w:t>
      </w:r>
      <w:bookmarkStart w:id="440" w:name="_Toc297216175"/>
      <w:bookmarkStart w:id="441" w:name="_Toc300934968"/>
      <w:bookmarkStart w:id="442" w:name="_Toc297123516"/>
      <w:bookmarkStart w:id="443" w:name="_Toc312677484"/>
      <w:bookmarkStart w:id="444" w:name="_Toc312678010"/>
      <w:bookmarkStart w:id="445" w:name="_Toc303539125"/>
      <w:bookmarkStart w:id="446" w:name="_Toc304295546"/>
      <w:r>
        <w:rPr>
          <w:rFonts w:hint="eastAsia" w:ascii="宋体" w:cs="宋体"/>
          <w:color w:val="auto"/>
          <w:sz w:val="22"/>
          <w:szCs w:val="22"/>
          <w:highlight w:val="none"/>
        </w:rPr>
        <w:t>.5 工期延误</w:t>
      </w:r>
      <w:bookmarkEnd w:id="437"/>
      <w:bookmarkEnd w:id="438"/>
      <w:bookmarkEnd w:id="439"/>
    </w:p>
    <w:bookmarkEnd w:id="440"/>
    <w:bookmarkEnd w:id="441"/>
    <w:bookmarkEnd w:id="442"/>
    <w:bookmarkEnd w:id="443"/>
    <w:bookmarkEnd w:id="444"/>
    <w:bookmarkEnd w:id="445"/>
    <w:bookmarkEnd w:id="446"/>
    <w:p w14:paraId="2F300E7D">
      <w:pPr>
        <w:pStyle w:val="42"/>
        <w:pageBreakBefore w:val="0"/>
        <w:kinsoku/>
        <w:overflowPunct/>
        <w:bidi w:val="0"/>
        <w:spacing w:line="360" w:lineRule="auto"/>
        <w:outlineLvl w:val="0"/>
        <w:rPr>
          <w:rFonts w:hint="eastAsia" w:ascii="宋体" w:hAnsi="宋体" w:cs="宋体"/>
          <w:color w:val="auto"/>
          <w:szCs w:val="22"/>
          <w:highlight w:val="none"/>
        </w:rPr>
      </w:pPr>
      <w:bookmarkStart w:id="447" w:name="_Toc520505877"/>
      <w:bookmarkStart w:id="448" w:name="_Toc406522248"/>
      <w:bookmarkStart w:id="449" w:name="_Toc14318"/>
      <w:r>
        <w:rPr>
          <w:rFonts w:hint="eastAsia" w:ascii="宋体" w:hAnsi="宋体" w:cs="宋体"/>
          <w:color w:val="auto"/>
          <w:szCs w:val="22"/>
          <w:highlight w:val="none"/>
        </w:rPr>
        <w:t>7.5.1 因发包人原因导致工期延误</w:t>
      </w:r>
      <w:bookmarkEnd w:id="447"/>
      <w:bookmarkEnd w:id="448"/>
      <w:bookmarkEnd w:id="449"/>
    </w:p>
    <w:p w14:paraId="6CC4B15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（7）因发包人原因导致工期延误的其他情形：</w:t>
      </w:r>
      <w:r>
        <w:rPr>
          <w:rFonts w:hint="eastAsia" w:ascii="宋体" w:hAnsi="宋体" w:cs="宋体"/>
          <w:color w:val="auto"/>
          <w:szCs w:val="22"/>
          <w:highlight w:val="none"/>
          <w:u w:val="single"/>
        </w:rPr>
        <w:t>因设计变更导致工期增加，经监理工程师及发包人书面同意后可以顺延；不可抗力、非承包人原因引起的工期顺延，经监理工程师和发包人同意后可予以顺延（顺延工期，以监理、承包人、发包人三方签字确认为准）</w:t>
      </w:r>
      <w:r>
        <w:rPr>
          <w:rFonts w:hint="eastAsia" w:ascii="宋体" w:hAnsi="宋体" w:cs="宋体"/>
          <w:color w:val="auto"/>
          <w:szCs w:val="22"/>
          <w:highlight w:val="none"/>
        </w:rPr>
        <w:t>。</w:t>
      </w:r>
    </w:p>
    <w:p w14:paraId="41C6363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7.5.2 因承包人原因导致工期延误</w:t>
      </w:r>
    </w:p>
    <w:p w14:paraId="51A01C9A">
      <w:pPr>
        <w:pStyle w:val="42"/>
        <w:pageBreakBefore w:val="0"/>
        <w:kinsoku/>
        <w:overflowPunct/>
        <w:bidi w:val="0"/>
        <w:spacing w:line="360" w:lineRule="auto"/>
        <w:rPr>
          <w:rFonts w:hint="eastAsia" w:ascii="宋体" w:hAnsi="宋体" w:cs="宋体"/>
          <w:color w:val="auto"/>
          <w:highlight w:val="none"/>
          <w:u w:val="single"/>
        </w:rPr>
      </w:pPr>
      <w:r>
        <w:rPr>
          <w:rFonts w:hint="eastAsia" w:ascii="宋体" w:hAnsi="宋体" w:cs="宋体"/>
          <w:color w:val="auto"/>
          <w:highlight w:val="none"/>
        </w:rPr>
        <w:t>因承包人原因造成工期延误，逾期竣工违约金的计算方法为：</w:t>
      </w:r>
      <w:r>
        <w:rPr>
          <w:rFonts w:hint="eastAsia" w:ascii="宋体" w:hAnsi="宋体" w:cs="宋体"/>
          <w:color w:val="auto"/>
          <w:highlight w:val="none"/>
          <w:u w:val="single"/>
        </w:rPr>
        <w:t xml:space="preserve">承包人不能按合同约定的时间竣工，承包人应承担违约责任。应向发包人支付误期赔偿费（每天赔偿金额为合同价款扣除社会保险费、发包人材料价款、暂估专业工程、暂列金额后的万分之四 ），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2C135995">
      <w:pPr>
        <w:pStyle w:val="42"/>
        <w:pageBreakBefore w:val="0"/>
        <w:kinsoku/>
        <w:overflowPunct/>
        <w:bidi w:val="0"/>
        <w:spacing w:line="360" w:lineRule="auto"/>
        <w:rPr>
          <w:rFonts w:hint="eastAsia" w:ascii="宋体" w:hAnsi="宋体" w:cs="宋体"/>
          <w:color w:val="auto"/>
          <w:highlight w:val="none"/>
        </w:rPr>
      </w:pPr>
      <w:r>
        <w:rPr>
          <w:rFonts w:hint="eastAsia" w:ascii="宋体" w:hAnsi="宋体" w:cs="宋体"/>
          <w:color w:val="auto"/>
          <w:highlight w:val="none"/>
        </w:rPr>
        <w:t>因承包人原因造成工期延误，逾期竣工违约金的上限：</w:t>
      </w:r>
      <w:r>
        <w:rPr>
          <w:rFonts w:hint="eastAsia" w:ascii="宋体" w:hAnsi="宋体" w:cs="宋体"/>
          <w:color w:val="auto"/>
          <w:highlight w:val="none"/>
          <w:u w:val="single"/>
        </w:rPr>
        <w:t>合同价扣除社会保险费、发包人材料价款、暂估专业工程、暂列金额后的</w:t>
      </w:r>
      <w:r>
        <w:rPr>
          <w:rFonts w:hint="eastAsia" w:ascii="宋体" w:hAnsi="宋体" w:cs="宋体"/>
          <w:b/>
          <w:color w:val="auto"/>
          <w:highlight w:val="none"/>
          <w:u w:val="single"/>
        </w:rPr>
        <w:t>5%</w:t>
      </w:r>
      <w:r>
        <w:rPr>
          <w:rFonts w:hint="eastAsia" w:ascii="宋体" w:hAnsi="宋体" w:cs="宋体"/>
          <w:color w:val="auto"/>
          <w:highlight w:val="none"/>
          <w:u w:val="single"/>
        </w:rPr>
        <w:t>　</w:t>
      </w:r>
      <w:r>
        <w:rPr>
          <w:rFonts w:hint="eastAsia" w:ascii="宋体" w:hAnsi="宋体" w:cs="宋体"/>
          <w:color w:val="auto"/>
          <w:highlight w:val="none"/>
        </w:rPr>
        <w:t>。</w:t>
      </w:r>
    </w:p>
    <w:p w14:paraId="02C12955">
      <w:pPr>
        <w:pageBreakBefore w:val="0"/>
        <w:kinsoku/>
        <w:overflowPunct/>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highlight w:val="none"/>
        </w:rPr>
        <w:t>工程进度款严格按照双方合同约定执行，除发包人原因未按合同约定按时支付合同约定工程进度款外，承包人不得以资金不足为由拖延工程进度，因此所延误的时间发包人将书面记录，作为今后处罚承包人延误工期的依据。</w:t>
      </w:r>
    </w:p>
    <w:p w14:paraId="5004B78F">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50" w:name="_Toc18191"/>
      <w:bookmarkStart w:id="451" w:name="_Toc406522249"/>
      <w:bookmarkStart w:id="452" w:name="_Toc520505878"/>
      <w:r>
        <w:rPr>
          <w:rFonts w:hint="eastAsia" w:ascii="宋体" w:cs="宋体"/>
          <w:color w:val="auto"/>
          <w:sz w:val="22"/>
          <w:szCs w:val="22"/>
          <w:highlight w:val="none"/>
        </w:rPr>
        <w:t>7</w:t>
      </w:r>
      <w:bookmarkStart w:id="453" w:name="_Toc303539128"/>
      <w:bookmarkStart w:id="454" w:name="_Toc312678015"/>
      <w:bookmarkStart w:id="455" w:name="_Toc297123519"/>
      <w:bookmarkStart w:id="456" w:name="_Toc304295549"/>
      <w:bookmarkStart w:id="457" w:name="_Toc300934971"/>
      <w:bookmarkStart w:id="458" w:name="_Toc297216178"/>
      <w:r>
        <w:rPr>
          <w:rFonts w:hint="eastAsia" w:ascii="宋体" w:cs="宋体"/>
          <w:color w:val="auto"/>
          <w:sz w:val="22"/>
          <w:szCs w:val="22"/>
          <w:highlight w:val="none"/>
        </w:rPr>
        <w:t>.6 不</w:t>
      </w:r>
      <w:bookmarkEnd w:id="453"/>
      <w:bookmarkEnd w:id="454"/>
      <w:bookmarkEnd w:id="455"/>
      <w:bookmarkEnd w:id="456"/>
      <w:bookmarkEnd w:id="457"/>
      <w:bookmarkEnd w:id="458"/>
      <w:r>
        <w:rPr>
          <w:rFonts w:hint="eastAsia" w:ascii="宋体" w:cs="宋体"/>
          <w:color w:val="auto"/>
          <w:sz w:val="22"/>
          <w:szCs w:val="22"/>
          <w:highlight w:val="none"/>
        </w:rPr>
        <w:t>利物质条件</w:t>
      </w:r>
      <w:bookmarkEnd w:id="450"/>
      <w:bookmarkEnd w:id="451"/>
      <w:bookmarkEnd w:id="452"/>
    </w:p>
    <w:p w14:paraId="4CC70F08">
      <w:pPr>
        <w:pStyle w:val="42"/>
        <w:pageBreakBefore w:val="0"/>
        <w:kinsoku/>
        <w:overflowPunct/>
        <w:bidi w:val="0"/>
        <w:spacing w:line="360" w:lineRule="auto"/>
        <w:rPr>
          <w:rFonts w:hint="eastAsia" w:ascii="宋体" w:hAnsi="宋体" w:cs="宋体"/>
          <w:color w:val="auto"/>
          <w:szCs w:val="22"/>
          <w:highlight w:val="none"/>
        </w:rPr>
      </w:pPr>
      <w:bookmarkStart w:id="459" w:name="_Toc300934972"/>
      <w:bookmarkStart w:id="460" w:name="_Toc303539129"/>
      <w:bookmarkStart w:id="461" w:name="_Toc304295550"/>
      <w:bookmarkStart w:id="462" w:name="_Toc318581172"/>
      <w:bookmarkStart w:id="463" w:name="_Toc297123520"/>
      <w:bookmarkStart w:id="464" w:name="_Toc312678016"/>
      <w:bookmarkStart w:id="465" w:name="_Toc297216179"/>
      <w:r>
        <w:rPr>
          <w:rFonts w:hint="eastAsia" w:ascii="宋体" w:hAnsi="宋体" w:cs="宋体"/>
          <w:color w:val="auto"/>
          <w:szCs w:val="22"/>
          <w:highlight w:val="none"/>
        </w:rPr>
        <w:t>不利物质条件的其他情形和有关约定：</w:t>
      </w:r>
      <w:r>
        <w:rPr>
          <w:rFonts w:hint="eastAsia" w:ascii="宋体" w:hAnsi="宋体" w:cs="宋体"/>
          <w:color w:val="auto"/>
          <w:szCs w:val="22"/>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2"/>
          <w:highlight w:val="none"/>
        </w:rPr>
        <w:t>。</w:t>
      </w:r>
    </w:p>
    <w:bookmarkEnd w:id="459"/>
    <w:bookmarkEnd w:id="460"/>
    <w:bookmarkEnd w:id="461"/>
    <w:bookmarkEnd w:id="462"/>
    <w:bookmarkEnd w:id="463"/>
    <w:bookmarkEnd w:id="464"/>
    <w:bookmarkEnd w:id="465"/>
    <w:p w14:paraId="17F7B216">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66" w:name="_Toc520505879"/>
      <w:bookmarkStart w:id="467" w:name="_Toc2388"/>
      <w:bookmarkStart w:id="468" w:name="_Toc406522250"/>
      <w:r>
        <w:rPr>
          <w:rFonts w:hint="eastAsia" w:ascii="宋体" w:cs="宋体"/>
          <w:color w:val="auto"/>
          <w:sz w:val="22"/>
          <w:szCs w:val="22"/>
          <w:highlight w:val="none"/>
        </w:rPr>
        <w:t>7</w:t>
      </w:r>
      <w:bookmarkStart w:id="469" w:name="_Toc297216180"/>
      <w:bookmarkStart w:id="470" w:name="_Toc312678017"/>
      <w:bookmarkStart w:id="471" w:name="_Toc303539130"/>
      <w:bookmarkStart w:id="472" w:name="_Toc304295551"/>
      <w:bookmarkStart w:id="473" w:name="_Toc297123521"/>
      <w:bookmarkStart w:id="474" w:name="_Toc300934973"/>
      <w:r>
        <w:rPr>
          <w:rFonts w:hint="eastAsia" w:ascii="宋体" w:cs="宋体"/>
          <w:color w:val="auto"/>
          <w:sz w:val="22"/>
          <w:szCs w:val="22"/>
          <w:highlight w:val="none"/>
        </w:rPr>
        <w:t>.7异常恶劣的气候条件</w:t>
      </w:r>
      <w:bookmarkEnd w:id="466"/>
      <w:bookmarkEnd w:id="467"/>
      <w:bookmarkEnd w:id="468"/>
    </w:p>
    <w:bookmarkEnd w:id="469"/>
    <w:bookmarkEnd w:id="470"/>
    <w:bookmarkEnd w:id="471"/>
    <w:bookmarkEnd w:id="472"/>
    <w:bookmarkEnd w:id="473"/>
    <w:bookmarkEnd w:id="474"/>
    <w:p w14:paraId="59226C3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发包人和承包人同意以下情形视为异常恶劣的气候条件：</w:t>
      </w:r>
    </w:p>
    <w:p w14:paraId="69B84372">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eastAsia="宋体" w:cs="宋体"/>
          <w:color w:val="auto"/>
          <w:kern w:val="2"/>
          <w:sz w:val="21"/>
          <w:szCs w:val="24"/>
          <w:highlight w:val="none"/>
          <w:u w:val="single"/>
          <w:lang w:val="en-US" w:eastAsia="zh-CN" w:bidi="ar-SA"/>
        </w:rPr>
        <w:t>连续2天日气温超过38℃或低于0℃；</w:t>
      </w:r>
    </w:p>
    <w:p w14:paraId="4B921A64">
      <w:pPr>
        <w:pageBreakBefore w:val="0"/>
        <w:kinsoku/>
        <w:overflowPunct/>
        <w:bidi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8级以上持续24小时的大风；</w:t>
      </w:r>
    </w:p>
    <w:p w14:paraId="20C2E76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w:t>
      </w:r>
      <w:r>
        <w:rPr>
          <w:rFonts w:hint="eastAsia" w:ascii="宋体" w:hAnsi="宋体" w:cs="宋体"/>
          <w:color w:val="auto"/>
          <w:szCs w:val="22"/>
          <w:highlight w:val="none"/>
          <w:u w:val="single"/>
        </w:rPr>
        <w:t xml:space="preserve"> 持续降雨24小时且降雨量为200mm以上</w:t>
      </w:r>
      <w:r>
        <w:rPr>
          <w:rFonts w:hint="eastAsia" w:ascii="宋体" w:hAnsi="宋体" w:cs="宋体"/>
          <w:color w:val="auto"/>
          <w:szCs w:val="22"/>
          <w:highlight w:val="none"/>
        </w:rPr>
        <w:t>。</w:t>
      </w:r>
    </w:p>
    <w:p w14:paraId="06A7F715">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75" w:name="_Toc11707"/>
      <w:bookmarkStart w:id="476" w:name="_Toc520505880"/>
      <w:bookmarkStart w:id="477" w:name="_Toc406522251"/>
      <w:r>
        <w:rPr>
          <w:rFonts w:hint="eastAsia" w:ascii="宋体" w:cs="宋体"/>
          <w:color w:val="auto"/>
          <w:sz w:val="22"/>
          <w:szCs w:val="22"/>
          <w:highlight w:val="none"/>
        </w:rPr>
        <w:t>7.9 提前竣工的奖励</w:t>
      </w:r>
      <w:bookmarkEnd w:id="475"/>
      <w:bookmarkEnd w:id="476"/>
      <w:bookmarkEnd w:id="477"/>
    </w:p>
    <w:p w14:paraId="145F358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7.9.2提前竣工的奖励：</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0E1423BB">
      <w:pPr>
        <w:pStyle w:val="41"/>
        <w:pageBreakBefore w:val="0"/>
        <w:kinsoku/>
        <w:overflowPunct/>
        <w:bidi w:val="0"/>
        <w:spacing w:before="0" w:after="0" w:line="360" w:lineRule="auto"/>
        <w:rPr>
          <w:rFonts w:hint="eastAsia" w:ascii="宋体" w:cs="宋体"/>
          <w:color w:val="auto"/>
          <w:sz w:val="22"/>
          <w:szCs w:val="22"/>
          <w:highlight w:val="none"/>
        </w:rPr>
      </w:pPr>
      <w:bookmarkStart w:id="478" w:name="_Toc4180"/>
      <w:bookmarkStart w:id="479" w:name="_Toc406522252"/>
      <w:bookmarkStart w:id="480" w:name="_Toc520505881"/>
      <w:bookmarkStart w:id="481" w:name="_Toc351203640"/>
      <w:r>
        <w:rPr>
          <w:rFonts w:hint="eastAsia" w:ascii="宋体" w:cs="宋体"/>
          <w:color w:val="auto"/>
          <w:sz w:val="22"/>
          <w:szCs w:val="22"/>
          <w:highlight w:val="none"/>
        </w:rPr>
        <w:t>8. 材料与设备</w:t>
      </w:r>
      <w:bookmarkEnd w:id="478"/>
      <w:bookmarkEnd w:id="479"/>
      <w:bookmarkEnd w:id="480"/>
      <w:bookmarkEnd w:id="481"/>
    </w:p>
    <w:p w14:paraId="09111B22">
      <w:pPr>
        <w:pageBreakBefore w:val="0"/>
        <w:kinsoku/>
        <w:overflowPunct/>
        <w:autoSpaceDE w:val="0"/>
        <w:autoSpaceDN w:val="0"/>
        <w:bidi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8.1 </w:t>
      </w:r>
      <w:r>
        <w:rPr>
          <w:rFonts w:hint="eastAsia" w:ascii="宋体" w:hAnsi="宋体" w:cs="宋体"/>
          <w:color w:val="auto"/>
          <w:szCs w:val="21"/>
          <w:highlight w:val="none"/>
        </w:rPr>
        <w:t>发包人采购材料与工程设备</w:t>
      </w:r>
    </w:p>
    <w:p w14:paraId="17D45A96">
      <w:pPr>
        <w:pageBreakBefore w:val="0"/>
        <w:kinsoku/>
        <w:overflowPunct/>
        <w:autoSpaceDE w:val="0"/>
        <w:autoSpaceDN w:val="0"/>
        <w:bidi w:val="0"/>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  </w:t>
      </w:r>
      <w:r>
        <w:rPr>
          <w:rFonts w:hint="eastAsia" w:ascii="宋体" w:hAnsi="宋体" w:cs="宋体"/>
          <w:color w:val="auto"/>
          <w:highlight w:val="none"/>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3260C257">
      <w:pPr>
        <w:pageBreakBefore w:val="0"/>
        <w:kinsoku/>
        <w:overflowPunct/>
        <w:autoSpaceDE w:val="0"/>
        <w:autoSpaceDN w:val="0"/>
        <w:bidi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发包人在招标时有“参照或相当于或优于**品牌、级别”等相关约定的材料或设备，承包人采购时必须按相当于或优于所约定品牌、等级进行采购，并经招标人认可同意后方可采购。施工期间该部分材料或设备如未超过招标约定的风险幅度的，结算时按磋商报价单价支付，不得调整。</w:t>
      </w:r>
    </w:p>
    <w:p w14:paraId="218A55D2">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482" w:name="_Toc520505882"/>
      <w:bookmarkStart w:id="483" w:name="_Toc406522253"/>
      <w:bookmarkStart w:id="484" w:name="_Toc1228"/>
      <w:r>
        <w:rPr>
          <w:rFonts w:hint="eastAsia" w:ascii="宋体" w:cs="宋体"/>
          <w:color w:val="auto"/>
          <w:sz w:val="22"/>
          <w:szCs w:val="22"/>
          <w:highlight w:val="none"/>
        </w:rPr>
        <w:t>8</w:t>
      </w:r>
      <w:bookmarkStart w:id="485" w:name="_Toc304295556"/>
      <w:bookmarkStart w:id="486" w:name="_Toc312677493"/>
      <w:bookmarkStart w:id="487" w:name="_Toc292559877"/>
      <w:bookmarkStart w:id="488" w:name="_Toc303539136"/>
      <w:bookmarkStart w:id="489" w:name="_Toc312678019"/>
      <w:bookmarkStart w:id="490" w:name="_Toc297216186"/>
      <w:bookmarkStart w:id="491" w:name="_Toc296503167"/>
      <w:bookmarkStart w:id="492" w:name="_Toc296944506"/>
      <w:bookmarkStart w:id="493" w:name="_Toc296347166"/>
      <w:bookmarkStart w:id="494" w:name="_Toc296890995"/>
      <w:bookmarkStart w:id="495" w:name="_Toc297048353"/>
      <w:bookmarkStart w:id="496" w:name="_Toc292559372"/>
      <w:bookmarkStart w:id="497" w:name="_Toc296891207"/>
      <w:bookmarkStart w:id="498" w:name="_Toc297123527"/>
      <w:bookmarkStart w:id="499" w:name="_Toc296346668"/>
      <w:bookmarkStart w:id="500" w:name="_Toc297120467"/>
      <w:bookmarkStart w:id="501" w:name="_Toc280868654"/>
      <w:bookmarkStart w:id="502" w:name="_Toc300934979"/>
      <w:bookmarkStart w:id="503" w:name="_Toc280868655"/>
      <w:bookmarkStart w:id="504" w:name="_Toc280868656"/>
      <w:bookmarkStart w:id="505" w:name="_Toc267251424"/>
      <w:r>
        <w:rPr>
          <w:rFonts w:hint="eastAsia" w:ascii="宋体" w:cs="宋体"/>
          <w:color w:val="auto"/>
          <w:sz w:val="22"/>
          <w:szCs w:val="22"/>
          <w:highlight w:val="none"/>
        </w:rPr>
        <w:t>.4材料与工程设备的保管与使用</w:t>
      </w:r>
      <w:bookmarkEnd w:id="482"/>
      <w:bookmarkEnd w:id="483"/>
      <w:bookmarkEnd w:id="484"/>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326EC26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8</w:t>
      </w:r>
      <w:bookmarkStart w:id="506" w:name="_Toc292559373"/>
      <w:bookmarkStart w:id="507" w:name="_Toc292559878"/>
      <w:bookmarkStart w:id="508" w:name="_Toc296890996"/>
      <w:bookmarkStart w:id="509" w:name="_Toc312678020"/>
      <w:bookmarkStart w:id="510" w:name="_Toc297048354"/>
      <w:bookmarkStart w:id="511" w:name="_Toc296503168"/>
      <w:bookmarkStart w:id="512" w:name="_Toc303539137"/>
      <w:bookmarkStart w:id="513" w:name="_Toc297120468"/>
      <w:bookmarkStart w:id="514" w:name="_Toc296944507"/>
      <w:bookmarkStart w:id="515" w:name="_Toc296346669"/>
      <w:bookmarkStart w:id="516" w:name="_Toc297216187"/>
      <w:bookmarkStart w:id="517" w:name="_Toc297123528"/>
      <w:bookmarkStart w:id="518" w:name="_Toc300934980"/>
      <w:bookmarkStart w:id="519" w:name="_Toc312677494"/>
      <w:bookmarkStart w:id="520" w:name="_Toc296891208"/>
      <w:bookmarkStart w:id="521" w:name="_Toc304295557"/>
      <w:bookmarkStart w:id="522" w:name="_Toc296347167"/>
      <w:bookmarkStart w:id="523" w:name="_Toc318581173"/>
      <w:r>
        <w:rPr>
          <w:rFonts w:hint="eastAsia" w:ascii="宋体" w:hAnsi="宋体" w:cs="宋体"/>
          <w:color w:val="auto"/>
          <w:szCs w:val="22"/>
          <w:highlight w:val="none"/>
        </w:rPr>
        <w:t>.4.1发包人供应的材料设备的保管费用的承担：</w:t>
      </w:r>
      <w:r>
        <w:rPr>
          <w:rFonts w:hint="eastAsia" w:ascii="宋体" w:hAnsi="宋体" w:cs="宋体"/>
          <w:color w:val="auto"/>
          <w:highlight w:val="none"/>
          <w:u w:val="single"/>
        </w:rPr>
        <w:t xml:space="preserve">由发包人提供的材料和工程设备验收后，由承包人负责接收、运输和保管，费用由承包人承担   </w:t>
      </w:r>
      <w:r>
        <w:rPr>
          <w:rFonts w:hint="eastAsia" w:ascii="宋体" w:hAnsi="宋体" w:cs="宋体"/>
          <w:color w:val="auto"/>
          <w:szCs w:val="22"/>
          <w:highlight w:val="none"/>
        </w:rPr>
        <w:t>。</w:t>
      </w:r>
      <w:bookmarkEnd w:id="506"/>
      <w:bookmarkEnd w:id="507"/>
    </w:p>
    <w:p w14:paraId="6AFEB6CC">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524" w:name="_Toc28557"/>
      <w:bookmarkStart w:id="525" w:name="_Toc520505883"/>
      <w:bookmarkStart w:id="526" w:name="_Toc406522254"/>
      <w:r>
        <w:rPr>
          <w:rFonts w:hint="eastAsia" w:ascii="宋体" w:cs="宋体"/>
          <w:color w:val="auto"/>
          <w:sz w:val="22"/>
          <w:szCs w:val="22"/>
          <w:highlight w:val="none"/>
        </w:rPr>
        <w:t>8.6 样品</w:t>
      </w:r>
      <w:bookmarkEnd w:id="524"/>
      <w:bookmarkEnd w:id="525"/>
      <w:bookmarkEnd w:id="526"/>
    </w:p>
    <w:p w14:paraId="7F66F84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8.6.1样品的报送与封存</w:t>
      </w:r>
    </w:p>
    <w:p w14:paraId="6B199AD9">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需要承包人报送样品的材料或工程设备，样品的种类、名称、规格、数量要求：</w:t>
      </w:r>
      <w:r>
        <w:rPr>
          <w:rFonts w:hint="eastAsia" w:ascii="宋体" w:hAnsi="宋体" w:cs="宋体"/>
          <w:color w:val="auto"/>
          <w:highlight w:val="none"/>
          <w:u w:val="single"/>
        </w:rPr>
        <w:t>所有装修材料、设备等样品材料必须按照成交工程量清单内的有关规定提前至少一周送至发包人处，经监理方和发包人共同确认后方可进场施工。未经监理方和发包人确认即进场施工的，或因样品太迟送达发包人确认导致工期延误的，造成的一切损失由承包人负责</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58A80AA5">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527" w:name="_Toc16385"/>
      <w:bookmarkStart w:id="528" w:name="_Toc406522255"/>
      <w:bookmarkStart w:id="529" w:name="_Toc520505884"/>
      <w:r>
        <w:rPr>
          <w:rFonts w:hint="eastAsia" w:ascii="宋体" w:cs="宋体"/>
          <w:color w:val="auto"/>
          <w:sz w:val="22"/>
          <w:szCs w:val="22"/>
          <w:highlight w:val="none"/>
        </w:rPr>
        <w:t>8.8 施工设备和临时设施</w:t>
      </w:r>
      <w:bookmarkEnd w:id="527"/>
      <w:bookmarkEnd w:id="528"/>
      <w:bookmarkEnd w:id="529"/>
    </w:p>
    <w:p w14:paraId="67E6F944">
      <w:pPr>
        <w:pStyle w:val="42"/>
        <w:pageBreakBefore w:val="0"/>
        <w:kinsoku/>
        <w:overflowPunct/>
        <w:bidi w:val="0"/>
        <w:spacing w:line="360" w:lineRule="auto"/>
        <w:rPr>
          <w:rFonts w:hint="eastAsia" w:ascii="宋体" w:hAnsi="宋体" w:cs="宋体"/>
          <w:color w:val="auto"/>
          <w:highlight w:val="none"/>
        </w:rPr>
      </w:pPr>
      <w:r>
        <w:rPr>
          <w:rFonts w:hint="eastAsia" w:ascii="宋体" w:hAnsi="宋体" w:cs="宋体"/>
          <w:color w:val="auto"/>
          <w:highlight w:val="none"/>
        </w:rPr>
        <w:t>8.8.1 承包人提供的施工设备和临时设施</w:t>
      </w:r>
      <w:r>
        <w:rPr>
          <w:rFonts w:hint="eastAsia" w:ascii="宋体" w:hAnsi="宋体" w:cs="宋体"/>
          <w:color w:val="auto"/>
          <w:highlight w:val="none"/>
          <w:u w:val="single"/>
        </w:rPr>
        <w:t xml:space="preserve">   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r>
        <w:rPr>
          <w:rFonts w:hint="eastAsia" w:ascii="宋体" w:hAnsi="宋体" w:cs="宋体"/>
          <w:color w:val="auto"/>
          <w:highlight w:val="none"/>
        </w:rPr>
        <w:t>。</w:t>
      </w:r>
    </w:p>
    <w:p w14:paraId="36F01D77">
      <w:pPr>
        <w:pStyle w:val="42"/>
        <w:pageBreakBefore w:val="0"/>
        <w:kinsoku/>
        <w:overflowPunct/>
        <w:bidi w:val="0"/>
        <w:spacing w:line="360" w:lineRule="auto"/>
        <w:rPr>
          <w:rFonts w:hint="eastAsia" w:ascii="宋体" w:hAnsi="宋体" w:cs="宋体"/>
          <w:color w:val="auto"/>
          <w:highlight w:val="none"/>
        </w:rPr>
      </w:pPr>
      <w:r>
        <w:rPr>
          <w:rFonts w:hint="eastAsia" w:ascii="宋体" w:hAnsi="宋体" w:cs="宋体"/>
          <w:color w:val="auto"/>
          <w:highlight w:val="none"/>
        </w:rPr>
        <w:t xml:space="preserve">关于修建临时设施费用承担的约定： </w:t>
      </w:r>
    </w:p>
    <w:p w14:paraId="523775C5">
      <w:pPr>
        <w:pStyle w:val="42"/>
        <w:pageBreakBefore w:val="0"/>
        <w:kinsoku/>
        <w:overflowPunct/>
        <w:bidi w:val="0"/>
        <w:spacing w:line="360" w:lineRule="auto"/>
        <w:rPr>
          <w:rFonts w:hint="eastAsia" w:ascii="宋体" w:hAnsi="宋体" w:cs="宋体"/>
          <w:color w:val="auto"/>
          <w:highlight w:val="none"/>
          <w:u w:val="single"/>
        </w:rPr>
      </w:pPr>
      <w:r>
        <w:rPr>
          <w:rFonts w:hint="eastAsia" w:ascii="宋体" w:hAnsi="宋体" w:cs="宋体"/>
          <w:color w:val="auto"/>
          <w:highlight w:val="none"/>
          <w:u w:val="single"/>
        </w:rPr>
        <w:t>①承包人的临时用地（含项目部驻地等）租用费、临时用地的环保、恢复等费用均由承包人负责，以上费用在磋商报价中综合考虑</w:t>
      </w:r>
      <w:r>
        <w:rPr>
          <w:rFonts w:hint="eastAsia" w:ascii="宋体" w:hAnsi="宋体" w:cs="宋体"/>
          <w:color w:val="auto"/>
          <w:highlight w:val="none"/>
        </w:rPr>
        <w:t>。</w:t>
      </w:r>
    </w:p>
    <w:p w14:paraId="47A75F0D">
      <w:pPr>
        <w:pStyle w:val="42"/>
        <w:pageBreakBefore w:val="0"/>
        <w:kinsoku/>
        <w:overflowPunct/>
        <w:bidi w:val="0"/>
        <w:spacing w:line="360" w:lineRule="auto"/>
        <w:rPr>
          <w:rFonts w:hint="eastAsia" w:ascii="宋体" w:hAnsi="宋体" w:cs="宋体"/>
          <w:color w:val="auto"/>
          <w:highlight w:val="none"/>
        </w:rPr>
      </w:pPr>
      <w:r>
        <w:rPr>
          <w:rFonts w:hint="eastAsia" w:ascii="宋体" w:hAnsi="宋体" w:cs="宋体"/>
          <w:color w:val="auto"/>
          <w:highlight w:val="none"/>
          <w:u w:val="single"/>
        </w:rPr>
        <w:t>②承包人负责合同实施期间其合同段内临时交通道路和交通设施的修建、维修、养护和交通管理工作，并承担一切费用</w:t>
      </w:r>
      <w:r>
        <w:rPr>
          <w:rFonts w:hint="eastAsia" w:ascii="宋体" w:hAnsi="宋体" w:cs="宋体"/>
          <w:color w:val="auto"/>
          <w:highlight w:val="none"/>
        </w:rPr>
        <w:t>。</w:t>
      </w:r>
    </w:p>
    <w:p w14:paraId="7851B6DA">
      <w:pPr>
        <w:pageBreakBefore w:val="0"/>
        <w:kinsoku/>
        <w:overflowPunct/>
        <w:autoSpaceDE w:val="0"/>
        <w:autoSpaceDN w:val="0"/>
        <w:bidi w:val="0"/>
        <w:adjustRightInd w:val="0"/>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090F4AE1">
      <w:pPr>
        <w:pageBreakBefore w:val="0"/>
        <w:kinsoku/>
        <w:overflowPunct/>
        <w:autoSpaceDE w:val="0"/>
        <w:autoSpaceDN w:val="0"/>
        <w:bidi w:val="0"/>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8.8.2 发包人提供的施工设备和临时设施</w:t>
      </w:r>
    </w:p>
    <w:p w14:paraId="3CFE20ED">
      <w:pPr>
        <w:pageBreakBefore w:val="0"/>
        <w:kinsoku/>
        <w:overflowPunct/>
        <w:autoSpaceDE w:val="0"/>
        <w:autoSpaceDN w:val="0"/>
        <w:bidi w:val="0"/>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发包人提供的施工设备和临时设施：</w:t>
      </w:r>
      <w:r>
        <w:rPr>
          <w:rFonts w:hint="eastAsia" w:ascii="宋体" w:hAnsi="宋体" w:cs="宋体"/>
          <w:color w:val="auto"/>
          <w:highlight w:val="none"/>
          <w:u w:val="single"/>
        </w:rPr>
        <w:t>（成交后填写）</w:t>
      </w:r>
      <w:r>
        <w:rPr>
          <w:rFonts w:hint="eastAsia" w:ascii="宋体" w:hAnsi="宋体" w:cs="宋体"/>
          <w:color w:val="auto"/>
          <w:highlight w:val="none"/>
        </w:rPr>
        <w:t>。</w:t>
      </w:r>
    </w:p>
    <w:p w14:paraId="292D6007">
      <w:pPr>
        <w:pageBreakBefore w:val="0"/>
        <w:kinsoku/>
        <w:overflowPunct/>
        <w:autoSpaceDE w:val="0"/>
        <w:autoSpaceDN w:val="0"/>
        <w:bidi w:val="0"/>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发包人提供的施工设备和临时设施的运行、维护、拆除、清运费用的承担人：</w:t>
      </w:r>
      <w:r>
        <w:rPr>
          <w:rFonts w:hint="eastAsia" w:ascii="宋体" w:hAnsi="宋体" w:cs="宋体"/>
          <w:color w:val="auto"/>
          <w:highlight w:val="none"/>
          <w:u w:val="single"/>
        </w:rPr>
        <w:t>（成交后填写）</w:t>
      </w:r>
      <w:r>
        <w:rPr>
          <w:rFonts w:hint="eastAsia" w:ascii="宋体" w:hAnsi="宋体" w:cs="宋体"/>
          <w:color w:val="auto"/>
          <w:highlight w:val="none"/>
        </w:rPr>
        <w:t>。</w:t>
      </w:r>
    </w:p>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21BB05DF">
      <w:pPr>
        <w:pStyle w:val="41"/>
        <w:pageBreakBefore w:val="0"/>
        <w:kinsoku/>
        <w:overflowPunct/>
        <w:bidi w:val="0"/>
        <w:spacing w:before="0" w:after="0" w:line="360" w:lineRule="auto"/>
        <w:rPr>
          <w:rFonts w:hint="eastAsia" w:ascii="宋体" w:cs="宋体"/>
          <w:color w:val="auto"/>
          <w:sz w:val="22"/>
          <w:szCs w:val="22"/>
          <w:highlight w:val="none"/>
        </w:rPr>
      </w:pPr>
      <w:bookmarkStart w:id="530" w:name="_Toc520505885"/>
      <w:bookmarkStart w:id="531" w:name="_Toc351203641"/>
      <w:bookmarkStart w:id="532" w:name="_Toc8433"/>
      <w:bookmarkStart w:id="533" w:name="_Toc406522256"/>
      <w:r>
        <w:rPr>
          <w:rFonts w:hint="eastAsia" w:ascii="宋体" w:cs="宋体"/>
          <w:color w:val="auto"/>
          <w:sz w:val="22"/>
          <w:szCs w:val="22"/>
          <w:highlight w:val="none"/>
        </w:rPr>
        <w:t>9</w:t>
      </w:r>
      <w:bookmarkEnd w:id="503"/>
      <w:bookmarkEnd w:id="504"/>
      <w:bookmarkEnd w:id="505"/>
      <w:bookmarkStart w:id="534" w:name="_Toc300934982"/>
      <w:bookmarkStart w:id="535" w:name="_Toc312678021"/>
      <w:bookmarkStart w:id="536" w:name="_Toc304295559"/>
      <w:bookmarkStart w:id="537" w:name="_Toc303539139"/>
      <w:bookmarkStart w:id="538" w:name="_Toc312677495"/>
      <w:bookmarkStart w:id="539" w:name="_Toc297123533"/>
      <w:bookmarkStart w:id="540" w:name="_Toc297216192"/>
      <w:bookmarkStart w:id="541" w:name="_Toc297120473"/>
      <w:bookmarkStart w:id="542" w:name="_Toc267251427"/>
      <w:bookmarkStart w:id="543" w:name="_Toc296347172"/>
      <w:bookmarkStart w:id="544" w:name="_Toc296891001"/>
      <w:bookmarkStart w:id="545" w:name="_Toc292559378"/>
      <w:bookmarkStart w:id="546" w:name="_Toc296944512"/>
      <w:bookmarkStart w:id="547" w:name="_Toc297048359"/>
      <w:bookmarkStart w:id="548" w:name="_Toc296346674"/>
      <w:bookmarkStart w:id="549" w:name="_Toc292559883"/>
      <w:bookmarkStart w:id="550" w:name="_Toc267251428"/>
      <w:bookmarkStart w:id="551" w:name="_Toc296503173"/>
      <w:bookmarkStart w:id="552" w:name="_Toc296891213"/>
      <w:r>
        <w:rPr>
          <w:rFonts w:hint="eastAsia" w:ascii="宋体" w:cs="宋体"/>
          <w:color w:val="auto"/>
          <w:sz w:val="22"/>
          <w:szCs w:val="22"/>
          <w:highlight w:val="none"/>
        </w:rPr>
        <w:t>. 试验与检验</w:t>
      </w:r>
      <w:bookmarkEnd w:id="530"/>
      <w:bookmarkEnd w:id="531"/>
      <w:bookmarkEnd w:id="532"/>
      <w:bookmarkEnd w:id="533"/>
    </w:p>
    <w:bookmarkEnd w:id="534"/>
    <w:bookmarkEnd w:id="535"/>
    <w:bookmarkEnd w:id="536"/>
    <w:bookmarkEnd w:id="537"/>
    <w:bookmarkEnd w:id="538"/>
    <w:bookmarkEnd w:id="539"/>
    <w:bookmarkEnd w:id="540"/>
    <w:p w14:paraId="12F62517">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553" w:name="_Toc14827"/>
      <w:bookmarkStart w:id="554" w:name="_Toc406522257"/>
      <w:bookmarkStart w:id="555" w:name="_Toc520505886"/>
      <w:r>
        <w:rPr>
          <w:rFonts w:hint="eastAsia" w:ascii="宋体" w:cs="宋体"/>
          <w:color w:val="auto"/>
          <w:sz w:val="22"/>
          <w:szCs w:val="22"/>
          <w:highlight w:val="none"/>
        </w:rPr>
        <w:t>9</w:t>
      </w:r>
      <w:bookmarkStart w:id="556" w:name="_Toc312678022"/>
      <w:bookmarkStart w:id="557" w:name="_Toc297123534"/>
      <w:bookmarkStart w:id="558" w:name="_Toc300934983"/>
      <w:bookmarkStart w:id="559" w:name="_Toc312677496"/>
      <w:bookmarkStart w:id="560" w:name="_Toc304295560"/>
      <w:bookmarkStart w:id="561" w:name="_Toc297216193"/>
      <w:bookmarkStart w:id="562" w:name="_Toc303539140"/>
      <w:r>
        <w:rPr>
          <w:rFonts w:hint="eastAsia" w:ascii="宋体" w:cs="宋体"/>
          <w:color w:val="auto"/>
          <w:sz w:val="22"/>
          <w:szCs w:val="22"/>
          <w:highlight w:val="none"/>
        </w:rPr>
        <w:t>.1试验设备与试验人员</w:t>
      </w:r>
      <w:bookmarkEnd w:id="553"/>
      <w:bookmarkEnd w:id="554"/>
      <w:bookmarkEnd w:id="555"/>
    </w:p>
    <w:bookmarkEnd w:id="556"/>
    <w:bookmarkEnd w:id="557"/>
    <w:bookmarkEnd w:id="558"/>
    <w:bookmarkEnd w:id="559"/>
    <w:bookmarkEnd w:id="560"/>
    <w:bookmarkEnd w:id="561"/>
    <w:bookmarkEnd w:id="562"/>
    <w:p w14:paraId="464F701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9</w:t>
      </w:r>
      <w:bookmarkStart w:id="563" w:name="_Toc300934984"/>
      <w:bookmarkStart w:id="564" w:name="_Toc312678023"/>
      <w:bookmarkStart w:id="565" w:name="_Toc297123535"/>
      <w:bookmarkStart w:id="566" w:name="_Toc304295561"/>
      <w:bookmarkStart w:id="567" w:name="_Toc297216194"/>
      <w:bookmarkStart w:id="568" w:name="_Toc312677497"/>
      <w:bookmarkStart w:id="569" w:name="_Toc303539141"/>
      <w:bookmarkStart w:id="570" w:name="_Toc318581174"/>
      <w:r>
        <w:rPr>
          <w:rFonts w:hint="eastAsia" w:ascii="宋体" w:hAnsi="宋体" w:cs="宋体"/>
          <w:color w:val="auto"/>
          <w:szCs w:val="22"/>
          <w:highlight w:val="none"/>
        </w:rPr>
        <w:t>.1.2 试验设备</w:t>
      </w:r>
    </w:p>
    <w:p w14:paraId="17971B5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施工现场需要配置的试验场所：</w:t>
      </w:r>
      <w:bookmarkEnd w:id="563"/>
      <w:bookmarkEnd w:id="564"/>
      <w:bookmarkEnd w:id="565"/>
      <w:bookmarkEnd w:id="566"/>
      <w:bookmarkEnd w:id="567"/>
      <w:bookmarkEnd w:id="568"/>
      <w:bookmarkEnd w:id="569"/>
      <w:bookmarkStart w:id="571" w:name="_Toc303539142"/>
      <w:bookmarkStart w:id="572" w:name="_Toc300934985"/>
      <w:bookmarkStart w:id="573" w:name="_Toc304295562"/>
      <w:bookmarkStart w:id="574" w:name="_Toc297216195"/>
      <w:bookmarkStart w:id="575" w:name="_Toc297123536"/>
      <w:bookmarkStart w:id="576" w:name="_Toc312678024"/>
      <w:bookmarkStart w:id="577" w:name="_Toc312677498"/>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 xml:space="preserve">。 </w:t>
      </w:r>
    </w:p>
    <w:p w14:paraId="202E607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施工现场需要配备的试验设备：</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6B48EB7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施工现场需要具备的其他试验条件：</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24F1E148">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578" w:name="_Toc406522258"/>
      <w:bookmarkStart w:id="579" w:name="_Toc520505887"/>
      <w:bookmarkStart w:id="580" w:name="_Toc25488"/>
      <w:r>
        <w:rPr>
          <w:rFonts w:hint="eastAsia" w:ascii="宋体" w:cs="宋体"/>
          <w:color w:val="auto"/>
          <w:sz w:val="22"/>
          <w:szCs w:val="22"/>
          <w:highlight w:val="none"/>
        </w:rPr>
        <w:t>9.4 现场工艺试验</w:t>
      </w:r>
      <w:bookmarkEnd w:id="578"/>
      <w:bookmarkEnd w:id="579"/>
      <w:bookmarkEnd w:id="580"/>
      <w:r>
        <w:rPr>
          <w:rFonts w:hint="eastAsia" w:ascii="宋体" w:cs="宋体"/>
          <w:color w:val="auto"/>
          <w:sz w:val="22"/>
          <w:szCs w:val="22"/>
          <w:highlight w:val="none"/>
        </w:rPr>
        <w:t xml:space="preserve"> </w:t>
      </w:r>
    </w:p>
    <w:p w14:paraId="5D277A0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现场工艺试验的有关约定：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22437386">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581" w:name="_Toc395382541"/>
      <w:bookmarkStart w:id="582" w:name="_Toc20757"/>
      <w:bookmarkStart w:id="583" w:name="_Toc520505888"/>
      <w:bookmarkStart w:id="584" w:name="_Toc406420990"/>
      <w:bookmarkStart w:id="585" w:name="_Toc406522259"/>
      <w:r>
        <w:rPr>
          <w:rFonts w:hint="eastAsia" w:ascii="宋体" w:cs="宋体"/>
          <w:color w:val="auto"/>
          <w:sz w:val="22"/>
          <w:szCs w:val="22"/>
          <w:highlight w:val="none"/>
        </w:rPr>
        <w:t>9.5 检验费用</w:t>
      </w:r>
      <w:bookmarkEnd w:id="581"/>
      <w:bookmarkEnd w:id="582"/>
      <w:bookmarkEnd w:id="583"/>
      <w:bookmarkEnd w:id="584"/>
      <w:bookmarkEnd w:id="585"/>
    </w:p>
    <w:p w14:paraId="54BC356A">
      <w:pPr>
        <w:pageBreakBefore w:val="0"/>
        <w:kinsoku/>
        <w:overflowPunct/>
        <w:bidi w:val="0"/>
        <w:spacing w:line="360" w:lineRule="auto"/>
        <w:ind w:firstLine="411" w:firstLineChars="196"/>
        <w:rPr>
          <w:rFonts w:hint="eastAsia" w:ascii="宋体" w:hAnsi="宋体" w:cs="宋体"/>
          <w:color w:val="auto"/>
          <w:highlight w:val="none"/>
          <w:u w:val="single"/>
        </w:rPr>
      </w:pPr>
      <w:r>
        <w:rPr>
          <w:rFonts w:hint="eastAsia" w:ascii="宋体" w:hAnsi="宋体" w:cs="宋体"/>
          <w:color w:val="auto"/>
          <w:highlight w:val="none"/>
          <w:u w:val="single"/>
        </w:rPr>
        <w:t>根据《建设工程质量检测管理办法》（建设部令第141号）以及</w:t>
      </w:r>
      <w:r>
        <w:rPr>
          <w:rFonts w:hint="eastAsia" w:ascii="宋体" w:hAnsi="宋体" w:cs="宋体"/>
          <w:bCs/>
          <w:color w:val="auto"/>
          <w:highlight w:val="none"/>
          <w:u w:val="single"/>
        </w:rPr>
        <w:t>《广西壮族自治区建设工程质量检测管理规定》（桂建管〔2013〕11号）</w:t>
      </w:r>
      <w:r>
        <w:rPr>
          <w:rFonts w:hint="eastAsia" w:ascii="宋体" w:hAnsi="宋体" w:cs="宋体"/>
          <w:color w:val="auto"/>
          <w:highlight w:val="none"/>
          <w:u w:val="single"/>
        </w:rPr>
        <w:t>规定，工程质量检测业务由招标人委托有相应资质的检测机构检测。费用从招标人的项目建设经费中支出并直接支付给检测机构，不计入合同价款内。</w:t>
      </w:r>
    </w:p>
    <w:p w14:paraId="15ED83EA">
      <w:pPr>
        <w:pageBreakBefore w:val="0"/>
        <w:kinsoku/>
        <w:overflowPunct/>
        <w:bidi w:val="0"/>
        <w:spacing w:line="360" w:lineRule="auto"/>
        <w:ind w:firstLine="411" w:firstLineChars="196"/>
        <w:rPr>
          <w:rFonts w:hint="eastAsia" w:ascii="宋体" w:hAnsi="宋体" w:cs="宋体"/>
          <w:color w:val="auto"/>
          <w:highlight w:val="none"/>
          <w:u w:val="single"/>
        </w:rPr>
      </w:pPr>
      <w:r>
        <w:rPr>
          <w:rFonts w:hint="eastAsia" w:ascii="宋体" w:hAnsi="宋体" w:cs="宋体"/>
          <w:color w:val="auto"/>
          <w:highlight w:val="none"/>
          <w:u w:val="single"/>
        </w:rPr>
        <w:t>承包人应主动提供各材料合格证及与工程质量合格的各种相关检测或实验报告（包括拉拔实验、桩基检测、竣工后室内空气质量检测报告等），检测程序严格按照国家相关规范执行，各检测或实验费用由发包人承担。发包人对其提出质疑要求复检的，若复检合格，复检试验费由发包人负责；复检不合格的，承包人不但要承担该项复检前后各次检测费，同时还应承担按施工规范进行整改及复检的一切费用，直至检测合格。</w:t>
      </w:r>
    </w:p>
    <w:bookmarkEnd w:id="570"/>
    <w:bookmarkEnd w:id="571"/>
    <w:bookmarkEnd w:id="572"/>
    <w:bookmarkEnd w:id="573"/>
    <w:bookmarkEnd w:id="574"/>
    <w:bookmarkEnd w:id="575"/>
    <w:bookmarkEnd w:id="576"/>
    <w:bookmarkEnd w:id="577"/>
    <w:p w14:paraId="20838615">
      <w:pPr>
        <w:pStyle w:val="41"/>
        <w:pageBreakBefore w:val="0"/>
        <w:kinsoku/>
        <w:overflowPunct/>
        <w:bidi w:val="0"/>
        <w:spacing w:before="0" w:after="0" w:line="360" w:lineRule="auto"/>
        <w:rPr>
          <w:rFonts w:hint="eastAsia" w:ascii="宋体" w:cs="宋体"/>
          <w:color w:val="auto"/>
          <w:sz w:val="22"/>
          <w:szCs w:val="22"/>
          <w:highlight w:val="none"/>
        </w:rPr>
      </w:pPr>
      <w:bookmarkStart w:id="586" w:name="_Toc520505889"/>
      <w:bookmarkStart w:id="587" w:name="_Toc406522260"/>
      <w:bookmarkStart w:id="588" w:name="_Toc351203642"/>
      <w:bookmarkStart w:id="589" w:name="_Toc12443"/>
      <w:r>
        <w:rPr>
          <w:rFonts w:hint="eastAsia" w:ascii="宋体" w:cs="宋体"/>
          <w:color w:val="auto"/>
          <w:sz w:val="22"/>
          <w:szCs w:val="22"/>
          <w:highlight w:val="none"/>
        </w:rPr>
        <w:t>1</w:t>
      </w:r>
      <w:bookmarkEnd w:id="541"/>
      <w:bookmarkEnd w:id="542"/>
      <w:bookmarkEnd w:id="543"/>
      <w:bookmarkEnd w:id="544"/>
      <w:bookmarkEnd w:id="545"/>
      <w:bookmarkEnd w:id="546"/>
      <w:bookmarkEnd w:id="547"/>
      <w:bookmarkEnd w:id="548"/>
      <w:bookmarkEnd w:id="549"/>
      <w:bookmarkEnd w:id="550"/>
      <w:bookmarkEnd w:id="551"/>
      <w:bookmarkEnd w:id="552"/>
      <w:bookmarkStart w:id="590" w:name="_Toc297120493"/>
      <w:bookmarkStart w:id="591" w:name="_Toc303539146"/>
      <w:bookmarkStart w:id="592" w:name="_Toc304295566"/>
      <w:bookmarkStart w:id="593" w:name="_Toc296503193"/>
      <w:bookmarkStart w:id="594" w:name="_Toc296891021"/>
      <w:bookmarkStart w:id="595" w:name="_Toc296346694"/>
      <w:bookmarkStart w:id="596" w:name="_Toc296944532"/>
      <w:bookmarkStart w:id="597" w:name="_Toc292559903"/>
      <w:bookmarkStart w:id="598" w:name="_Toc300934989"/>
      <w:bookmarkStart w:id="599" w:name="_Toc297048379"/>
      <w:bookmarkStart w:id="600" w:name="_Toc296347192"/>
      <w:bookmarkStart w:id="601" w:name="_Toc296891233"/>
      <w:bookmarkStart w:id="602" w:name="_Toc297216199"/>
      <w:bookmarkStart w:id="603" w:name="_Toc297123540"/>
      <w:bookmarkStart w:id="604" w:name="_Toc292559398"/>
      <w:bookmarkStart w:id="605" w:name="_Toc312677499"/>
      <w:bookmarkStart w:id="606" w:name="_Toc312678025"/>
      <w:bookmarkStart w:id="607" w:name="_Toc267251435"/>
      <w:bookmarkStart w:id="608" w:name="_Toc267251437"/>
      <w:bookmarkStart w:id="609" w:name="_Toc267251440"/>
      <w:bookmarkStart w:id="610" w:name="_Toc267251439"/>
      <w:bookmarkStart w:id="611" w:name="_Toc267251433"/>
      <w:bookmarkStart w:id="612" w:name="_Toc267251441"/>
      <w:bookmarkStart w:id="613" w:name="_Toc267251442"/>
      <w:r>
        <w:rPr>
          <w:rFonts w:hint="eastAsia" w:ascii="宋体" w:cs="宋体"/>
          <w:color w:val="auto"/>
          <w:sz w:val="22"/>
          <w:szCs w:val="22"/>
          <w:highlight w:val="none"/>
        </w:rPr>
        <w:t>0. 变更</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bookmarkEnd w:id="605"/>
    <w:bookmarkEnd w:id="606"/>
    <w:p w14:paraId="37427641">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614" w:name="_Toc406522261"/>
      <w:bookmarkStart w:id="615" w:name="_Toc9079"/>
      <w:bookmarkStart w:id="616" w:name="_Toc520505890"/>
      <w:r>
        <w:rPr>
          <w:rFonts w:hint="eastAsia" w:ascii="宋体" w:cs="宋体"/>
          <w:color w:val="auto"/>
          <w:sz w:val="22"/>
          <w:szCs w:val="22"/>
          <w:highlight w:val="none"/>
        </w:rPr>
        <w:t>1</w:t>
      </w:r>
      <w:bookmarkStart w:id="617" w:name="_Toc297216200"/>
      <w:bookmarkStart w:id="618" w:name="_Toc312678026"/>
      <w:bookmarkStart w:id="619" w:name="_Toc296347193"/>
      <w:bookmarkStart w:id="620" w:name="_Toc296891234"/>
      <w:bookmarkStart w:id="621" w:name="_Toc296944533"/>
      <w:bookmarkStart w:id="622" w:name="_Toc297120494"/>
      <w:bookmarkStart w:id="623" w:name="_Toc303539147"/>
      <w:bookmarkStart w:id="624" w:name="_Toc297048380"/>
      <w:bookmarkStart w:id="625" w:name="_Toc296503194"/>
      <w:bookmarkStart w:id="626" w:name="_Toc312677500"/>
      <w:bookmarkStart w:id="627" w:name="_Toc297123541"/>
      <w:bookmarkStart w:id="628" w:name="_Toc292559399"/>
      <w:bookmarkStart w:id="629" w:name="_Toc304295567"/>
      <w:bookmarkStart w:id="630" w:name="_Toc300934990"/>
      <w:bookmarkStart w:id="631" w:name="_Toc292559904"/>
      <w:bookmarkStart w:id="632" w:name="_Toc296346695"/>
      <w:bookmarkStart w:id="633" w:name="_Toc296891022"/>
      <w:r>
        <w:rPr>
          <w:rFonts w:hint="eastAsia" w:ascii="宋体" w:cs="宋体"/>
          <w:color w:val="auto"/>
          <w:sz w:val="22"/>
          <w:szCs w:val="22"/>
          <w:highlight w:val="none"/>
        </w:rPr>
        <w:t>0.1变更的范围</w:t>
      </w:r>
      <w:bookmarkEnd w:id="614"/>
      <w:bookmarkEnd w:id="615"/>
      <w:bookmarkEnd w:id="616"/>
    </w:p>
    <w:p w14:paraId="74C53BD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关于变更的范围的约定：</w:t>
      </w:r>
      <w:r>
        <w:rPr>
          <w:rFonts w:hint="eastAsia" w:ascii="宋体" w:hAnsi="宋体" w:cs="宋体"/>
          <w:color w:val="auto"/>
          <w:highlight w:val="none"/>
          <w:u w:val="single"/>
        </w:rPr>
        <w:t xml:space="preserve">施工期间因不可预见因素或发包人要求所发生的工程量增减（由变更、签证产生），其工程量按实际发生并经监理工程师及发包人签证认可，工程变更综合单价按专用条款第10.4点规定执行 </w:t>
      </w:r>
      <w:r>
        <w:rPr>
          <w:rFonts w:hint="eastAsia" w:ascii="宋体" w:hAnsi="宋体" w:cs="宋体"/>
          <w:color w:val="auto"/>
          <w:highlight w:val="none"/>
        </w:rPr>
        <w:t>。</w:t>
      </w:r>
    </w:p>
    <w:p w14:paraId="38D7A15E">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634" w:name="_Toc389065307"/>
      <w:bookmarkStart w:id="635" w:name="_Toc373478388"/>
      <w:bookmarkStart w:id="636" w:name="_Toc14733"/>
      <w:bookmarkStart w:id="637" w:name="_Toc520505891"/>
      <w:bookmarkStart w:id="638" w:name="_Toc395382544"/>
      <w:bookmarkStart w:id="639" w:name="_Toc373227741"/>
      <w:bookmarkStart w:id="640" w:name="_Toc406522262"/>
      <w:r>
        <w:rPr>
          <w:rFonts w:hint="eastAsia" w:ascii="宋体" w:cs="宋体"/>
          <w:color w:val="auto"/>
          <w:sz w:val="22"/>
          <w:szCs w:val="22"/>
          <w:highlight w:val="none"/>
        </w:rPr>
        <w:t>10.3 变更程序</w:t>
      </w:r>
      <w:bookmarkEnd w:id="634"/>
      <w:bookmarkEnd w:id="635"/>
      <w:bookmarkEnd w:id="636"/>
      <w:bookmarkEnd w:id="637"/>
      <w:bookmarkEnd w:id="638"/>
      <w:bookmarkEnd w:id="639"/>
      <w:bookmarkEnd w:id="640"/>
    </w:p>
    <w:p w14:paraId="35C6EEB7">
      <w:pPr>
        <w:pStyle w:val="42"/>
        <w:pageBreakBefore w:val="0"/>
        <w:kinsoku/>
        <w:overflowPunct/>
        <w:bidi w:val="0"/>
        <w:spacing w:line="360" w:lineRule="auto"/>
        <w:rPr>
          <w:rFonts w:hint="eastAsia" w:ascii="宋体" w:hAnsi="宋体" w:cs="宋体"/>
          <w:bCs/>
          <w:color w:val="auto"/>
          <w:szCs w:val="22"/>
          <w:highlight w:val="none"/>
        </w:rPr>
      </w:pPr>
      <w:r>
        <w:rPr>
          <w:rFonts w:hint="eastAsia" w:ascii="宋体" w:hAnsi="宋体" w:cs="宋体"/>
          <w:bCs/>
          <w:color w:val="auto"/>
          <w:szCs w:val="22"/>
          <w:highlight w:val="none"/>
        </w:rPr>
        <w:t>10.3.1 国有投资项目：</w:t>
      </w:r>
    </w:p>
    <w:p w14:paraId="22D74B22">
      <w:pPr>
        <w:pStyle w:val="42"/>
        <w:pageBreakBefore w:val="0"/>
        <w:kinsoku/>
        <w:overflowPunct/>
        <w:bidi w:val="0"/>
        <w:spacing w:line="360" w:lineRule="auto"/>
        <w:rPr>
          <w:rFonts w:hint="eastAsia" w:ascii="宋体" w:hAnsi="宋体" w:cs="宋体"/>
          <w:bCs/>
          <w:color w:val="auto"/>
          <w:highlight w:val="none"/>
        </w:rPr>
      </w:pPr>
      <w:bookmarkStart w:id="641" w:name="_Toc406522263"/>
      <w:r>
        <w:rPr>
          <w:rFonts w:hint="eastAsia" w:ascii="宋体" w:hAnsi="宋体" w:cs="宋体"/>
          <w:bCs/>
          <w:color w:val="auto"/>
          <w:highlight w:val="none"/>
        </w:rPr>
        <w:t>⑴设计变更和工程签证，按各市政府或相关部门的规定办理。属不可抗力（自然灾害、突发事件等）造成变更的，按特事特办原则予以办理。</w:t>
      </w:r>
    </w:p>
    <w:p w14:paraId="0EB42D32">
      <w:pPr>
        <w:pStyle w:val="42"/>
        <w:pageBreakBefore w:val="0"/>
        <w:kinsoku/>
        <w:overflowPunct/>
        <w:bidi w:val="0"/>
        <w:spacing w:line="360" w:lineRule="auto"/>
        <w:rPr>
          <w:rFonts w:hint="eastAsia" w:ascii="宋体" w:hAnsi="宋体" w:cs="宋体"/>
          <w:bCs/>
          <w:color w:val="auto"/>
          <w:highlight w:val="none"/>
        </w:rPr>
      </w:pPr>
      <w:r>
        <w:rPr>
          <w:rFonts w:hint="eastAsia" w:ascii="宋体" w:hAnsi="宋体" w:cs="宋体"/>
          <w:bCs/>
          <w:color w:val="auto"/>
          <w:highlight w:val="none"/>
        </w:rPr>
        <w:t>⑵发包人在实施项目过程中，若发生单价变动，由发包人、监理单位、承包人及其他相关单位共同商定并签字确认。</w:t>
      </w:r>
    </w:p>
    <w:p w14:paraId="27A31212">
      <w:pPr>
        <w:pStyle w:val="42"/>
        <w:pageBreakBefore w:val="0"/>
        <w:kinsoku/>
        <w:overflowPunct/>
        <w:bidi w:val="0"/>
        <w:spacing w:line="360" w:lineRule="auto"/>
        <w:rPr>
          <w:rFonts w:hint="eastAsia" w:ascii="宋体" w:hAnsi="宋体" w:cs="宋体"/>
          <w:bCs/>
          <w:color w:val="auto"/>
          <w:highlight w:val="none"/>
        </w:rPr>
      </w:pPr>
      <w:r>
        <w:rPr>
          <w:rFonts w:hint="eastAsia" w:ascii="宋体" w:hAnsi="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0974AAF">
      <w:pPr>
        <w:pageBreakBefore w:val="0"/>
        <w:kinsoku/>
        <w:overflowPunct/>
        <w:bidi w:val="0"/>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10.3.3发包人在施工中提出的合理施工变更工作联系函发出后，3个工作日内承包人必须给出明确答复，承包人应在双方约定时间内出具变更方案及预算。如因承包人无正当理由延误变更，或不及时给予明确答复的，因此所延误的时间发包人将书面记录，作为今后处罚承包人延误工期的依据。</w:t>
      </w:r>
    </w:p>
    <w:p w14:paraId="5593883B">
      <w:pPr>
        <w:pageBreakBefore w:val="0"/>
        <w:kinsoku/>
        <w:overflowPunct/>
        <w:bidi w:val="0"/>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10.3.4单个变更项目超过1万元的必须在该项施工前至少提前一周书面将施工方案和预算交付发包人。</w:t>
      </w:r>
    </w:p>
    <w:p w14:paraId="50B374F7">
      <w:pPr>
        <w:pageBreakBefore w:val="0"/>
        <w:kinsoku/>
        <w:overflowPunct/>
        <w:bidi w:val="0"/>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10.3.5需签证的项目承包人必须在完成该签证项目后三周内完成签证单及原始记录，尤其是隐蔽工程必须尽快完成原始数据的记录和确认，逾期无法核实的承包人应承担一切费用及相应责任。</w:t>
      </w:r>
    </w:p>
    <w:p w14:paraId="6945FDC9">
      <w:pPr>
        <w:pStyle w:val="42"/>
        <w:pageBreakBefore w:val="0"/>
        <w:kinsoku/>
        <w:overflowPunct/>
        <w:bidi w:val="0"/>
        <w:spacing w:line="360" w:lineRule="auto"/>
        <w:rPr>
          <w:rFonts w:hint="eastAsia" w:ascii="宋体" w:hAnsi="宋体" w:cs="宋体"/>
          <w:bCs/>
          <w:color w:val="auto"/>
          <w:highlight w:val="none"/>
        </w:rPr>
      </w:pPr>
      <w:r>
        <w:rPr>
          <w:rFonts w:hint="eastAsia" w:ascii="宋体" w:hAnsi="宋体" w:cs="宋体"/>
          <w:color w:val="auto"/>
          <w:highlight w:val="none"/>
        </w:rPr>
        <w:t>10.3.6施工中凡实际工程量预计超出预算工程量5%（含5%）以上的各项施工内容，承包人均需在此项施工前以书面材料形式向发包人报备，并在施工完成后15天内组织发包人及监理等相关人员现场计量并做好原始记录，否则在工程结算中发包人有权不予认可工程量超出预算工程量的部分。</w:t>
      </w:r>
    </w:p>
    <w:p w14:paraId="5331BD08">
      <w:pPr>
        <w:pStyle w:val="41"/>
        <w:pageBreakBefore w:val="0"/>
        <w:kinsoku/>
        <w:overflowPunct/>
        <w:bidi w:val="0"/>
        <w:spacing w:before="0" w:after="0" w:line="360" w:lineRule="auto"/>
        <w:rPr>
          <w:rFonts w:hint="eastAsia" w:ascii="宋体" w:cs="宋体"/>
          <w:color w:val="auto"/>
          <w:sz w:val="22"/>
          <w:szCs w:val="22"/>
          <w:highlight w:val="none"/>
        </w:rPr>
      </w:pPr>
      <w:bookmarkStart w:id="642" w:name="_Toc632"/>
      <w:bookmarkStart w:id="643" w:name="_Toc520505892"/>
      <w:r>
        <w:rPr>
          <w:rFonts w:hint="eastAsia" w:ascii="宋体" w:cs="宋体"/>
          <w:color w:val="auto"/>
          <w:sz w:val="22"/>
          <w:szCs w:val="22"/>
          <w:highlight w:val="none"/>
        </w:rPr>
        <w:t>10.4 变更估价</w:t>
      </w:r>
      <w:bookmarkEnd w:id="641"/>
      <w:bookmarkEnd w:id="642"/>
      <w:bookmarkEnd w:id="643"/>
    </w:p>
    <w:p w14:paraId="26BBFCF7">
      <w:pPr>
        <w:pageBreakBefore w:val="0"/>
        <w:kinsoku/>
        <w:overflowPunct/>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10.4.1 变更估价原则: </w:t>
      </w:r>
      <w:r>
        <w:rPr>
          <w:rFonts w:hint="eastAsia" w:ascii="宋体" w:hAnsi="宋体" w:cs="宋体"/>
          <w:bCs/>
          <w:color w:val="auto"/>
          <w:szCs w:val="21"/>
          <w:highlight w:val="none"/>
          <w:u w:val="single"/>
        </w:rPr>
        <w:t>因设计变更、相关签证和工程量清单错误引起工程项目、工程量任何变化的，</w:t>
      </w:r>
      <w:r>
        <w:rPr>
          <w:rFonts w:hint="eastAsia" w:ascii="宋体" w:hAnsi="宋体" w:cs="宋体"/>
          <w:bCs/>
          <w:color w:val="auto"/>
          <w:highlight w:val="none"/>
          <w:u w:val="single"/>
        </w:rPr>
        <w:t>招标工程量清单错项漏项，</w:t>
      </w:r>
      <w:r>
        <w:rPr>
          <w:rFonts w:hint="eastAsia" w:ascii="宋体" w:hAnsi="宋体" w:cs="宋体"/>
          <w:bCs/>
          <w:color w:val="auto"/>
          <w:szCs w:val="21"/>
          <w:highlight w:val="none"/>
          <w:u w:val="single"/>
        </w:rPr>
        <w:t>变更合同价款按下列方法进行：（1）合同中已有相同项目的，按合同该项目价格进行计算；（2）合同中只有类似项目的，参照该类似项目价格进行计算；（3）合同中没有适用或类似子目的价格计算方法：有定额的套本合同签订时广西施行的定额（费率取中值）及相关文件规定，并乘以下浮系数【（公布的的工程预算控制价-成交的磋商报价）/公布的的工程预算控制价】计算，其中材料价格按施工期间的《桂林市建设工程造价信息》相应价格信息进行计算；《桂林市建设工程造价信息》没有相应价格信息的，按市场价计算，市场价由发包人、承包人、监理人三方签证确认；无定额可套的，根据市场价格协商后，通过签证确定综合价格；新增项目的单价必须报监理单位审核，并报有相应资质的第三方审查认可后最终由发包人确认</w:t>
      </w:r>
      <w:r>
        <w:rPr>
          <w:rFonts w:hint="eastAsia" w:ascii="宋体" w:hAnsi="宋体" w:cs="宋体"/>
          <w:color w:val="auto"/>
          <w:szCs w:val="21"/>
          <w:highlight w:val="none"/>
        </w:rPr>
        <w:t>。</w:t>
      </w:r>
    </w:p>
    <w:p w14:paraId="321D8F12">
      <w:pPr>
        <w:pageBreakBefore w:val="0"/>
        <w:kinsoku/>
        <w:overflowPunct/>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本工程最终结算以有相应资质的第三方审查认可后最终由发包人确认的金额为准。</w:t>
      </w:r>
    </w:p>
    <w:p w14:paraId="05A58804">
      <w:pPr>
        <w:pageBreakBefore w:val="0"/>
        <w:kinsoku/>
        <w:overflowPunct/>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highlight w:val="none"/>
        </w:rPr>
        <w:t>工程变更导致实际完成的变更工程量与已标价清单或预算书中列明的该项目工程量有偏差时，其综合单价的确定按专用条款“1.13工程量清单错误的修正”执行。</w:t>
      </w:r>
    </w:p>
    <w:p w14:paraId="086E450F">
      <w:pPr>
        <w:pStyle w:val="42"/>
        <w:pageBreakBefore w:val="0"/>
        <w:kinsoku/>
        <w:overflowPunct/>
        <w:bidi w:val="0"/>
        <w:spacing w:line="360" w:lineRule="auto"/>
        <w:rPr>
          <w:rFonts w:hint="eastAsia" w:ascii="宋体" w:hAnsi="宋体" w:cs="宋体"/>
          <w:b/>
          <w:color w:val="auto"/>
          <w:spacing w:val="-47"/>
          <w:position w:val="-2"/>
          <w:highlight w:val="none"/>
          <w:u w:val="single"/>
        </w:rPr>
      </w:pPr>
      <w:r>
        <w:rPr>
          <w:rFonts w:hint="eastAsia" w:ascii="宋体" w:hAnsi="宋体" w:cs="宋体"/>
          <w:color w:val="auto"/>
          <w:highlight w:val="none"/>
        </w:rPr>
        <w:t>国家和自治区及工程所在地政府或行政主管部门颁发文件调整人工、材料、机械台班及其它有关费用标准的，按文件规定之日起进行调整。</w:t>
      </w:r>
    </w:p>
    <w:p w14:paraId="68EAC141">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644" w:name="_Toc406522264"/>
      <w:bookmarkStart w:id="645" w:name="_Toc16548"/>
      <w:bookmarkStart w:id="646" w:name="_Toc520505893"/>
      <w:r>
        <w:rPr>
          <w:rFonts w:hint="eastAsia" w:ascii="宋体" w:cs="宋体"/>
          <w:color w:val="auto"/>
          <w:sz w:val="22"/>
          <w:szCs w:val="22"/>
          <w:highlight w:val="none"/>
        </w:rPr>
        <w:t>1</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Start w:id="647" w:name="_Toc303539150"/>
      <w:bookmarkStart w:id="648" w:name="_Toc297216203"/>
      <w:bookmarkStart w:id="649" w:name="_Toc297120497"/>
      <w:bookmarkStart w:id="650" w:name="_Toc296891025"/>
      <w:bookmarkStart w:id="651" w:name="_Toc300934993"/>
      <w:bookmarkStart w:id="652" w:name="_Toc296503197"/>
      <w:bookmarkStart w:id="653" w:name="_Toc296944536"/>
      <w:bookmarkStart w:id="654" w:name="_Toc292559402"/>
      <w:bookmarkStart w:id="655" w:name="_Toc297048383"/>
      <w:bookmarkStart w:id="656" w:name="_Toc296347196"/>
      <w:bookmarkStart w:id="657" w:name="_Toc297123544"/>
      <w:bookmarkStart w:id="658" w:name="_Toc296891237"/>
      <w:bookmarkStart w:id="659" w:name="_Toc296346698"/>
      <w:bookmarkStart w:id="660" w:name="_Toc292559907"/>
      <w:bookmarkStart w:id="661" w:name="_Toc312677503"/>
      <w:bookmarkStart w:id="662" w:name="_Toc312678029"/>
      <w:bookmarkStart w:id="663" w:name="_Toc304295570"/>
      <w:r>
        <w:rPr>
          <w:rFonts w:hint="eastAsia" w:ascii="宋体" w:cs="宋体"/>
          <w:color w:val="auto"/>
          <w:sz w:val="22"/>
          <w:szCs w:val="22"/>
          <w:highlight w:val="none"/>
        </w:rPr>
        <w:t>0.5承</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4" w:name="_Toc297216204"/>
      <w:bookmarkStart w:id="665" w:name="_Toc296503203"/>
      <w:bookmarkStart w:id="666" w:name="_Toc303539151"/>
      <w:bookmarkStart w:id="667" w:name="_Toc296891243"/>
      <w:bookmarkStart w:id="668" w:name="_Toc296891031"/>
      <w:bookmarkStart w:id="669" w:name="_Toc297048389"/>
      <w:bookmarkStart w:id="670" w:name="_Toc292559913"/>
      <w:bookmarkStart w:id="671" w:name="_Toc292559408"/>
      <w:bookmarkStart w:id="672" w:name="_Toc300934994"/>
      <w:bookmarkStart w:id="673" w:name="_Toc297120503"/>
      <w:bookmarkStart w:id="674" w:name="_Toc297123545"/>
      <w:bookmarkStart w:id="675" w:name="_Toc296944542"/>
      <w:bookmarkStart w:id="676" w:name="_Toc296346704"/>
      <w:bookmarkStart w:id="677" w:name="_Toc296347202"/>
      <w:r>
        <w:rPr>
          <w:rFonts w:hint="eastAsia" w:ascii="宋体" w:cs="宋体"/>
          <w:color w:val="auto"/>
          <w:sz w:val="22"/>
          <w:szCs w:val="22"/>
          <w:highlight w:val="none"/>
        </w:rPr>
        <w:t>包人的合理化建议</w:t>
      </w:r>
      <w:bookmarkEnd w:id="644"/>
      <w:bookmarkEnd w:id="645"/>
      <w:bookmarkEnd w:id="646"/>
    </w:p>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3E2C9E6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监理人审查承包人合理化建议的期限：</w:t>
      </w:r>
      <w:r>
        <w:rPr>
          <w:rFonts w:hint="eastAsia" w:ascii="宋体" w:hAnsi="宋体" w:cs="宋体"/>
          <w:color w:val="auto"/>
          <w:szCs w:val="22"/>
          <w:highlight w:val="none"/>
          <w:u w:val="single"/>
        </w:rPr>
        <w:t xml:space="preserve">收到承包人提交的合理化建议后5天内审核完毕并报送发包人  </w:t>
      </w:r>
      <w:r>
        <w:rPr>
          <w:rFonts w:hint="eastAsia" w:ascii="宋体" w:hAnsi="宋体" w:cs="宋体"/>
          <w:color w:val="auto"/>
          <w:szCs w:val="22"/>
          <w:highlight w:val="none"/>
        </w:rPr>
        <w:t>。</w:t>
      </w:r>
    </w:p>
    <w:p w14:paraId="184458A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发包人审批承包人合理化建议的期限：</w:t>
      </w:r>
      <w:r>
        <w:rPr>
          <w:rFonts w:hint="eastAsia" w:ascii="宋体" w:hAnsi="宋体" w:cs="宋体"/>
          <w:color w:val="auto"/>
          <w:szCs w:val="22"/>
          <w:highlight w:val="none"/>
          <w:u w:val="single"/>
        </w:rPr>
        <w:t>收到监理人提交的合理化建议后5天内审核完毕</w:t>
      </w:r>
      <w:r>
        <w:rPr>
          <w:rFonts w:hint="eastAsia" w:ascii="宋体" w:hAnsi="宋体" w:cs="宋体"/>
          <w:color w:val="auto"/>
          <w:szCs w:val="22"/>
          <w:highlight w:val="none"/>
        </w:rPr>
        <w:t>。</w:t>
      </w:r>
    </w:p>
    <w:p w14:paraId="5B1970FC">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承</w:t>
      </w:r>
      <w:bookmarkStart w:id="678" w:name="_Toc303539152"/>
      <w:bookmarkStart w:id="679" w:name="_Toc297120504"/>
      <w:bookmarkStart w:id="680" w:name="_Toc292559914"/>
      <w:bookmarkStart w:id="681" w:name="_Toc296891244"/>
      <w:bookmarkStart w:id="682" w:name="_Toc318581175"/>
      <w:bookmarkStart w:id="683" w:name="_Toc296503204"/>
      <w:bookmarkStart w:id="684" w:name="_Toc300934995"/>
      <w:bookmarkStart w:id="685" w:name="_Toc296891032"/>
      <w:bookmarkStart w:id="686" w:name="_Toc296346705"/>
      <w:bookmarkStart w:id="687" w:name="_Toc304295571"/>
      <w:bookmarkStart w:id="688" w:name="_Toc312677504"/>
      <w:bookmarkStart w:id="689" w:name="_Toc312678030"/>
      <w:bookmarkStart w:id="690" w:name="_Toc296347203"/>
      <w:bookmarkStart w:id="691" w:name="_Toc297216205"/>
      <w:bookmarkStart w:id="692" w:name="_Toc296944543"/>
      <w:bookmarkStart w:id="693" w:name="_Toc297123546"/>
      <w:bookmarkStart w:id="694" w:name="_Toc292559409"/>
      <w:bookmarkStart w:id="695" w:name="_Toc297048390"/>
      <w:r>
        <w:rPr>
          <w:rFonts w:hint="eastAsia" w:ascii="宋体" w:hAnsi="宋体" w:cs="宋体"/>
          <w:color w:val="auto"/>
          <w:szCs w:val="22"/>
          <w:highlight w:val="none"/>
        </w:rPr>
        <w:t>包人提出的合理化建议降低了合同价格或者提高了工程经济效益的奖励的方法和金额为：</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14:paraId="6DB60D77">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696" w:name="_Toc520505894"/>
      <w:bookmarkStart w:id="697" w:name="_Toc406522265"/>
      <w:bookmarkStart w:id="698" w:name="_Toc19465"/>
      <w:r>
        <w:rPr>
          <w:rFonts w:hint="eastAsia" w:ascii="宋体" w:cs="宋体"/>
          <w:color w:val="auto"/>
          <w:sz w:val="22"/>
          <w:szCs w:val="22"/>
          <w:highlight w:val="none"/>
        </w:rPr>
        <w:t>1</w:t>
      </w:r>
      <w:bookmarkStart w:id="699" w:name="_Toc297048385"/>
      <w:bookmarkStart w:id="700" w:name="_Toc296891239"/>
      <w:bookmarkStart w:id="701" w:name="_Toc297216207"/>
      <w:bookmarkStart w:id="702" w:name="_Toc303539154"/>
      <w:bookmarkStart w:id="703" w:name="_Toc296944538"/>
      <w:bookmarkStart w:id="704" w:name="_Toc296346700"/>
      <w:bookmarkStart w:id="705" w:name="_Toc312678033"/>
      <w:bookmarkStart w:id="706" w:name="_Toc296891027"/>
      <w:bookmarkStart w:id="707" w:name="_Toc296347198"/>
      <w:bookmarkStart w:id="708" w:name="_Toc297123548"/>
      <w:bookmarkStart w:id="709" w:name="_Toc292559404"/>
      <w:bookmarkStart w:id="710" w:name="_Toc297120499"/>
      <w:bookmarkStart w:id="711" w:name="_Toc296503199"/>
      <w:bookmarkStart w:id="712" w:name="_Toc312677507"/>
      <w:bookmarkStart w:id="713" w:name="_Toc292559909"/>
      <w:bookmarkStart w:id="714" w:name="_Toc300934997"/>
      <w:bookmarkStart w:id="715" w:name="_Toc304295574"/>
      <w:r>
        <w:rPr>
          <w:rFonts w:hint="eastAsia" w:ascii="宋体" w:cs="宋体"/>
          <w:color w:val="auto"/>
          <w:sz w:val="22"/>
          <w:szCs w:val="22"/>
          <w:highlight w:val="none"/>
        </w:rPr>
        <w:t>0.7 暂估价</w:t>
      </w:r>
      <w:bookmarkEnd w:id="696"/>
      <w:bookmarkEnd w:id="697"/>
      <w:bookmarkEnd w:id="698"/>
    </w:p>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5CDD933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暂估价材料和工程设备的明细详见附件11：《暂估价一览表》。</w:t>
      </w:r>
    </w:p>
    <w:p w14:paraId="184A12B8">
      <w:pPr>
        <w:pStyle w:val="42"/>
        <w:pageBreakBefore w:val="0"/>
        <w:kinsoku/>
        <w:overflowPunct/>
        <w:bidi w:val="0"/>
        <w:spacing w:line="360" w:lineRule="auto"/>
        <w:outlineLvl w:val="0"/>
        <w:rPr>
          <w:rFonts w:hint="eastAsia" w:ascii="宋体" w:hAnsi="宋体" w:cs="宋体"/>
          <w:color w:val="auto"/>
          <w:szCs w:val="22"/>
          <w:highlight w:val="none"/>
        </w:rPr>
      </w:pPr>
      <w:bookmarkStart w:id="716" w:name="_Toc26122"/>
      <w:bookmarkStart w:id="717" w:name="_Toc520505895"/>
      <w:bookmarkStart w:id="718" w:name="_Toc406522266"/>
      <w:bookmarkStart w:id="719" w:name="_Toc406419390"/>
      <w:r>
        <w:rPr>
          <w:rFonts w:hint="eastAsia" w:ascii="宋体" w:hAnsi="宋体" w:cs="宋体"/>
          <w:color w:val="auto"/>
          <w:szCs w:val="22"/>
          <w:highlight w:val="none"/>
        </w:rPr>
        <w:t>1</w:t>
      </w:r>
      <w:bookmarkStart w:id="720" w:name="_Toc312678035"/>
      <w:bookmarkStart w:id="721" w:name="_Toc318581177"/>
      <w:bookmarkStart w:id="722" w:name="_Toc312677509"/>
      <w:r>
        <w:rPr>
          <w:rFonts w:hint="eastAsia" w:ascii="宋体" w:hAnsi="宋体" w:cs="宋体"/>
          <w:color w:val="auto"/>
          <w:szCs w:val="22"/>
          <w:highlight w:val="none"/>
        </w:rPr>
        <w:t>0.7.1 依法必须招标的暂估价项目</w:t>
      </w:r>
      <w:bookmarkEnd w:id="716"/>
      <w:bookmarkEnd w:id="717"/>
      <w:bookmarkEnd w:id="718"/>
      <w:bookmarkEnd w:id="719"/>
    </w:p>
    <w:bookmarkEnd w:id="720"/>
    <w:bookmarkEnd w:id="721"/>
    <w:bookmarkEnd w:id="722"/>
    <w:p w14:paraId="0315C73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对于依法必须招标的暂估价项目的确认和批准采取第</w:t>
      </w:r>
      <w:r>
        <w:rPr>
          <w:rFonts w:hint="eastAsia" w:ascii="宋体" w:hAnsi="宋体" w:cs="宋体"/>
          <w:color w:val="auto"/>
          <w:szCs w:val="22"/>
          <w:highlight w:val="none"/>
          <w:u w:val="single"/>
        </w:rPr>
        <w:t xml:space="preserve">  1 </w:t>
      </w:r>
      <w:r>
        <w:rPr>
          <w:rFonts w:hint="eastAsia" w:ascii="宋体" w:hAnsi="宋体" w:cs="宋体"/>
          <w:color w:val="auto"/>
          <w:szCs w:val="22"/>
          <w:highlight w:val="none"/>
        </w:rPr>
        <w:t>种方式确定。</w:t>
      </w:r>
    </w:p>
    <w:p w14:paraId="24AD4B2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10.7.2 不属于依法必须招标的暂估价项目</w:t>
      </w:r>
    </w:p>
    <w:p w14:paraId="70DE4D5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对于不属于依法必须招标的暂估价项目的确认和批准采取第</w:t>
      </w:r>
      <w:r>
        <w:rPr>
          <w:rFonts w:hint="eastAsia" w:ascii="宋体" w:hAnsi="宋体" w:cs="宋体"/>
          <w:color w:val="auto"/>
          <w:szCs w:val="22"/>
          <w:highlight w:val="none"/>
          <w:u w:val="single"/>
        </w:rPr>
        <w:t xml:space="preserve"> 1  </w:t>
      </w:r>
      <w:r>
        <w:rPr>
          <w:rFonts w:hint="eastAsia" w:ascii="宋体" w:hAnsi="宋体" w:cs="宋体"/>
          <w:color w:val="auto"/>
          <w:szCs w:val="22"/>
          <w:highlight w:val="none"/>
        </w:rPr>
        <w:t xml:space="preserve"> 种方式确定。</w:t>
      </w:r>
    </w:p>
    <w:p w14:paraId="7AAFE48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第3种方式：承包人直接实施的暂估价项目</w:t>
      </w:r>
    </w:p>
    <w:p w14:paraId="528D0C7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承包人直接实施的暂估价项目的约定：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23C7DF82">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723" w:name="_Toc520505896"/>
      <w:bookmarkStart w:id="724" w:name="_Toc31143"/>
      <w:bookmarkStart w:id="725" w:name="_Toc406522267"/>
      <w:r>
        <w:rPr>
          <w:rFonts w:hint="eastAsia" w:ascii="宋体" w:cs="宋体"/>
          <w:color w:val="auto"/>
          <w:sz w:val="22"/>
          <w:szCs w:val="22"/>
          <w:highlight w:val="none"/>
        </w:rPr>
        <w:t>10.8 暂列金额</w:t>
      </w:r>
      <w:bookmarkEnd w:id="723"/>
      <w:bookmarkEnd w:id="724"/>
      <w:bookmarkEnd w:id="725"/>
    </w:p>
    <w:p w14:paraId="1D813FE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合同当事人关于暂列金额使用的约定：</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27406F5E">
      <w:pPr>
        <w:pStyle w:val="41"/>
        <w:pageBreakBefore w:val="0"/>
        <w:kinsoku/>
        <w:overflowPunct/>
        <w:bidi w:val="0"/>
        <w:spacing w:before="0" w:after="0" w:line="360" w:lineRule="auto"/>
        <w:rPr>
          <w:rFonts w:hint="eastAsia" w:ascii="宋体" w:cs="宋体"/>
          <w:color w:val="auto"/>
          <w:sz w:val="22"/>
          <w:szCs w:val="22"/>
          <w:highlight w:val="none"/>
        </w:rPr>
      </w:pPr>
      <w:bookmarkStart w:id="726" w:name="_Toc406522268"/>
      <w:bookmarkStart w:id="727" w:name="_Toc520505897"/>
      <w:bookmarkStart w:id="728" w:name="_Toc5983"/>
      <w:bookmarkStart w:id="729" w:name="_Toc351203643"/>
      <w:r>
        <w:rPr>
          <w:rFonts w:hint="eastAsia" w:ascii="宋体" w:cs="宋体"/>
          <w:color w:val="auto"/>
          <w:sz w:val="22"/>
          <w:szCs w:val="22"/>
          <w:highlight w:val="none"/>
        </w:rPr>
        <w:t>11. 价格调整</w:t>
      </w:r>
      <w:bookmarkEnd w:id="726"/>
      <w:bookmarkEnd w:id="727"/>
      <w:bookmarkEnd w:id="728"/>
      <w:bookmarkEnd w:id="729"/>
    </w:p>
    <w:p w14:paraId="065219B1">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730" w:name="_Toc406522269"/>
      <w:bookmarkStart w:id="731" w:name="_Toc520505898"/>
      <w:bookmarkStart w:id="732" w:name="_Toc31804"/>
      <w:bookmarkStart w:id="733" w:name="_Toc292559911"/>
      <w:bookmarkStart w:id="734" w:name="_Toc297216209"/>
      <w:bookmarkStart w:id="735" w:name="_Toc303539157"/>
      <w:bookmarkStart w:id="736" w:name="_Toc296944540"/>
      <w:bookmarkStart w:id="737" w:name="_Toc297048387"/>
      <w:bookmarkStart w:id="738" w:name="_Toc300935000"/>
      <w:bookmarkStart w:id="739" w:name="_Toc296347200"/>
      <w:bookmarkStart w:id="740" w:name="_Toc296891029"/>
      <w:bookmarkStart w:id="741" w:name="_Toc292559406"/>
      <w:bookmarkStart w:id="742" w:name="_Toc304295577"/>
      <w:bookmarkStart w:id="743" w:name="_Toc297123550"/>
      <w:bookmarkStart w:id="744" w:name="_Toc297120501"/>
      <w:bookmarkStart w:id="745" w:name="_Toc312678039"/>
      <w:bookmarkStart w:id="746" w:name="_Toc296891241"/>
      <w:bookmarkStart w:id="747" w:name="_Toc296346702"/>
      <w:bookmarkStart w:id="748" w:name="_Toc296503201"/>
      <w:r>
        <w:rPr>
          <w:rFonts w:hint="eastAsia" w:ascii="宋体" w:cs="宋体"/>
          <w:color w:val="auto"/>
          <w:sz w:val="22"/>
          <w:szCs w:val="22"/>
          <w:highlight w:val="none"/>
        </w:rPr>
        <w:t>11.1 市场价格波动引起的调整</w:t>
      </w:r>
      <w:bookmarkEnd w:id="730"/>
      <w:bookmarkEnd w:id="731"/>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08A0E77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市场价格波动是否调整合同价格的约定：</w:t>
      </w:r>
      <w:r>
        <w:rPr>
          <w:rFonts w:hint="eastAsia" w:ascii="宋体" w:hAnsi="宋体" w:cs="宋体"/>
          <w:color w:val="auto"/>
          <w:szCs w:val="22"/>
          <w:highlight w:val="none"/>
          <w:u w:val="single"/>
        </w:rPr>
        <w:t xml:space="preserve">   </w:t>
      </w:r>
      <w:r>
        <w:rPr>
          <w:rFonts w:hint="eastAsia" w:ascii="宋体" w:hAnsi="宋体" w:cs="宋体"/>
          <w:color w:val="auto"/>
          <w:kern w:val="0"/>
          <w:highlight w:val="none"/>
          <w:u w:val="single"/>
        </w:rPr>
        <w:t>市场价格波动±</w:t>
      </w:r>
      <w:r>
        <w:rPr>
          <w:rFonts w:hint="eastAsia" w:ascii="宋体" w:hAnsi="宋体" w:cs="宋体"/>
          <w:color w:val="auto"/>
          <w:highlight w:val="none"/>
          <w:u w:val="single"/>
        </w:rPr>
        <w:t>5%</w:t>
      </w:r>
      <w:r>
        <w:rPr>
          <w:rFonts w:hint="eastAsia" w:ascii="宋体" w:hAnsi="宋体" w:cs="宋体"/>
          <w:color w:val="auto"/>
          <w:szCs w:val="22"/>
          <w:highlight w:val="none"/>
          <w:u w:val="single"/>
        </w:rPr>
        <w:t xml:space="preserve"> 以内不做调整   </w:t>
      </w:r>
      <w:r>
        <w:rPr>
          <w:rFonts w:hint="eastAsia" w:ascii="宋体" w:hAnsi="宋体" w:cs="宋体"/>
          <w:color w:val="auto"/>
          <w:szCs w:val="22"/>
          <w:highlight w:val="none"/>
        </w:rPr>
        <w:t>。</w:t>
      </w:r>
    </w:p>
    <w:bookmarkEnd w:id="607"/>
    <w:bookmarkEnd w:id="608"/>
    <w:bookmarkEnd w:id="609"/>
    <w:bookmarkEnd w:id="610"/>
    <w:bookmarkEnd w:id="611"/>
    <w:bookmarkEnd w:id="612"/>
    <w:p w14:paraId="021AA5E8">
      <w:pPr>
        <w:pStyle w:val="41"/>
        <w:pageBreakBefore w:val="0"/>
        <w:kinsoku/>
        <w:overflowPunct/>
        <w:bidi w:val="0"/>
        <w:spacing w:before="0" w:after="0" w:line="360" w:lineRule="auto"/>
        <w:rPr>
          <w:rFonts w:hint="eastAsia" w:ascii="宋体" w:cs="宋体"/>
          <w:color w:val="auto"/>
          <w:sz w:val="22"/>
          <w:szCs w:val="22"/>
          <w:highlight w:val="none"/>
        </w:rPr>
      </w:pPr>
      <w:bookmarkStart w:id="749" w:name="_Toc296347204"/>
      <w:bookmarkStart w:id="750" w:name="_Toc297120505"/>
      <w:bookmarkStart w:id="751" w:name="_Toc296891245"/>
      <w:bookmarkStart w:id="752" w:name="_Toc296891033"/>
      <w:bookmarkStart w:id="753" w:name="_Toc292559915"/>
      <w:bookmarkStart w:id="754" w:name="_Toc296944544"/>
      <w:bookmarkStart w:id="755" w:name="_Toc296503205"/>
      <w:bookmarkStart w:id="756" w:name="_Toc296346706"/>
      <w:bookmarkStart w:id="757" w:name="_Toc292559410"/>
      <w:bookmarkStart w:id="758" w:name="_Toc297048391"/>
      <w:bookmarkStart w:id="759" w:name="_Toc351203644"/>
      <w:bookmarkStart w:id="760" w:name="_Toc31879"/>
      <w:bookmarkStart w:id="761" w:name="_Toc406522270"/>
      <w:bookmarkStart w:id="762" w:name="_Toc520505899"/>
      <w:bookmarkStart w:id="763" w:name="_Toc297123552"/>
      <w:bookmarkStart w:id="764" w:name="_Toc303539159"/>
      <w:bookmarkStart w:id="765" w:name="_Toc297216211"/>
      <w:bookmarkStart w:id="766" w:name="_Toc312678040"/>
      <w:bookmarkStart w:id="767" w:name="_Toc300935002"/>
      <w:bookmarkStart w:id="768" w:name="_Toc304295579"/>
      <w:r>
        <w:rPr>
          <w:rFonts w:hint="eastAsia" w:ascii="宋体" w:cs="宋体"/>
          <w:color w:val="auto"/>
          <w:sz w:val="22"/>
          <w:szCs w:val="22"/>
          <w:highlight w:val="none"/>
        </w:rPr>
        <w:t xml:space="preserve">12. </w:t>
      </w:r>
      <w:bookmarkEnd w:id="749"/>
      <w:bookmarkEnd w:id="750"/>
      <w:bookmarkEnd w:id="751"/>
      <w:bookmarkEnd w:id="752"/>
      <w:bookmarkEnd w:id="753"/>
      <w:bookmarkEnd w:id="754"/>
      <w:bookmarkEnd w:id="755"/>
      <w:bookmarkEnd w:id="756"/>
      <w:bookmarkEnd w:id="757"/>
      <w:bookmarkEnd w:id="758"/>
      <w:r>
        <w:rPr>
          <w:rFonts w:hint="eastAsia" w:ascii="宋体" w:cs="宋体"/>
          <w:color w:val="auto"/>
          <w:sz w:val="22"/>
          <w:szCs w:val="22"/>
          <w:highlight w:val="none"/>
        </w:rPr>
        <w:t>合同价格、计量与支付</w:t>
      </w:r>
      <w:bookmarkEnd w:id="759"/>
      <w:bookmarkEnd w:id="760"/>
      <w:bookmarkEnd w:id="761"/>
      <w:bookmarkEnd w:id="762"/>
    </w:p>
    <w:bookmarkEnd w:id="763"/>
    <w:bookmarkEnd w:id="764"/>
    <w:bookmarkEnd w:id="765"/>
    <w:bookmarkEnd w:id="766"/>
    <w:bookmarkEnd w:id="767"/>
    <w:bookmarkEnd w:id="768"/>
    <w:p w14:paraId="0C2F02A6">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769" w:name="_Toc267251461"/>
      <w:bookmarkStart w:id="770" w:name="_Toc292559411"/>
      <w:bookmarkStart w:id="771" w:name="_Toc292559916"/>
      <w:bookmarkStart w:id="772" w:name="_Toc296891246"/>
      <w:bookmarkStart w:id="773" w:name="_Toc296346707"/>
      <w:bookmarkStart w:id="774" w:name="_Toc296503206"/>
      <w:bookmarkStart w:id="775" w:name="_Toc297120506"/>
      <w:bookmarkStart w:id="776" w:name="_Toc296944545"/>
      <w:bookmarkStart w:id="777" w:name="_Toc296891034"/>
      <w:bookmarkStart w:id="778" w:name="_Toc296347205"/>
      <w:bookmarkStart w:id="779" w:name="_Toc297048392"/>
      <w:bookmarkStart w:id="780" w:name="_Toc373227749"/>
      <w:bookmarkStart w:id="781" w:name="_Toc406421001"/>
      <w:bookmarkStart w:id="782" w:name="_Toc520505900"/>
      <w:bookmarkStart w:id="783" w:name="_Toc406522271"/>
      <w:bookmarkStart w:id="784" w:name="_Toc29751"/>
      <w:bookmarkStart w:id="785" w:name="_Toc389065314"/>
      <w:bookmarkStart w:id="786" w:name="_Toc373478396"/>
      <w:bookmarkStart w:id="787" w:name="_Toc395382552"/>
      <w:bookmarkStart w:id="788" w:name="_Toc304295580"/>
      <w:bookmarkStart w:id="789" w:name="_Toc312678041"/>
      <w:bookmarkStart w:id="790" w:name="_Toc303539160"/>
      <w:bookmarkStart w:id="791" w:name="_Toc297123553"/>
      <w:bookmarkStart w:id="792" w:name="_Toc300935003"/>
      <w:bookmarkStart w:id="793" w:name="_Toc297216212"/>
      <w:bookmarkStart w:id="794" w:name="_Toc300935004"/>
      <w:bookmarkStart w:id="795" w:name="_Toc297123554"/>
      <w:bookmarkStart w:id="796" w:name="_Toc297216213"/>
      <w:bookmarkStart w:id="797" w:name="_Toc312678042"/>
      <w:bookmarkStart w:id="798" w:name="_Toc304295581"/>
      <w:bookmarkStart w:id="799" w:name="_Toc303539161"/>
      <w:bookmarkStart w:id="800" w:name="_Toc296891035"/>
      <w:bookmarkStart w:id="801" w:name="_Toc297120507"/>
      <w:bookmarkStart w:id="802" w:name="_Toc296944546"/>
      <w:bookmarkStart w:id="803" w:name="_Toc297048393"/>
      <w:bookmarkStart w:id="804" w:name="_Toc296503207"/>
      <w:bookmarkStart w:id="805" w:name="_Toc292559412"/>
      <w:bookmarkStart w:id="806" w:name="_Toc296891247"/>
      <w:bookmarkStart w:id="807" w:name="_Toc296347206"/>
      <w:bookmarkStart w:id="808" w:name="_Toc292559917"/>
      <w:bookmarkStart w:id="809" w:name="_Toc296346708"/>
      <w:r>
        <w:rPr>
          <w:rFonts w:hint="eastAsia" w:ascii="宋体" w:cs="宋体"/>
          <w:color w:val="auto"/>
          <w:sz w:val="22"/>
          <w:szCs w:val="22"/>
          <w:highlight w:val="none"/>
        </w:rPr>
        <w:t>12.1 合</w:t>
      </w:r>
      <w:bookmarkEnd w:id="769"/>
      <w:bookmarkEnd w:id="770"/>
      <w:bookmarkEnd w:id="771"/>
      <w:r>
        <w:rPr>
          <w:rFonts w:hint="eastAsia" w:ascii="宋体" w:cs="宋体"/>
          <w:color w:val="auto"/>
          <w:sz w:val="22"/>
          <w:szCs w:val="22"/>
          <w:highlight w:val="none"/>
        </w:rPr>
        <w:t>同价</w:t>
      </w:r>
      <w:bookmarkEnd w:id="772"/>
      <w:bookmarkEnd w:id="773"/>
      <w:bookmarkEnd w:id="774"/>
      <w:bookmarkEnd w:id="775"/>
      <w:bookmarkEnd w:id="776"/>
      <w:bookmarkEnd w:id="777"/>
      <w:bookmarkEnd w:id="778"/>
      <w:bookmarkEnd w:id="779"/>
      <w:r>
        <w:rPr>
          <w:rFonts w:hint="eastAsia" w:ascii="宋体" w:cs="宋体"/>
          <w:color w:val="auto"/>
          <w:sz w:val="22"/>
          <w:szCs w:val="22"/>
          <w:highlight w:val="none"/>
        </w:rPr>
        <w:t>格形式</w:t>
      </w:r>
      <w:bookmarkEnd w:id="780"/>
      <w:bookmarkEnd w:id="781"/>
      <w:bookmarkEnd w:id="782"/>
      <w:bookmarkEnd w:id="783"/>
      <w:bookmarkEnd w:id="784"/>
      <w:bookmarkEnd w:id="785"/>
      <w:bookmarkEnd w:id="786"/>
      <w:bookmarkEnd w:id="787"/>
    </w:p>
    <w:bookmarkEnd w:id="788"/>
    <w:bookmarkEnd w:id="789"/>
    <w:bookmarkEnd w:id="790"/>
    <w:bookmarkEnd w:id="791"/>
    <w:bookmarkEnd w:id="792"/>
    <w:bookmarkEnd w:id="793"/>
    <w:p w14:paraId="733565AC">
      <w:pPr>
        <w:pageBreakBefore w:val="0"/>
        <w:kinsoku/>
        <w:overflowPunct/>
        <w:bidi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w:t>
      </w:r>
    </w:p>
    <w:p w14:paraId="355B2936">
      <w:pPr>
        <w:pageBreakBefore w:val="0"/>
        <w:kinsoku/>
        <w:overflowPunct/>
        <w:bidi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本合同价款采用</w:t>
      </w:r>
      <w:r>
        <w:rPr>
          <w:rFonts w:hint="eastAsia" w:ascii="宋体" w:hAnsi="宋体" w:cs="宋体"/>
          <w:color w:val="auto"/>
          <w:highlight w:val="none"/>
          <w:u w:val="single"/>
        </w:rPr>
        <w:t>固定综合单价</w:t>
      </w:r>
      <w:r>
        <w:rPr>
          <w:rFonts w:hint="eastAsia" w:ascii="宋体" w:hAnsi="宋体" w:cs="宋体"/>
          <w:color w:val="auto"/>
          <w:highlight w:val="none"/>
        </w:rPr>
        <w:t>方式确定。</w:t>
      </w:r>
    </w:p>
    <w:p w14:paraId="3D74795A">
      <w:pPr>
        <w:pageBreakBefore w:val="0"/>
        <w:kinsoku/>
        <w:overflowPunct/>
        <w:bidi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除工程变更、政策性调整、《承包人提供主要材料和设备一览表》约定的材料、设备价格变动风险以外因素。</w:t>
      </w:r>
    </w:p>
    <w:p w14:paraId="568F40E2">
      <w:pPr>
        <w:pageBreakBefore w:val="0"/>
        <w:kinsoku/>
        <w:overflowPunct/>
        <w:bidi w:val="0"/>
        <w:adjustRightInd w:val="0"/>
        <w:snapToGrid w:val="0"/>
        <w:spacing w:line="360" w:lineRule="auto"/>
        <w:ind w:firstLine="441" w:firstLineChars="210"/>
        <w:rPr>
          <w:rFonts w:hint="eastAsia" w:ascii="宋体" w:hAnsi="宋体" w:cs="宋体"/>
          <w:color w:val="auto"/>
          <w:highlight w:val="none"/>
        </w:rPr>
      </w:pPr>
      <w:r>
        <w:rPr>
          <w:rFonts w:hint="eastAsia" w:ascii="宋体" w:hAnsi="宋体" w:cs="宋体"/>
          <w:color w:val="auto"/>
          <w:highlight w:val="none"/>
        </w:rPr>
        <w:t>风险范围以外合同价格的调整方法：　</w:t>
      </w:r>
    </w:p>
    <w:p w14:paraId="3C6595AE">
      <w:pPr>
        <w:pageBreakBefore w:val="0"/>
        <w:kinsoku/>
        <w:overflowPunct/>
        <w:bidi w:val="0"/>
        <w:adjustRightInd w:val="0"/>
        <w:snapToGrid w:val="0"/>
        <w:spacing w:line="360" w:lineRule="auto"/>
        <w:ind w:firstLine="441" w:firstLineChars="210"/>
        <w:rPr>
          <w:rFonts w:hint="eastAsia" w:ascii="宋体" w:hAnsi="宋体" w:cs="宋体"/>
          <w:color w:val="auto"/>
          <w:highlight w:val="none"/>
        </w:rPr>
      </w:pPr>
      <w:r>
        <w:rPr>
          <w:rFonts w:hint="eastAsia" w:ascii="宋体" w:hAnsi="宋体" w:cs="宋体"/>
          <w:color w:val="auto"/>
          <w:highlight w:val="none"/>
        </w:rPr>
        <w:t>①工程变更：按10.4.1变更估价原则的约定调整。</w:t>
      </w:r>
    </w:p>
    <w:p w14:paraId="090B1FB0">
      <w:pPr>
        <w:pageBreakBefore w:val="0"/>
        <w:kinsoku/>
        <w:overflowPunct/>
        <w:bidi w:val="0"/>
        <w:adjustRightInd w:val="0"/>
        <w:snapToGrid w:val="0"/>
        <w:spacing w:line="360" w:lineRule="auto"/>
        <w:ind w:firstLine="441" w:firstLineChars="210"/>
        <w:rPr>
          <w:rFonts w:hint="eastAsia" w:ascii="宋体" w:hAnsi="宋体" w:cs="宋体"/>
          <w:color w:val="auto"/>
          <w:highlight w:val="none"/>
        </w:rPr>
      </w:pPr>
      <w:r>
        <w:rPr>
          <w:rFonts w:hint="eastAsia" w:ascii="宋体" w:hAnsi="宋体" w:cs="宋体"/>
          <w:color w:val="auto"/>
          <w:highlight w:val="none"/>
        </w:rPr>
        <w:t>②政策性调整：按自治区建设行政主管部门颁布的文件执行。</w:t>
      </w:r>
    </w:p>
    <w:p w14:paraId="5D132248">
      <w:pPr>
        <w:pageBreakBefore w:val="0"/>
        <w:kinsoku/>
        <w:overflowPunct/>
        <w:bidi w:val="0"/>
        <w:adjustRightInd w:val="0"/>
        <w:snapToGrid w:val="0"/>
        <w:spacing w:line="360" w:lineRule="auto"/>
        <w:ind w:firstLine="441" w:firstLineChars="210"/>
        <w:rPr>
          <w:rFonts w:hint="eastAsia" w:ascii="宋体" w:hAnsi="宋体" w:cs="宋体"/>
          <w:color w:val="auto"/>
          <w:highlight w:val="none"/>
        </w:rPr>
      </w:pPr>
      <w:r>
        <w:rPr>
          <w:rFonts w:hint="eastAsia" w:ascii="宋体" w:hAnsi="宋体" w:cs="宋体"/>
          <w:color w:val="auto"/>
          <w:highlight w:val="none"/>
        </w:rPr>
        <w:t>③材料价格风险：按11.1的约定调整。</w:t>
      </w:r>
    </w:p>
    <w:p w14:paraId="7A32E8B2">
      <w:pPr>
        <w:pageBreakBefore w:val="0"/>
        <w:kinsoku/>
        <w:overflowPunct/>
        <w:bidi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④其它：</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45030280">
      <w:pPr>
        <w:pageBreakBefore w:val="0"/>
        <w:kinsoku/>
        <w:overflowPunct/>
        <w:bidi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w:t>
      </w:r>
    </w:p>
    <w:p w14:paraId="7ABAAAAC">
      <w:pPr>
        <w:pageBreakBefore w:val="0"/>
        <w:kinsoku/>
        <w:overflowPunct/>
        <w:bidi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总价包含的风险范围：</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AC12C89">
      <w:pPr>
        <w:pageBreakBefore w:val="0"/>
        <w:kinsoku/>
        <w:overflowPunct/>
        <w:bidi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8A8EF12">
      <w:pPr>
        <w:pageBreakBefore w:val="0"/>
        <w:kinsoku/>
        <w:overflowPunct/>
        <w:bidi w:val="0"/>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（3）其他价格方式：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694A21C">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810" w:name="_Toc406522272"/>
      <w:bookmarkStart w:id="811" w:name="_Toc21473"/>
      <w:bookmarkStart w:id="812" w:name="_Toc520505901"/>
      <w:r>
        <w:rPr>
          <w:rFonts w:hint="eastAsia" w:ascii="宋体" w:cs="宋体"/>
          <w:color w:val="auto"/>
          <w:sz w:val="22"/>
          <w:szCs w:val="22"/>
          <w:highlight w:val="none"/>
        </w:rPr>
        <w:t>12.2 预付款</w:t>
      </w:r>
      <w:bookmarkEnd w:id="810"/>
      <w:bookmarkEnd w:id="811"/>
      <w:bookmarkEnd w:id="812"/>
    </w:p>
    <w:bookmarkEnd w:id="794"/>
    <w:bookmarkEnd w:id="795"/>
    <w:bookmarkEnd w:id="796"/>
    <w:bookmarkEnd w:id="797"/>
    <w:bookmarkEnd w:id="798"/>
    <w:bookmarkEnd w:id="799"/>
    <w:p w14:paraId="0EF2A74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12.2.1 预付款的支付</w:t>
      </w:r>
    </w:p>
    <w:p w14:paraId="3453822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预付款支付比例或金额：</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eastAsia="zh-CN"/>
        </w:rPr>
        <w:t>无</w:t>
      </w:r>
      <w:r>
        <w:rPr>
          <w:rFonts w:hint="eastAsia" w:ascii="宋体" w:hAnsi="宋体" w:cs="宋体"/>
          <w:color w:val="auto"/>
          <w:szCs w:val="22"/>
          <w:highlight w:val="none"/>
          <w:u w:val="single"/>
        </w:rPr>
        <w:t xml:space="preserve">预付款    </w:t>
      </w:r>
      <w:r>
        <w:rPr>
          <w:rFonts w:hint="eastAsia" w:ascii="宋体" w:hAnsi="宋体" w:cs="宋体"/>
          <w:color w:val="auto"/>
          <w:szCs w:val="22"/>
          <w:highlight w:val="none"/>
        </w:rPr>
        <w:t>。</w:t>
      </w:r>
    </w:p>
    <w:p w14:paraId="36BC102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预付款支付期限：</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4B26EEE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预付款扣回的方式：</w:t>
      </w:r>
      <w:r>
        <w:rPr>
          <w:rFonts w:hint="eastAsia" w:ascii="宋体" w:hAnsi="宋体" w:cs="宋体"/>
          <w:color w:val="auto"/>
          <w:szCs w:val="22"/>
          <w:highlight w:val="none"/>
          <w:u w:val="single"/>
        </w:rPr>
        <w:t xml:space="preserve">   </w:t>
      </w:r>
      <w:r>
        <w:rPr>
          <w:rFonts w:hint="eastAsia" w:ascii="宋体" w:hAnsi="宋体" w:cs="宋体"/>
          <w:color w:val="auto"/>
          <w:kern w:val="0"/>
          <w:highlight w:val="none"/>
          <w:u w:val="single"/>
        </w:rPr>
        <w:t>无</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4D6D9A8D">
      <w:pPr>
        <w:pStyle w:val="42"/>
        <w:pageBreakBefore w:val="0"/>
        <w:kinsoku/>
        <w:overflowPunct/>
        <w:bidi w:val="0"/>
        <w:spacing w:line="360" w:lineRule="auto"/>
        <w:outlineLvl w:val="0"/>
        <w:rPr>
          <w:rFonts w:hint="eastAsia" w:ascii="宋体" w:hAnsi="宋体" w:cs="宋体"/>
          <w:color w:val="auto"/>
          <w:szCs w:val="22"/>
          <w:highlight w:val="none"/>
        </w:rPr>
      </w:pPr>
      <w:bookmarkStart w:id="813" w:name="_Toc520505902"/>
      <w:bookmarkStart w:id="814" w:name="_Toc3936"/>
      <w:bookmarkStart w:id="815" w:name="_Toc406419397"/>
      <w:bookmarkStart w:id="816" w:name="_Toc406522273"/>
      <w:r>
        <w:rPr>
          <w:rFonts w:hint="eastAsia" w:ascii="宋体" w:hAnsi="宋体" w:cs="宋体"/>
          <w:color w:val="auto"/>
          <w:szCs w:val="22"/>
          <w:highlight w:val="none"/>
        </w:rPr>
        <w:t>12.2.2 预付款担保</w:t>
      </w:r>
      <w:bookmarkEnd w:id="813"/>
      <w:bookmarkEnd w:id="814"/>
      <w:bookmarkEnd w:id="815"/>
      <w:bookmarkEnd w:id="816"/>
    </w:p>
    <w:p w14:paraId="7AFA2CB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承包人提交预付款担保的期限：</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069EBD8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预付款担保的形式为：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bookmarkEnd w:id="800"/>
    <w:bookmarkEnd w:id="801"/>
    <w:bookmarkEnd w:id="802"/>
    <w:bookmarkEnd w:id="803"/>
    <w:bookmarkEnd w:id="804"/>
    <w:bookmarkEnd w:id="805"/>
    <w:bookmarkEnd w:id="806"/>
    <w:bookmarkEnd w:id="807"/>
    <w:bookmarkEnd w:id="808"/>
    <w:bookmarkEnd w:id="809"/>
    <w:p w14:paraId="44344CAF">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817" w:name="_Toc349"/>
      <w:bookmarkStart w:id="818" w:name="_Toc406522274"/>
      <w:bookmarkStart w:id="819" w:name="_Toc520505903"/>
      <w:r>
        <w:rPr>
          <w:rFonts w:hint="eastAsia" w:ascii="宋体" w:cs="宋体"/>
          <w:color w:val="auto"/>
          <w:sz w:val="22"/>
          <w:szCs w:val="22"/>
          <w:highlight w:val="none"/>
        </w:rPr>
        <w:t>12.3 计量</w:t>
      </w:r>
      <w:bookmarkEnd w:id="817"/>
      <w:bookmarkEnd w:id="818"/>
      <w:bookmarkEnd w:id="819"/>
    </w:p>
    <w:p w14:paraId="1B78F3B9">
      <w:pPr>
        <w:pageBreakBefore w:val="0"/>
        <w:kinsoku/>
        <w:overflowPunct/>
        <w:bidi w:val="0"/>
        <w:spacing w:line="360" w:lineRule="auto"/>
        <w:ind w:firstLine="420" w:firstLineChars="200"/>
        <w:rPr>
          <w:rFonts w:hint="eastAsia" w:ascii="宋体" w:hAnsi="宋体" w:cs="宋体"/>
          <w:color w:val="auto"/>
          <w:highlight w:val="none"/>
        </w:rPr>
      </w:pPr>
      <w:bookmarkStart w:id="820" w:name="_Toc406419399"/>
      <w:r>
        <w:rPr>
          <w:rFonts w:hint="eastAsia" w:ascii="宋体" w:hAnsi="宋体" w:cs="宋体"/>
          <w:color w:val="auto"/>
          <w:highlight w:val="none"/>
        </w:rPr>
        <w:t>12.3.1 计量原则</w:t>
      </w:r>
    </w:p>
    <w:p w14:paraId="4B0D3F30">
      <w:pPr>
        <w:pageBreakBefore w:val="0"/>
        <w:kinsoku/>
        <w:overflowPunct/>
        <w:bidi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工程量计算规则：</w:t>
      </w:r>
      <w:r>
        <w:rPr>
          <w:rFonts w:hint="eastAsia" w:ascii="宋体" w:hAnsi="宋体" w:cs="宋体"/>
          <w:color w:val="auto"/>
          <w:highlight w:val="none"/>
          <w:u w:val="single"/>
        </w:rPr>
        <w:t>工程的计量均以《建设工程工程量清单计价规范》（GB50500－2013）和及其广西壮族自治区实施细则、《建设工程工程量清单计算规范》（GB50854~50862－2013）及其广西实施细则、《关于建筑业实施营业税改征增值税后广西壮族自治区建设工程计价依据调整的通知》（桂建标〔2016〕17号）、本工程补充项目清单为准。</w:t>
      </w:r>
    </w:p>
    <w:p w14:paraId="5723159F">
      <w:pPr>
        <w:pStyle w:val="42"/>
        <w:pageBreakBefore w:val="0"/>
        <w:kinsoku/>
        <w:overflowPunct/>
        <w:bidi w:val="0"/>
        <w:spacing w:line="360" w:lineRule="auto"/>
        <w:outlineLvl w:val="0"/>
        <w:rPr>
          <w:rFonts w:hint="eastAsia" w:ascii="宋体" w:hAnsi="宋体" w:cs="宋体"/>
          <w:color w:val="auto"/>
          <w:szCs w:val="22"/>
          <w:highlight w:val="none"/>
        </w:rPr>
      </w:pPr>
      <w:bookmarkStart w:id="821" w:name="_Toc406522275"/>
      <w:bookmarkStart w:id="822" w:name="_Toc520505904"/>
      <w:bookmarkStart w:id="823" w:name="_Toc25124"/>
      <w:r>
        <w:rPr>
          <w:rFonts w:hint="eastAsia" w:ascii="宋体" w:hAnsi="宋体" w:cs="宋体"/>
          <w:color w:val="auto"/>
          <w:szCs w:val="22"/>
          <w:highlight w:val="none"/>
        </w:rPr>
        <w:t>12.3.2 计量周期</w:t>
      </w:r>
      <w:bookmarkEnd w:id="820"/>
      <w:bookmarkEnd w:id="821"/>
      <w:bookmarkEnd w:id="822"/>
      <w:bookmarkEnd w:id="823"/>
    </w:p>
    <w:p w14:paraId="4895602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关于计量周期的约定：</w:t>
      </w:r>
      <w:r>
        <w:rPr>
          <w:rFonts w:hint="eastAsia" w:ascii="宋体" w:hAnsi="宋体" w:cs="宋体"/>
          <w:color w:val="auto"/>
          <w:szCs w:val="22"/>
          <w:highlight w:val="none"/>
          <w:u w:val="single"/>
        </w:rPr>
        <w:t>按通用条款约定执行</w:t>
      </w:r>
      <w:r>
        <w:rPr>
          <w:rFonts w:hint="eastAsia" w:ascii="宋体" w:hAnsi="宋体" w:cs="宋体"/>
          <w:color w:val="auto"/>
          <w:szCs w:val="22"/>
          <w:highlight w:val="none"/>
        </w:rPr>
        <w:t>。</w:t>
      </w:r>
    </w:p>
    <w:p w14:paraId="3C798CE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12.3.3 单价合同的计量</w:t>
      </w:r>
    </w:p>
    <w:p w14:paraId="35FB55F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关于单价合同计量的约定：</w:t>
      </w:r>
      <w:r>
        <w:rPr>
          <w:rFonts w:hint="eastAsia" w:ascii="宋体" w:hAnsi="宋体" w:cs="宋体"/>
          <w:color w:val="auto"/>
          <w:szCs w:val="22"/>
          <w:highlight w:val="none"/>
          <w:u w:val="single"/>
        </w:rPr>
        <w:t>按通用条款约定执行</w:t>
      </w:r>
      <w:r>
        <w:rPr>
          <w:rFonts w:hint="eastAsia" w:ascii="宋体" w:hAnsi="宋体" w:cs="宋体"/>
          <w:color w:val="auto"/>
          <w:szCs w:val="22"/>
          <w:highlight w:val="none"/>
        </w:rPr>
        <w:t>。</w:t>
      </w:r>
    </w:p>
    <w:p w14:paraId="2FF80F3D">
      <w:pPr>
        <w:pStyle w:val="42"/>
        <w:pageBreakBefore w:val="0"/>
        <w:kinsoku/>
        <w:overflowPunct/>
        <w:bidi w:val="0"/>
        <w:spacing w:line="360" w:lineRule="auto"/>
        <w:outlineLvl w:val="0"/>
        <w:rPr>
          <w:rFonts w:hint="eastAsia" w:ascii="宋体" w:hAnsi="宋体" w:cs="宋体"/>
          <w:color w:val="auto"/>
          <w:szCs w:val="22"/>
          <w:highlight w:val="none"/>
        </w:rPr>
      </w:pPr>
      <w:bookmarkStart w:id="824" w:name="_Toc28421"/>
      <w:bookmarkStart w:id="825" w:name="_Toc406522276"/>
      <w:bookmarkStart w:id="826" w:name="_Toc520505905"/>
      <w:bookmarkStart w:id="827" w:name="_Toc406419400"/>
      <w:r>
        <w:rPr>
          <w:rFonts w:hint="eastAsia" w:ascii="宋体" w:hAnsi="宋体" w:cs="宋体"/>
          <w:color w:val="auto"/>
          <w:szCs w:val="22"/>
          <w:highlight w:val="none"/>
        </w:rPr>
        <w:t>12.3.4 总价合同的计量</w:t>
      </w:r>
      <w:bookmarkEnd w:id="824"/>
      <w:bookmarkEnd w:id="825"/>
      <w:bookmarkEnd w:id="826"/>
      <w:bookmarkEnd w:id="827"/>
    </w:p>
    <w:p w14:paraId="01467B91">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关于总价合同计量的约定：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4860744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12.3.5总价合同采用支付分解表计量支付的，是否适用第12.3.4 项〔总价合同的计量〕约定进行计量：</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0445098A">
      <w:pPr>
        <w:pStyle w:val="42"/>
        <w:pageBreakBefore w:val="0"/>
        <w:kinsoku/>
        <w:overflowPunct/>
        <w:bidi w:val="0"/>
        <w:spacing w:line="360" w:lineRule="auto"/>
        <w:outlineLvl w:val="0"/>
        <w:rPr>
          <w:rFonts w:hint="eastAsia" w:ascii="宋体" w:hAnsi="宋体" w:cs="宋体"/>
          <w:color w:val="auto"/>
          <w:szCs w:val="22"/>
          <w:highlight w:val="none"/>
        </w:rPr>
      </w:pPr>
      <w:bookmarkStart w:id="828" w:name="_Toc406522277"/>
      <w:bookmarkStart w:id="829" w:name="_Toc406419401"/>
      <w:bookmarkStart w:id="830" w:name="_Toc115"/>
      <w:bookmarkStart w:id="831" w:name="_Toc520505906"/>
      <w:r>
        <w:rPr>
          <w:rFonts w:hint="eastAsia" w:ascii="宋体" w:hAnsi="宋体" w:cs="宋体"/>
          <w:color w:val="auto"/>
          <w:szCs w:val="22"/>
          <w:highlight w:val="none"/>
        </w:rPr>
        <w:t>12.3.6 其他价格形式合同的计量</w:t>
      </w:r>
      <w:bookmarkEnd w:id="828"/>
      <w:bookmarkEnd w:id="829"/>
      <w:bookmarkEnd w:id="830"/>
      <w:bookmarkEnd w:id="831"/>
    </w:p>
    <w:p w14:paraId="37B6AE65">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其他价格形式的计量方式和程序：</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1FC0B7C5">
      <w:pPr>
        <w:pStyle w:val="41"/>
        <w:pageBreakBefore w:val="0"/>
        <w:kinsoku/>
        <w:overflowPunct/>
        <w:bidi w:val="0"/>
        <w:spacing w:before="0" w:after="0" w:line="360" w:lineRule="auto"/>
        <w:rPr>
          <w:rFonts w:hint="eastAsia" w:ascii="宋体" w:cs="宋体"/>
          <w:color w:val="auto"/>
          <w:sz w:val="22"/>
          <w:szCs w:val="22"/>
          <w:highlight w:val="none"/>
        </w:rPr>
      </w:pPr>
      <w:bookmarkStart w:id="832" w:name="_Toc520505907"/>
      <w:bookmarkStart w:id="833" w:name="_Toc4844"/>
      <w:bookmarkStart w:id="834" w:name="_Toc406522278"/>
      <w:r>
        <w:rPr>
          <w:rFonts w:hint="eastAsia" w:ascii="宋体" w:cs="宋体"/>
          <w:color w:val="auto"/>
          <w:sz w:val="22"/>
          <w:szCs w:val="22"/>
          <w:highlight w:val="none"/>
        </w:rPr>
        <w:t>12.4 工程进度款支付</w:t>
      </w:r>
      <w:bookmarkEnd w:id="832"/>
      <w:bookmarkEnd w:id="833"/>
      <w:bookmarkEnd w:id="834"/>
    </w:p>
    <w:p w14:paraId="53F79A66">
      <w:pPr>
        <w:pStyle w:val="42"/>
        <w:pageBreakBefore w:val="0"/>
        <w:kinsoku/>
        <w:overflowPunct/>
        <w:bidi w:val="0"/>
        <w:spacing w:line="360" w:lineRule="auto"/>
        <w:rPr>
          <w:rFonts w:hint="eastAsia" w:ascii="宋体" w:hAnsi="宋体" w:cs="宋体"/>
          <w:color w:val="auto"/>
          <w:szCs w:val="22"/>
          <w:highlight w:val="none"/>
        </w:rPr>
      </w:pPr>
      <w:bookmarkStart w:id="835" w:name="_Toc297048397"/>
      <w:bookmarkStart w:id="836" w:name="_Toc296503211"/>
      <w:bookmarkStart w:id="837" w:name="_Toc297120511"/>
      <w:bookmarkStart w:id="838" w:name="_Toc303539163"/>
      <w:bookmarkStart w:id="839" w:name="_Toc300935006"/>
      <w:bookmarkStart w:id="840" w:name="_Toc292559921"/>
      <w:bookmarkStart w:id="841" w:name="_Toc297123556"/>
      <w:bookmarkStart w:id="842" w:name="_Toc296347210"/>
      <w:bookmarkStart w:id="843" w:name="_Toc297216215"/>
      <w:bookmarkStart w:id="844" w:name="_Toc296891251"/>
      <w:bookmarkStart w:id="845" w:name="_Toc296346712"/>
      <w:bookmarkStart w:id="846" w:name="_Toc292559416"/>
      <w:bookmarkStart w:id="847" w:name="_Toc296891039"/>
      <w:bookmarkStart w:id="848" w:name="_Toc296944550"/>
      <w:r>
        <w:rPr>
          <w:rFonts w:hint="eastAsia" w:ascii="宋体" w:hAnsi="宋体" w:cs="宋体"/>
          <w:color w:val="auto"/>
          <w:szCs w:val="22"/>
          <w:highlight w:val="none"/>
        </w:rPr>
        <w:t>12.4.1 付款周期</w:t>
      </w:r>
    </w:p>
    <w:p w14:paraId="471F9613">
      <w:pPr>
        <w:pStyle w:val="42"/>
        <w:pageBreakBefore w:val="0"/>
        <w:kinsoku/>
        <w:overflowPunct/>
        <w:bidi w:val="0"/>
        <w:spacing w:line="360" w:lineRule="auto"/>
        <w:rPr>
          <w:rFonts w:hint="eastAsia" w:ascii="宋体" w:hAnsi="宋体"/>
          <w:color w:val="auto"/>
          <w:szCs w:val="22"/>
          <w:highlight w:val="none"/>
        </w:rPr>
      </w:pPr>
      <w:r>
        <w:rPr>
          <w:rFonts w:hint="eastAsia" w:ascii="宋体" w:hAnsi="宋体"/>
          <w:color w:val="auto"/>
          <w:szCs w:val="22"/>
          <w:highlight w:val="none"/>
        </w:rPr>
        <w:t>关于付款周期的约定：工程款原则上按月支付，合同内进度款支付限额为已完成工程量的8</w:t>
      </w:r>
      <w:r>
        <w:rPr>
          <w:rFonts w:hint="eastAsia" w:ascii="宋体" w:hAnsi="宋体"/>
          <w:color w:val="auto"/>
          <w:szCs w:val="22"/>
          <w:highlight w:val="none"/>
          <w:lang w:val="en-US" w:eastAsia="zh-CN"/>
        </w:rPr>
        <w:t>0</w:t>
      </w:r>
      <w:r>
        <w:rPr>
          <w:rFonts w:hint="eastAsia" w:ascii="宋体" w:hAnsi="宋体"/>
          <w:color w:val="auto"/>
          <w:szCs w:val="22"/>
          <w:highlight w:val="none"/>
        </w:rPr>
        <w:t>%，工程变更部分进度款支付限额为已完成工程量的 80%；工程完工验收达到质量要求，结算经财政等相关部门审定后，工程款支付至结算总价的97%；发包人按工程价款结算总额的3%预留工程质量保修金，待工程缺陷责任期满后返还。</w:t>
      </w:r>
    </w:p>
    <w:p w14:paraId="7214C201">
      <w:pPr>
        <w:pStyle w:val="42"/>
        <w:pageBreakBefore w:val="0"/>
        <w:kinsoku/>
        <w:overflowPunct/>
        <w:bidi w:val="0"/>
        <w:spacing w:line="360" w:lineRule="auto"/>
        <w:outlineLvl w:val="0"/>
        <w:rPr>
          <w:rFonts w:hint="eastAsia" w:ascii="宋体" w:hAnsi="宋体" w:cs="宋体"/>
          <w:color w:val="auto"/>
          <w:szCs w:val="22"/>
          <w:highlight w:val="none"/>
        </w:rPr>
      </w:pPr>
      <w:bookmarkStart w:id="849" w:name="_Toc31335"/>
      <w:bookmarkStart w:id="850" w:name="_Toc406419403"/>
      <w:bookmarkStart w:id="851" w:name="_Toc406522279"/>
      <w:bookmarkStart w:id="852" w:name="_Toc520505908"/>
      <w:r>
        <w:rPr>
          <w:rFonts w:hint="eastAsia" w:ascii="宋体" w:hAnsi="宋体" w:cs="宋体"/>
          <w:color w:val="auto"/>
          <w:szCs w:val="22"/>
          <w:highlight w:val="none"/>
        </w:rPr>
        <w:t>12.4.2 进度付款申请单的编制</w:t>
      </w:r>
      <w:bookmarkEnd w:id="849"/>
      <w:bookmarkEnd w:id="850"/>
      <w:bookmarkEnd w:id="851"/>
      <w:bookmarkEnd w:id="852"/>
    </w:p>
    <w:p w14:paraId="4B080D2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关于进度付款申请单编制的约定：</w:t>
      </w:r>
      <w:r>
        <w:rPr>
          <w:rFonts w:hint="eastAsia" w:ascii="宋体" w:hAnsi="宋体" w:cs="宋体"/>
          <w:color w:val="auto"/>
          <w:szCs w:val="22"/>
          <w:highlight w:val="none"/>
          <w:u w:val="single"/>
        </w:rPr>
        <w:t>按通用条款约定执行</w:t>
      </w:r>
      <w:r>
        <w:rPr>
          <w:rFonts w:hint="eastAsia" w:ascii="宋体" w:hAnsi="宋体" w:cs="宋体"/>
          <w:color w:val="auto"/>
          <w:szCs w:val="22"/>
          <w:highlight w:val="none"/>
        </w:rPr>
        <w:t>。</w:t>
      </w:r>
    </w:p>
    <w:p w14:paraId="5B26A2C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rFonts w:hint="eastAsia" w:ascii="宋体" w:hAnsi="宋体" w:cs="宋体"/>
          <w:color w:val="auto"/>
          <w:szCs w:val="22"/>
          <w:highlight w:val="none"/>
        </w:rPr>
        <w:t>2.4.3 进度付款申请单的提交</w:t>
      </w:r>
    </w:p>
    <w:p w14:paraId="7658BF7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（1）单价合同进度付款申请单提交的约定：</w:t>
      </w:r>
      <w:r>
        <w:rPr>
          <w:rFonts w:hint="eastAsia" w:ascii="宋体" w:hAnsi="宋体" w:cs="宋体"/>
          <w:color w:val="auto"/>
          <w:szCs w:val="22"/>
          <w:highlight w:val="none"/>
          <w:u w:val="single"/>
        </w:rPr>
        <w:t>按通用条款约定执行</w:t>
      </w:r>
      <w:r>
        <w:rPr>
          <w:rFonts w:hint="eastAsia" w:ascii="宋体" w:hAnsi="宋体" w:cs="宋体"/>
          <w:color w:val="auto"/>
          <w:szCs w:val="22"/>
          <w:highlight w:val="none"/>
        </w:rPr>
        <w:t>。</w:t>
      </w:r>
    </w:p>
    <w:p w14:paraId="296439B6">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（2）总价合同进度付款申请单提交的约定：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3DA8802E">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（3）其他价格形式合同进度付款申请单提交的约定：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248EC800">
      <w:pPr>
        <w:pStyle w:val="42"/>
        <w:pageBreakBefore w:val="0"/>
        <w:kinsoku/>
        <w:overflowPunct/>
        <w:bidi w:val="0"/>
        <w:spacing w:line="360" w:lineRule="auto"/>
        <w:outlineLvl w:val="0"/>
        <w:rPr>
          <w:rFonts w:hint="eastAsia" w:ascii="宋体" w:hAnsi="宋体" w:cs="宋体"/>
          <w:color w:val="auto"/>
          <w:szCs w:val="22"/>
          <w:highlight w:val="none"/>
        </w:rPr>
      </w:pPr>
      <w:bookmarkStart w:id="853" w:name="_Toc19891"/>
      <w:bookmarkStart w:id="854" w:name="_Toc520505909"/>
      <w:bookmarkStart w:id="855" w:name="_Toc406419404"/>
      <w:bookmarkStart w:id="856" w:name="_Toc406522280"/>
      <w:r>
        <w:rPr>
          <w:rFonts w:hint="eastAsia" w:ascii="宋体" w:hAnsi="宋体" w:cs="宋体"/>
          <w:color w:val="auto"/>
          <w:szCs w:val="22"/>
          <w:highlight w:val="none"/>
        </w:rPr>
        <w:t>12.4.4 进度款审核和支付</w:t>
      </w:r>
      <w:bookmarkEnd w:id="853"/>
      <w:bookmarkEnd w:id="854"/>
      <w:bookmarkEnd w:id="855"/>
      <w:bookmarkEnd w:id="856"/>
    </w:p>
    <w:p w14:paraId="64F366D9">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（1）监理人审查并报送发包人的期限：</w:t>
      </w:r>
      <w:r>
        <w:rPr>
          <w:rFonts w:hint="eastAsia" w:ascii="宋体" w:hAnsi="宋体" w:cs="宋体"/>
          <w:color w:val="auto"/>
          <w:szCs w:val="22"/>
          <w:highlight w:val="none"/>
          <w:u w:val="single"/>
        </w:rPr>
        <w:t>按通用条款约定执行</w:t>
      </w:r>
      <w:r>
        <w:rPr>
          <w:rFonts w:hint="eastAsia" w:ascii="宋体" w:hAnsi="宋体" w:cs="宋体"/>
          <w:color w:val="auto"/>
          <w:szCs w:val="22"/>
          <w:highlight w:val="none"/>
        </w:rPr>
        <w:t>。</w:t>
      </w:r>
    </w:p>
    <w:p w14:paraId="6716A3F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发包人完成审批并签发进度款支付证书的期限：</w:t>
      </w:r>
      <w:r>
        <w:rPr>
          <w:rFonts w:hint="eastAsia" w:ascii="宋体" w:hAnsi="宋体" w:cs="宋体"/>
          <w:color w:val="auto"/>
          <w:szCs w:val="22"/>
          <w:highlight w:val="none"/>
          <w:u w:val="single"/>
        </w:rPr>
        <w:t>按通用条款约定执行</w:t>
      </w:r>
      <w:r>
        <w:rPr>
          <w:rFonts w:hint="eastAsia" w:ascii="宋体" w:hAnsi="宋体" w:cs="宋体"/>
          <w:color w:val="auto"/>
          <w:szCs w:val="22"/>
          <w:highlight w:val="none"/>
        </w:rPr>
        <w:t>。</w:t>
      </w:r>
    </w:p>
    <w:p w14:paraId="513BCDB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（2）发包人支付进度款的期限：</w:t>
      </w:r>
      <w:r>
        <w:rPr>
          <w:rFonts w:hint="eastAsia" w:ascii="宋体" w:hAnsi="宋体" w:cs="宋体"/>
          <w:color w:val="auto"/>
          <w:szCs w:val="22"/>
          <w:highlight w:val="none"/>
          <w:u w:val="single"/>
        </w:rPr>
        <w:t>发包人将在进度款支付证书或临时进度款支付证书签发后15个工作日内进行支付</w:t>
      </w:r>
      <w:r>
        <w:rPr>
          <w:rFonts w:hint="eastAsia" w:ascii="宋体" w:hAnsi="宋体" w:cs="宋体"/>
          <w:color w:val="auto"/>
          <w:szCs w:val="22"/>
          <w:highlight w:val="none"/>
        </w:rPr>
        <w:t>。</w:t>
      </w:r>
    </w:p>
    <w:p w14:paraId="525B352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发包人逾期支付进度款的违约金的计算方式：</w:t>
      </w:r>
      <w:r>
        <w:rPr>
          <w:rFonts w:hint="eastAsia" w:ascii="宋体" w:hAnsi="宋体" w:cs="宋体"/>
          <w:color w:val="auto"/>
          <w:szCs w:val="22"/>
          <w:highlight w:val="none"/>
          <w:u w:val="single"/>
        </w:rPr>
        <w:t>从约定应付之日起按银行同期贷款利率支付违约金，因此造成工程的工期延误，总工期相应顺延，并承担承包人的损失</w:t>
      </w:r>
      <w:r>
        <w:rPr>
          <w:rFonts w:hint="eastAsia" w:ascii="宋体" w:hAnsi="宋体" w:cs="宋体"/>
          <w:color w:val="auto"/>
          <w:szCs w:val="22"/>
          <w:highlight w:val="none"/>
        </w:rPr>
        <w:t>。</w:t>
      </w:r>
    </w:p>
    <w:p w14:paraId="0E6A8DE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12.4.6 支付分解表的编制</w:t>
      </w:r>
    </w:p>
    <w:p w14:paraId="224E0E69">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2、总价合同支付分解表的编制与审批：</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3B25C78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3、单价合同的总价项目支付分解表的编制与审批：</w:t>
      </w:r>
      <w:r>
        <w:rPr>
          <w:rFonts w:hint="eastAsia" w:ascii="宋体" w:hAnsi="宋体" w:cs="宋体"/>
          <w:color w:val="auto"/>
          <w:szCs w:val="22"/>
          <w:highlight w:val="none"/>
          <w:u w:val="single"/>
        </w:rPr>
        <w:t>按通用条款约定执行</w:t>
      </w:r>
      <w:r>
        <w:rPr>
          <w:rFonts w:hint="eastAsia" w:ascii="宋体" w:hAnsi="宋体" w:cs="宋体"/>
          <w:color w:val="auto"/>
          <w:szCs w:val="22"/>
          <w:highlight w:val="none"/>
        </w:rPr>
        <w:t>。</w:t>
      </w:r>
    </w:p>
    <w:bookmarkEnd w:id="613"/>
    <w:p w14:paraId="04B0639E">
      <w:pPr>
        <w:pStyle w:val="41"/>
        <w:pageBreakBefore w:val="0"/>
        <w:kinsoku/>
        <w:overflowPunct/>
        <w:bidi w:val="0"/>
        <w:spacing w:before="0" w:after="0" w:line="360" w:lineRule="auto"/>
        <w:rPr>
          <w:rFonts w:hint="eastAsia" w:ascii="宋体" w:cs="宋体"/>
          <w:color w:val="auto"/>
          <w:sz w:val="22"/>
          <w:szCs w:val="22"/>
          <w:highlight w:val="none"/>
        </w:rPr>
      </w:pPr>
      <w:bookmarkStart w:id="857" w:name="_Toc406522281"/>
      <w:bookmarkStart w:id="858" w:name="_Toc520505910"/>
      <w:bookmarkStart w:id="859" w:name="_Toc351203645"/>
      <w:bookmarkStart w:id="860" w:name="_Toc17229"/>
      <w:bookmarkStart w:id="861" w:name="_Toc296891047"/>
      <w:bookmarkStart w:id="862" w:name="_Toc297048405"/>
      <w:bookmarkStart w:id="863" w:name="_Toc296944558"/>
      <w:bookmarkStart w:id="864" w:name="_Toc296346720"/>
      <w:bookmarkStart w:id="865" w:name="_Toc303539172"/>
      <w:bookmarkStart w:id="866" w:name="_Toc296347218"/>
      <w:bookmarkStart w:id="867" w:name="_Toc300935015"/>
      <w:bookmarkStart w:id="868" w:name="_Toc297123564"/>
      <w:bookmarkStart w:id="869" w:name="_Toc292559929"/>
      <w:bookmarkStart w:id="870" w:name="_Toc296503219"/>
      <w:bookmarkStart w:id="871" w:name="_Toc304295593"/>
      <w:bookmarkStart w:id="872" w:name="_Toc292559424"/>
      <w:bookmarkStart w:id="873" w:name="_Toc297216223"/>
      <w:bookmarkStart w:id="874" w:name="_Toc296891259"/>
      <w:bookmarkStart w:id="875" w:name="_Toc312678053"/>
      <w:bookmarkStart w:id="876" w:name="_Toc297120519"/>
      <w:r>
        <w:rPr>
          <w:rFonts w:hint="eastAsia" w:ascii="宋体" w:cs="宋体"/>
          <w:color w:val="auto"/>
          <w:sz w:val="22"/>
          <w:szCs w:val="22"/>
          <w:highlight w:val="none"/>
        </w:rPr>
        <w:t>13. 验收和工程试车</w:t>
      </w:r>
      <w:bookmarkEnd w:id="857"/>
      <w:bookmarkEnd w:id="858"/>
      <w:bookmarkEnd w:id="859"/>
      <w:bookmarkEnd w:id="860"/>
    </w:p>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14:paraId="511BC28C">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877" w:name="_Toc11765"/>
      <w:bookmarkStart w:id="878" w:name="_Toc520505911"/>
      <w:bookmarkStart w:id="879" w:name="_Toc406522282"/>
      <w:r>
        <w:rPr>
          <w:rFonts w:hint="eastAsia" w:ascii="宋体" w:cs="宋体"/>
          <w:color w:val="auto"/>
          <w:sz w:val="22"/>
          <w:szCs w:val="22"/>
          <w:highlight w:val="none"/>
        </w:rPr>
        <w:t>13.1 分部分项工程验收</w:t>
      </w:r>
      <w:bookmarkEnd w:id="877"/>
      <w:bookmarkEnd w:id="878"/>
      <w:bookmarkEnd w:id="879"/>
    </w:p>
    <w:p w14:paraId="5AB8629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13.1.2监理人不能按时进行验收时，应提前</w:t>
      </w:r>
      <w:r>
        <w:rPr>
          <w:rFonts w:hint="eastAsia" w:ascii="宋体" w:hAnsi="宋体" w:cs="宋体"/>
          <w:color w:val="auto"/>
          <w:szCs w:val="22"/>
          <w:highlight w:val="none"/>
          <w:u w:val="single"/>
        </w:rPr>
        <w:t>24</w:t>
      </w:r>
      <w:r>
        <w:rPr>
          <w:rFonts w:hint="eastAsia" w:ascii="宋体" w:hAnsi="宋体" w:cs="宋体"/>
          <w:color w:val="auto"/>
          <w:szCs w:val="22"/>
          <w:highlight w:val="none"/>
        </w:rPr>
        <w:t>小时提交书面延期要求。</w:t>
      </w:r>
    </w:p>
    <w:p w14:paraId="70AC4422">
      <w:pPr>
        <w:pStyle w:val="42"/>
        <w:pageBreakBefore w:val="0"/>
        <w:kinsoku/>
        <w:overflowPunct/>
        <w:bidi w:val="0"/>
        <w:spacing w:line="360" w:lineRule="auto"/>
        <w:rPr>
          <w:rFonts w:hint="eastAsia" w:ascii="宋体" w:hAnsi="宋体" w:cs="宋体"/>
          <w:b/>
          <w:color w:val="auto"/>
          <w:szCs w:val="22"/>
          <w:highlight w:val="none"/>
        </w:rPr>
      </w:pPr>
      <w:r>
        <w:rPr>
          <w:rFonts w:hint="eastAsia" w:ascii="宋体" w:hAnsi="宋体" w:cs="宋体"/>
          <w:color w:val="auto"/>
          <w:szCs w:val="22"/>
          <w:highlight w:val="none"/>
        </w:rPr>
        <w:t>关于延期最长不得超过：</w:t>
      </w:r>
      <w:r>
        <w:rPr>
          <w:rFonts w:hint="eastAsia" w:ascii="宋体" w:hAnsi="宋体" w:cs="宋体"/>
          <w:color w:val="auto"/>
          <w:szCs w:val="22"/>
          <w:highlight w:val="none"/>
          <w:u w:val="single"/>
        </w:rPr>
        <w:t>48</w:t>
      </w:r>
      <w:r>
        <w:rPr>
          <w:rFonts w:hint="eastAsia" w:ascii="宋体" w:hAnsi="宋体" w:cs="宋体"/>
          <w:color w:val="auto"/>
          <w:szCs w:val="22"/>
          <w:highlight w:val="none"/>
        </w:rPr>
        <w:t>小时。</w:t>
      </w:r>
    </w:p>
    <w:p w14:paraId="1951BD56">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880" w:name="_Toc406522283"/>
      <w:bookmarkStart w:id="881" w:name="_Toc520505912"/>
      <w:bookmarkStart w:id="882" w:name="_Toc32198"/>
      <w:bookmarkStart w:id="883" w:name="_Toc296347222"/>
      <w:bookmarkStart w:id="884" w:name="_Toc296891263"/>
      <w:bookmarkStart w:id="885" w:name="_Toc296503223"/>
      <w:bookmarkStart w:id="886" w:name="_Toc300935016"/>
      <w:bookmarkStart w:id="887" w:name="_Toc296346724"/>
      <w:bookmarkStart w:id="888" w:name="_Toc297048409"/>
      <w:bookmarkStart w:id="889" w:name="_Toc297123565"/>
      <w:bookmarkStart w:id="890" w:name="_Toc292559428"/>
      <w:bookmarkStart w:id="891" w:name="_Toc303539173"/>
      <w:bookmarkStart w:id="892" w:name="_Toc304295596"/>
      <w:bookmarkStart w:id="893" w:name="_Toc312678056"/>
      <w:bookmarkStart w:id="894" w:name="_Toc297216224"/>
      <w:bookmarkStart w:id="895" w:name="_Toc296944562"/>
      <w:bookmarkStart w:id="896" w:name="_Toc297120523"/>
      <w:bookmarkStart w:id="897" w:name="_Toc296891051"/>
      <w:bookmarkStart w:id="898" w:name="_Toc292559933"/>
      <w:bookmarkStart w:id="899" w:name="_Toc267251474"/>
      <w:bookmarkStart w:id="900" w:name="_Toc267251475"/>
      <w:bookmarkStart w:id="901" w:name="_Toc267251472"/>
      <w:bookmarkStart w:id="902" w:name="_Toc267251476"/>
      <w:bookmarkStart w:id="903" w:name="_Toc267251471"/>
      <w:bookmarkStart w:id="904" w:name="_Toc267251473"/>
      <w:bookmarkStart w:id="905" w:name="_Toc267251470"/>
      <w:r>
        <w:rPr>
          <w:rFonts w:hint="eastAsia" w:ascii="宋体" w:cs="宋体"/>
          <w:color w:val="auto"/>
          <w:sz w:val="22"/>
          <w:szCs w:val="22"/>
          <w:highlight w:val="none"/>
        </w:rPr>
        <w:t>13.2 竣工验收</w:t>
      </w:r>
      <w:bookmarkEnd w:id="880"/>
      <w:bookmarkEnd w:id="881"/>
      <w:bookmarkEnd w:id="882"/>
    </w:p>
    <w:p w14:paraId="2D923DC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13.2.1竣工验收条件</w:t>
      </w:r>
    </w:p>
    <w:p w14:paraId="46082DA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2"/>
          <w:highlight w:val="none"/>
          <w:u w:val="single"/>
        </w:rPr>
        <w:t>按国家现行规定执行</w:t>
      </w:r>
      <w:r>
        <w:rPr>
          <w:rFonts w:hint="eastAsia" w:ascii="宋体" w:hAnsi="宋体" w:cs="宋体"/>
          <w:color w:val="auto"/>
          <w:szCs w:val="22"/>
          <w:highlight w:val="none"/>
        </w:rPr>
        <w:t>。</w:t>
      </w:r>
    </w:p>
    <w:p w14:paraId="78C2CFC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竣工验收资料的份数：</w:t>
      </w:r>
      <w:r>
        <w:rPr>
          <w:rFonts w:hint="eastAsia" w:ascii="宋体" w:hAnsi="宋体" w:cs="宋体"/>
          <w:color w:val="auto"/>
          <w:szCs w:val="22"/>
          <w:highlight w:val="none"/>
          <w:u w:val="single"/>
        </w:rPr>
        <w:t>一式五份</w:t>
      </w:r>
      <w:r>
        <w:rPr>
          <w:rFonts w:hint="eastAsia" w:ascii="宋体" w:hAnsi="宋体" w:cs="宋体"/>
          <w:color w:val="auto"/>
          <w:szCs w:val="22"/>
          <w:highlight w:val="none"/>
        </w:rPr>
        <w:t>。</w:t>
      </w:r>
    </w:p>
    <w:p w14:paraId="5CE2757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bCs/>
          <w:color w:val="auto"/>
          <w:szCs w:val="22"/>
          <w:highlight w:val="none"/>
        </w:rPr>
        <w:t>承包人提供竣工图的约定：：</w:t>
      </w:r>
      <w:r>
        <w:rPr>
          <w:rFonts w:hint="eastAsia" w:ascii="宋体" w:hAnsi="宋体" w:cs="宋体"/>
          <w:bCs/>
          <w:color w:val="auto"/>
          <w:szCs w:val="22"/>
          <w:highlight w:val="none"/>
          <w:u w:val="single"/>
        </w:rPr>
        <w:t>竣工验收正式通过后5天，提供竣工图的数量分别为5套。</w:t>
      </w:r>
    </w:p>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14:paraId="48032FAB">
      <w:pPr>
        <w:pStyle w:val="42"/>
        <w:pageBreakBefore w:val="0"/>
        <w:kinsoku/>
        <w:overflowPunct/>
        <w:bidi w:val="0"/>
        <w:spacing w:line="360" w:lineRule="auto"/>
        <w:rPr>
          <w:rFonts w:hint="eastAsia" w:ascii="宋体" w:hAnsi="宋体" w:cs="宋体"/>
          <w:color w:val="auto"/>
          <w:szCs w:val="22"/>
          <w:highlight w:val="none"/>
        </w:rPr>
      </w:pPr>
      <w:bookmarkStart w:id="906" w:name="_Toc280868704"/>
      <w:bookmarkStart w:id="907" w:name="_Toc280868705"/>
      <w:bookmarkStart w:id="908" w:name="_Toc280868706"/>
      <w:bookmarkStart w:id="909" w:name="_Toc280868707"/>
      <w:bookmarkStart w:id="910" w:name="_Toc280868708"/>
      <w:bookmarkStart w:id="911" w:name="_Toc280868709"/>
      <w:r>
        <w:rPr>
          <w:rFonts w:hint="eastAsia" w:ascii="宋体" w:hAnsi="宋体" w:cs="宋体"/>
          <w:color w:val="auto"/>
          <w:szCs w:val="22"/>
          <w:highlight w:val="none"/>
        </w:rPr>
        <w:t>13.2.2竣工验收程序</w:t>
      </w:r>
    </w:p>
    <w:bookmarkEnd w:id="906"/>
    <w:p w14:paraId="248C33D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关于竣工验收程序的约定：</w:t>
      </w:r>
      <w:r>
        <w:rPr>
          <w:rFonts w:hint="eastAsia" w:ascii="宋体" w:hAnsi="宋体" w:cs="宋体"/>
          <w:color w:val="auto"/>
          <w:highlight w:val="none"/>
          <w:u w:val="single"/>
        </w:rPr>
        <w:t>按通用条款执行</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18203FA5">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发包人不按照本项约定组织竣工验收、颁发工程接收证书的违约金的计算方法：</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bookmarkEnd w:id="907"/>
    <w:p w14:paraId="6EB0A39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13.2.5移交、接收全部与部分工程</w:t>
      </w:r>
    </w:p>
    <w:bookmarkEnd w:id="908"/>
    <w:p w14:paraId="71C8728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承包人向发包人移交工程的期限：</w:t>
      </w:r>
      <w:r>
        <w:rPr>
          <w:rFonts w:hint="eastAsia" w:ascii="宋体" w:hAnsi="宋体" w:cs="宋体"/>
          <w:color w:val="auto"/>
          <w:szCs w:val="22"/>
          <w:highlight w:val="none"/>
          <w:u w:val="single"/>
        </w:rPr>
        <w:t>按通用条款约定执行</w:t>
      </w:r>
      <w:r>
        <w:rPr>
          <w:rFonts w:hint="eastAsia" w:ascii="宋体" w:hAnsi="宋体" w:cs="宋体"/>
          <w:color w:val="auto"/>
          <w:szCs w:val="22"/>
          <w:highlight w:val="none"/>
        </w:rPr>
        <w:t>。</w:t>
      </w:r>
    </w:p>
    <w:p w14:paraId="6A15C430">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发包人未按本合同约定接收全部或部分工程的，违约金的计算方法为：</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bookmarkEnd w:id="909"/>
    <w:p w14:paraId="2B6E415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承包人未按时移交工程的，违约金的计算方法为：</w:t>
      </w:r>
      <w:r>
        <w:rPr>
          <w:rFonts w:hint="eastAsia" w:ascii="宋体" w:hAnsi="宋体" w:cs="宋体"/>
          <w:color w:val="auto"/>
          <w:highlight w:val="none"/>
          <w:u w:val="single"/>
        </w:rPr>
        <w:t>按通用条款执行</w:t>
      </w:r>
      <w:r>
        <w:rPr>
          <w:rFonts w:hint="eastAsia" w:ascii="宋体" w:hAnsi="宋体" w:cs="宋体"/>
          <w:color w:val="auto"/>
          <w:szCs w:val="22"/>
          <w:highlight w:val="none"/>
        </w:rPr>
        <w:t>。</w:t>
      </w:r>
    </w:p>
    <w:p w14:paraId="7C12F1CB">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912" w:name="_Toc406522284"/>
      <w:bookmarkStart w:id="913" w:name="_Toc18529"/>
      <w:bookmarkStart w:id="914" w:name="_Toc520505913"/>
      <w:r>
        <w:rPr>
          <w:rFonts w:hint="eastAsia" w:ascii="宋体" w:cs="宋体"/>
          <w:color w:val="auto"/>
          <w:sz w:val="22"/>
          <w:szCs w:val="22"/>
          <w:highlight w:val="none"/>
        </w:rPr>
        <w:t>13.3 工程试车</w:t>
      </w:r>
      <w:bookmarkEnd w:id="912"/>
      <w:bookmarkEnd w:id="913"/>
      <w:bookmarkEnd w:id="914"/>
    </w:p>
    <w:bookmarkEnd w:id="910"/>
    <w:p w14:paraId="313F0DC7">
      <w:pPr>
        <w:pStyle w:val="42"/>
        <w:pageBreakBefore w:val="0"/>
        <w:kinsoku/>
        <w:overflowPunct/>
        <w:bidi w:val="0"/>
        <w:spacing w:line="360" w:lineRule="auto"/>
        <w:outlineLvl w:val="0"/>
        <w:rPr>
          <w:rFonts w:hint="eastAsia" w:ascii="宋体" w:hAnsi="宋体" w:cs="宋体"/>
          <w:color w:val="auto"/>
          <w:szCs w:val="22"/>
          <w:highlight w:val="none"/>
        </w:rPr>
      </w:pPr>
      <w:bookmarkStart w:id="915" w:name="_Toc406522285"/>
      <w:bookmarkStart w:id="916" w:name="_Toc520505914"/>
      <w:bookmarkStart w:id="917" w:name="_Toc15898"/>
      <w:bookmarkStart w:id="918" w:name="_Toc406419409"/>
      <w:r>
        <w:rPr>
          <w:rFonts w:hint="eastAsia" w:ascii="宋体" w:hAnsi="宋体" w:cs="宋体"/>
          <w:color w:val="auto"/>
          <w:szCs w:val="22"/>
          <w:highlight w:val="none"/>
        </w:rPr>
        <w:t>13.3.1 试车程序</w:t>
      </w:r>
      <w:bookmarkEnd w:id="915"/>
      <w:bookmarkEnd w:id="916"/>
      <w:bookmarkEnd w:id="917"/>
      <w:bookmarkEnd w:id="918"/>
    </w:p>
    <w:p w14:paraId="28D966B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工程试车内容：</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0724215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（1）单机无负荷试车费用由</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承担；</w:t>
      </w:r>
    </w:p>
    <w:p w14:paraId="232D562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（2）无负荷联动试车费用由</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承担。</w:t>
      </w:r>
    </w:p>
    <w:p w14:paraId="3EAD5C73">
      <w:pPr>
        <w:pStyle w:val="42"/>
        <w:pageBreakBefore w:val="0"/>
        <w:kinsoku/>
        <w:overflowPunct/>
        <w:bidi w:val="0"/>
        <w:spacing w:line="360" w:lineRule="auto"/>
        <w:outlineLvl w:val="0"/>
        <w:rPr>
          <w:rFonts w:hint="eastAsia" w:ascii="宋体" w:hAnsi="宋体" w:cs="宋体"/>
          <w:color w:val="auto"/>
          <w:szCs w:val="22"/>
          <w:highlight w:val="none"/>
        </w:rPr>
      </w:pPr>
      <w:bookmarkStart w:id="919" w:name="_Toc520505915"/>
      <w:bookmarkStart w:id="920" w:name="_Toc4421"/>
      <w:bookmarkStart w:id="921" w:name="_Toc406419410"/>
      <w:bookmarkStart w:id="922" w:name="_Toc406522286"/>
      <w:r>
        <w:rPr>
          <w:rFonts w:hint="eastAsia" w:ascii="宋体" w:hAnsi="宋体" w:cs="宋体"/>
          <w:color w:val="auto"/>
          <w:szCs w:val="22"/>
          <w:highlight w:val="none"/>
        </w:rPr>
        <w:t>13.3.3 投料试车</w:t>
      </w:r>
      <w:bookmarkEnd w:id="919"/>
      <w:bookmarkEnd w:id="920"/>
      <w:bookmarkEnd w:id="921"/>
      <w:bookmarkEnd w:id="922"/>
    </w:p>
    <w:p w14:paraId="353433D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关于投料试车相关事项的约定：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73F0CA59">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923" w:name="_Toc520505916"/>
      <w:bookmarkStart w:id="924" w:name="_Toc406522287"/>
      <w:bookmarkStart w:id="925" w:name="_Toc7152"/>
      <w:r>
        <w:rPr>
          <w:rFonts w:hint="eastAsia" w:ascii="宋体" w:cs="宋体"/>
          <w:color w:val="auto"/>
          <w:sz w:val="22"/>
          <w:szCs w:val="22"/>
          <w:highlight w:val="none"/>
        </w:rPr>
        <w:t>13.6 竣工退场</w:t>
      </w:r>
      <w:bookmarkEnd w:id="923"/>
      <w:bookmarkEnd w:id="924"/>
      <w:bookmarkEnd w:id="925"/>
    </w:p>
    <w:p w14:paraId="2302070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13.6.1 竣工退场</w:t>
      </w:r>
    </w:p>
    <w:p w14:paraId="637521D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承包人完成竣工退场的期限：</w:t>
      </w:r>
      <w:r>
        <w:rPr>
          <w:rFonts w:hint="eastAsia" w:ascii="宋体" w:hAnsi="宋体" w:cs="宋体"/>
          <w:color w:val="auto"/>
          <w:spacing w:val="11"/>
          <w:szCs w:val="22"/>
          <w:highlight w:val="none"/>
          <w:u w:val="single"/>
        </w:rPr>
        <w:t>缺陷责任期满时，承包人施工人员、施工设备及其临时工程全部撤离</w:t>
      </w:r>
      <w:r>
        <w:rPr>
          <w:rFonts w:hint="eastAsia" w:ascii="宋体" w:hAnsi="宋体" w:cs="宋体"/>
          <w:color w:val="auto"/>
          <w:szCs w:val="22"/>
          <w:highlight w:val="none"/>
        </w:rPr>
        <w:t>。</w:t>
      </w:r>
    </w:p>
    <w:p w14:paraId="2883B1A4">
      <w:pPr>
        <w:pStyle w:val="41"/>
        <w:pageBreakBefore w:val="0"/>
        <w:kinsoku/>
        <w:overflowPunct/>
        <w:bidi w:val="0"/>
        <w:spacing w:before="0" w:after="0" w:line="360" w:lineRule="auto"/>
        <w:rPr>
          <w:rFonts w:hint="eastAsia" w:ascii="宋体" w:cs="宋体"/>
          <w:color w:val="auto"/>
          <w:sz w:val="22"/>
          <w:szCs w:val="22"/>
          <w:highlight w:val="none"/>
        </w:rPr>
      </w:pPr>
      <w:bookmarkStart w:id="926" w:name="_Toc351203646"/>
      <w:bookmarkStart w:id="927" w:name="_Toc406522288"/>
      <w:bookmarkStart w:id="928" w:name="_Toc520505917"/>
      <w:bookmarkStart w:id="929" w:name="_Toc19417"/>
      <w:r>
        <w:rPr>
          <w:rFonts w:hint="eastAsia" w:ascii="宋体" w:cs="宋体"/>
          <w:color w:val="auto"/>
          <w:sz w:val="22"/>
          <w:szCs w:val="22"/>
          <w:highlight w:val="none"/>
        </w:rPr>
        <w:t>14. 竣工结算</w:t>
      </w:r>
      <w:bookmarkEnd w:id="926"/>
      <w:bookmarkEnd w:id="927"/>
      <w:bookmarkEnd w:id="928"/>
      <w:bookmarkEnd w:id="929"/>
    </w:p>
    <w:p w14:paraId="526319A7">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930" w:name="_Toc406522289"/>
      <w:bookmarkStart w:id="931" w:name="_Toc520505918"/>
      <w:bookmarkStart w:id="932" w:name="_Toc30477"/>
      <w:r>
        <w:rPr>
          <w:rFonts w:hint="eastAsia" w:ascii="宋体" w:cs="宋体"/>
          <w:color w:val="auto"/>
          <w:sz w:val="22"/>
          <w:szCs w:val="22"/>
          <w:highlight w:val="none"/>
        </w:rPr>
        <w:t>14.1 竣工结算申请</w:t>
      </w:r>
      <w:bookmarkEnd w:id="930"/>
      <w:bookmarkEnd w:id="931"/>
      <w:bookmarkEnd w:id="932"/>
    </w:p>
    <w:p w14:paraId="115431E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承包人提交竣工结算申请单的期限：</w:t>
      </w:r>
      <w:r>
        <w:rPr>
          <w:rFonts w:hint="eastAsia" w:ascii="宋体" w:hAnsi="宋体" w:cs="宋体"/>
          <w:color w:val="auto"/>
          <w:kern w:val="0"/>
          <w:highlight w:val="none"/>
          <w:u w:val="single"/>
        </w:rPr>
        <w:t>具备竣工验收条件后60天内</w:t>
      </w:r>
      <w:r>
        <w:rPr>
          <w:rFonts w:hint="eastAsia" w:ascii="宋体" w:hAnsi="宋体" w:cs="宋体"/>
          <w:color w:val="auto"/>
          <w:szCs w:val="22"/>
          <w:highlight w:val="none"/>
        </w:rPr>
        <w:t>。</w:t>
      </w:r>
    </w:p>
    <w:p w14:paraId="3E8DCC2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竣工结算申请单应包括的内容：</w:t>
      </w:r>
      <w:r>
        <w:rPr>
          <w:rFonts w:hint="eastAsia" w:ascii="宋体" w:hAnsi="宋体" w:cs="宋体"/>
          <w:color w:val="auto"/>
          <w:szCs w:val="22"/>
          <w:highlight w:val="none"/>
          <w:u w:val="single"/>
        </w:rPr>
        <w:t>竣工结算由承包人提交相关结算资料（主要包括合同、竣工图、设计变更通知、签证单、有关技术资料、双方往来函件（上述资料均为原件）、工程结算书、工程量（含钢筋）计算底稿等）齐全后经监理人初审，发包人审</w:t>
      </w:r>
      <w:r>
        <w:rPr>
          <w:rFonts w:hint="eastAsia" w:ascii="宋体" w:hAnsi="宋体" w:cs="宋体"/>
          <w:color w:val="auto"/>
          <w:spacing w:val="-2"/>
          <w:szCs w:val="22"/>
          <w:highlight w:val="none"/>
          <w:u w:val="single"/>
        </w:rPr>
        <w:t>定</w:t>
      </w:r>
      <w:r>
        <w:rPr>
          <w:rFonts w:hint="eastAsia" w:ascii="宋体" w:hAnsi="宋体" w:cs="宋体"/>
          <w:color w:val="auto"/>
          <w:szCs w:val="22"/>
          <w:highlight w:val="none"/>
          <w:u w:val="single"/>
        </w:rPr>
        <w:t>后，方可办理工程结算或竣工决算</w:t>
      </w:r>
      <w:r>
        <w:rPr>
          <w:rFonts w:hint="eastAsia" w:ascii="宋体" w:hAnsi="宋体" w:cs="宋体"/>
          <w:color w:val="auto"/>
          <w:szCs w:val="22"/>
          <w:highlight w:val="none"/>
        </w:rPr>
        <w:t>。</w:t>
      </w:r>
    </w:p>
    <w:p w14:paraId="6F22FACA">
      <w:pPr>
        <w:pStyle w:val="41"/>
        <w:pageBreakBefore w:val="0"/>
        <w:kinsoku/>
        <w:overflowPunct/>
        <w:bidi w:val="0"/>
        <w:spacing w:before="0" w:after="0" w:line="360" w:lineRule="auto"/>
        <w:rPr>
          <w:rFonts w:hint="eastAsia" w:ascii="宋体" w:cs="宋体"/>
          <w:color w:val="auto"/>
          <w:sz w:val="22"/>
          <w:szCs w:val="22"/>
          <w:highlight w:val="none"/>
        </w:rPr>
      </w:pPr>
      <w:bookmarkStart w:id="933" w:name="_Toc1172"/>
      <w:bookmarkStart w:id="934" w:name="_Toc520505919"/>
      <w:bookmarkStart w:id="935" w:name="_Toc406522290"/>
      <w:r>
        <w:rPr>
          <w:rFonts w:hint="eastAsia" w:ascii="宋体" w:cs="宋体"/>
          <w:color w:val="auto"/>
          <w:sz w:val="22"/>
          <w:szCs w:val="22"/>
          <w:highlight w:val="none"/>
        </w:rPr>
        <w:t>14.2 竣工结算审核</w:t>
      </w:r>
      <w:bookmarkEnd w:id="933"/>
      <w:bookmarkEnd w:id="934"/>
      <w:bookmarkEnd w:id="935"/>
    </w:p>
    <w:p w14:paraId="172C0151">
      <w:pPr>
        <w:pageBreakBefore w:val="0"/>
        <w:kinsoku/>
        <w:overflowPunct/>
        <w:bidi w:val="0"/>
        <w:spacing w:line="360" w:lineRule="auto"/>
        <w:ind w:firstLine="411" w:firstLineChars="196"/>
        <w:rPr>
          <w:rFonts w:hint="eastAsia" w:ascii="宋体" w:hAnsi="宋体" w:cs="宋体"/>
          <w:bCs/>
          <w:color w:val="auto"/>
          <w:szCs w:val="21"/>
          <w:highlight w:val="none"/>
        </w:rPr>
      </w:pPr>
      <w:bookmarkStart w:id="936" w:name="_Toc406522291"/>
      <w:r>
        <w:rPr>
          <w:rFonts w:hint="eastAsia" w:ascii="宋体" w:hAnsi="宋体" w:cs="宋体"/>
          <w:bCs/>
          <w:color w:val="auto"/>
          <w:szCs w:val="21"/>
          <w:highlight w:val="none"/>
        </w:rPr>
        <w:t>结算审核约定：</w:t>
      </w:r>
    </w:p>
    <w:p w14:paraId="64B0A75F">
      <w:pPr>
        <w:pageBreakBefore w:val="0"/>
        <w:kinsoku/>
        <w:overflowPunct/>
        <w:bidi w:val="0"/>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工程竣工验收报告经发包人认可后7天内，承包人向发包人递交竣工验收合格资料及完整的结算资料和报告，双方按照协议书约定的合同价款及专用条款约定的合同价调整内容，进行工程竣工结算。2、发包人收到承包人递交的竣工结算报告及结算资料之日起60天内进行审核，给予确认或者提出初审意见。发包人逾期不予审定结算的视为发包人已同意上述竣工结算报告及结算资料，并以此作为最终结算的依据。发包人初审竣工结算完毕之日起30天内，按审定后的结算价款，通知经办银行向承包人支付工程竣工结算价款。承包人应根据发包人的需要随时将竣工工程交付发包人。</w:t>
      </w:r>
    </w:p>
    <w:p w14:paraId="310A4BBA">
      <w:pPr>
        <w:pageBreakBefore w:val="0"/>
        <w:kinsoku/>
        <w:overflowPunct/>
        <w:bidi w:val="0"/>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发包人完成竣工付款的期限：竣工结算报告经三方签字盖章后30天内。</w:t>
      </w:r>
    </w:p>
    <w:p w14:paraId="5AFF713E">
      <w:pPr>
        <w:pageBreakBefore w:val="0"/>
        <w:kinsoku/>
        <w:overflowPunct/>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按通用条款执行</w:t>
      </w:r>
      <w:r>
        <w:rPr>
          <w:rFonts w:hint="eastAsia" w:ascii="宋体" w:hAnsi="宋体" w:cs="宋体"/>
          <w:color w:val="auto"/>
          <w:szCs w:val="21"/>
          <w:highlight w:val="none"/>
        </w:rPr>
        <w:t>。</w:t>
      </w:r>
    </w:p>
    <w:p w14:paraId="14DFAAC0">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937" w:name="_Toc520505920"/>
      <w:bookmarkStart w:id="938" w:name="_Toc11977"/>
      <w:r>
        <w:rPr>
          <w:rFonts w:hint="eastAsia" w:ascii="宋体" w:cs="宋体"/>
          <w:color w:val="auto"/>
          <w:sz w:val="22"/>
          <w:szCs w:val="22"/>
          <w:highlight w:val="none"/>
        </w:rPr>
        <w:t>14.4 最终结清</w:t>
      </w:r>
      <w:bookmarkEnd w:id="936"/>
      <w:bookmarkEnd w:id="937"/>
      <w:bookmarkEnd w:id="938"/>
    </w:p>
    <w:p w14:paraId="574E9BB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14.4.1 最终结清申请单</w:t>
      </w:r>
    </w:p>
    <w:p w14:paraId="4FAD3D1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承包人提交最终结清申请单的份数：</w:t>
      </w:r>
      <w:r>
        <w:rPr>
          <w:rFonts w:hint="eastAsia" w:ascii="宋体" w:hAnsi="宋体" w:cs="宋体"/>
          <w:color w:val="auto"/>
          <w:szCs w:val="22"/>
          <w:highlight w:val="none"/>
          <w:u w:val="single"/>
        </w:rPr>
        <w:t xml:space="preserve">一式四份  </w:t>
      </w:r>
      <w:r>
        <w:rPr>
          <w:rFonts w:hint="eastAsia" w:ascii="宋体" w:hAnsi="宋体" w:cs="宋体"/>
          <w:color w:val="auto"/>
          <w:szCs w:val="22"/>
          <w:highlight w:val="none"/>
        </w:rPr>
        <w:t>。</w:t>
      </w:r>
    </w:p>
    <w:p w14:paraId="72A72C5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承包人提交最终结算申请单的期限：</w:t>
      </w:r>
      <w:r>
        <w:rPr>
          <w:rFonts w:hint="eastAsia" w:ascii="宋体" w:hAnsi="宋体" w:cs="宋体"/>
          <w:color w:val="auto"/>
          <w:szCs w:val="22"/>
          <w:highlight w:val="none"/>
          <w:u w:val="single"/>
        </w:rPr>
        <w:t>缺陷责任期终止证书签发后14日内提交给发包人</w:t>
      </w:r>
      <w:r>
        <w:rPr>
          <w:rFonts w:hint="eastAsia" w:ascii="宋体" w:hAnsi="宋体" w:cs="宋体"/>
          <w:color w:val="auto"/>
          <w:szCs w:val="22"/>
          <w:highlight w:val="none"/>
        </w:rPr>
        <w:t xml:space="preserve">。 </w:t>
      </w:r>
    </w:p>
    <w:p w14:paraId="0B4D2581">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14.4.2 最终结清证书和支付</w:t>
      </w:r>
    </w:p>
    <w:p w14:paraId="2F647E5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（1）发包人完成最终结清申请单的审批并颁发最终结清证书的期限：</w:t>
      </w:r>
      <w:r>
        <w:rPr>
          <w:rFonts w:hint="eastAsia" w:ascii="宋体" w:hAnsi="宋体" w:cs="宋体"/>
          <w:color w:val="auto"/>
          <w:szCs w:val="22"/>
          <w:highlight w:val="none"/>
          <w:u w:val="single"/>
        </w:rPr>
        <w:t>按通用条款执行</w:t>
      </w:r>
      <w:r>
        <w:rPr>
          <w:rFonts w:hint="eastAsia" w:ascii="宋体" w:hAnsi="宋体" w:cs="宋体"/>
          <w:color w:val="auto"/>
          <w:szCs w:val="22"/>
          <w:highlight w:val="none"/>
        </w:rPr>
        <w:t>。</w:t>
      </w:r>
    </w:p>
    <w:p w14:paraId="7D8C2E1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（2）发包人完成支付的期限：</w:t>
      </w:r>
      <w:r>
        <w:rPr>
          <w:rFonts w:hint="eastAsia" w:ascii="宋体" w:hAnsi="宋体" w:cs="宋体"/>
          <w:color w:val="auto"/>
          <w:szCs w:val="22"/>
          <w:highlight w:val="none"/>
          <w:u w:val="single"/>
        </w:rPr>
        <w:t>发包人在颁发最终结清证书后30天内完成支付</w:t>
      </w:r>
      <w:r>
        <w:rPr>
          <w:rFonts w:hint="eastAsia" w:ascii="宋体" w:hAnsi="宋体" w:cs="宋体"/>
          <w:color w:val="auto"/>
          <w:szCs w:val="22"/>
          <w:highlight w:val="none"/>
        </w:rPr>
        <w:t>。</w:t>
      </w:r>
    </w:p>
    <w:bookmarkEnd w:id="899"/>
    <w:bookmarkEnd w:id="900"/>
    <w:bookmarkEnd w:id="901"/>
    <w:bookmarkEnd w:id="902"/>
    <w:bookmarkEnd w:id="903"/>
    <w:bookmarkEnd w:id="904"/>
    <w:bookmarkEnd w:id="905"/>
    <w:bookmarkEnd w:id="911"/>
    <w:p w14:paraId="54F76D69">
      <w:pPr>
        <w:pStyle w:val="41"/>
        <w:pageBreakBefore w:val="0"/>
        <w:kinsoku/>
        <w:overflowPunct/>
        <w:bidi w:val="0"/>
        <w:spacing w:before="0" w:after="0" w:line="360" w:lineRule="auto"/>
        <w:rPr>
          <w:rFonts w:hint="eastAsia" w:ascii="宋体" w:cs="宋体"/>
          <w:color w:val="auto"/>
          <w:sz w:val="22"/>
          <w:szCs w:val="22"/>
          <w:highlight w:val="none"/>
        </w:rPr>
      </w:pPr>
      <w:bookmarkStart w:id="939" w:name="_Toc406522292"/>
      <w:bookmarkStart w:id="940" w:name="_Toc351203647"/>
      <w:bookmarkStart w:id="941" w:name="_Toc520505921"/>
      <w:bookmarkStart w:id="942" w:name="_Toc30525"/>
      <w:bookmarkStart w:id="943" w:name="_Toc267251483"/>
      <w:bookmarkStart w:id="944" w:name="_Toc267251484"/>
      <w:bookmarkStart w:id="945" w:name="_Toc267251482"/>
      <w:bookmarkStart w:id="946" w:name="_Toc267251485"/>
      <w:bookmarkStart w:id="947" w:name="_Toc267251488"/>
      <w:bookmarkStart w:id="948" w:name="_Toc267251489"/>
      <w:bookmarkStart w:id="949" w:name="_Toc267251486"/>
      <w:bookmarkStart w:id="950" w:name="_Toc267251490"/>
      <w:bookmarkStart w:id="951" w:name="_Toc267251499"/>
      <w:bookmarkStart w:id="952" w:name="_Toc267251498"/>
      <w:bookmarkStart w:id="953" w:name="_Toc267251503"/>
      <w:bookmarkStart w:id="954" w:name="_Toc267251495"/>
      <w:bookmarkStart w:id="955" w:name="_Toc267251502"/>
      <w:bookmarkStart w:id="956" w:name="_Toc267251491"/>
      <w:bookmarkStart w:id="957" w:name="_Toc267251492"/>
      <w:bookmarkStart w:id="958" w:name="_Toc267251497"/>
      <w:bookmarkStart w:id="959" w:name="_Toc267251501"/>
      <w:bookmarkStart w:id="960" w:name="_Toc267251494"/>
      <w:bookmarkStart w:id="961" w:name="_Toc267251496"/>
      <w:bookmarkStart w:id="962" w:name="_Toc267251493"/>
      <w:bookmarkStart w:id="963" w:name="_Toc267251504"/>
      <w:bookmarkStart w:id="964" w:name="_Toc267251506"/>
      <w:bookmarkStart w:id="965" w:name="_Toc267251507"/>
      <w:bookmarkStart w:id="966" w:name="_Toc267251508"/>
      <w:bookmarkStart w:id="967" w:name="_Toc267251509"/>
      <w:bookmarkStart w:id="968" w:name="_Toc267251515"/>
      <w:bookmarkStart w:id="969" w:name="_Toc267251510"/>
      <w:bookmarkStart w:id="970" w:name="_Toc267251513"/>
      <w:bookmarkStart w:id="971" w:name="_Toc267251511"/>
      <w:bookmarkStart w:id="972" w:name="_Toc267251514"/>
      <w:r>
        <w:rPr>
          <w:rFonts w:hint="eastAsia" w:ascii="宋体" w:cs="宋体"/>
          <w:color w:val="auto"/>
          <w:sz w:val="22"/>
          <w:szCs w:val="22"/>
          <w:highlight w:val="none"/>
        </w:rPr>
        <w:t>15. 缺陷责任期与保修</w:t>
      </w:r>
      <w:bookmarkEnd w:id="939"/>
      <w:bookmarkEnd w:id="940"/>
      <w:bookmarkEnd w:id="941"/>
      <w:bookmarkEnd w:id="942"/>
    </w:p>
    <w:p w14:paraId="3438A032">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973" w:name="_Toc520505922"/>
      <w:bookmarkStart w:id="974" w:name="_Toc406522293"/>
      <w:bookmarkStart w:id="975" w:name="_Toc19027"/>
      <w:r>
        <w:rPr>
          <w:rFonts w:hint="eastAsia" w:ascii="宋体" w:cs="宋体"/>
          <w:color w:val="auto"/>
          <w:sz w:val="22"/>
          <w:szCs w:val="22"/>
          <w:highlight w:val="none"/>
        </w:rPr>
        <w:t>15.2缺陷责任期</w:t>
      </w:r>
      <w:bookmarkEnd w:id="943"/>
      <w:bookmarkEnd w:id="973"/>
      <w:bookmarkEnd w:id="974"/>
      <w:bookmarkEnd w:id="975"/>
    </w:p>
    <w:p w14:paraId="5E7F9DC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缺陷责任期的具体期限：</w:t>
      </w:r>
      <w:r>
        <w:rPr>
          <w:rFonts w:hint="eastAsia" w:ascii="宋体" w:hAnsi="宋体" w:cs="宋体"/>
          <w:color w:val="auto"/>
          <w:highlight w:val="none"/>
          <w:u w:val="single"/>
        </w:rPr>
        <w:t>24个月</w:t>
      </w:r>
      <w:r>
        <w:rPr>
          <w:rFonts w:hint="eastAsia" w:ascii="宋体" w:hAnsi="宋体" w:cs="宋体"/>
          <w:color w:val="auto"/>
          <w:szCs w:val="22"/>
          <w:highlight w:val="none"/>
        </w:rPr>
        <w:t>。</w:t>
      </w:r>
    </w:p>
    <w:p w14:paraId="01EF21DF">
      <w:pPr>
        <w:pStyle w:val="41"/>
        <w:pageBreakBefore w:val="0"/>
        <w:kinsoku/>
        <w:overflowPunct/>
        <w:bidi w:val="0"/>
        <w:spacing w:before="0" w:after="0" w:line="360" w:lineRule="auto"/>
        <w:ind w:firstLine="420"/>
        <w:rPr>
          <w:rFonts w:hint="eastAsia" w:ascii="宋体" w:cs="宋体"/>
          <w:color w:val="auto"/>
          <w:sz w:val="22"/>
          <w:szCs w:val="22"/>
          <w:highlight w:val="none"/>
        </w:rPr>
      </w:pPr>
      <w:bookmarkStart w:id="976" w:name="_Toc1708"/>
      <w:bookmarkStart w:id="977" w:name="_Toc520505923"/>
      <w:bookmarkStart w:id="978" w:name="_Toc406522294"/>
      <w:r>
        <w:rPr>
          <w:rFonts w:hint="eastAsia" w:ascii="宋体" w:cs="宋体"/>
          <w:color w:val="auto"/>
          <w:sz w:val="22"/>
          <w:szCs w:val="22"/>
          <w:highlight w:val="none"/>
        </w:rPr>
        <w:t>15.3 质量保证金</w:t>
      </w:r>
      <w:bookmarkEnd w:id="976"/>
      <w:bookmarkEnd w:id="977"/>
      <w:bookmarkEnd w:id="978"/>
    </w:p>
    <w:p w14:paraId="27149012">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pacing w:val="1"/>
          <w:position w:val="-2"/>
          <w:szCs w:val="21"/>
          <w:highlight w:val="none"/>
          <w:u w:val="single"/>
        </w:rPr>
        <w:t>预留工程竣工结算总造价的3%作为工程质量保证金</w:t>
      </w:r>
      <w:r>
        <w:rPr>
          <w:rFonts w:hint="eastAsia" w:ascii="宋体" w:hAnsi="宋体" w:cs="宋体"/>
          <w:color w:val="auto"/>
          <w:szCs w:val="21"/>
          <w:highlight w:val="none"/>
        </w:rPr>
        <w:t>。</w:t>
      </w:r>
    </w:p>
    <w:p w14:paraId="42697729">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7C155416">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78CEC343">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（1）质量保证金保函，保证金额为：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5FD5D22D">
      <w:pPr>
        <w:pageBreakBefore w:val="0"/>
        <w:kinsoku/>
        <w:overflowPunct/>
        <w:autoSpaceDE w:val="0"/>
        <w:autoSpaceDN w:val="0"/>
        <w:bidi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%预留工程质量保修金，待缺陷责任期满后返还</w:t>
      </w:r>
      <w:r>
        <w:rPr>
          <w:rFonts w:hint="eastAsia" w:ascii="宋体" w:hAnsi="宋体" w:cs="宋体"/>
          <w:color w:val="auto"/>
          <w:szCs w:val="21"/>
          <w:highlight w:val="none"/>
        </w:rPr>
        <w:t>；</w:t>
      </w:r>
    </w:p>
    <w:p w14:paraId="07E32834">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（3）其他方式: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CF6DF0">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15.3.2 质量保证金的扣留 </w:t>
      </w:r>
    </w:p>
    <w:p w14:paraId="1D5B9306">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040856F7">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7BA1F93C">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78E30F75">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（3）其他扣留方式: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EB764EE">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详见附件3《工程质量保修书》</w:t>
      </w:r>
      <w:r>
        <w:rPr>
          <w:rFonts w:hint="eastAsia" w:ascii="宋体" w:hAnsi="宋体" w:cs="宋体"/>
          <w:color w:val="auto"/>
          <w:szCs w:val="21"/>
          <w:highlight w:val="none"/>
        </w:rPr>
        <w:t>。</w:t>
      </w:r>
    </w:p>
    <w:p w14:paraId="46067064">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双方约定，发包人预留本工程最终结算总价的3%作为工程质量保修金。本工程保修期以工程竣工综合验收合格交付发包人之日起计算。质量保修金返还给承包人的时间及金额：发包人在工程竣工验收合格之日起满两年后14天内将本工程质量保修金返回给承包人。质量保证金的返还，并不能免除承包人按照合同约定应承担的质量保修责任和应履行的质量保修义务。</w:t>
      </w:r>
    </w:p>
    <w:bookmarkEnd w:id="944"/>
    <w:bookmarkEnd w:id="945"/>
    <w:p w14:paraId="627374E2">
      <w:pPr>
        <w:pStyle w:val="41"/>
        <w:pageBreakBefore w:val="0"/>
        <w:kinsoku/>
        <w:overflowPunct/>
        <w:bidi w:val="0"/>
        <w:spacing w:before="0" w:after="0" w:line="360" w:lineRule="auto"/>
        <w:rPr>
          <w:rFonts w:hint="eastAsia" w:ascii="宋体" w:cs="宋体"/>
          <w:color w:val="auto"/>
          <w:sz w:val="22"/>
          <w:szCs w:val="22"/>
          <w:highlight w:val="none"/>
        </w:rPr>
      </w:pPr>
      <w:bookmarkStart w:id="979" w:name="_Toc23369"/>
      <w:bookmarkStart w:id="980" w:name="_Toc520505924"/>
      <w:bookmarkStart w:id="981" w:name="_Toc406522295"/>
      <w:r>
        <w:rPr>
          <w:rFonts w:hint="eastAsia" w:ascii="宋体" w:cs="宋体"/>
          <w:color w:val="auto"/>
          <w:sz w:val="22"/>
          <w:szCs w:val="22"/>
          <w:highlight w:val="none"/>
        </w:rPr>
        <w:t>15.4保修</w:t>
      </w:r>
      <w:bookmarkEnd w:id="979"/>
      <w:bookmarkEnd w:id="980"/>
      <w:bookmarkEnd w:id="981"/>
    </w:p>
    <w:bookmarkEnd w:id="946"/>
    <w:p w14:paraId="3F3DC9F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15.4.1 保修责任</w:t>
      </w:r>
    </w:p>
    <w:p w14:paraId="0964855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工程保修期为：</w:t>
      </w:r>
      <w:r>
        <w:rPr>
          <w:rFonts w:hint="eastAsia" w:ascii="宋体" w:hAnsi="宋体" w:cs="宋体"/>
          <w:color w:val="auto"/>
          <w:szCs w:val="22"/>
          <w:highlight w:val="none"/>
          <w:u w:val="single"/>
        </w:rPr>
        <w:t>详见附件3《工程质量保修书》</w:t>
      </w:r>
      <w:r>
        <w:rPr>
          <w:rFonts w:hint="eastAsia" w:ascii="宋体" w:hAnsi="宋体" w:cs="宋体"/>
          <w:color w:val="auto"/>
          <w:szCs w:val="22"/>
          <w:highlight w:val="none"/>
        </w:rPr>
        <w:t>。</w:t>
      </w:r>
    </w:p>
    <w:p w14:paraId="7D1C1CD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15.4.3 修复通知</w:t>
      </w:r>
    </w:p>
    <w:p w14:paraId="78B175B3">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承包人收到保修通知并到达工程现场的合理时间：</w:t>
      </w:r>
      <w:r>
        <w:rPr>
          <w:rFonts w:hint="eastAsia" w:ascii="宋体" w:hAnsi="宋体" w:cs="宋体"/>
          <w:color w:val="auto"/>
          <w:szCs w:val="22"/>
          <w:highlight w:val="none"/>
          <w:u w:val="single"/>
        </w:rPr>
        <w:t>（1）属于保修范围、内容的项目，承包人应当在接到保修通知之日起7天内派人保修。承包人不在约定期限内派人保修的，发包人可以委托他人修理，费用由承包人承担。（2）发生紧急抢修事故的，承包人在接到事故通知后，应当立即到达事故现场抢修。（3）质量保修完成后，由发包人组织验收。（4）保修费用由造成质量缺陷的责任方承担。详见附件3《工程质量保修书》</w:t>
      </w:r>
      <w:r>
        <w:rPr>
          <w:rFonts w:hint="eastAsia" w:ascii="宋体" w:hAnsi="宋体" w:cs="宋体"/>
          <w:color w:val="auto"/>
          <w:szCs w:val="22"/>
          <w:highlight w:val="none"/>
        </w:rPr>
        <w:t>。</w:t>
      </w:r>
    </w:p>
    <w:bookmarkEnd w:id="947"/>
    <w:bookmarkEnd w:id="948"/>
    <w:bookmarkEnd w:id="949"/>
    <w:bookmarkEnd w:id="950"/>
    <w:p w14:paraId="173F9459">
      <w:pPr>
        <w:pStyle w:val="41"/>
        <w:pageBreakBefore w:val="0"/>
        <w:kinsoku/>
        <w:overflowPunct/>
        <w:bidi w:val="0"/>
        <w:spacing w:before="0" w:after="0" w:line="360" w:lineRule="auto"/>
        <w:rPr>
          <w:rFonts w:hint="eastAsia" w:ascii="宋体" w:cs="宋体"/>
          <w:color w:val="auto"/>
          <w:sz w:val="22"/>
          <w:szCs w:val="22"/>
          <w:highlight w:val="none"/>
        </w:rPr>
      </w:pPr>
      <w:bookmarkStart w:id="982" w:name="_Toc351203648"/>
      <w:bookmarkStart w:id="983" w:name="_Toc15430"/>
      <w:bookmarkStart w:id="984" w:name="_Toc520505925"/>
      <w:bookmarkStart w:id="985" w:name="_Toc406522296"/>
      <w:bookmarkStart w:id="986" w:name="_Toc280868717"/>
      <w:bookmarkStart w:id="987" w:name="_Toc280868718"/>
      <w:r>
        <w:rPr>
          <w:rFonts w:hint="eastAsia" w:ascii="宋体" w:cs="宋体"/>
          <w:color w:val="auto"/>
          <w:sz w:val="22"/>
          <w:szCs w:val="22"/>
          <w:highlight w:val="none"/>
        </w:rPr>
        <w:t>16. 违约</w:t>
      </w:r>
      <w:bookmarkEnd w:id="982"/>
      <w:bookmarkEnd w:id="983"/>
      <w:bookmarkEnd w:id="984"/>
      <w:bookmarkEnd w:id="985"/>
    </w:p>
    <w:p w14:paraId="47AEBD4D">
      <w:pPr>
        <w:pStyle w:val="41"/>
        <w:pageBreakBefore w:val="0"/>
        <w:kinsoku/>
        <w:overflowPunct/>
        <w:bidi w:val="0"/>
        <w:spacing w:before="0" w:after="0" w:line="360" w:lineRule="auto"/>
        <w:rPr>
          <w:rFonts w:hint="eastAsia" w:ascii="宋体" w:cs="宋体"/>
          <w:color w:val="auto"/>
          <w:sz w:val="22"/>
          <w:szCs w:val="22"/>
          <w:highlight w:val="none"/>
        </w:rPr>
      </w:pPr>
      <w:bookmarkStart w:id="988" w:name="_Toc9934"/>
      <w:bookmarkStart w:id="989" w:name="_Toc406522297"/>
      <w:bookmarkStart w:id="990" w:name="_Toc520505926"/>
      <w:r>
        <w:rPr>
          <w:rFonts w:hint="eastAsia" w:ascii="宋体" w:cs="宋体"/>
          <w:color w:val="auto"/>
          <w:sz w:val="22"/>
          <w:szCs w:val="22"/>
          <w:highlight w:val="none"/>
        </w:rPr>
        <w:t>16.1 发包人违约</w:t>
      </w:r>
      <w:bookmarkEnd w:id="988"/>
      <w:bookmarkEnd w:id="989"/>
      <w:bookmarkEnd w:id="990"/>
    </w:p>
    <w:p w14:paraId="7FC3C72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16.1.1发包人违约的情形</w:t>
      </w:r>
    </w:p>
    <w:p w14:paraId="7760843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发包人违约的其他情形：</w:t>
      </w:r>
      <w:r>
        <w:rPr>
          <w:rFonts w:hint="eastAsia" w:ascii="宋体" w:hAnsi="宋体" w:cs="宋体"/>
          <w:color w:val="auto"/>
          <w:szCs w:val="22"/>
          <w:highlight w:val="none"/>
          <w:u w:val="single"/>
        </w:rPr>
        <w:t>（1）、建设单位无合理理由而不按时支付工程进度款；（2）、建设单位无合理理由而不支付工程竣工结算价款</w:t>
      </w:r>
      <w:r>
        <w:rPr>
          <w:rFonts w:hint="eastAsia" w:ascii="宋体" w:hAnsi="宋体" w:cs="宋体"/>
          <w:color w:val="auto"/>
          <w:szCs w:val="22"/>
          <w:highlight w:val="none"/>
        </w:rPr>
        <w:t>。</w:t>
      </w:r>
    </w:p>
    <w:p w14:paraId="320BE70D">
      <w:pPr>
        <w:pStyle w:val="42"/>
        <w:pageBreakBefore w:val="0"/>
        <w:kinsoku/>
        <w:overflowPunct/>
        <w:bidi w:val="0"/>
        <w:spacing w:line="360" w:lineRule="auto"/>
        <w:outlineLvl w:val="0"/>
        <w:rPr>
          <w:rFonts w:hint="eastAsia" w:ascii="宋体" w:hAnsi="宋体" w:cs="宋体"/>
          <w:color w:val="auto"/>
          <w:szCs w:val="22"/>
          <w:highlight w:val="none"/>
        </w:rPr>
      </w:pPr>
      <w:r>
        <w:rPr>
          <w:rFonts w:hint="eastAsia" w:ascii="宋体" w:hAnsi="宋体" w:cs="宋体"/>
          <w:color w:val="auto"/>
          <w:szCs w:val="22"/>
          <w:highlight w:val="none"/>
        </w:rPr>
        <w:t xml:space="preserve"> </w:t>
      </w:r>
      <w:bookmarkStart w:id="991" w:name="_Toc520505927"/>
      <w:bookmarkStart w:id="992" w:name="_Toc406419422"/>
      <w:bookmarkStart w:id="993" w:name="_Toc3310"/>
      <w:bookmarkStart w:id="994" w:name="_Toc406522298"/>
      <w:r>
        <w:rPr>
          <w:rFonts w:hint="eastAsia" w:ascii="宋体" w:hAnsi="宋体" w:cs="宋体"/>
          <w:color w:val="auto"/>
          <w:szCs w:val="22"/>
          <w:highlight w:val="none"/>
        </w:rPr>
        <w:t>16.1.2 发包人违约的责任</w:t>
      </w:r>
      <w:bookmarkEnd w:id="991"/>
      <w:bookmarkEnd w:id="992"/>
      <w:bookmarkEnd w:id="993"/>
      <w:bookmarkEnd w:id="994"/>
    </w:p>
    <w:p w14:paraId="26EAAD3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发包人违约责任的承担方式和计算方法：</w:t>
      </w:r>
    </w:p>
    <w:p w14:paraId="716B4E07">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（1）因发包人原因未能在计划开工日期前7天内下达开工通知的违约责任：</w:t>
      </w:r>
      <w:r>
        <w:rPr>
          <w:rFonts w:hint="eastAsia" w:ascii="宋体" w:hAnsi="宋体" w:cs="宋体"/>
          <w:color w:val="auto"/>
          <w:szCs w:val="22"/>
          <w:highlight w:val="none"/>
          <w:u w:val="single"/>
        </w:rPr>
        <w:t>视情况相应延长工期</w:t>
      </w:r>
      <w:r>
        <w:rPr>
          <w:rFonts w:hint="eastAsia" w:ascii="宋体" w:hAnsi="宋体" w:cs="宋体"/>
          <w:color w:val="auto"/>
          <w:szCs w:val="22"/>
          <w:highlight w:val="none"/>
        </w:rPr>
        <w:t>。</w:t>
      </w:r>
    </w:p>
    <w:p w14:paraId="642095C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（2）因发包人原因未能按合同约定支付合同价款的违约责任：</w:t>
      </w:r>
      <w:r>
        <w:rPr>
          <w:rFonts w:hint="eastAsia" w:ascii="宋体" w:hAnsi="宋体" w:cs="宋体"/>
          <w:color w:val="auto"/>
          <w:szCs w:val="22"/>
          <w:highlight w:val="none"/>
          <w:u w:val="single"/>
        </w:rPr>
        <w:t>从约定应付之日起按银行同期贷款利率支付违约金</w:t>
      </w:r>
      <w:r>
        <w:rPr>
          <w:rFonts w:hint="eastAsia" w:ascii="宋体" w:hAnsi="宋体" w:cs="宋体"/>
          <w:color w:val="auto"/>
          <w:szCs w:val="22"/>
          <w:highlight w:val="none"/>
        </w:rPr>
        <w:t>。</w:t>
      </w:r>
    </w:p>
    <w:p w14:paraId="6504D52C">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（3）发包人违反第10.1款〔变更的范围〕第（2）项约定，自行实施被取消的工作或转由他人实施的违约责任：</w:t>
      </w:r>
      <w:r>
        <w:rPr>
          <w:rFonts w:hint="eastAsia" w:ascii="宋体" w:hAnsi="宋体" w:cs="宋体"/>
          <w:color w:val="auto"/>
          <w:szCs w:val="22"/>
          <w:highlight w:val="none"/>
          <w:u w:val="single"/>
        </w:rPr>
        <w:t>由双方根据实际情况进行协商</w:t>
      </w:r>
      <w:r>
        <w:rPr>
          <w:rFonts w:hint="eastAsia" w:ascii="宋体" w:hAnsi="宋体" w:cs="宋体"/>
          <w:color w:val="auto"/>
          <w:szCs w:val="22"/>
          <w:highlight w:val="none"/>
        </w:rPr>
        <w:t>。</w:t>
      </w:r>
    </w:p>
    <w:p w14:paraId="445A7CF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2"/>
          <w:highlight w:val="none"/>
          <w:u w:val="single"/>
        </w:rPr>
        <w:t>应当承担违约责任，赔偿因其违约给承包单位造成的损失，顺延延误的工期</w:t>
      </w:r>
      <w:r>
        <w:rPr>
          <w:rFonts w:hint="eastAsia" w:ascii="宋体" w:hAnsi="宋体" w:cs="宋体"/>
          <w:color w:val="auto"/>
          <w:szCs w:val="22"/>
          <w:highlight w:val="none"/>
        </w:rPr>
        <w:t>。</w:t>
      </w:r>
    </w:p>
    <w:p w14:paraId="21E9B4F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（5）因发包人违反合同约定造成暂停施工的违约责任：</w:t>
      </w:r>
      <w:r>
        <w:rPr>
          <w:rFonts w:hint="eastAsia" w:ascii="宋体" w:hAnsi="宋体" w:cs="宋体"/>
          <w:color w:val="auto"/>
          <w:szCs w:val="22"/>
          <w:highlight w:val="none"/>
          <w:u w:val="single"/>
        </w:rPr>
        <w:t>由双方另行协商</w:t>
      </w:r>
      <w:r>
        <w:rPr>
          <w:rFonts w:hint="eastAsia" w:ascii="宋体" w:hAnsi="宋体" w:cs="宋体"/>
          <w:color w:val="auto"/>
          <w:szCs w:val="22"/>
          <w:highlight w:val="none"/>
        </w:rPr>
        <w:t>。</w:t>
      </w:r>
    </w:p>
    <w:p w14:paraId="07332D8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（6）发包人无正当理由没有在约定期限内发出复工指示，导致承包人无法复工的违约责任：</w:t>
      </w:r>
      <w:r>
        <w:rPr>
          <w:rFonts w:hint="eastAsia" w:ascii="宋体" w:hAnsi="宋体" w:cs="宋体"/>
          <w:color w:val="auto"/>
          <w:szCs w:val="22"/>
          <w:highlight w:val="none"/>
          <w:u w:val="single"/>
        </w:rPr>
        <w:t>由双方另行协商</w:t>
      </w:r>
      <w:r>
        <w:rPr>
          <w:rFonts w:hint="eastAsia" w:ascii="宋体" w:hAnsi="宋体" w:cs="宋体"/>
          <w:color w:val="auto"/>
          <w:szCs w:val="22"/>
          <w:highlight w:val="none"/>
        </w:rPr>
        <w:t>。</w:t>
      </w:r>
    </w:p>
    <w:p w14:paraId="5EA3451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（7）其他：</w:t>
      </w:r>
      <w:r>
        <w:rPr>
          <w:rFonts w:hint="eastAsia" w:ascii="宋体" w:hAnsi="宋体" w:cs="宋体"/>
          <w:color w:val="auto"/>
          <w:szCs w:val="22"/>
          <w:highlight w:val="none"/>
          <w:u w:val="single"/>
        </w:rPr>
        <w:t>建设单位不按合同约定履行义务，应当承担违约责任，赔偿因其违约给承包单位造成的损失，顺延延误的工期</w:t>
      </w:r>
      <w:r>
        <w:rPr>
          <w:rFonts w:hint="eastAsia" w:ascii="宋体" w:hAnsi="宋体" w:cs="宋体"/>
          <w:color w:val="auto"/>
          <w:szCs w:val="22"/>
          <w:highlight w:val="none"/>
        </w:rPr>
        <w:t>。</w:t>
      </w:r>
    </w:p>
    <w:p w14:paraId="704819B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16.1.3 因发包人违约解除合同</w:t>
      </w:r>
    </w:p>
    <w:p w14:paraId="28472D2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承包人按16.1.1项〔发包人违约的情形〕约定暂停施工满</w:t>
      </w:r>
      <w:r>
        <w:rPr>
          <w:rFonts w:hint="eastAsia" w:ascii="宋体" w:hAnsi="宋体" w:cs="宋体"/>
          <w:color w:val="auto"/>
          <w:szCs w:val="22"/>
          <w:highlight w:val="none"/>
          <w:u w:val="single"/>
        </w:rPr>
        <w:t xml:space="preserve"> 28  </w:t>
      </w:r>
      <w:r>
        <w:rPr>
          <w:rFonts w:hint="eastAsia" w:ascii="宋体" w:hAnsi="宋体" w:cs="宋体"/>
          <w:color w:val="auto"/>
          <w:szCs w:val="22"/>
          <w:highlight w:val="none"/>
        </w:rPr>
        <w:t>天后发包人仍不纠正其违约行为并致使合同目的不能实现的，承包人有权解除合同。</w:t>
      </w:r>
    </w:p>
    <w:p w14:paraId="36B7A105">
      <w:pPr>
        <w:pStyle w:val="41"/>
        <w:pageBreakBefore w:val="0"/>
        <w:kinsoku/>
        <w:overflowPunct/>
        <w:bidi w:val="0"/>
        <w:spacing w:before="0" w:after="0" w:line="360" w:lineRule="auto"/>
        <w:rPr>
          <w:rFonts w:hint="eastAsia" w:ascii="宋体" w:cs="宋体"/>
          <w:color w:val="auto"/>
          <w:sz w:val="22"/>
          <w:szCs w:val="22"/>
          <w:highlight w:val="none"/>
        </w:rPr>
      </w:pPr>
      <w:bookmarkStart w:id="995" w:name="_Toc16089"/>
      <w:bookmarkStart w:id="996" w:name="_Toc520505928"/>
      <w:bookmarkStart w:id="997" w:name="_Toc406522299"/>
      <w:r>
        <w:rPr>
          <w:rFonts w:hint="eastAsia" w:ascii="宋体" w:cs="宋体"/>
          <w:color w:val="auto"/>
          <w:sz w:val="22"/>
          <w:szCs w:val="22"/>
          <w:highlight w:val="none"/>
        </w:rPr>
        <w:t>16.2 承包人违约</w:t>
      </w:r>
      <w:bookmarkEnd w:id="995"/>
      <w:bookmarkEnd w:id="996"/>
      <w:bookmarkEnd w:id="997"/>
    </w:p>
    <w:p w14:paraId="08EC7161">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16.2.1 承包人违约的情形</w:t>
      </w:r>
    </w:p>
    <w:p w14:paraId="47EEF8B1">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承包人违约的其他情形：</w:t>
      </w:r>
      <w:r>
        <w:rPr>
          <w:rFonts w:hint="eastAsia" w:ascii="宋体" w:hAnsi="宋体" w:cs="宋体"/>
          <w:color w:val="auto"/>
          <w:szCs w:val="22"/>
          <w:highlight w:val="none"/>
          <w:u w:val="single"/>
        </w:rPr>
        <w:t>①、本工程施工过程中，出现安全事故、劳务纠纷、拖欠民工工资等，另外受到政府有关主管部门的通报批评，给发包人的形象和声誉造成损失，每发生一次应支付10000元违约金给发包人，发包人有权从承包人工程款中扣除。在质量保修内，由于承包人施工质量问题、且维修不及时，每发生一次应支付5000元违约金给发包人，发包人有权从承包人保修款中扣除</w:t>
      </w:r>
      <w:r>
        <w:rPr>
          <w:rFonts w:hint="eastAsia" w:ascii="宋体" w:hAnsi="宋体" w:cs="宋体"/>
          <w:color w:val="auto"/>
          <w:szCs w:val="22"/>
          <w:highlight w:val="none"/>
        </w:rPr>
        <w:t>。</w:t>
      </w:r>
    </w:p>
    <w:p w14:paraId="28427665">
      <w:pPr>
        <w:pageBreakBefore w:val="0"/>
        <w:kinsoku/>
        <w:overflowPunct/>
        <w:autoSpaceDE w:val="0"/>
        <w:autoSpaceDN w:val="0"/>
        <w:bidi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②、承包人对本项目所有施工作业人员进行三级教育，健全安全管理体制，落实安全管理制度。</w:t>
      </w:r>
    </w:p>
    <w:p w14:paraId="19587019">
      <w:pPr>
        <w:pStyle w:val="44"/>
        <w:pageBreakBefore w:val="0"/>
        <w:kinsoku/>
        <w:overflowPunct/>
        <w:bidi w:val="0"/>
        <w:spacing w:before="0" w:after="0" w:line="360" w:lineRule="auto"/>
        <w:ind w:left="0" w:right="0"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③、因承包单位原因不能按照合同约定的工期或建设单位、监理同意的工期完工或竣工，未按节点工期完成工程进度。</w:t>
      </w:r>
    </w:p>
    <w:p w14:paraId="5757F6BC">
      <w:pPr>
        <w:pStyle w:val="44"/>
        <w:pageBreakBefore w:val="0"/>
        <w:kinsoku/>
        <w:overflowPunct/>
        <w:bidi w:val="0"/>
        <w:spacing w:before="0" w:after="0" w:line="360" w:lineRule="auto"/>
        <w:ind w:left="0" w:right="0"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④、承包单位不履行合同义务或不按合同约定履行义务的其他情况。</w:t>
      </w:r>
    </w:p>
    <w:p w14:paraId="1BF72392">
      <w:pPr>
        <w:pStyle w:val="44"/>
        <w:pageBreakBefore w:val="0"/>
        <w:kinsoku/>
        <w:overflowPunct/>
        <w:bidi w:val="0"/>
        <w:spacing w:before="0" w:after="0" w:line="360" w:lineRule="auto"/>
        <w:ind w:left="0" w:right="0"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⑤、合同中约定，承包单位“应”履行的事项，如果承包单位未按合同要求、建设单位或监理要求的时间并保证质量的执行或拒绝执行，均视为承包单位违反规定。</w:t>
      </w:r>
    </w:p>
    <w:p w14:paraId="4DDBADFB">
      <w:pPr>
        <w:pStyle w:val="42"/>
        <w:pageBreakBefore w:val="0"/>
        <w:kinsoku/>
        <w:overflowPunct/>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16.2.2承包人违约的责任</w:t>
      </w:r>
    </w:p>
    <w:p w14:paraId="1949CDDD">
      <w:pPr>
        <w:pageBreakBefore w:val="0"/>
        <w:kinsoku/>
        <w:overflowPunct/>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承包人违约责任的承担方式和计算方法：</w:t>
      </w:r>
    </w:p>
    <w:p w14:paraId="41AE080C">
      <w:pPr>
        <w:pageBreakBefore w:val="0"/>
        <w:kinsoku/>
        <w:overflowPunct/>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（1）承包人未按本合同通用条款第16.2.1（2）、（3）条内容完成的，承包人无条件返工处理，修复至工程质量要求并承担相关费用，并在发包人规定的时间内按要求完成返工。</w:t>
      </w:r>
    </w:p>
    <w:p w14:paraId="64FD73A6">
      <w:pPr>
        <w:pStyle w:val="42"/>
        <w:pageBreakBefore w:val="0"/>
        <w:kinsoku/>
        <w:overflowPunct/>
        <w:bidi w:val="0"/>
        <w:spacing w:line="360" w:lineRule="auto"/>
        <w:rPr>
          <w:rFonts w:hint="eastAsia" w:ascii="宋体" w:hAnsi="宋体" w:cs="宋体"/>
          <w:color w:val="auto"/>
          <w:kern w:val="0"/>
          <w:highlight w:val="none"/>
          <w:u w:val="singl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（2）承包人有本合同通用条款第16.2.1（6）条情形的，或经监理人检验认为修复质量不合格而承包人拒绝再进行修补的，发包人将扣除承包人全部质量保修金</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012ABCD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16.2.3 因承包人违约解除合同</w:t>
      </w:r>
    </w:p>
    <w:p w14:paraId="3EBA3FA7">
      <w:pPr>
        <w:pStyle w:val="42"/>
        <w:pageBreakBefore w:val="0"/>
        <w:kinsoku/>
        <w:overflowPunct/>
        <w:bidi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 xml:space="preserve">   按通用条款执行   </w:t>
      </w:r>
      <w:r>
        <w:rPr>
          <w:rFonts w:hint="eastAsia" w:ascii="宋体" w:hAnsi="宋体" w:cs="宋体"/>
          <w:color w:val="auto"/>
          <w:kern w:val="0"/>
          <w:highlight w:val="none"/>
        </w:rPr>
        <w:t>。</w:t>
      </w:r>
    </w:p>
    <w:p w14:paraId="3645D15A">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发包人继续使用承包人在施工现场的材料、设备、临时工程、承包人文件和由承包人或以其名义编制的其他文件的费用承担方式：</w:t>
      </w:r>
      <w:r>
        <w:rPr>
          <w:rFonts w:hint="eastAsia" w:ascii="宋体" w:hAnsi="宋体" w:cs="宋体"/>
          <w:color w:val="auto"/>
          <w:szCs w:val="22"/>
          <w:highlight w:val="none"/>
          <w:u w:val="single"/>
        </w:rPr>
        <w:t>双方另行协商</w:t>
      </w:r>
      <w:r>
        <w:rPr>
          <w:rFonts w:hint="eastAsia" w:ascii="宋体" w:hAnsi="宋体" w:cs="宋体"/>
          <w:color w:val="auto"/>
          <w:szCs w:val="22"/>
          <w:highlight w:val="none"/>
        </w:rPr>
        <w:t>。　</w:t>
      </w:r>
    </w:p>
    <w:p w14:paraId="6E9EEF23">
      <w:pPr>
        <w:pStyle w:val="41"/>
        <w:pageBreakBefore w:val="0"/>
        <w:kinsoku/>
        <w:overflowPunct/>
        <w:bidi w:val="0"/>
        <w:spacing w:before="0" w:after="0" w:line="360" w:lineRule="auto"/>
        <w:rPr>
          <w:rFonts w:hint="eastAsia" w:ascii="宋体" w:cs="宋体"/>
          <w:color w:val="auto"/>
          <w:sz w:val="22"/>
          <w:szCs w:val="22"/>
          <w:highlight w:val="none"/>
        </w:rPr>
      </w:pPr>
      <w:bookmarkStart w:id="998" w:name="_Toc406522300"/>
      <w:bookmarkStart w:id="999" w:name="_Toc351203649"/>
      <w:bookmarkStart w:id="1000" w:name="_Toc520505929"/>
      <w:r>
        <w:rPr>
          <w:rFonts w:hint="eastAsia" w:ascii="宋体" w:cs="宋体"/>
          <w:color w:val="auto"/>
          <w:sz w:val="22"/>
          <w:szCs w:val="22"/>
          <w:highlight w:val="none"/>
        </w:rPr>
        <w:t>17. 不可抗力</w:t>
      </w:r>
      <w:bookmarkEnd w:id="998"/>
      <w:bookmarkEnd w:id="999"/>
      <w:bookmarkEnd w:id="1000"/>
      <w:r>
        <w:rPr>
          <w:rFonts w:hint="eastAsia" w:ascii="宋体" w:cs="宋体"/>
          <w:color w:val="auto"/>
          <w:sz w:val="22"/>
          <w:szCs w:val="22"/>
          <w:highlight w:val="none"/>
        </w:rPr>
        <w:t xml:space="preserve"> </w:t>
      </w:r>
      <w:bookmarkEnd w:id="986"/>
    </w:p>
    <w:p w14:paraId="7DF3275E">
      <w:pPr>
        <w:pStyle w:val="41"/>
        <w:pageBreakBefore w:val="0"/>
        <w:kinsoku/>
        <w:overflowPunct/>
        <w:bidi w:val="0"/>
        <w:spacing w:before="0" w:after="0" w:line="360" w:lineRule="auto"/>
        <w:rPr>
          <w:rFonts w:hint="eastAsia" w:ascii="宋体" w:cs="宋体"/>
          <w:color w:val="auto"/>
          <w:sz w:val="22"/>
          <w:szCs w:val="22"/>
          <w:highlight w:val="none"/>
        </w:rPr>
      </w:pPr>
      <w:bookmarkStart w:id="1001" w:name="_Toc406522301"/>
      <w:bookmarkStart w:id="1002" w:name="_Toc520505930"/>
      <w:bookmarkStart w:id="1003" w:name="_Toc3409"/>
      <w:r>
        <w:rPr>
          <w:rFonts w:hint="eastAsia" w:ascii="宋体" w:cs="宋体"/>
          <w:color w:val="auto"/>
          <w:sz w:val="22"/>
          <w:szCs w:val="22"/>
          <w:highlight w:val="none"/>
        </w:rPr>
        <w:t>17.1 不可抗力的确认</w:t>
      </w:r>
      <w:bookmarkEnd w:id="1001"/>
      <w:bookmarkEnd w:id="1002"/>
      <w:bookmarkEnd w:id="1003"/>
    </w:p>
    <w:p w14:paraId="41321BE1">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除通用合同条款约定的不可抗力事件之外，视为不可抗力的其他情形： </w:t>
      </w:r>
      <w:r>
        <w:rPr>
          <w:rFonts w:hint="eastAsia" w:ascii="宋体" w:hAnsi="宋体" w:cs="宋体"/>
          <w:color w:val="auto"/>
          <w:sz w:val="22"/>
          <w:szCs w:val="22"/>
          <w:highlight w:val="none"/>
          <w:u w:val="single"/>
        </w:rPr>
        <w:t>（1）、不可抗力包括因战争、动乱、空中飞行物体坠落或其他非双方责任造成的爆炸、火灾，以及以下方面的自然灾害（以地震局或气象台出具本区天气资料为准）：</w:t>
      </w:r>
    </w:p>
    <w:p w14:paraId="46159725">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①、烈度为5级以上的地震；</w:t>
      </w:r>
    </w:p>
    <w:p w14:paraId="6E833AA1">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②、8级以上持续24小时的大风；</w:t>
      </w:r>
    </w:p>
    <w:p w14:paraId="603C7652">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③、持续降雨24小时且降雨量为200mm以上；</w:t>
      </w:r>
    </w:p>
    <w:p w14:paraId="2AA6D57D">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④、42摄氏度及以上持续24小时的高温；</w:t>
      </w:r>
    </w:p>
    <w:p w14:paraId="7CB38A7E">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⑤、－5摄氏度及以下持续24小时的低温。</w:t>
      </w:r>
    </w:p>
    <w:p w14:paraId="010823E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u w:val="single"/>
        </w:rPr>
        <w:t>不可抗力事件发生后，承包单位应立即通知监理，在所能及的条件下迅速采取措施，尽力减少损失，建设单位应协助承包单位采取措施。不可抗力事件结束后48小时内承包单位向监理通报受害情况和损失情况，及预计清理和修复的费用。不可抗事件持续发生，承包单位应每隔7天向监理报告一次受害情况。不可抗力事件结束后14天内，承包单位向监理提交清理和修复费用的正式报告及有关资料</w:t>
      </w:r>
      <w:r>
        <w:rPr>
          <w:rFonts w:hint="eastAsia" w:ascii="宋体" w:hAnsi="宋体" w:cs="宋体"/>
          <w:color w:val="auto"/>
          <w:szCs w:val="22"/>
          <w:highlight w:val="none"/>
        </w:rPr>
        <w:t>。</w:t>
      </w:r>
    </w:p>
    <w:p w14:paraId="1CE30A69">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（2）、因不可抗力事件导致的费用由双方按以下方法分别承担：</w:t>
      </w:r>
    </w:p>
    <w:p w14:paraId="130E49A3">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①、工程本身的损害、因工程损害导致第三人人员伤亡和财产损失以及运至施工场地用于施工的材料和待安装的设备的损害、清理、修复费用，由建设单位承担；但若由于承包单位施工质量及安全措施未达标准而引起的损失由承包单位承担赔偿责任。</w:t>
      </w:r>
    </w:p>
    <w:p w14:paraId="4A0A31D6">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②、双方人员伤亡由其所在单位负责，并承担相应费用；</w:t>
      </w:r>
    </w:p>
    <w:p w14:paraId="3E525753">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③、承包单位机械设备损坏及停工损失，由承包单位承担；</w:t>
      </w:r>
    </w:p>
    <w:p w14:paraId="64EEE36E">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④、停工期间，承包单位按监理要求留在施工场地的必要的管理人员及保卫人员的费用由建设单位承担；</w:t>
      </w:r>
    </w:p>
    <w:p w14:paraId="10A284EB">
      <w:pPr>
        <w:pStyle w:val="44"/>
        <w:pageBreakBefore w:val="0"/>
        <w:kinsoku/>
        <w:overflowPunct/>
        <w:bidi w:val="0"/>
        <w:spacing w:before="0" w:after="0" w:line="360" w:lineRule="auto"/>
        <w:ind w:left="0" w:right="0"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⑤、因合同一方迟延履行合同后发生不可抗力的，不能免除违约方的相应责任。</w:t>
      </w:r>
    </w:p>
    <w:p w14:paraId="72F672DA">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u w:val="single"/>
        </w:rPr>
        <w:t>（3）、因不可抗力造成的延误，工期顺延。</w:t>
      </w:r>
    </w:p>
    <w:p w14:paraId="002113C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17.4 因不可抗力解除合同</w:t>
      </w:r>
    </w:p>
    <w:p w14:paraId="3C1A3C8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合同解除后，发包人应在商定或确定发包人应支付款项后</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天内完成款项的支付。</w:t>
      </w:r>
    </w:p>
    <w:p w14:paraId="0BB60C96">
      <w:pPr>
        <w:pStyle w:val="41"/>
        <w:pageBreakBefore w:val="0"/>
        <w:kinsoku/>
        <w:overflowPunct/>
        <w:bidi w:val="0"/>
        <w:spacing w:before="0" w:after="0" w:line="360" w:lineRule="auto"/>
        <w:rPr>
          <w:rFonts w:hint="eastAsia" w:ascii="宋体" w:cs="宋体"/>
          <w:color w:val="auto"/>
          <w:sz w:val="22"/>
          <w:szCs w:val="22"/>
          <w:highlight w:val="none"/>
        </w:rPr>
      </w:pPr>
      <w:bookmarkStart w:id="1004" w:name="_Toc351203650"/>
      <w:bookmarkStart w:id="1005" w:name="_Toc520505931"/>
      <w:bookmarkStart w:id="1006" w:name="_Toc406522302"/>
      <w:bookmarkStart w:id="1007" w:name="_Toc31889"/>
      <w:r>
        <w:rPr>
          <w:rFonts w:hint="eastAsia" w:ascii="宋体" w:cs="宋体"/>
          <w:color w:val="auto"/>
          <w:sz w:val="22"/>
          <w:szCs w:val="22"/>
          <w:highlight w:val="none"/>
        </w:rPr>
        <w:t>18. 保险</w:t>
      </w:r>
      <w:bookmarkEnd w:id="1004"/>
      <w:bookmarkEnd w:id="1005"/>
      <w:bookmarkEnd w:id="1006"/>
      <w:bookmarkEnd w:id="1007"/>
    </w:p>
    <w:bookmarkEnd w:id="987"/>
    <w:p w14:paraId="35044F79">
      <w:pPr>
        <w:pStyle w:val="41"/>
        <w:pageBreakBefore w:val="0"/>
        <w:kinsoku/>
        <w:overflowPunct/>
        <w:bidi w:val="0"/>
        <w:spacing w:before="0" w:after="0" w:line="360" w:lineRule="auto"/>
        <w:rPr>
          <w:rFonts w:hint="eastAsia" w:ascii="宋体" w:cs="宋体"/>
          <w:color w:val="auto"/>
          <w:sz w:val="22"/>
          <w:szCs w:val="22"/>
          <w:highlight w:val="none"/>
        </w:rPr>
      </w:pPr>
      <w:bookmarkStart w:id="1008" w:name="_Toc3243"/>
      <w:bookmarkStart w:id="1009" w:name="_Toc406522303"/>
      <w:bookmarkStart w:id="1010" w:name="_Toc520505932"/>
      <w:r>
        <w:rPr>
          <w:rFonts w:hint="eastAsia" w:ascii="宋体" w:cs="宋体"/>
          <w:color w:val="auto"/>
          <w:sz w:val="22"/>
          <w:szCs w:val="22"/>
          <w:highlight w:val="none"/>
        </w:rPr>
        <w:t>18.1 工程保险</w:t>
      </w:r>
      <w:bookmarkEnd w:id="1008"/>
      <w:bookmarkEnd w:id="1009"/>
      <w:bookmarkEnd w:id="1010"/>
    </w:p>
    <w:p w14:paraId="5F17BE61">
      <w:pPr>
        <w:pStyle w:val="42"/>
        <w:pageBreakBefore w:val="0"/>
        <w:kinsoku/>
        <w:overflowPunct/>
        <w:bidi w:val="0"/>
        <w:spacing w:line="360" w:lineRule="auto"/>
        <w:rPr>
          <w:rFonts w:hint="eastAsia" w:ascii="宋体" w:hAnsi="宋体" w:cs="宋体"/>
          <w:color w:val="auto"/>
          <w:highlight w:val="none"/>
        </w:rPr>
      </w:pPr>
      <w:r>
        <w:rPr>
          <w:rFonts w:hint="eastAsia" w:ascii="宋体" w:hAnsi="宋体" w:cs="宋体"/>
          <w:color w:val="auto"/>
          <w:highlight w:val="none"/>
        </w:rPr>
        <w:t>关于工程保险的特别约定：</w:t>
      </w:r>
      <w:r>
        <w:rPr>
          <w:rFonts w:hint="eastAsia" w:ascii="宋体" w:hAnsi="宋体" w:cs="宋体"/>
          <w:color w:val="auto"/>
          <w:kern w:val="0"/>
          <w:highlight w:val="none"/>
          <w:u w:val="single"/>
        </w:rPr>
        <w:t>承包人应投保建筑工程一切险并承担相关费用</w:t>
      </w:r>
      <w:r>
        <w:rPr>
          <w:rFonts w:hint="eastAsia" w:ascii="宋体" w:hAnsi="宋体" w:cs="宋体"/>
          <w:color w:val="auto"/>
          <w:kern w:val="0"/>
          <w:highlight w:val="none"/>
        </w:rPr>
        <w:t>。</w:t>
      </w:r>
    </w:p>
    <w:p w14:paraId="4E09AD8B">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关于工程保险的特别约定：</w:t>
      </w:r>
      <w:r>
        <w:rPr>
          <w:rFonts w:hint="eastAsia" w:ascii="宋体" w:hAnsi="宋体" w:cs="宋体"/>
          <w:color w:val="auto"/>
          <w:szCs w:val="22"/>
          <w:highlight w:val="none"/>
          <w:u w:val="single"/>
        </w:rPr>
        <w:t>承包人以发包人和承包人的名义投保，发包人协助。相关费用由承包人承担，包含在合同价格（计入磋商报价）中，发包人不另行支付。投保内容为本合同工程办理施工许可证前应购买建筑团体工伤保险</w:t>
      </w:r>
    </w:p>
    <w:p w14:paraId="5482CEE2">
      <w:pPr>
        <w:pStyle w:val="41"/>
        <w:pageBreakBefore w:val="0"/>
        <w:kinsoku/>
        <w:overflowPunct/>
        <w:bidi w:val="0"/>
        <w:spacing w:before="0" w:after="0" w:line="360" w:lineRule="auto"/>
        <w:rPr>
          <w:rFonts w:hint="eastAsia" w:ascii="宋体" w:cs="宋体"/>
          <w:color w:val="auto"/>
          <w:sz w:val="22"/>
          <w:szCs w:val="22"/>
          <w:highlight w:val="none"/>
        </w:rPr>
      </w:pPr>
      <w:bookmarkStart w:id="1011" w:name="_Toc520505933"/>
      <w:bookmarkStart w:id="1012" w:name="_Toc406522304"/>
      <w:bookmarkStart w:id="1013" w:name="_Toc27007"/>
      <w:r>
        <w:rPr>
          <w:rFonts w:hint="eastAsia" w:ascii="宋体" w:cs="宋体"/>
          <w:color w:val="auto"/>
          <w:sz w:val="22"/>
          <w:szCs w:val="22"/>
          <w:highlight w:val="none"/>
        </w:rPr>
        <w:t>18.3 其他保险</w:t>
      </w:r>
      <w:bookmarkEnd w:id="1011"/>
      <w:bookmarkEnd w:id="1012"/>
      <w:bookmarkEnd w:id="1013"/>
    </w:p>
    <w:p w14:paraId="4ED7B38E">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关于其他保险的约定：</w:t>
      </w:r>
      <w:r>
        <w:rPr>
          <w:rFonts w:hint="eastAsia" w:ascii="宋体" w:hAnsi="宋体" w:cs="宋体"/>
          <w:color w:val="auto"/>
          <w:szCs w:val="22"/>
          <w:highlight w:val="none"/>
          <w:u w:val="single"/>
        </w:rPr>
        <w:t xml:space="preserve">   </w:t>
      </w:r>
      <w:r>
        <w:rPr>
          <w:rFonts w:hint="eastAsia" w:ascii="宋体" w:hAnsi="宋体" w:cs="宋体"/>
          <w:color w:val="auto"/>
          <w:kern w:val="0"/>
          <w:highlight w:val="none"/>
          <w:u w:val="single"/>
        </w:rPr>
        <w:t>承包人根据市建协字【2009】3号文须缴纳建筑意外伤害保险费</w:t>
      </w:r>
      <w:r>
        <w:rPr>
          <w:rFonts w:hint="eastAsia" w:ascii="宋体" w:hAnsi="宋体" w:cs="宋体"/>
          <w:color w:val="auto"/>
          <w:kern w:val="0"/>
          <w:highlight w:val="none"/>
        </w:rPr>
        <w:t>。</w:t>
      </w:r>
    </w:p>
    <w:p w14:paraId="6025BD0C">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承包人是否应为其施工设备等办理财产保险：</w:t>
      </w:r>
      <w:r>
        <w:rPr>
          <w:rFonts w:hint="eastAsia" w:ascii="宋体" w:hAnsi="宋体" w:cs="宋体"/>
          <w:color w:val="auto"/>
          <w:szCs w:val="22"/>
          <w:highlight w:val="none"/>
          <w:u w:val="single"/>
        </w:rPr>
        <w:t xml:space="preserve">  </w:t>
      </w:r>
      <w:r>
        <w:rPr>
          <w:rFonts w:hint="eastAsia" w:ascii="宋体" w:hAnsi="宋体" w:cs="宋体"/>
          <w:color w:val="auto"/>
          <w:kern w:val="0"/>
          <w:highlight w:val="none"/>
          <w:u w:val="single"/>
        </w:rPr>
        <w:t>按通用条款执行</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3EE6EC43">
      <w:pPr>
        <w:pStyle w:val="41"/>
        <w:pageBreakBefore w:val="0"/>
        <w:kinsoku/>
        <w:overflowPunct/>
        <w:bidi w:val="0"/>
        <w:spacing w:before="0" w:after="0" w:line="360" w:lineRule="auto"/>
        <w:rPr>
          <w:rFonts w:hint="eastAsia" w:ascii="宋体" w:cs="宋体"/>
          <w:color w:val="auto"/>
          <w:sz w:val="22"/>
          <w:szCs w:val="22"/>
          <w:highlight w:val="none"/>
        </w:rPr>
      </w:pPr>
      <w:bookmarkStart w:id="1014" w:name="_Toc520505934"/>
      <w:bookmarkStart w:id="1015" w:name="_Toc406522305"/>
      <w:bookmarkStart w:id="1016" w:name="_Toc30604"/>
      <w:r>
        <w:rPr>
          <w:rFonts w:hint="eastAsia" w:ascii="宋体" w:cs="宋体"/>
          <w:color w:val="auto"/>
          <w:sz w:val="22"/>
          <w:szCs w:val="22"/>
          <w:highlight w:val="none"/>
        </w:rPr>
        <w:t>18.7 通知义务</w:t>
      </w:r>
      <w:bookmarkEnd w:id="1014"/>
      <w:bookmarkEnd w:id="1015"/>
      <w:bookmarkEnd w:id="1016"/>
    </w:p>
    <w:p w14:paraId="72173D95">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关于变更保险合同时的通知义务的约定：</w:t>
      </w:r>
      <w:r>
        <w:rPr>
          <w:rFonts w:hint="eastAsia" w:ascii="宋体" w:hAnsi="宋体" w:cs="宋体"/>
          <w:color w:val="auto"/>
          <w:szCs w:val="22"/>
          <w:highlight w:val="none"/>
          <w:u w:val="single"/>
        </w:rPr>
        <w:t>由承包人书面通知发包人</w:t>
      </w:r>
      <w:r>
        <w:rPr>
          <w:rFonts w:hint="eastAsia" w:ascii="宋体" w:hAnsi="宋体" w:cs="宋体"/>
          <w:color w:val="auto"/>
          <w:szCs w:val="22"/>
          <w:highlight w:val="none"/>
        </w:rPr>
        <w:t>。</w:t>
      </w:r>
    </w:p>
    <w:bookmarkEnd w:id="951"/>
    <w:bookmarkEnd w:id="952"/>
    <w:bookmarkEnd w:id="953"/>
    <w:bookmarkEnd w:id="954"/>
    <w:bookmarkEnd w:id="955"/>
    <w:bookmarkEnd w:id="956"/>
    <w:bookmarkEnd w:id="957"/>
    <w:bookmarkEnd w:id="958"/>
    <w:bookmarkEnd w:id="959"/>
    <w:bookmarkEnd w:id="960"/>
    <w:bookmarkEnd w:id="961"/>
    <w:bookmarkEnd w:id="962"/>
    <w:p w14:paraId="732BAC80">
      <w:pPr>
        <w:pStyle w:val="41"/>
        <w:pageBreakBefore w:val="0"/>
        <w:kinsoku/>
        <w:overflowPunct/>
        <w:bidi w:val="0"/>
        <w:spacing w:before="0" w:after="0" w:line="360" w:lineRule="auto"/>
        <w:rPr>
          <w:rFonts w:hint="eastAsia" w:ascii="宋体" w:cs="宋体"/>
          <w:color w:val="auto"/>
          <w:sz w:val="22"/>
          <w:szCs w:val="22"/>
          <w:highlight w:val="none"/>
        </w:rPr>
      </w:pPr>
      <w:bookmarkStart w:id="1017" w:name="_Toc520505935"/>
      <w:bookmarkStart w:id="1018" w:name="_Toc15353"/>
      <w:bookmarkStart w:id="1019" w:name="_Toc351203651"/>
      <w:bookmarkStart w:id="1020" w:name="_Toc406522306"/>
      <w:r>
        <w:rPr>
          <w:rFonts w:hint="eastAsia" w:ascii="宋体" w:cs="宋体"/>
          <w:color w:val="auto"/>
          <w:sz w:val="22"/>
          <w:szCs w:val="22"/>
          <w:highlight w:val="none"/>
        </w:rPr>
        <w:t>20. 争议解决</w:t>
      </w:r>
      <w:bookmarkEnd w:id="1017"/>
      <w:bookmarkEnd w:id="1018"/>
      <w:bookmarkEnd w:id="1019"/>
      <w:bookmarkEnd w:id="1020"/>
    </w:p>
    <w:bookmarkEnd w:id="963"/>
    <w:bookmarkEnd w:id="964"/>
    <w:p w14:paraId="41D2CFDA">
      <w:pPr>
        <w:pStyle w:val="41"/>
        <w:pageBreakBefore w:val="0"/>
        <w:kinsoku/>
        <w:overflowPunct/>
        <w:bidi w:val="0"/>
        <w:spacing w:before="0" w:after="0" w:line="360" w:lineRule="auto"/>
        <w:rPr>
          <w:rFonts w:hint="eastAsia" w:ascii="宋体" w:cs="宋体"/>
          <w:color w:val="auto"/>
          <w:sz w:val="22"/>
          <w:szCs w:val="22"/>
          <w:highlight w:val="none"/>
        </w:rPr>
      </w:pPr>
      <w:bookmarkStart w:id="1021" w:name="_Toc406522307"/>
      <w:bookmarkStart w:id="1022" w:name="_Toc520505936"/>
      <w:bookmarkStart w:id="1023" w:name="_Toc20069"/>
      <w:r>
        <w:rPr>
          <w:rFonts w:hint="eastAsia" w:ascii="宋体" w:cs="宋体"/>
          <w:color w:val="auto"/>
          <w:sz w:val="22"/>
          <w:szCs w:val="22"/>
          <w:highlight w:val="none"/>
        </w:rPr>
        <w:t>20.3 争</w:t>
      </w:r>
      <w:bookmarkEnd w:id="965"/>
      <w:r>
        <w:rPr>
          <w:rFonts w:hint="eastAsia" w:ascii="宋体" w:cs="宋体"/>
          <w:color w:val="auto"/>
          <w:sz w:val="22"/>
          <w:szCs w:val="22"/>
          <w:highlight w:val="none"/>
        </w:rPr>
        <w:t>议评审</w:t>
      </w:r>
      <w:bookmarkEnd w:id="1021"/>
      <w:bookmarkEnd w:id="1022"/>
      <w:bookmarkEnd w:id="1023"/>
    </w:p>
    <w:p w14:paraId="22B0BDB8">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合同当事人是否同意将工程争议提交争议评审小组决定：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 xml:space="preserve">。  </w:t>
      </w:r>
    </w:p>
    <w:p w14:paraId="666320A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20.3.1 争议评审小组的确定</w:t>
      </w:r>
    </w:p>
    <w:p w14:paraId="1FF07C9C">
      <w:pPr>
        <w:pStyle w:val="42"/>
        <w:pageBreakBefore w:val="0"/>
        <w:kinsoku/>
        <w:overflowPunct/>
        <w:bidi w:val="0"/>
        <w:spacing w:line="360" w:lineRule="auto"/>
        <w:rPr>
          <w:rFonts w:hint="eastAsia" w:ascii="宋体" w:hAnsi="宋体" w:cs="宋体"/>
          <w:color w:val="auto"/>
          <w:szCs w:val="22"/>
          <w:highlight w:val="none"/>
          <w:u w:val="single"/>
        </w:rPr>
      </w:pPr>
      <w:r>
        <w:rPr>
          <w:rFonts w:hint="eastAsia" w:ascii="宋体" w:hAnsi="宋体" w:cs="宋体"/>
          <w:color w:val="auto"/>
          <w:szCs w:val="22"/>
          <w:highlight w:val="none"/>
        </w:rPr>
        <w:t>争议评审小组成员的确定：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300DF154">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选定争议评审员的期限：</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575CDD40">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争议评审小组成员的报酬承担方式：</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79B9867D">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其他事项的约定：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5C3B85B2">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20.3.2 争议评审小组的决定</w:t>
      </w:r>
    </w:p>
    <w:p w14:paraId="16E507D7">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合同当事人关于本项的约定：</w:t>
      </w:r>
      <w:r>
        <w:rPr>
          <w:rFonts w:hint="eastAsia" w:ascii="宋体" w:hAnsi="宋体" w:cs="宋体"/>
          <w:color w:val="auto"/>
          <w:szCs w:val="22"/>
          <w:highlight w:val="none"/>
          <w:u w:val="single"/>
        </w:rPr>
        <w:t xml:space="preserve">    /   </w:t>
      </w:r>
      <w:r>
        <w:rPr>
          <w:rFonts w:hint="eastAsia" w:ascii="宋体" w:hAnsi="宋体" w:cs="宋体"/>
          <w:color w:val="auto"/>
          <w:szCs w:val="22"/>
          <w:highlight w:val="none"/>
        </w:rPr>
        <w:t>。</w:t>
      </w:r>
    </w:p>
    <w:p w14:paraId="3B0DC9A1">
      <w:pPr>
        <w:pStyle w:val="41"/>
        <w:pageBreakBefore w:val="0"/>
        <w:kinsoku/>
        <w:overflowPunct/>
        <w:bidi w:val="0"/>
        <w:spacing w:before="0" w:after="0" w:line="360" w:lineRule="auto"/>
        <w:rPr>
          <w:rFonts w:hint="eastAsia" w:ascii="宋体" w:cs="宋体"/>
          <w:color w:val="auto"/>
          <w:sz w:val="22"/>
          <w:szCs w:val="22"/>
          <w:highlight w:val="none"/>
        </w:rPr>
      </w:pPr>
      <w:bookmarkStart w:id="1024" w:name="_Toc520505937"/>
      <w:bookmarkStart w:id="1025" w:name="_Toc406522308"/>
      <w:bookmarkStart w:id="1026" w:name="_Toc13749"/>
      <w:r>
        <w:rPr>
          <w:rFonts w:hint="eastAsia" w:ascii="宋体" w:cs="宋体"/>
          <w:color w:val="auto"/>
          <w:sz w:val="22"/>
          <w:szCs w:val="22"/>
          <w:highlight w:val="none"/>
        </w:rPr>
        <w:t>20.4仲裁或诉讼</w:t>
      </w:r>
      <w:bookmarkEnd w:id="966"/>
      <w:bookmarkEnd w:id="1024"/>
      <w:bookmarkEnd w:id="1025"/>
      <w:bookmarkEnd w:id="1026"/>
    </w:p>
    <w:p w14:paraId="406F117F">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因合同及合同有关事项发生的争议，按下列第</w:t>
      </w:r>
      <w:r>
        <w:rPr>
          <w:rFonts w:hint="eastAsia" w:ascii="宋体" w:hAnsi="宋体" w:cs="宋体"/>
          <w:color w:val="auto"/>
          <w:szCs w:val="22"/>
          <w:highlight w:val="none"/>
          <w:u w:val="single"/>
        </w:rPr>
        <w:t xml:space="preserve">  （2）   </w:t>
      </w:r>
      <w:r>
        <w:rPr>
          <w:rFonts w:hint="eastAsia" w:ascii="宋体" w:hAnsi="宋体" w:cs="宋体"/>
          <w:color w:val="auto"/>
          <w:szCs w:val="22"/>
          <w:highlight w:val="none"/>
        </w:rPr>
        <w:t>种方式解决：</w:t>
      </w:r>
    </w:p>
    <w:p w14:paraId="4DAE34E9">
      <w:pPr>
        <w:pStyle w:val="42"/>
        <w:pageBreakBefore w:val="0"/>
        <w:kinsoku/>
        <w:overflowPunct/>
        <w:bidi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（1）向</w:t>
      </w:r>
      <w:r>
        <w:rPr>
          <w:rFonts w:hint="eastAsia" w:ascii="宋体" w:hAnsi="宋体" w:cs="宋体"/>
          <w:color w:val="auto"/>
          <w:szCs w:val="22"/>
          <w:highlight w:val="none"/>
          <w:lang w:val="en-US" w:eastAsia="zh-CN"/>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highlight w:val="none"/>
          <w:u w:val="single"/>
          <w:lang w:val="en-US" w:eastAsia="zh-CN"/>
        </w:rPr>
        <w:t>项目</w:t>
      </w:r>
      <w:r>
        <w:rPr>
          <w:rFonts w:hint="eastAsia" w:ascii="宋体" w:hAnsi="宋体" w:cs="宋体"/>
          <w:color w:val="auto"/>
          <w:highlight w:val="none"/>
          <w:u w:val="single"/>
        </w:rPr>
        <w:t>所在地</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rPr>
        <w:t>仲裁委员会申请仲裁；</w:t>
      </w:r>
    </w:p>
    <w:p w14:paraId="63A478EA">
      <w:pPr>
        <w:pageBreakBefore w:val="0"/>
        <w:kinsoku/>
        <w:overflowPunct/>
        <w:bidi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highlight w:val="none"/>
          <w:u w:val="single"/>
          <w:lang w:val="en-US" w:eastAsia="zh-CN"/>
        </w:rPr>
        <w:t xml:space="preserve">  项目</w:t>
      </w:r>
      <w:r>
        <w:rPr>
          <w:rFonts w:hint="eastAsia" w:ascii="宋体" w:hAnsi="宋体" w:cs="宋体"/>
          <w:color w:val="auto"/>
          <w:highlight w:val="none"/>
          <w:u w:val="single"/>
        </w:rPr>
        <w:t>所在地</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人民法院起诉。</w:t>
      </w:r>
      <w:bookmarkEnd w:id="967"/>
      <w:bookmarkEnd w:id="968"/>
      <w:bookmarkEnd w:id="969"/>
      <w:bookmarkEnd w:id="970"/>
      <w:bookmarkEnd w:id="971"/>
      <w:bookmarkEnd w:id="972"/>
    </w:p>
    <w:p w14:paraId="20E4A11B">
      <w:pPr>
        <w:pStyle w:val="3"/>
        <w:pageBreakBefore w:val="0"/>
        <w:kinsoku/>
        <w:overflowPunct/>
        <w:bidi w:val="0"/>
        <w:adjustRightInd w:val="0"/>
        <w:snapToGrid w:val="0"/>
        <w:spacing w:before="0" w:after="0" w:line="360" w:lineRule="auto"/>
        <w:rPr>
          <w:rFonts w:hint="eastAsia" w:ascii="宋体" w:hAnsi="宋体"/>
          <w:color w:val="auto"/>
          <w:szCs w:val="21"/>
          <w:highlight w:val="none"/>
        </w:rPr>
      </w:pPr>
    </w:p>
    <w:p w14:paraId="5971B05A">
      <w:pPr>
        <w:rPr>
          <w:rFonts w:hint="eastAsia"/>
          <w:highlight w:val="none"/>
        </w:rPr>
      </w:pPr>
    </w:p>
    <w:p w14:paraId="321B3221">
      <w:pPr>
        <w:pStyle w:val="3"/>
        <w:pageBreakBefore w:val="0"/>
        <w:kinsoku/>
        <w:overflowPunct/>
        <w:bidi w:val="0"/>
        <w:adjustRightInd w:val="0"/>
        <w:snapToGrid w:val="0"/>
        <w:spacing w:before="0" w:after="0" w:line="360" w:lineRule="auto"/>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t>补充条款:</w:t>
      </w:r>
    </w:p>
    <w:p w14:paraId="2B26DB32">
      <w:pPr>
        <w:pStyle w:val="42"/>
        <w:pageBreakBefore w:val="0"/>
        <w:kinsoku/>
        <w:overflowPunct/>
        <w:bidi w:val="0"/>
        <w:spacing w:line="360" w:lineRule="auto"/>
        <w:rPr>
          <w:rFonts w:hint="eastAsia" w:ascii="宋体" w:hAnsi="宋体" w:cs="宋体"/>
          <w:color w:val="auto"/>
          <w:szCs w:val="22"/>
          <w:highlight w:val="none"/>
          <w:u w:val="single"/>
          <w:lang w:val="zh-CN"/>
        </w:rPr>
      </w:pPr>
      <w:r>
        <w:rPr>
          <w:rFonts w:hint="eastAsia" w:ascii="宋体" w:hAnsi="宋体"/>
          <w:color w:val="auto"/>
          <w:szCs w:val="22"/>
          <w:highlight w:val="none"/>
        </w:rPr>
        <w:t>1、</w:t>
      </w:r>
      <w:r>
        <w:rPr>
          <w:rFonts w:hint="eastAsia" w:ascii="宋体" w:hAnsi="宋体"/>
          <w:color w:val="auto"/>
          <w:szCs w:val="22"/>
          <w:highlight w:val="none"/>
          <w:lang w:val="zh-CN"/>
        </w:rPr>
        <w:t>承包人不得拖欠参与本合同约定工程建设的工人的工资，因承包人拖欠工人工资产生的纠纷、</w:t>
      </w:r>
      <w:r>
        <w:rPr>
          <w:rFonts w:hint="eastAsia" w:ascii="宋体" w:hAnsi="宋体" w:cs="宋体"/>
          <w:color w:val="auto"/>
          <w:szCs w:val="21"/>
          <w:highlight w:val="none"/>
          <w:u w:val="single"/>
          <w:lang w:val="zh-CN"/>
        </w:rPr>
        <w:t>其责任由承包人承担，如因拖欠工人工资出现工人追讨工资而致发包人工作秩序受干扰的事件或致使工程施工进度滞后造成工期延后，其责任全部由承包人应承担，承包人并应按每出现一项次10000元的标准向发包人支付违约金。</w:t>
      </w:r>
      <w:r>
        <w:rPr>
          <w:rFonts w:hint="eastAsia" w:ascii="宋体" w:hAnsi="宋体" w:cs="宋体"/>
          <w:color w:val="auto"/>
          <w:highlight w:val="none"/>
          <w:u w:val="single"/>
          <w:lang w:val="zh-CN"/>
        </w:rPr>
        <w:t>发包人在支付给承包人每一笔款前，承包人必须向发包人提供符合财税规定的工程发票。</w:t>
      </w:r>
      <w:r>
        <w:rPr>
          <w:rFonts w:hint="eastAsia" w:ascii="宋体" w:hAnsi="宋体" w:cs="宋体"/>
          <w:color w:val="auto"/>
          <w:szCs w:val="22"/>
          <w:highlight w:val="none"/>
          <w:u w:val="single"/>
          <w:lang w:val="zh-CN"/>
        </w:rPr>
        <w:t>以上所指的工程量是以经双方及监理工程师审核确认的工程实物量。</w:t>
      </w:r>
    </w:p>
    <w:p w14:paraId="4B85AF34">
      <w:pPr>
        <w:pStyle w:val="42"/>
        <w:pageBreakBefore w:val="0"/>
        <w:kinsoku/>
        <w:overflowPunct/>
        <w:bidi w:val="0"/>
        <w:spacing w:line="360" w:lineRule="auto"/>
        <w:rPr>
          <w:rFonts w:ascii="宋体" w:hAnsi="宋体" w:cs="宋体"/>
          <w:color w:val="auto"/>
          <w:szCs w:val="22"/>
          <w:highlight w:val="none"/>
          <w:u w:val="single"/>
        </w:rPr>
      </w:pPr>
      <w:r>
        <w:rPr>
          <w:rFonts w:hint="eastAsia" w:ascii="宋体" w:hAnsi="宋体" w:cs="宋体"/>
          <w:color w:val="auto"/>
          <w:szCs w:val="22"/>
          <w:highlight w:val="none"/>
          <w:u w:val="single"/>
        </w:rPr>
        <w:t>2、结算金额超过合同总价5%以内（含5%）部分有发包人承担，结算金额超过合同总价的5%以外（不含5%）部分有承包人自行承担。</w:t>
      </w:r>
    </w:p>
    <w:p w14:paraId="7DB0ED5C">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434CEBE3">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762ED16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52653035">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275DD52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222796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1A5E260D">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6E8830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712FF8A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63F2386B">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7B24F2CE">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9F0FDC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4C17766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w:t>
      </w:r>
    </w:p>
    <w:p w14:paraId="0A745F5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w:t>
      </w:r>
    </w:p>
    <w:p w14:paraId="1B704A75">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w:t>
      </w:r>
    </w:p>
    <w:p w14:paraId="59F65C5B">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附件11：暂估价一览表</w:t>
      </w:r>
    </w:p>
    <w:p w14:paraId="6F302FD7">
      <w:pPr>
        <w:pStyle w:val="8"/>
        <w:rPr>
          <w:rFonts w:hint="eastAsia" w:ascii="宋体" w:hAnsi="宋体" w:eastAsia="宋体" w:cs="宋体"/>
          <w:color w:val="auto"/>
          <w:sz w:val="21"/>
          <w:szCs w:val="21"/>
          <w:highlight w:val="none"/>
          <w:lang w:val="en-US" w:eastAsia="zh-CN"/>
        </w:rPr>
      </w:pPr>
    </w:p>
    <w:p w14:paraId="24D160DD">
      <w:pPr>
        <w:pStyle w:val="8"/>
        <w:rPr>
          <w:rFonts w:hint="default" w:ascii="宋体" w:hAnsi="宋体" w:eastAsia="宋体" w:cs="宋体"/>
          <w:color w:val="auto"/>
          <w:sz w:val="21"/>
          <w:szCs w:val="21"/>
          <w:highlight w:val="none"/>
          <w:lang w:val="en-US" w:eastAsia="zh-CN"/>
        </w:rPr>
        <w:sectPr>
          <w:footerReference r:id="rId5" w:type="first"/>
          <w:footerReference r:id="rId4" w:type="default"/>
          <w:pgSz w:w="11906" w:h="16838"/>
          <w:pgMar w:top="1417" w:right="1080" w:bottom="1361" w:left="1080" w:header="851" w:footer="992" w:gutter="0"/>
          <w:pgNumType w:fmt="decimal" w:start="1"/>
          <w:cols w:space="720" w:num="1"/>
          <w:titlePg/>
          <w:docGrid w:type="lines" w:linePitch="312" w:charSpace="0"/>
        </w:sectPr>
      </w:pPr>
    </w:p>
    <w:p w14:paraId="13B563E3">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419BC9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20"/>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18D74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7AD3649">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4B2A97C8">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40C72599">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4A87BE28">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026ED2B0">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7453BC34">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2D1E0F8F">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439D7E1C">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7FFAAE56">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728A4526">
            <w:pPr>
              <w:pStyle w:val="8"/>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0DE84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7ADE275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66B1797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F06DB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7B25E6B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10DB0C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26895A8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3CA3C7E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2E70754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5E4FFAC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E7C274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A843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F9ABB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286C62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7AFC8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72153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EB84EC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63B6D2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B299EA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2A194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634102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8C019F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EB2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1D4F72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5F08B8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F66800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7F7B50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B5342E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7B49A7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72AFC1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18834C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8807C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5490E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D12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B94702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7938E2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13F1E4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23F7A6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8E88FA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EFAF6D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6AC1A0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292131A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1B0A2E0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C1EC2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04F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E24D62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1BC5AB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A965F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598B41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98692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24EAE89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A6D42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920915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2BEB3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462A40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03A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04BF83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20E9E3F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0CDC16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CC5EA4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220692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BFD085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C999E2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20791C7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4C6E26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EC0255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336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CFE96E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045C5B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C74967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75F772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6F5991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B20FDD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E767B7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913D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B84E76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6F6DE2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681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DCD857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C72248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61E43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C5C4A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08311B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93AC8C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468B8F9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4D0CEA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F51E7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049DEB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4175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581C25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97F83E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CF4139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671C06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2FACB4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151B2F4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A0DEB8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53AE300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60020AD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4DC769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8B1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1EB11F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552B398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0E165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ACCE60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355BF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3838650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31ECBB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75FC09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A6712D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9F78FC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EB9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55CDE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A074B0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9DC99D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1FBEB4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94876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EAC068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AFB9F6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0A39B6C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3794B3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CC998B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C99B4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7706B8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776F11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20"/>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1C579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2B43A72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362DAAA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7D9D2F76">
            <w:pPr>
              <w:pStyle w:val="8"/>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38178C5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7371DC1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1A9FED7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43540E3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75EF4C3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60D1F23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56CB7E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20C4F36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3F80B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030A504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3152900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5CD2E07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2629A2F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741F9F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2945728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A32DD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7EAE2C9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72EB761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2D690EE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5CA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24BE1E4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522EEF6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23BD403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7B90F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3B93FB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A09527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45BD06E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6071CA7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532C714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5E49CB1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AA9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40E8E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51DD7C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0A21B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397DDE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E1F740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53F482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12644D4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ED6566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C877FA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924C7E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78F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2B237B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8052BF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47A21C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69E5E7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802188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A230C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60B40D6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35CA89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D6193C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B89C0F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A84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D5FD14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6A79E7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70B92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C8E99C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6A1CDD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E933C3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E89485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A811A7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4ED91A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901142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0A5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7E91F2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DE529E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9F9763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A0793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B4B908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75135E9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C9BD4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493F3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9E7388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3A17F9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DE0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3AFAF9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6540C9D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6DE553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03430F4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3F17539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2756F3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1E6CEF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D74919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10A629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764D0A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FF90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44AB4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485490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4A7C89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A63093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48CFE0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AA5DB9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AE124E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69C909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3C9E5BC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3E445E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CDC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EBA7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C2F343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B27A0F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879AEE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529F33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503AD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10C92A6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999D8F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56FC9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7464E1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43F3A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746F65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1E98B4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495409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649D0D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DFD748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988C36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C1B33C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BA7928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E70E6C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DABA6B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696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ED0E5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6F85FC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7D47F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3B3B65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9BF25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5D796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1CA715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6FCB6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91374B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2275527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C796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2B80C3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08794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0F250B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A33D8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C2E4A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4C06F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457B38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7EBAC7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652D7B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676675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6BD6F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908198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D90BE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1683FC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98B8C3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6ED37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ED0EA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1270E89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39E2649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F398C5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28401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1D6D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EA2A7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2363EA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BEDFE4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AD3E3D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42E63F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B867EC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87B2E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2207E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4F7DB4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29E49E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C73C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5CC2E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B4269D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D5FE14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4A724E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FA4EDD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930DFA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AE55D3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67F4D3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7EF8B0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62C32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CE7D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F860DC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E9AFA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0ED65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68B06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10573A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502D7B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836589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A849E1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42F142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2F39FA3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01F7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6BDFF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B3C59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7D413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A611C1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ABE15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51D448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D2F70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5FD710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9DB2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C1291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1AAC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F2B45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05B3F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E26725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19588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10653A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6047825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14471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580198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8E0257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A25554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40D1A1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39FA90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8CD4E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ECDDD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376295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7B9439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29CAA9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6FC58574">
      <w:pPr>
        <w:pStyle w:val="35"/>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工程质量保修书（市政公用工程）</w:t>
      </w:r>
    </w:p>
    <w:p w14:paraId="29176A1B">
      <w:pPr>
        <w:pStyle w:val="35"/>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6E6CB4BA">
      <w:pPr>
        <w:pStyle w:val="35"/>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3CD63898">
      <w:pPr>
        <w:pStyle w:val="35"/>
        <w:spacing w:line="360" w:lineRule="auto"/>
        <w:rPr>
          <w:rFonts w:ascii="宋体"/>
          <w:color w:val="auto"/>
          <w:highlight w:val="none"/>
        </w:rPr>
      </w:pPr>
    </w:p>
    <w:p w14:paraId="53D4FC72">
      <w:pPr>
        <w:pStyle w:val="35"/>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04ED527F">
      <w:pPr>
        <w:pStyle w:val="35"/>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6D5DC276">
      <w:pPr>
        <w:pStyle w:val="35"/>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5FC3109F">
      <w:pPr>
        <w:pStyle w:val="35"/>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p>
    <w:p w14:paraId="4ACE36AC">
      <w:pPr>
        <w:pStyle w:val="35"/>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3D29DE75">
      <w:pPr>
        <w:pStyle w:val="35"/>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4B350116">
      <w:pPr>
        <w:pStyle w:val="35"/>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439A5F5B">
      <w:pPr>
        <w:pStyle w:val="35"/>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61DC5D47">
      <w:pPr>
        <w:pStyle w:val="35"/>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4D3436A1">
      <w:pPr>
        <w:pStyle w:val="35"/>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olor w:val="auto"/>
          <w:highlight w:val="none"/>
          <w:u w:val="single"/>
        </w:rPr>
        <w:t>3</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6161FEF1">
      <w:pPr>
        <w:pStyle w:val="35"/>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rFonts w:hint="eastAsia"/>
          <w:color w:val="auto"/>
          <w:highlight w:val="none"/>
          <w:u w:val="single"/>
        </w:rPr>
        <w:t>1</w:t>
      </w:r>
      <w:r>
        <w:rPr>
          <w:rFonts w:hint="eastAsia" w:cs="宋体"/>
          <w:color w:val="auto"/>
          <w:highlight w:val="none"/>
          <w:u w:val="single"/>
        </w:rPr>
        <w:t>年</w:t>
      </w:r>
      <w:r>
        <w:rPr>
          <w:rFonts w:hint="eastAsia" w:cs="宋体"/>
          <w:color w:val="auto"/>
          <w:highlight w:val="none"/>
        </w:rPr>
        <w:t>；</w:t>
      </w:r>
    </w:p>
    <w:p w14:paraId="4DB7BF76">
      <w:pPr>
        <w:pStyle w:val="35"/>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olor w:val="auto"/>
          <w:highlight w:val="none"/>
          <w:u w:val="single"/>
        </w:rPr>
        <w:t>5</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64F9F430">
      <w:pPr>
        <w:pStyle w:val="35"/>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olor w:val="auto"/>
          <w:highlight w:val="none"/>
          <w:u w:val="single"/>
        </w:rPr>
        <w:t xml:space="preserve">2 </w:t>
      </w:r>
      <w:r>
        <w:rPr>
          <w:color w:val="auto"/>
          <w:highlight w:val="none"/>
          <w:u w:val="single"/>
        </w:rPr>
        <w:t xml:space="preserve"> </w:t>
      </w:r>
      <w:r>
        <w:rPr>
          <w:rFonts w:hint="eastAsia" w:cs="宋体"/>
          <w:color w:val="auto"/>
          <w:highlight w:val="none"/>
        </w:rPr>
        <w:t>年；</w:t>
      </w:r>
    </w:p>
    <w:p w14:paraId="5AB207FE">
      <w:pPr>
        <w:pStyle w:val="35"/>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292EF768">
      <w:pPr>
        <w:pStyle w:val="35"/>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7BFFE775">
      <w:pPr>
        <w:pStyle w:val="35"/>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2E97FBD7">
      <w:pPr>
        <w:pStyle w:val="35"/>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2902B4C5">
      <w:pPr>
        <w:pStyle w:val="35"/>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u w:val="single"/>
        </w:rPr>
        <w:t>24</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76C17DFD">
      <w:pPr>
        <w:pStyle w:val="35"/>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694CA025">
      <w:pPr>
        <w:pStyle w:val="35"/>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4C196AE5">
      <w:pPr>
        <w:pStyle w:val="35"/>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u w:val="single"/>
        </w:rPr>
        <w:t>7</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680B599">
      <w:pPr>
        <w:pStyle w:val="35"/>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4F8053A1">
      <w:pPr>
        <w:pStyle w:val="35"/>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9DBA6F3">
      <w:pPr>
        <w:pStyle w:val="35"/>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278A2D27">
      <w:pPr>
        <w:pStyle w:val="35"/>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30F7E4F8">
      <w:pPr>
        <w:pStyle w:val="35"/>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72AE747D">
      <w:pPr>
        <w:pStyle w:val="35"/>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5B313568">
      <w:pPr>
        <w:pStyle w:val="35"/>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230AE2E3">
      <w:pPr>
        <w:pStyle w:val="35"/>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3105EB5A">
      <w:pPr>
        <w:pStyle w:val="35"/>
        <w:spacing w:line="360" w:lineRule="auto"/>
        <w:ind w:firstLine="420"/>
        <w:rPr>
          <w:rFonts w:ascii="宋体"/>
          <w:color w:val="auto"/>
          <w:highlight w:val="none"/>
        </w:rPr>
      </w:pPr>
    </w:p>
    <w:p w14:paraId="6B48B757">
      <w:pPr>
        <w:pStyle w:val="35"/>
        <w:spacing w:line="360" w:lineRule="auto"/>
        <w:ind w:firstLine="420"/>
        <w:rPr>
          <w:rFonts w:ascii="宋体"/>
          <w:color w:val="auto"/>
          <w:highlight w:val="none"/>
        </w:rPr>
      </w:pPr>
    </w:p>
    <w:p w14:paraId="01DB6C04">
      <w:pPr>
        <w:pStyle w:val="35"/>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D5894B4">
      <w:pPr>
        <w:pStyle w:val="35"/>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49764EE9">
      <w:pPr>
        <w:pStyle w:val="35"/>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914EF8D">
      <w:pPr>
        <w:pStyle w:val="35"/>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D508A33">
      <w:pPr>
        <w:pStyle w:val="35"/>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B4BCA0E">
      <w:pPr>
        <w:pStyle w:val="35"/>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2578EFE4">
      <w:pPr>
        <w:pStyle w:val="35"/>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3739DA3">
      <w:pPr>
        <w:pStyle w:val="35"/>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189C980">
      <w:pPr>
        <w:pStyle w:val="35"/>
        <w:spacing w:line="360" w:lineRule="auto"/>
        <w:rPr>
          <w:rFonts w:asci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3301E3AF">
      <w:pPr>
        <w:pStyle w:val="35"/>
        <w:spacing w:line="360" w:lineRule="auto"/>
        <w:rPr>
          <w:rFonts w:ascii="宋体"/>
          <w:color w:val="auto"/>
          <w:highlight w:val="none"/>
        </w:rPr>
      </w:pPr>
    </w:p>
    <w:p w14:paraId="2A40AFB1">
      <w:pPr>
        <w:pageBreakBefore w:val="0"/>
        <w:widowControl w:val="0"/>
        <w:kinsoku/>
        <w:wordWrap/>
        <w:overflowPunct/>
        <w:topLinePunct w:val="0"/>
        <w:bidi w:val="0"/>
        <w:snapToGrid/>
        <w:spacing w:line="360" w:lineRule="exact"/>
        <w:ind w:left="0" w:leftChars="0" w:right="0" w:rightChars="0"/>
        <w:jc w:val="right"/>
        <w:rPr>
          <w:rFonts w:hint="eastAsia" w:ascii="宋体" w:hAnsi="宋体" w:eastAsia="宋体" w:cs="宋体"/>
          <w:color w:val="auto"/>
          <w:sz w:val="21"/>
          <w:szCs w:val="21"/>
          <w:highlight w:val="none"/>
          <w:u w:val="single"/>
        </w:rPr>
      </w:pPr>
    </w:p>
    <w:p w14:paraId="4FFBCA1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5613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15B63CF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20"/>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65930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C8B36B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21E1B62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290E2DC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371EA59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1F8930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36A38A0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7676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617758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7AE5E0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2B8272A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5DE1256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6287B37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1DB418C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CEC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270402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5FD89CC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7266976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00BBFF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1B236DA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BD3B38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53A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05AFD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CFE8E4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801253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31DADD5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AE9854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29D071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0EC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B0606B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3F4225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C8856A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1B34BCC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5C470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5A169C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156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908CE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B1F1D5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1D11F2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1D811F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540F10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683AB2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290B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99FD6F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B87D86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857143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1ACB4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1DF660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443D7F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78E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931A48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6D68A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C0E128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F9EB4E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1CAECE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1D9A2B0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0BD9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06069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E1A660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7E0FF1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3B9FE6E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2CB573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38CA7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D71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DA961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ED72E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60DB7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53269A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C31F6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8F9E06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1209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4B63CF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3982AE7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1BF511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704D75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F483A7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FAB037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5D42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2872B4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93990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E89EEA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0B0A7E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8E476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5C621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87C9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09B57B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6F8D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02277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A56A6B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94A46A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752D9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5D4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40190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735AA8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546FBD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193F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CE1F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87D3F2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F62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36AE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050F0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3B023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96CC5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5A37D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1E85D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549A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23AB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C4DE4F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AEBD2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C4CA4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7D0BD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9F8F27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9F27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DF4A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2D065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7C3165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CEDF5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1DB2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C8838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62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DED56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8028F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DA20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DA4C5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F7C40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2B0A2B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251C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E9A54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2A7F9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F58A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C0FDF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62D1A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BCBD0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DBB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CF7D0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F3D5A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31CF4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D8B174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FC342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CD8D4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0BC23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EA107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1027" w:name="_Toc296503227"/>
      <w:bookmarkStart w:id="1028" w:name="_Toc296944566"/>
      <w:bookmarkStart w:id="1029" w:name="_Toc296346728"/>
      <w:bookmarkStart w:id="1030" w:name="_Toc296347226"/>
      <w:bookmarkStart w:id="1031" w:name="_Toc296891267"/>
      <w:bookmarkStart w:id="1032" w:name="_Toc296891055"/>
      <w:bookmarkStart w:id="1033" w:name="_Toc267261698"/>
      <w:r>
        <w:rPr>
          <w:rFonts w:hint="eastAsia" w:ascii="宋体" w:hAnsi="宋体" w:eastAsia="宋体" w:cs="宋体"/>
          <w:color w:val="auto"/>
          <w:sz w:val="21"/>
          <w:szCs w:val="21"/>
          <w:highlight w:val="none"/>
        </w:rPr>
        <w:t>件5：</w:t>
      </w:r>
    </w:p>
    <w:bookmarkEnd w:id="1027"/>
    <w:bookmarkEnd w:id="1028"/>
    <w:bookmarkEnd w:id="1029"/>
    <w:bookmarkEnd w:id="1030"/>
    <w:bookmarkEnd w:id="1031"/>
    <w:bookmarkEnd w:id="1032"/>
    <w:bookmarkEnd w:id="1033"/>
    <w:p w14:paraId="6C1F6B9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20"/>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19D88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78DA127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B2235B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1FA5A43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BA2DE4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3A94D4F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444B86E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273AC8D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212A46E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4D569E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F097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30DC5AA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4325B5B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1153C86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7B83F8E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9BCC8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4438998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C6F160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6741EE0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462B0DB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4F9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3CD1621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137E1A7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0B62BF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4CC1F88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2EFEE3C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0F51EE9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07C4CEC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7B4DD14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BB1CF4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39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39D8130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D76868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FFC7A8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79312A0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3C6AF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9CDBB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B6EECD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58A711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8FAE97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791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C35B09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9D893F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A6571D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4D9B63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A8D270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9E04F8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F7A9BD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92964C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E9439F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938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8B1A47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6F759E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A04B24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CE3AB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8072A8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E50F43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6C50737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14DE55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3EAC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2875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A4B0AE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4B2E86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C3C190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B78400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F0A890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F27567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1E83E2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45DFA3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39AB6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2B25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AD6CB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71FE8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9C9C60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C76DB1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442E32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49F270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B5BD35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4B0B4D2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80F249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1DC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B5D6C5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641B06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54DD09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30482E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D8234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20A445B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691E8CB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7D5FDFB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252AB5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A1E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6B408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08D2A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6B386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92503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EB0E5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257D3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4526F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E2409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0E0E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B4D5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0CF7D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4E20A9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612CB1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50F894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281AAE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94E15D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4C667A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7567A62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DC9C3B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F0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33DC3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CE254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E371B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A3A9F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A480B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A7F9B8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5E739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D6C63B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7FA0A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47ED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D7AA2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DC325B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087AC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E4411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41E08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A9E00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8BDB3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34742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07D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7F53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E1367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63982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4A75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8DBA83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E385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91692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F33FB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D13B7C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FEF040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4AC6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EA22B5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769A5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3A0588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0618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45011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7A740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A9B95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20353B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2C1DC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72AD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9EF1C4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F6E050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63EA4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1D090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D5A4F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6214E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6D0CC1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15C37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79B4C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892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E0612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C2319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4E413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6A59B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211FC2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36957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6A25DD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DDC74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E2B0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86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1D47F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996A4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746078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DD4F4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A2FE7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5F8F1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26220D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C40D0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260504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22FC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E298B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C8209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36A500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448206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AAC29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4231D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3BCD5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492B87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2F2132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2A35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BC2AC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E40DC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AD5B7A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B7EE2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CCB37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EF668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59BB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B320C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C52B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64D2B8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BC0EE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9986C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27ECEE7">
      <w:pPr>
        <w:pStyle w:val="8"/>
        <w:rPr>
          <w:rFonts w:hint="eastAsia" w:ascii="宋体" w:hAnsi="宋体" w:eastAsia="宋体" w:cs="宋体"/>
          <w:color w:val="auto"/>
          <w:sz w:val="21"/>
          <w:szCs w:val="21"/>
          <w:highlight w:val="none"/>
        </w:rPr>
      </w:pPr>
    </w:p>
    <w:p w14:paraId="4A34E2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1DCF85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20"/>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6064B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5516F8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3C4CC5A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5CD1D07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16B87BE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00DB937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D80F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575FEFA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44608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2CBF1B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69A737E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4CDCE56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212173F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4C608A6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83A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A8BF0F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DB1C34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62F39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F7CFDC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2A67FD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FAA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6134B6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A40839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AE9D7C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71C45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EDE531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886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9B928E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3A56B5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18767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8E42C7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BCBED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415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73A4F86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077D1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D446E9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5FE8E4F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D315B6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120923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FF49D9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F1B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85B2A1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2C7206B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B8195E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26767A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203D55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E5C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05B909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2C82B21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783397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F9DBA2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DC5904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E54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8F8FF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0574291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C0DBE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100A3E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10D8E1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0FC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E218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1ADBD2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AF8C07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3E5F4A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663531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A397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73DAFB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78059E1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78CE34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B5D72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5A686C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16B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F3934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659D3B3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FB887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8527A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B76715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A4A9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D5A98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7F22EA4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8A1DD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FD5AA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3B03BD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2E6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4737D1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4DA31F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FD96BE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EFD9BC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012EC3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1087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BECAAF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6F9B58E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21E681D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72C5D8A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6A2C583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41C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A6C5C1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D7205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8402B6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79A03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E79D79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9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28B96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8CB8F5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22FF80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08AD83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853B1E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BC89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549951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E10DC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00B710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C20AC4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21A16E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73F7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21E117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3BC78CD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4A13EAC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0BB0BC0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5ABA0BB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4F0867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2DB9B20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20"/>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76389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1F5B8AC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2F707AE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581B931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489DD58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29A0CC5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2A4C6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0D922B9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43D46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11DC53D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4509E6C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0362254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1065772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518BF4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BC8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6E73F20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9308D3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BC5D76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5A853A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033A30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83C8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F51117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6EAF85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19DA18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41C6E3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CFE51F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577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4EA29D9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9FB72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F08953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7561CD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6BF988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6CE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AE276F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0D4BF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DA670B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04ACAE6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8BDBC4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9FC0E3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D160E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4C8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706ADA7">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3ECD5D8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BF93F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6594FD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A2A1E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8818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16C14A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B1C06D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46797E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EF0417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62339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B11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3C8CA2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7B5F580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32808B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F39AA4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F963BB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AC84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1A1803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284D781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E30987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5C57F3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4C78B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A9D8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A0B9E6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24C776A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B2AB0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0064E6">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2325BF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9BCD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362467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0170AB2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4E469E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7FD557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230E96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90B2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986C38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7E08CA2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04D593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F1BF4B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0CAD8C0">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AE3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19D2925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16BEAF5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A76DD5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0943FC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3205424">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5A4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6C01D4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72BF83F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2F7C2425">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04D48F8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787BCEA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434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3FB2F40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24560F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27E216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5A3468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1E638DA">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4C3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8024922">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31DCB9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C54F8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EEBE5B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B29234B">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A972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1F68FD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F8F52C">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2F9B48F">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36094D3">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072E7B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9B83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2EE2168E">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72F4D24D">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07658909">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6D4F5C51">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0E5B81F8">
            <w:pPr>
              <w:pStyle w:val="8"/>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2A0078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附件8：</w:t>
      </w:r>
    </w:p>
    <w:p w14:paraId="7ADA7A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p w14:paraId="33EC02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689140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528427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（发包人名称，以下简称“发包人”）与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4E507CB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2575A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担保有效期自你方与承包人签订的合同生效之日起至你方签发或应签发工程接收证书之日止。</w:t>
      </w:r>
    </w:p>
    <w:p w14:paraId="0E747070">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14:paraId="40B60FA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你方和承包人按合同约定变更合同时，我方承担本担保规定的义务不变。</w:t>
      </w:r>
    </w:p>
    <w:p w14:paraId="06CB884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7CADDC55">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36E3DA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01EF32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6BDA6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FA7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4D4E0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4E8F8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230CA9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47CEA471">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u w:val="single"/>
        </w:rPr>
      </w:pPr>
    </w:p>
    <w:p w14:paraId="218BA4E6">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F8FEE70">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1AA620E1">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5CEC6210">
      <w:pPr>
        <w:pStyle w:val="8"/>
        <w:rPr>
          <w:rFonts w:hint="eastAsia" w:ascii="宋体" w:hAnsi="宋体" w:eastAsia="宋体" w:cs="宋体"/>
          <w:color w:val="auto"/>
          <w:sz w:val="21"/>
          <w:szCs w:val="21"/>
          <w:highlight w:val="none"/>
        </w:rPr>
      </w:pPr>
    </w:p>
    <w:p w14:paraId="278FBB1A">
      <w:pPr>
        <w:pStyle w:val="8"/>
        <w:rPr>
          <w:rFonts w:hint="eastAsia" w:ascii="宋体" w:hAnsi="宋体" w:eastAsia="宋体" w:cs="宋体"/>
          <w:color w:val="auto"/>
          <w:sz w:val="21"/>
          <w:szCs w:val="21"/>
          <w:highlight w:val="none"/>
        </w:rPr>
      </w:pPr>
    </w:p>
    <w:p w14:paraId="08248D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1034" w:name="_Toc296891272"/>
      <w:bookmarkStart w:id="1035" w:name="_Toc296891060"/>
      <w:bookmarkStart w:id="1036" w:name="_Toc296347231"/>
      <w:bookmarkStart w:id="1037" w:name="_Toc267261702"/>
      <w:bookmarkStart w:id="1038" w:name="_Toc296944571"/>
      <w:bookmarkStart w:id="1039" w:name="_Toc296503232"/>
      <w:bookmarkStart w:id="1040" w:name="_Toc296346733"/>
      <w:r>
        <w:rPr>
          <w:rFonts w:hint="eastAsia" w:ascii="宋体" w:hAnsi="宋体" w:eastAsia="宋体" w:cs="宋体"/>
          <w:color w:val="auto"/>
          <w:sz w:val="21"/>
          <w:szCs w:val="21"/>
          <w:highlight w:val="none"/>
        </w:rPr>
        <w:t>件9 ：</w:t>
      </w:r>
    </w:p>
    <w:bookmarkEnd w:id="1034"/>
    <w:bookmarkEnd w:id="1035"/>
    <w:bookmarkEnd w:id="1036"/>
    <w:bookmarkEnd w:id="1037"/>
    <w:bookmarkEnd w:id="1038"/>
    <w:bookmarkEnd w:id="1039"/>
    <w:bookmarkEnd w:id="1040"/>
    <w:p w14:paraId="5D3A5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5B8FBBB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3876E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3116600">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1041" w:name="_Toc29110"/>
      <w:bookmarkStart w:id="1042" w:name="_Toc19561"/>
      <w:bookmarkStart w:id="1043" w:name="_Toc23079"/>
      <w:r>
        <w:rPr>
          <w:rFonts w:hint="eastAsia" w:ascii="宋体" w:hAnsi="宋体" w:eastAsia="宋体" w:cs="宋体"/>
          <w:color w:val="auto"/>
          <w:sz w:val="21"/>
          <w:szCs w:val="21"/>
          <w:highlight w:val="none"/>
        </w:rPr>
        <w:t>（发包人名称）（以下简称“发包人”）</w:t>
      </w:r>
      <w:bookmarkEnd w:id="1041"/>
      <w:bookmarkEnd w:id="1042"/>
      <w:bookmarkEnd w:id="1043"/>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84701C1">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CA7FB0">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7DE8877D">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8E6514A">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7FB45268">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596216A7">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4EF6CB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FAF39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4FFD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315DB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04BB53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3DF19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79652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2C999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F88AA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A8657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15C8D2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658D2F8">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 xml:space="preserve">附件10:  </w:t>
      </w:r>
    </w:p>
    <w:p w14:paraId="08A889CA">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46E8C7E9">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1EF8CDCB">
      <w:pPr>
        <w:spacing w:line="440" w:lineRule="exact"/>
        <w:jc w:val="left"/>
        <w:rPr>
          <w:rFonts w:hint="eastAsia" w:ascii="宋体" w:hAnsi="宋体" w:eastAsia="宋体" w:cs="宋体"/>
          <w:color w:val="auto"/>
          <w:sz w:val="21"/>
          <w:szCs w:val="21"/>
          <w:highlight w:val="none"/>
        </w:rPr>
      </w:pPr>
    </w:p>
    <w:p w14:paraId="5397205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0F6159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44" w:name="_Toc25964"/>
      <w:bookmarkStart w:id="1045" w:name="_Toc31131"/>
      <w:bookmarkStart w:id="1046" w:name="_Toc20380"/>
      <w:r>
        <w:rPr>
          <w:rFonts w:hint="eastAsia" w:ascii="宋体" w:hAnsi="宋体" w:eastAsia="宋体" w:cs="宋体"/>
          <w:color w:val="auto"/>
          <w:sz w:val="21"/>
          <w:szCs w:val="21"/>
          <w:highlight w:val="none"/>
        </w:rPr>
        <w:t>一、保证的范围及保证金额</w:t>
      </w:r>
      <w:bookmarkEnd w:id="1044"/>
      <w:bookmarkEnd w:id="1045"/>
      <w:bookmarkEnd w:id="1046"/>
    </w:p>
    <w:p w14:paraId="6CFC59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36051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EF9D6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89A15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47" w:name="_Toc31793"/>
      <w:bookmarkStart w:id="1048" w:name="_Toc16286"/>
      <w:bookmarkStart w:id="1049" w:name="_Toc10162"/>
      <w:r>
        <w:rPr>
          <w:rFonts w:hint="eastAsia" w:ascii="宋体" w:hAnsi="宋体" w:eastAsia="宋体" w:cs="宋体"/>
          <w:color w:val="auto"/>
          <w:sz w:val="21"/>
          <w:szCs w:val="21"/>
          <w:highlight w:val="none"/>
        </w:rPr>
        <w:t>二、保证的方式及保证期间</w:t>
      </w:r>
      <w:bookmarkEnd w:id="1047"/>
      <w:bookmarkEnd w:id="1048"/>
      <w:bookmarkEnd w:id="1049"/>
    </w:p>
    <w:p w14:paraId="6C068E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5CE63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141A33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0C9B87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50" w:name="_Toc30010"/>
      <w:bookmarkStart w:id="1051" w:name="_Toc3217"/>
      <w:bookmarkStart w:id="1052" w:name="_Toc30478"/>
      <w:r>
        <w:rPr>
          <w:rFonts w:hint="eastAsia" w:ascii="宋体" w:hAnsi="宋体" w:eastAsia="宋体" w:cs="宋体"/>
          <w:color w:val="auto"/>
          <w:sz w:val="21"/>
          <w:szCs w:val="21"/>
          <w:highlight w:val="none"/>
        </w:rPr>
        <w:t>三、承担保证责任的形式</w:t>
      </w:r>
      <w:bookmarkEnd w:id="1050"/>
      <w:bookmarkEnd w:id="1051"/>
      <w:bookmarkEnd w:id="1052"/>
    </w:p>
    <w:p w14:paraId="0AC60E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CC83C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53" w:name="_Toc19016"/>
      <w:bookmarkStart w:id="1054" w:name="_Toc4883"/>
      <w:bookmarkStart w:id="1055" w:name="_Toc11312"/>
      <w:r>
        <w:rPr>
          <w:rFonts w:hint="eastAsia" w:ascii="宋体" w:hAnsi="宋体" w:eastAsia="宋体" w:cs="宋体"/>
          <w:color w:val="auto"/>
          <w:sz w:val="21"/>
          <w:szCs w:val="21"/>
          <w:highlight w:val="none"/>
        </w:rPr>
        <w:t>四、代偿的安排</w:t>
      </w:r>
      <w:bookmarkEnd w:id="1053"/>
      <w:bookmarkEnd w:id="1054"/>
      <w:bookmarkEnd w:id="1055"/>
    </w:p>
    <w:p w14:paraId="4D2C1D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A5A0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542AE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2A30B1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56" w:name="_Toc1507"/>
      <w:bookmarkStart w:id="1057" w:name="_Toc25107"/>
      <w:bookmarkStart w:id="1058" w:name="_Toc30624"/>
      <w:r>
        <w:rPr>
          <w:rFonts w:hint="eastAsia" w:ascii="宋体" w:hAnsi="宋体" w:eastAsia="宋体" w:cs="宋体"/>
          <w:color w:val="auto"/>
          <w:sz w:val="21"/>
          <w:szCs w:val="21"/>
          <w:highlight w:val="none"/>
        </w:rPr>
        <w:t>五、保证责任的解除</w:t>
      </w:r>
      <w:bookmarkEnd w:id="1056"/>
      <w:bookmarkEnd w:id="1057"/>
      <w:bookmarkEnd w:id="1058"/>
    </w:p>
    <w:p w14:paraId="394B35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553DCA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55F5C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184A6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3F7278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4ECD44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59" w:name="_Toc11064"/>
      <w:bookmarkStart w:id="1060" w:name="_Toc23407"/>
      <w:bookmarkStart w:id="1061" w:name="_Toc3962"/>
      <w:r>
        <w:rPr>
          <w:rFonts w:hint="eastAsia" w:ascii="宋体" w:hAnsi="宋体" w:eastAsia="宋体" w:cs="宋体"/>
          <w:color w:val="auto"/>
          <w:sz w:val="21"/>
          <w:szCs w:val="21"/>
          <w:highlight w:val="none"/>
        </w:rPr>
        <w:t>六、免责条款</w:t>
      </w:r>
      <w:bookmarkEnd w:id="1059"/>
      <w:bookmarkEnd w:id="1060"/>
      <w:bookmarkEnd w:id="1061"/>
    </w:p>
    <w:p w14:paraId="4EFD7C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BC6BD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EDF47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FC91C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0DE273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62" w:name="_Toc20106"/>
      <w:bookmarkStart w:id="1063" w:name="_Toc28001"/>
      <w:bookmarkStart w:id="1064" w:name="_Toc5169"/>
      <w:r>
        <w:rPr>
          <w:rFonts w:hint="eastAsia" w:ascii="宋体" w:hAnsi="宋体" w:eastAsia="宋体" w:cs="宋体"/>
          <w:color w:val="auto"/>
          <w:sz w:val="21"/>
          <w:szCs w:val="21"/>
          <w:highlight w:val="none"/>
        </w:rPr>
        <w:t>七、争议解决</w:t>
      </w:r>
      <w:bookmarkEnd w:id="1062"/>
      <w:bookmarkEnd w:id="1063"/>
      <w:bookmarkEnd w:id="1064"/>
    </w:p>
    <w:p w14:paraId="5D7C980A">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E1F11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4E0D2E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141009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65" w:name="_Toc29914"/>
      <w:bookmarkStart w:id="1066" w:name="_Toc24785"/>
      <w:bookmarkStart w:id="1067" w:name="_Toc5124"/>
      <w:r>
        <w:rPr>
          <w:rFonts w:hint="eastAsia" w:ascii="宋体" w:hAnsi="宋体" w:eastAsia="宋体" w:cs="宋体"/>
          <w:color w:val="auto"/>
          <w:sz w:val="21"/>
          <w:szCs w:val="21"/>
          <w:highlight w:val="none"/>
        </w:rPr>
        <w:t>八、保函的生效</w:t>
      </w:r>
      <w:bookmarkEnd w:id="1065"/>
      <w:bookmarkEnd w:id="1066"/>
      <w:bookmarkEnd w:id="1067"/>
    </w:p>
    <w:p w14:paraId="4960D1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35A0F58D">
      <w:pPr>
        <w:spacing w:line="360" w:lineRule="auto"/>
        <w:ind w:firstLine="420" w:firstLineChars="200"/>
        <w:jc w:val="left"/>
        <w:rPr>
          <w:rFonts w:hint="eastAsia" w:ascii="宋体" w:hAnsi="宋体" w:eastAsia="宋体" w:cs="宋体"/>
          <w:color w:val="auto"/>
          <w:sz w:val="21"/>
          <w:szCs w:val="21"/>
          <w:highlight w:val="none"/>
        </w:rPr>
      </w:pPr>
    </w:p>
    <w:p w14:paraId="2CAA3FF9">
      <w:pPr>
        <w:spacing w:line="360" w:lineRule="auto"/>
        <w:ind w:right="600"/>
        <w:jc w:val="left"/>
        <w:rPr>
          <w:rFonts w:hint="eastAsia" w:ascii="宋体" w:hAnsi="宋体" w:eastAsia="宋体" w:cs="宋体"/>
          <w:color w:val="auto"/>
          <w:sz w:val="21"/>
          <w:szCs w:val="21"/>
          <w:highlight w:val="none"/>
        </w:rPr>
      </w:pPr>
    </w:p>
    <w:p w14:paraId="42384A57">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44A8D68">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FF86F1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3B42E63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2E7B755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D587665">
      <w:pPr>
        <w:spacing w:line="360" w:lineRule="auto"/>
        <w:ind w:right="150" w:firstLine="420" w:firstLineChars="200"/>
        <w:jc w:val="left"/>
        <w:rPr>
          <w:rFonts w:hint="eastAsia" w:ascii="宋体" w:hAnsi="宋体" w:eastAsia="宋体" w:cs="宋体"/>
          <w:color w:val="auto"/>
          <w:sz w:val="21"/>
          <w:szCs w:val="21"/>
          <w:highlight w:val="none"/>
          <w:u w:val="single"/>
        </w:rPr>
      </w:pPr>
    </w:p>
    <w:p w14:paraId="27CBBCCD">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6081AA7">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附件11：</w:t>
      </w:r>
    </w:p>
    <w:p w14:paraId="15C45ADA">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1068" w:name="_Toc20900"/>
      <w:bookmarkStart w:id="1069" w:name="_Toc18176"/>
      <w:bookmarkStart w:id="1070" w:name="_Toc15518"/>
      <w:bookmarkStart w:id="1071" w:name="_Toc10622"/>
      <w:r>
        <w:rPr>
          <w:rFonts w:hint="eastAsia" w:ascii="宋体" w:hAnsi="宋体" w:eastAsia="宋体" w:cs="宋体"/>
          <w:color w:val="auto"/>
          <w:sz w:val="21"/>
          <w:szCs w:val="21"/>
          <w:highlight w:val="none"/>
        </w:rPr>
        <w:t>11-1：材料暂估价表</w:t>
      </w:r>
      <w:bookmarkEnd w:id="1068"/>
      <w:bookmarkEnd w:id="1069"/>
      <w:bookmarkEnd w:id="1070"/>
      <w:bookmarkEnd w:id="1071"/>
    </w:p>
    <w:tbl>
      <w:tblPr>
        <w:tblStyle w:val="20"/>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BB48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30FC3A34">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04B419B2">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3BFE4EA2">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705DC393">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5E95D9DD">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398CE332">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23291A61">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3FF94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06C9428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7C73689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B60D11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62DB746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88FB98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9E9A09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2025D92C">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3704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42C7EC9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6E573A5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503566B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5E79077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606BE34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2893B6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0000785B">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757B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A202AD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280DAC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4ED8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158A75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E1814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A4B161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DF3C4FC">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D27C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362D8A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6087FF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FBC5D4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65572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7F0E3E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E0823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A518BCD">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5072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27044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9F777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8894F9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5AAAB4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01303B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A2FF3A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6563B4">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E56F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84876F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3B14F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673E2A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7F0B6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0E54D3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2CCC4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06AE31">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AD5E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F6EADF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DD39C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F3B39A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6DCF50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7E945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8CCF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F73C8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46CB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595225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B22DC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6B3DB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17644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F82DC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548393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BCF8F50">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1091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08D98F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620801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FCCCF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64AC1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5A6E8E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C0E12B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D2FB865">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C425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AF0EB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010C4A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59AE1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AA7E5A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1D7E8B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91DDD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ED34F3">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33886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CDB0A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BACDC7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1CC86B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90646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C18E4C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7CC13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A5E13D5">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E2AF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8FA1D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3056B2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9D433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8273A7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5BF662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F3E3EB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2DA141B">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6BC3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6C3D68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1A14F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099E9D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7AD7BD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E462E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CEAD25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1F7D6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86CD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37004D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16A253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D9F50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A9721B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20116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357BF1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383486B">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15C4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9067F4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84851A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1C9BD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D1627D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CDA61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EBA054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574504">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C6D7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F59BED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6B39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007C85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8435F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3B782A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D7D58A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C3ABAE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12D5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00B39E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B30E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D4D097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257C8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45C8E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A76D2F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DAE435">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254D1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8A2B8F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AF7D90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C10C0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68AC5A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D1D3F3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2616D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B74DE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F100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F844F3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4069EF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F21590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84E75F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C7BADA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FE99A8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E8F5DD2">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E6EF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92FC8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ED891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74E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2DC078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C67BF4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04306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B5AFB0">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01F4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21B2E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051DD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8D3CC2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049A0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E0BA8D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4F82AC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2C39E78">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9C78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6DF6D2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E4CF1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8E15A3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6D728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97D15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36724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6337A8">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24B4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FF740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6B2C91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345C3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78E631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3E6758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14849E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35BC4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DB81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25B0D8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BCB5C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48556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E0BA4F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6AC398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9F9D9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3DD98C1">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31656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62E047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25645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9B139F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ACAEC1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38F7CF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9F1137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B2354CF">
            <w:pPr>
              <w:pStyle w:val="8"/>
              <w:keepNext/>
              <w:spacing w:after="0" w:line="440" w:lineRule="exact"/>
              <w:ind w:left="63" w:right="63"/>
              <w:rPr>
                <w:rFonts w:ascii="等线" w:hAnsi="等线" w:eastAsia="仿宋_GB2312"/>
                <w:color w:val="auto"/>
                <w:kern w:val="2"/>
                <w:sz w:val="24"/>
                <w:szCs w:val="24"/>
                <w:highlight w:val="none"/>
                <w:lang w:val="en-US" w:eastAsia="zh-CN"/>
              </w:rPr>
            </w:pPr>
          </w:p>
        </w:tc>
      </w:tr>
    </w:tbl>
    <w:p w14:paraId="380C8CCC">
      <w:pPr>
        <w:spacing w:before="120" w:beforeLines="50" w:after="120" w:afterLines="50" w:line="440" w:lineRule="exact"/>
        <w:rPr>
          <w:rFonts w:hint="eastAsia" w:eastAsia="黑体"/>
          <w:color w:val="auto"/>
          <w:sz w:val="30"/>
          <w:szCs w:val="30"/>
          <w:highlight w:val="none"/>
        </w:rPr>
      </w:pPr>
    </w:p>
    <w:p w14:paraId="7AB70ACB">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20"/>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258B4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498458E0">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3C072D0F">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07F770E">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E1FD2EC">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542AB098">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FB36F03">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3C1DD497">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AD8D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72AFED2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7384B4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4784A06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85F233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2704570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7BB1211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043F432">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F78F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CD4AE6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5AC61DF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613962C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796666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29FFF2F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2FD7369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37D03A94">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2D0C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E5AFC4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BDF9CF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459BA7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0C8C1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AB6A5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EE69D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AFFF73">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5621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AAE0E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D72C06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314BF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C2E25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D23F90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7C2CDE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75068C">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C4F6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3AF75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9C28F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C8A6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F84D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7A0763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9B48C3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C0A142E">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2DDD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044E8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C246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E7E3B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D9B9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305179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DDD2C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AFBFA6">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82A6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E6AB6B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F24C28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988A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E6360A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91E14C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FF79A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2736008">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38D98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19893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535980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092647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ED55CD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2A4D29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C592F2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5183301">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471D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0D4246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8F484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C7F0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8A1DE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5DC26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C43BED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A955EED">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8CC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EEDE18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3B14D6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9B862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4D69E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4EF91E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3FC21B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F17B5D">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042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6E24F5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18CBA1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CB3D30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C343D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2CB8AB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729947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6B45772">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B6F9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3CA1D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85C54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214F5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40DD44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5DD83F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28DE9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7DF4D8">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353C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F8DED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B9EA7C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63B5D2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A3A618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67D04D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1C984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0ABAC79">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09D3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62F6B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2917B2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D31F0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012A6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DDB348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F29410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A25D19C">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ECEA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4C09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500FF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4AD35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E431C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8F4E5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8486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11940D">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486AE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E1DA4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A3C4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E18F60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4E6EA9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D3D39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C1F78F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12E8517">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0AFE6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0B4C3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935BDF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7EB9A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8DFD5A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8B790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614122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B6513F">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C316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3990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5B48B1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C8846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31697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A32C0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B555E7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3C6C491">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52656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3790F3B">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E06F20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7C0D78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0B389B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6FB90C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F4CF08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1B781D9">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CBA3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60EE4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EAE60C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95DC67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F41E6E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95E1157">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C1E3A8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455EDB">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14C43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64A767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4C2DF9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2AFB3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39865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07C36D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DD093E">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0223F0">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C43D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251488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B1BF97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E4A0C7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B37BD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BC725E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336A7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6B439E2">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A5D5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ED46D6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3704B3">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D0F3969">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91AA1D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A65B27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6D804D">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99A696">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7663C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497E01A">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DE3B08">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0971AA4">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1212146">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A1C040">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E54CE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E4C3085">
            <w:pPr>
              <w:pStyle w:val="8"/>
              <w:keepNext/>
              <w:spacing w:after="0" w:line="440" w:lineRule="exact"/>
              <w:ind w:left="63" w:right="63"/>
              <w:rPr>
                <w:rFonts w:ascii="等线" w:hAnsi="等线" w:eastAsia="仿宋_GB2312"/>
                <w:color w:val="auto"/>
                <w:kern w:val="2"/>
                <w:sz w:val="24"/>
                <w:szCs w:val="24"/>
                <w:highlight w:val="none"/>
                <w:lang w:val="en-US" w:eastAsia="zh-CN"/>
              </w:rPr>
            </w:pPr>
          </w:p>
        </w:tc>
      </w:tr>
      <w:tr w14:paraId="6EF37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D34DB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1CE9B21">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B730DEF">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843BAC">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94DF775">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B89362">
            <w:pPr>
              <w:pStyle w:val="8"/>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992C4AF">
            <w:pPr>
              <w:pStyle w:val="8"/>
              <w:keepNext/>
              <w:spacing w:after="0" w:line="440" w:lineRule="exact"/>
              <w:ind w:left="63" w:right="63"/>
              <w:rPr>
                <w:rFonts w:ascii="等线" w:hAnsi="等线" w:eastAsia="仿宋_GB2312"/>
                <w:color w:val="auto"/>
                <w:kern w:val="2"/>
                <w:sz w:val="24"/>
                <w:szCs w:val="24"/>
                <w:highlight w:val="none"/>
                <w:lang w:val="en-US" w:eastAsia="zh-CN"/>
              </w:rPr>
            </w:pPr>
          </w:p>
        </w:tc>
      </w:tr>
    </w:tbl>
    <w:p w14:paraId="154E71F4">
      <w:pPr>
        <w:spacing w:line="440" w:lineRule="exact"/>
        <w:rPr>
          <w:rFonts w:eastAsia="仿宋_GB2312"/>
          <w:color w:val="auto"/>
          <w:sz w:val="30"/>
          <w:szCs w:val="30"/>
          <w:highlight w:val="none"/>
        </w:rPr>
      </w:pPr>
    </w:p>
    <w:p w14:paraId="775757B3">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20"/>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129A9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2CF9CB1A">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0F877A7D">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08409F64">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0C520133">
            <w:pPr>
              <w:pStyle w:val="8"/>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28BEC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6C728FCC">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01566B3">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08E0CCE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85D10C8">
            <w:pPr>
              <w:pStyle w:val="8"/>
              <w:keepNext/>
              <w:spacing w:after="0" w:line="440" w:lineRule="exact"/>
              <w:ind w:left="63" w:right="63"/>
              <w:rPr>
                <w:rFonts w:ascii="等线" w:hAnsi="等线"/>
                <w:color w:val="auto"/>
                <w:kern w:val="2"/>
                <w:sz w:val="24"/>
                <w:szCs w:val="24"/>
                <w:highlight w:val="none"/>
                <w:lang w:val="en-US" w:eastAsia="zh-CN"/>
              </w:rPr>
            </w:pPr>
          </w:p>
        </w:tc>
      </w:tr>
      <w:tr w14:paraId="28DD3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10D65586">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3DC4B2F6">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20C482F1">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5F4EC6D">
            <w:pPr>
              <w:pStyle w:val="8"/>
              <w:keepNext/>
              <w:spacing w:after="0" w:line="440" w:lineRule="exact"/>
              <w:ind w:left="63" w:right="63"/>
              <w:rPr>
                <w:rFonts w:ascii="等线" w:hAnsi="等线"/>
                <w:color w:val="auto"/>
                <w:kern w:val="2"/>
                <w:sz w:val="24"/>
                <w:szCs w:val="24"/>
                <w:highlight w:val="none"/>
                <w:lang w:val="en-US" w:eastAsia="zh-CN"/>
              </w:rPr>
            </w:pPr>
          </w:p>
        </w:tc>
      </w:tr>
      <w:tr w14:paraId="7C4F7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64E4A57B">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0255A99">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7E03CD30">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4F9C1919">
            <w:pPr>
              <w:pStyle w:val="8"/>
              <w:keepNext/>
              <w:spacing w:after="0" w:line="440" w:lineRule="exact"/>
              <w:ind w:left="63" w:right="63"/>
              <w:rPr>
                <w:rFonts w:ascii="等线" w:hAnsi="等线"/>
                <w:color w:val="auto"/>
                <w:kern w:val="2"/>
                <w:sz w:val="24"/>
                <w:szCs w:val="24"/>
                <w:highlight w:val="none"/>
                <w:lang w:val="en-US" w:eastAsia="zh-CN"/>
              </w:rPr>
            </w:pPr>
          </w:p>
        </w:tc>
      </w:tr>
      <w:tr w14:paraId="07FB4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57768A5">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E7E4960">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F0BA0DD">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D066E9D">
            <w:pPr>
              <w:pStyle w:val="8"/>
              <w:keepNext/>
              <w:spacing w:after="0" w:line="440" w:lineRule="exact"/>
              <w:ind w:left="63" w:right="63"/>
              <w:rPr>
                <w:rFonts w:ascii="等线" w:hAnsi="等线"/>
                <w:color w:val="auto"/>
                <w:kern w:val="2"/>
                <w:sz w:val="24"/>
                <w:szCs w:val="24"/>
                <w:highlight w:val="none"/>
                <w:lang w:val="en-US" w:eastAsia="zh-CN"/>
              </w:rPr>
            </w:pPr>
          </w:p>
        </w:tc>
      </w:tr>
      <w:tr w14:paraId="63E15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35599A9">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5B94966">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D51144">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9821000">
            <w:pPr>
              <w:pStyle w:val="8"/>
              <w:keepNext/>
              <w:spacing w:after="0" w:line="440" w:lineRule="exact"/>
              <w:ind w:left="63" w:right="63"/>
              <w:rPr>
                <w:rFonts w:ascii="等线" w:hAnsi="等线"/>
                <w:color w:val="auto"/>
                <w:kern w:val="2"/>
                <w:sz w:val="24"/>
                <w:szCs w:val="24"/>
                <w:highlight w:val="none"/>
                <w:lang w:val="en-US" w:eastAsia="zh-CN"/>
              </w:rPr>
            </w:pPr>
          </w:p>
        </w:tc>
      </w:tr>
      <w:tr w14:paraId="3CFBA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09E950E">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11FF40B">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B9301D">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B25A9C9">
            <w:pPr>
              <w:pStyle w:val="8"/>
              <w:keepNext/>
              <w:spacing w:after="0" w:line="440" w:lineRule="exact"/>
              <w:ind w:left="63" w:right="63"/>
              <w:rPr>
                <w:rFonts w:ascii="等线" w:hAnsi="等线"/>
                <w:color w:val="auto"/>
                <w:kern w:val="2"/>
                <w:sz w:val="24"/>
                <w:szCs w:val="24"/>
                <w:highlight w:val="none"/>
                <w:lang w:val="en-US" w:eastAsia="zh-CN"/>
              </w:rPr>
            </w:pPr>
          </w:p>
        </w:tc>
      </w:tr>
      <w:tr w14:paraId="23226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D5EF1A7">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4C67858">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B395C22">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BFDC4C">
            <w:pPr>
              <w:pStyle w:val="8"/>
              <w:keepNext/>
              <w:spacing w:after="0" w:line="440" w:lineRule="exact"/>
              <w:ind w:left="63" w:right="63"/>
              <w:rPr>
                <w:rFonts w:ascii="等线" w:hAnsi="等线"/>
                <w:color w:val="auto"/>
                <w:kern w:val="2"/>
                <w:sz w:val="24"/>
                <w:szCs w:val="24"/>
                <w:highlight w:val="none"/>
                <w:lang w:val="en-US" w:eastAsia="zh-CN"/>
              </w:rPr>
            </w:pPr>
          </w:p>
        </w:tc>
      </w:tr>
      <w:tr w14:paraId="2D06D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B26E00B">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15BC123">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61AE07A">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B3B3DF3">
            <w:pPr>
              <w:pStyle w:val="8"/>
              <w:keepNext/>
              <w:spacing w:after="0" w:line="440" w:lineRule="exact"/>
              <w:ind w:left="63" w:right="63"/>
              <w:rPr>
                <w:rFonts w:ascii="等线" w:hAnsi="等线"/>
                <w:color w:val="auto"/>
                <w:kern w:val="2"/>
                <w:sz w:val="24"/>
                <w:szCs w:val="24"/>
                <w:highlight w:val="none"/>
                <w:lang w:val="en-US" w:eastAsia="zh-CN"/>
              </w:rPr>
            </w:pPr>
          </w:p>
        </w:tc>
      </w:tr>
      <w:tr w14:paraId="539D3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73520C6">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8131690">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3743A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BA5889">
            <w:pPr>
              <w:pStyle w:val="8"/>
              <w:keepNext/>
              <w:spacing w:after="0" w:line="440" w:lineRule="exact"/>
              <w:ind w:left="63" w:right="63"/>
              <w:rPr>
                <w:rFonts w:ascii="等线" w:hAnsi="等线"/>
                <w:color w:val="auto"/>
                <w:kern w:val="2"/>
                <w:sz w:val="24"/>
                <w:szCs w:val="24"/>
                <w:highlight w:val="none"/>
                <w:lang w:val="en-US" w:eastAsia="zh-CN"/>
              </w:rPr>
            </w:pPr>
          </w:p>
        </w:tc>
      </w:tr>
      <w:tr w14:paraId="29BA0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76DEA9E">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CDB36A2">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3B910B">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3A059FD">
            <w:pPr>
              <w:pStyle w:val="8"/>
              <w:keepNext/>
              <w:spacing w:after="0" w:line="440" w:lineRule="exact"/>
              <w:ind w:left="63" w:right="63"/>
              <w:rPr>
                <w:rFonts w:ascii="等线" w:hAnsi="等线"/>
                <w:color w:val="auto"/>
                <w:kern w:val="2"/>
                <w:sz w:val="24"/>
                <w:szCs w:val="24"/>
                <w:highlight w:val="none"/>
                <w:lang w:val="en-US" w:eastAsia="zh-CN"/>
              </w:rPr>
            </w:pPr>
          </w:p>
        </w:tc>
      </w:tr>
      <w:tr w14:paraId="45331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942C321">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D087043">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A7FDE8">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63E0255">
            <w:pPr>
              <w:pStyle w:val="8"/>
              <w:keepNext/>
              <w:spacing w:after="0" w:line="440" w:lineRule="exact"/>
              <w:ind w:left="63" w:right="63"/>
              <w:rPr>
                <w:rFonts w:ascii="等线" w:hAnsi="等线"/>
                <w:color w:val="auto"/>
                <w:kern w:val="2"/>
                <w:sz w:val="24"/>
                <w:szCs w:val="24"/>
                <w:highlight w:val="none"/>
                <w:lang w:val="en-US" w:eastAsia="zh-CN"/>
              </w:rPr>
            </w:pPr>
          </w:p>
        </w:tc>
      </w:tr>
      <w:tr w14:paraId="5642E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21A9764">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0FB30E1">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D252726">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D6DEE75">
            <w:pPr>
              <w:pStyle w:val="8"/>
              <w:keepNext/>
              <w:spacing w:after="0" w:line="440" w:lineRule="exact"/>
              <w:ind w:left="63" w:right="63"/>
              <w:rPr>
                <w:rFonts w:ascii="等线" w:hAnsi="等线"/>
                <w:color w:val="auto"/>
                <w:kern w:val="2"/>
                <w:sz w:val="24"/>
                <w:szCs w:val="24"/>
                <w:highlight w:val="none"/>
                <w:lang w:val="en-US" w:eastAsia="zh-CN"/>
              </w:rPr>
            </w:pPr>
          </w:p>
        </w:tc>
      </w:tr>
      <w:tr w14:paraId="57248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AB87299">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0F73A5">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BEE45E3">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4782C40">
            <w:pPr>
              <w:pStyle w:val="8"/>
              <w:keepNext/>
              <w:spacing w:after="0" w:line="440" w:lineRule="exact"/>
              <w:ind w:left="63" w:right="63"/>
              <w:rPr>
                <w:rFonts w:ascii="等线" w:hAnsi="等线"/>
                <w:color w:val="auto"/>
                <w:kern w:val="2"/>
                <w:sz w:val="24"/>
                <w:szCs w:val="24"/>
                <w:highlight w:val="none"/>
                <w:lang w:val="en-US" w:eastAsia="zh-CN"/>
              </w:rPr>
            </w:pPr>
          </w:p>
        </w:tc>
      </w:tr>
      <w:tr w14:paraId="7285A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019D1DC">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097D614">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4666A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513A6F">
            <w:pPr>
              <w:pStyle w:val="8"/>
              <w:keepNext/>
              <w:spacing w:after="0" w:line="440" w:lineRule="exact"/>
              <w:ind w:left="63" w:right="63"/>
              <w:rPr>
                <w:rFonts w:ascii="等线" w:hAnsi="等线"/>
                <w:color w:val="auto"/>
                <w:kern w:val="2"/>
                <w:sz w:val="24"/>
                <w:szCs w:val="24"/>
                <w:highlight w:val="none"/>
                <w:lang w:val="en-US" w:eastAsia="zh-CN"/>
              </w:rPr>
            </w:pPr>
          </w:p>
        </w:tc>
      </w:tr>
      <w:tr w14:paraId="57661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2D5C670">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C84DB26">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3CBAD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405197F">
            <w:pPr>
              <w:pStyle w:val="8"/>
              <w:keepNext/>
              <w:spacing w:after="0" w:line="440" w:lineRule="exact"/>
              <w:ind w:left="63" w:right="63"/>
              <w:rPr>
                <w:rFonts w:ascii="等线" w:hAnsi="等线"/>
                <w:color w:val="auto"/>
                <w:kern w:val="2"/>
                <w:sz w:val="24"/>
                <w:szCs w:val="24"/>
                <w:highlight w:val="none"/>
                <w:lang w:val="en-US" w:eastAsia="zh-CN"/>
              </w:rPr>
            </w:pPr>
          </w:p>
        </w:tc>
      </w:tr>
      <w:tr w14:paraId="4E4C7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F60B01A">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3627AE2">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4B5CAA">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A0B5CB9">
            <w:pPr>
              <w:pStyle w:val="8"/>
              <w:keepNext/>
              <w:spacing w:after="0" w:line="440" w:lineRule="exact"/>
              <w:ind w:left="63" w:right="63"/>
              <w:rPr>
                <w:rFonts w:ascii="等线" w:hAnsi="等线"/>
                <w:color w:val="auto"/>
                <w:kern w:val="2"/>
                <w:sz w:val="24"/>
                <w:szCs w:val="24"/>
                <w:highlight w:val="none"/>
                <w:lang w:val="en-US" w:eastAsia="zh-CN"/>
              </w:rPr>
            </w:pPr>
          </w:p>
        </w:tc>
      </w:tr>
      <w:tr w14:paraId="6324E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0A07C07">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51BD401">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7513AC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C60836C">
            <w:pPr>
              <w:pStyle w:val="8"/>
              <w:keepNext/>
              <w:spacing w:after="0" w:line="440" w:lineRule="exact"/>
              <w:ind w:left="63" w:right="63"/>
              <w:rPr>
                <w:rFonts w:ascii="等线" w:hAnsi="等线"/>
                <w:color w:val="auto"/>
                <w:kern w:val="2"/>
                <w:sz w:val="24"/>
                <w:szCs w:val="24"/>
                <w:highlight w:val="none"/>
                <w:lang w:val="en-US" w:eastAsia="zh-CN"/>
              </w:rPr>
            </w:pPr>
          </w:p>
        </w:tc>
      </w:tr>
      <w:tr w14:paraId="32C7C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D9E6050">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3D29349">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7C0A475">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D14A345">
            <w:pPr>
              <w:pStyle w:val="8"/>
              <w:keepNext/>
              <w:spacing w:after="0" w:line="440" w:lineRule="exact"/>
              <w:ind w:left="63" w:right="63"/>
              <w:rPr>
                <w:rFonts w:ascii="等线" w:hAnsi="等线"/>
                <w:color w:val="auto"/>
                <w:kern w:val="2"/>
                <w:sz w:val="24"/>
                <w:szCs w:val="24"/>
                <w:highlight w:val="none"/>
                <w:lang w:val="en-US" w:eastAsia="zh-CN"/>
              </w:rPr>
            </w:pPr>
          </w:p>
        </w:tc>
      </w:tr>
      <w:tr w14:paraId="4E206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0185EAF">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9B321D5">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4A812A7">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3946BE7">
            <w:pPr>
              <w:pStyle w:val="8"/>
              <w:keepNext/>
              <w:spacing w:after="0" w:line="440" w:lineRule="exact"/>
              <w:ind w:left="63" w:right="63"/>
              <w:rPr>
                <w:rFonts w:ascii="等线" w:hAnsi="等线"/>
                <w:color w:val="auto"/>
                <w:kern w:val="2"/>
                <w:sz w:val="24"/>
                <w:szCs w:val="24"/>
                <w:highlight w:val="none"/>
                <w:lang w:val="en-US" w:eastAsia="zh-CN"/>
              </w:rPr>
            </w:pPr>
          </w:p>
        </w:tc>
      </w:tr>
      <w:tr w14:paraId="0DB92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B3CAF69">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C6FEE6F">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21F955B">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FACD499">
            <w:pPr>
              <w:pStyle w:val="8"/>
              <w:keepNext/>
              <w:spacing w:after="0" w:line="440" w:lineRule="exact"/>
              <w:ind w:left="63" w:right="63"/>
              <w:rPr>
                <w:rFonts w:ascii="等线" w:hAnsi="等线"/>
                <w:color w:val="auto"/>
                <w:kern w:val="2"/>
                <w:sz w:val="24"/>
                <w:szCs w:val="24"/>
                <w:highlight w:val="none"/>
                <w:lang w:val="en-US" w:eastAsia="zh-CN"/>
              </w:rPr>
            </w:pPr>
          </w:p>
        </w:tc>
      </w:tr>
      <w:tr w14:paraId="3A495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8177129">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25C9BC1">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8018385">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FC405C3">
            <w:pPr>
              <w:pStyle w:val="8"/>
              <w:keepNext/>
              <w:spacing w:after="0" w:line="440" w:lineRule="exact"/>
              <w:ind w:left="63" w:right="63"/>
              <w:rPr>
                <w:rFonts w:ascii="等线" w:hAnsi="等线"/>
                <w:color w:val="auto"/>
                <w:kern w:val="2"/>
                <w:sz w:val="24"/>
                <w:szCs w:val="24"/>
                <w:highlight w:val="none"/>
                <w:lang w:val="en-US" w:eastAsia="zh-CN"/>
              </w:rPr>
            </w:pPr>
          </w:p>
        </w:tc>
      </w:tr>
      <w:tr w14:paraId="282A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BC654A5">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BB11600">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703C3FF">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4A72FEF">
            <w:pPr>
              <w:pStyle w:val="8"/>
              <w:keepNext/>
              <w:spacing w:after="0" w:line="440" w:lineRule="exact"/>
              <w:ind w:left="63" w:right="63"/>
              <w:rPr>
                <w:rFonts w:ascii="等线" w:hAnsi="等线"/>
                <w:color w:val="auto"/>
                <w:kern w:val="2"/>
                <w:sz w:val="24"/>
                <w:szCs w:val="24"/>
                <w:highlight w:val="none"/>
                <w:lang w:val="en-US" w:eastAsia="zh-CN"/>
              </w:rPr>
            </w:pPr>
          </w:p>
        </w:tc>
      </w:tr>
      <w:tr w14:paraId="51D69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655E9B">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DD2168">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28A016">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100431C">
            <w:pPr>
              <w:pStyle w:val="8"/>
              <w:keepNext/>
              <w:spacing w:after="0" w:line="440" w:lineRule="exact"/>
              <w:ind w:left="63" w:right="63"/>
              <w:rPr>
                <w:rFonts w:ascii="等线" w:hAnsi="等线"/>
                <w:color w:val="auto"/>
                <w:kern w:val="2"/>
                <w:sz w:val="24"/>
                <w:szCs w:val="24"/>
                <w:highlight w:val="none"/>
                <w:lang w:val="en-US" w:eastAsia="zh-CN"/>
              </w:rPr>
            </w:pPr>
          </w:p>
        </w:tc>
      </w:tr>
      <w:tr w14:paraId="51866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F534608">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869B7F8">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B276AB">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752B40C">
            <w:pPr>
              <w:pStyle w:val="8"/>
              <w:keepNext/>
              <w:spacing w:after="0" w:line="440" w:lineRule="exact"/>
              <w:ind w:left="63" w:right="63"/>
              <w:rPr>
                <w:rFonts w:ascii="等线" w:hAnsi="等线"/>
                <w:color w:val="auto"/>
                <w:kern w:val="2"/>
                <w:sz w:val="24"/>
                <w:szCs w:val="24"/>
                <w:highlight w:val="none"/>
                <w:lang w:val="en-US" w:eastAsia="zh-CN"/>
              </w:rPr>
            </w:pPr>
          </w:p>
        </w:tc>
      </w:tr>
      <w:tr w14:paraId="2FFA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8134542">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6FBA818">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CB253AC">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6E13B2F">
            <w:pPr>
              <w:pStyle w:val="8"/>
              <w:keepNext/>
              <w:spacing w:after="0" w:line="440" w:lineRule="exact"/>
              <w:ind w:left="63" w:right="63"/>
              <w:rPr>
                <w:rFonts w:ascii="等线" w:hAnsi="等线"/>
                <w:color w:val="auto"/>
                <w:kern w:val="2"/>
                <w:sz w:val="24"/>
                <w:szCs w:val="24"/>
                <w:highlight w:val="none"/>
                <w:lang w:val="en-US" w:eastAsia="zh-CN"/>
              </w:rPr>
            </w:pPr>
          </w:p>
        </w:tc>
      </w:tr>
      <w:tr w14:paraId="7CA65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EFCB6B0">
            <w:pPr>
              <w:pStyle w:val="8"/>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016364">
            <w:pPr>
              <w:pStyle w:val="8"/>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58300E5">
            <w:pPr>
              <w:pStyle w:val="8"/>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5F73FB5">
            <w:pPr>
              <w:pStyle w:val="8"/>
              <w:keepNext/>
              <w:spacing w:after="0" w:line="440" w:lineRule="exact"/>
              <w:ind w:left="63" w:right="63"/>
              <w:rPr>
                <w:rFonts w:ascii="等线" w:hAnsi="等线"/>
                <w:color w:val="auto"/>
                <w:kern w:val="2"/>
                <w:sz w:val="24"/>
                <w:szCs w:val="24"/>
                <w:highlight w:val="none"/>
                <w:lang w:val="en-US" w:eastAsia="zh-CN"/>
              </w:rPr>
            </w:pPr>
          </w:p>
        </w:tc>
      </w:tr>
      <w:tr w14:paraId="36519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5285ACC3">
            <w:pPr>
              <w:pStyle w:val="8"/>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2314B81B">
      <w:pPr>
        <w:spacing w:line="480" w:lineRule="auto"/>
        <w:rPr>
          <w:rFonts w:hAnsi="宋体"/>
          <w:color w:val="auto"/>
          <w:highlight w:val="none"/>
        </w:rPr>
      </w:pPr>
    </w:p>
    <w:p w14:paraId="67F55FAF">
      <w:pPr>
        <w:jc w:val="center"/>
        <w:outlineLvl w:val="0"/>
        <w:rPr>
          <w:rFonts w:hint="eastAsia" w:ascii="华文中宋" w:hAnsi="华文中宋" w:eastAsia="华文中宋" w:cs="华文中宋"/>
          <w:b/>
          <w:bCs/>
          <w:color w:val="auto"/>
          <w:sz w:val="32"/>
          <w:szCs w:val="32"/>
          <w:highlight w:val="none"/>
        </w:rPr>
      </w:pPr>
      <w:bookmarkStart w:id="1072" w:name="_Toc31864"/>
      <w:bookmarkStart w:id="1073" w:name="_Toc2274"/>
      <w:bookmarkStart w:id="1074" w:name="_Toc4230"/>
      <w:r>
        <w:rPr>
          <w:rFonts w:hint="eastAsia" w:ascii="华文中宋" w:hAnsi="华文中宋" w:eastAsia="华文中宋" w:cs="华文中宋"/>
          <w:b/>
          <w:bCs/>
          <w:color w:val="auto"/>
          <w:sz w:val="32"/>
          <w:szCs w:val="32"/>
          <w:highlight w:val="none"/>
        </w:rPr>
        <w:t xml:space="preserve">第六章  </w:t>
      </w:r>
      <w:bookmarkEnd w:id="200"/>
      <w:bookmarkEnd w:id="201"/>
      <w:bookmarkStart w:id="1075" w:name="_Toc13185"/>
      <w:r>
        <w:rPr>
          <w:rFonts w:hint="eastAsia" w:ascii="华文中宋" w:hAnsi="华文中宋" w:eastAsia="华文中宋" w:cs="华文中宋"/>
          <w:b/>
          <w:bCs/>
          <w:color w:val="auto"/>
          <w:sz w:val="32"/>
          <w:szCs w:val="32"/>
          <w:highlight w:val="none"/>
        </w:rPr>
        <w:t>响应文件（格式）</w:t>
      </w:r>
      <w:bookmarkEnd w:id="1072"/>
      <w:bookmarkEnd w:id="1073"/>
      <w:bookmarkEnd w:id="1074"/>
      <w:bookmarkEnd w:id="1075"/>
    </w:p>
    <w:p w14:paraId="3FA8B43D">
      <w:pPr>
        <w:rPr>
          <w:rFonts w:hint="eastAsia" w:ascii="宋体" w:hAnsi="宋体" w:eastAsia="宋体" w:cs="宋体"/>
          <w:color w:val="auto"/>
          <w:highlight w:val="none"/>
        </w:rPr>
      </w:pPr>
    </w:p>
    <w:p w14:paraId="54DFC1E8">
      <w:pPr>
        <w:rPr>
          <w:rFonts w:ascii="宋体" w:hAnsi="宋体"/>
          <w:b/>
          <w:color w:val="auto"/>
          <w:sz w:val="32"/>
          <w:szCs w:val="20"/>
          <w:highlight w:val="none"/>
        </w:rPr>
      </w:pPr>
      <w:bookmarkStart w:id="1076" w:name="_Toc18351"/>
      <w:bookmarkStart w:id="1077" w:name="_Toc497927069"/>
      <w:bookmarkStart w:id="1078" w:name="_Toc21496"/>
      <w:r>
        <w:rPr>
          <w:rFonts w:hint="eastAsia" w:ascii="宋体" w:hAnsi="宋体"/>
          <w:b/>
          <w:color w:val="auto"/>
          <w:sz w:val="32"/>
          <w:szCs w:val="20"/>
          <w:highlight w:val="none"/>
        </w:rPr>
        <w:t>响应文件</w:t>
      </w:r>
      <w:bookmarkEnd w:id="1076"/>
      <w:bookmarkEnd w:id="1077"/>
      <w:bookmarkEnd w:id="1078"/>
      <w:r>
        <w:rPr>
          <w:rFonts w:hint="eastAsia" w:ascii="宋体" w:hAnsi="宋体"/>
          <w:b/>
          <w:color w:val="auto"/>
          <w:sz w:val="32"/>
          <w:szCs w:val="20"/>
          <w:highlight w:val="none"/>
        </w:rPr>
        <w:t>封面格式：</w:t>
      </w:r>
    </w:p>
    <w:p w14:paraId="1C941800">
      <w:pPr>
        <w:adjustRightInd w:val="0"/>
        <w:snapToGrid w:val="0"/>
        <w:rPr>
          <w:rFonts w:ascii="宋体" w:hAnsi="宋体" w:cs="宋体"/>
          <w:b/>
          <w:color w:val="auto"/>
          <w:sz w:val="44"/>
          <w:szCs w:val="44"/>
          <w:highlight w:val="none"/>
        </w:rPr>
      </w:pPr>
    </w:p>
    <w:p w14:paraId="366A4585">
      <w:pPr>
        <w:autoSpaceDE w:val="0"/>
        <w:autoSpaceDN w:val="0"/>
        <w:adjustRightInd w:val="0"/>
        <w:jc w:val="left"/>
        <w:rPr>
          <w:rFonts w:hint="eastAsia"/>
          <w:color w:val="auto"/>
          <w:kern w:val="0"/>
          <w:sz w:val="24"/>
          <w:highlight w:val="none"/>
        </w:rPr>
      </w:pPr>
    </w:p>
    <w:p w14:paraId="304DE38D">
      <w:pPr>
        <w:autoSpaceDE w:val="0"/>
        <w:autoSpaceDN w:val="0"/>
        <w:adjustRightInd w:val="0"/>
        <w:jc w:val="left"/>
        <w:rPr>
          <w:rFonts w:hint="eastAsia"/>
          <w:color w:val="auto"/>
          <w:kern w:val="0"/>
          <w:sz w:val="24"/>
          <w:highlight w:val="none"/>
        </w:rPr>
      </w:pPr>
    </w:p>
    <w:p w14:paraId="70781809">
      <w:pPr>
        <w:autoSpaceDE w:val="0"/>
        <w:autoSpaceDN w:val="0"/>
        <w:adjustRightInd w:val="0"/>
        <w:jc w:val="left"/>
        <w:rPr>
          <w:color w:val="auto"/>
          <w:kern w:val="0"/>
          <w:sz w:val="24"/>
          <w:highlight w:val="none"/>
        </w:rPr>
      </w:pPr>
    </w:p>
    <w:p w14:paraId="2FBB48D5">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2455845B">
      <w:pPr>
        <w:snapToGrid w:val="0"/>
        <w:spacing w:before="165" w:beforeLines="50" w:after="50"/>
        <w:ind w:firstLine="422" w:firstLineChars="150"/>
        <w:rPr>
          <w:rFonts w:ascii="宋体" w:hAnsi="宋体" w:cs="宋体"/>
          <w:b/>
          <w:color w:val="auto"/>
          <w:sz w:val="28"/>
          <w:szCs w:val="28"/>
          <w:highlight w:val="none"/>
        </w:rPr>
      </w:pPr>
    </w:p>
    <w:p w14:paraId="1C535961">
      <w:pPr>
        <w:snapToGrid w:val="0"/>
        <w:spacing w:before="165" w:beforeLines="50" w:after="50"/>
        <w:ind w:firstLine="422" w:firstLineChars="150"/>
        <w:rPr>
          <w:rFonts w:ascii="宋体" w:hAnsi="宋体" w:cs="宋体"/>
          <w:b/>
          <w:color w:val="auto"/>
          <w:sz w:val="28"/>
          <w:szCs w:val="28"/>
          <w:highlight w:val="none"/>
        </w:rPr>
      </w:pPr>
    </w:p>
    <w:p w14:paraId="2B5BB7D7">
      <w:pPr>
        <w:snapToGrid w:val="0"/>
        <w:spacing w:before="165" w:beforeLines="50" w:after="50"/>
        <w:ind w:firstLine="2249" w:firstLineChars="800"/>
        <w:jc w:val="left"/>
        <w:rPr>
          <w:rFonts w:hint="eastAsia" w:ascii="宋体" w:hAnsi="宋体" w:cs="宋体"/>
          <w:b/>
          <w:color w:val="auto"/>
          <w:sz w:val="28"/>
          <w:szCs w:val="28"/>
          <w:highlight w:val="none"/>
        </w:rPr>
      </w:pPr>
    </w:p>
    <w:p w14:paraId="19D56988">
      <w:pPr>
        <w:snapToGrid w:val="0"/>
        <w:spacing w:before="165" w:beforeLines="50" w:after="50"/>
        <w:ind w:firstLine="2249" w:firstLineChars="800"/>
        <w:jc w:val="left"/>
        <w:rPr>
          <w:rFonts w:hint="eastAsia" w:ascii="宋体" w:hAnsi="宋体" w:cs="宋体"/>
          <w:b/>
          <w:color w:val="auto"/>
          <w:sz w:val="28"/>
          <w:szCs w:val="28"/>
          <w:highlight w:val="none"/>
        </w:rPr>
      </w:pPr>
    </w:p>
    <w:p w14:paraId="77EB8CF9">
      <w:pPr>
        <w:keepNext w:val="0"/>
        <w:keepLines w:val="0"/>
        <w:pageBreakBefore w:val="0"/>
        <w:widowControl w:val="0"/>
        <w:kinsoku/>
        <w:wordWrap/>
        <w:overflowPunct/>
        <w:topLinePunct w:val="0"/>
        <w:autoSpaceDE/>
        <w:autoSpaceDN/>
        <w:bidi w:val="0"/>
        <w:adjustRightInd/>
        <w:snapToGrid w:val="0"/>
        <w:spacing w:before="165" w:beforeLines="50" w:after="50"/>
        <w:ind w:left="3373" w:hanging="3373" w:hangingChars="1200"/>
        <w:jc w:val="left"/>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lang w:eastAsia="zh-CN"/>
        </w:rPr>
        <w:t>阳朔县高田镇体育中心建设项目</w:t>
      </w:r>
    </w:p>
    <w:p w14:paraId="167A3522">
      <w:pPr>
        <w:keepNext w:val="0"/>
        <w:keepLines w:val="0"/>
        <w:pageBreakBefore w:val="0"/>
        <w:widowControl w:val="0"/>
        <w:kinsoku/>
        <w:wordWrap/>
        <w:overflowPunct/>
        <w:topLinePunct w:val="0"/>
        <w:autoSpaceDE/>
        <w:autoSpaceDN/>
        <w:bidi w:val="0"/>
        <w:adjustRightInd/>
        <w:snapToGrid w:val="0"/>
        <w:spacing w:before="165" w:beforeLines="50" w:after="50"/>
        <w:ind w:firstLine="1968" w:firstLineChars="7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u w:val="single"/>
          <w:lang w:eastAsia="zh-CN"/>
        </w:rPr>
        <w:t>GLZC2025-C2-210057-GXLZ</w:t>
      </w:r>
    </w:p>
    <w:p w14:paraId="65ECCADF">
      <w:pPr>
        <w:rPr>
          <w:rFonts w:ascii="宋体" w:hAnsi="宋体" w:cs="宋体"/>
          <w:b/>
          <w:color w:val="auto"/>
          <w:highlight w:val="none"/>
        </w:rPr>
      </w:pPr>
    </w:p>
    <w:p w14:paraId="2F243775">
      <w:pPr>
        <w:spacing w:line="400" w:lineRule="exact"/>
        <w:ind w:firstLine="2704" w:firstLineChars="962"/>
        <w:rPr>
          <w:rFonts w:ascii="宋体" w:hAnsi="宋体" w:cs="宋体"/>
          <w:b/>
          <w:color w:val="auto"/>
          <w:sz w:val="28"/>
          <w:szCs w:val="28"/>
          <w:highlight w:val="none"/>
        </w:rPr>
      </w:pPr>
    </w:p>
    <w:p w14:paraId="38F96502">
      <w:pPr>
        <w:spacing w:line="400" w:lineRule="exact"/>
        <w:ind w:firstLine="2704" w:firstLineChars="962"/>
        <w:rPr>
          <w:rFonts w:ascii="宋体" w:hAnsi="宋体" w:cs="宋体"/>
          <w:b/>
          <w:color w:val="auto"/>
          <w:sz w:val="28"/>
          <w:szCs w:val="28"/>
          <w:highlight w:val="none"/>
        </w:rPr>
      </w:pPr>
    </w:p>
    <w:p w14:paraId="79C8579A">
      <w:pPr>
        <w:spacing w:line="400" w:lineRule="exact"/>
        <w:ind w:firstLine="2704" w:firstLineChars="962"/>
        <w:rPr>
          <w:rFonts w:ascii="宋体" w:hAnsi="宋体" w:cs="宋体"/>
          <w:b/>
          <w:color w:val="auto"/>
          <w:sz w:val="28"/>
          <w:szCs w:val="28"/>
          <w:highlight w:val="none"/>
        </w:rPr>
      </w:pPr>
    </w:p>
    <w:p w14:paraId="228F4E93">
      <w:pPr>
        <w:snapToGrid w:val="0"/>
        <w:spacing w:before="165" w:beforeLines="50" w:after="50"/>
        <w:ind w:firstLine="1968" w:firstLineChars="700"/>
        <w:jc w:val="left"/>
        <w:rPr>
          <w:rFonts w:hint="eastAsia" w:ascii="宋体" w:hAnsi="宋体" w:eastAsia="宋体" w:cs="宋体"/>
          <w:b/>
          <w:color w:val="auto"/>
          <w:sz w:val="28"/>
          <w:szCs w:val="28"/>
          <w:highlight w:val="none"/>
          <w:u w:val="none"/>
          <w:lang w:eastAsia="zh-CN"/>
        </w:rPr>
      </w:pPr>
      <w:r>
        <w:rPr>
          <w:rFonts w:hint="eastAsia" w:ascii="宋体" w:hAnsi="宋体" w:cs="宋体"/>
          <w:b/>
          <w:color w:val="auto"/>
          <w:kern w:val="0"/>
          <w:sz w:val="28"/>
          <w:szCs w:val="28"/>
          <w:highlight w:val="none"/>
          <w:lang w:val="en-US" w:eastAsia="zh-CN"/>
        </w:rPr>
        <w:t xml:space="preserve"> </w:t>
      </w: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none"/>
        </w:rPr>
        <w:t>：</w:t>
      </w:r>
      <w:r>
        <w:rPr>
          <w:rFonts w:hint="eastAsia" w:ascii="宋体" w:hAnsi="宋体" w:cs="宋体"/>
          <w:b/>
          <w:color w:val="auto"/>
          <w:sz w:val="28"/>
          <w:szCs w:val="28"/>
          <w:highlight w:val="none"/>
          <w:u w:val="none"/>
          <w:lang w:eastAsia="zh-CN"/>
        </w:rPr>
        <w:t>广西乐正工程项目管理有限公司</w:t>
      </w:r>
    </w:p>
    <w:p w14:paraId="43AE1663">
      <w:pPr>
        <w:spacing w:after="120"/>
        <w:ind w:left="980" w:leftChars="200" w:hanging="560" w:hangingChars="200"/>
        <w:rPr>
          <w:rFonts w:hint="eastAsia" w:ascii="宋体" w:hAnsi="宋体" w:cs="宋体"/>
          <w:bCs/>
          <w:color w:val="auto"/>
          <w:sz w:val="28"/>
          <w:szCs w:val="28"/>
          <w:highlight w:val="none"/>
        </w:rPr>
      </w:pPr>
      <w:bookmarkStart w:id="1079" w:name="_Toc20319_WPSOffice_Level2"/>
      <w:bookmarkStart w:id="1080" w:name="_Toc4932_WPSOffice_Level2"/>
    </w:p>
    <w:p w14:paraId="743A9D7F">
      <w:pPr>
        <w:spacing w:after="120"/>
        <w:ind w:left="980" w:leftChars="200" w:hanging="560" w:hangingChars="200"/>
        <w:rPr>
          <w:rFonts w:hint="eastAsia" w:ascii="宋体" w:hAnsi="宋体" w:cs="宋体"/>
          <w:bCs/>
          <w:color w:val="auto"/>
          <w:sz w:val="28"/>
          <w:szCs w:val="28"/>
          <w:highlight w:val="none"/>
        </w:rPr>
      </w:pPr>
    </w:p>
    <w:p w14:paraId="0EB0B124">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1079"/>
      <w:bookmarkEnd w:id="1080"/>
      <w:r>
        <w:rPr>
          <w:rFonts w:hint="eastAsia" w:ascii="宋体" w:hAnsi="宋体" w:cs="宋体"/>
          <w:bCs/>
          <w:color w:val="auto"/>
          <w:sz w:val="28"/>
          <w:szCs w:val="28"/>
          <w:highlight w:val="none"/>
          <w:u w:val="single"/>
        </w:rPr>
        <w:t xml:space="preserve">                              </w:t>
      </w:r>
    </w:p>
    <w:p w14:paraId="1AF8E7E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1081" w:name="_Toc32056_WPSOffice_Level2"/>
      <w:bookmarkStart w:id="1082" w:name="_Toc9622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1081"/>
    <w:bookmarkEnd w:id="1082"/>
    <w:p w14:paraId="531E86C8">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1083" w:name="_Toc26465_WPSOffice_Level2"/>
      <w:bookmarkStart w:id="1084"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1083"/>
      <w:bookmarkEnd w:id="1084"/>
    </w:p>
    <w:p w14:paraId="7DDC6B8F">
      <w:pPr>
        <w:pStyle w:val="37"/>
        <w:rPr>
          <w:rFonts w:hint="eastAsia"/>
          <w:color w:val="auto"/>
          <w:highlight w:val="none"/>
        </w:rPr>
      </w:pPr>
    </w:p>
    <w:p w14:paraId="7BC38B8D">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EBD9970">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C09BE50">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DEB4789">
      <w:pPr>
        <w:pStyle w:val="9"/>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1C01C8">
      <w:pPr>
        <w:numPr>
          <w:ilvl w:val="0"/>
          <w:numId w:val="9"/>
        </w:numPr>
        <w:spacing w:line="400" w:lineRule="exact"/>
        <w:ind w:firstLine="649" w:firstLineChars="202"/>
        <w:rPr>
          <w:rFonts w:hint="eastAsia" w:ascii="宋体" w:hAnsi="宋体" w:eastAsia="宋体" w:cs="宋体"/>
          <w:b/>
          <w:bCs/>
          <w:color w:val="auto"/>
          <w:sz w:val="28"/>
          <w:szCs w:val="28"/>
          <w:highlight w:val="none"/>
        </w:rPr>
      </w:pPr>
      <w:bookmarkStart w:id="1085" w:name="_Toc497927070"/>
      <w:bookmarkStart w:id="1086" w:name="_Toc21615"/>
      <w:bookmarkStart w:id="1087" w:name="_Toc19430"/>
      <w:r>
        <w:rPr>
          <w:rFonts w:hint="eastAsia" w:ascii="宋体" w:hAnsi="宋体" w:eastAsia="宋体" w:cs="宋体"/>
          <w:b/>
          <w:bCs/>
          <w:color w:val="auto"/>
          <w:sz w:val="32"/>
          <w:szCs w:val="32"/>
          <w:highlight w:val="none"/>
          <w:lang w:eastAsia="zh-CN"/>
        </w:rPr>
        <w:br w:type="page"/>
      </w:r>
      <w:bookmarkEnd w:id="1085"/>
      <w:bookmarkEnd w:id="1086"/>
      <w:bookmarkEnd w:id="1087"/>
    </w:p>
    <w:p w14:paraId="43CA3D57">
      <w:pPr>
        <w:keepLines w:val="0"/>
        <w:pageBreakBefore w:val="0"/>
        <w:widowControl w:val="0"/>
        <w:numPr>
          <w:ilvl w:val="0"/>
          <w:numId w:val="10"/>
        </w:numPr>
        <w:tabs>
          <w:tab w:val="left" w:pos="3570"/>
        </w:tabs>
        <w:kinsoku/>
        <w:wordWrap/>
        <w:overflowPunct/>
        <w:topLinePunct w:val="0"/>
        <w:autoSpaceDE/>
        <w:autoSpaceDN/>
        <w:bidi w:val="0"/>
        <w:adjustRightInd/>
        <w:snapToGrid/>
        <w:spacing w:line="400" w:lineRule="exact"/>
        <w:jc w:val="both"/>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1088" w:name="_Toc7185"/>
      <w:bookmarkStart w:id="1089" w:name="_Toc497927071"/>
      <w:bookmarkStart w:id="1090" w:name="_Toc11067"/>
      <w:bookmarkStart w:id="1091"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1088"/>
      <w:bookmarkEnd w:id="1089"/>
      <w:bookmarkEnd w:id="1090"/>
      <w:bookmarkEnd w:id="1091"/>
    </w:p>
    <w:p w14:paraId="306834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3C4E0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供应商相应的法定</w:t>
      </w:r>
      <w:r>
        <w:rPr>
          <w:rFonts w:hint="eastAsia" w:ascii="宋体" w:hAnsi="宋体" w:eastAsia="宋体" w:cs="宋体"/>
          <w:b w:val="0"/>
          <w:bCs w:val="0"/>
          <w:color w:val="auto"/>
          <w:sz w:val="24"/>
          <w:szCs w:val="24"/>
          <w:highlight w:val="none"/>
          <w:lang w:eastAsia="zh-CN"/>
        </w:rPr>
        <w:t>代表人、负责人、自然人有效身份证正反两面复印件</w:t>
      </w:r>
      <w:r>
        <w:rPr>
          <w:rFonts w:hint="eastAsia" w:ascii="宋体" w:hAnsi="宋体" w:eastAsia="宋体" w:cs="宋体"/>
          <w:b w:val="0"/>
          <w:bCs w:val="0"/>
          <w:color w:val="auto"/>
          <w:sz w:val="24"/>
          <w:szCs w:val="24"/>
          <w:highlight w:val="none"/>
        </w:rPr>
        <w:t>（必须提供）</w:t>
      </w:r>
    </w:p>
    <w:p w14:paraId="4E64D8C8">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供应商的授权委托书原件、委托代理人身份证正反面复印件以及由县级以上（含县级）社会养老保险经办机构出具的供应商为委托代理人</w:t>
      </w:r>
      <w:r>
        <w:rPr>
          <w:rFonts w:hint="eastAsia" w:ascii="宋体" w:hAnsi="宋体" w:cs="宋体"/>
          <w:b w:val="0"/>
          <w:bCs w:val="0"/>
          <w:color w:val="auto"/>
          <w:sz w:val="24"/>
          <w:szCs w:val="24"/>
          <w:highlight w:val="none"/>
          <w:lang w:eastAsia="zh-CN"/>
        </w:rPr>
        <w:t>缴纳的响应文件递交截止时间前半年内任意连续三个月社保证明复印件</w:t>
      </w:r>
      <w:r>
        <w:rPr>
          <w:rFonts w:hint="eastAsia" w:ascii="宋体" w:hAnsi="宋体" w:eastAsia="宋体" w:cs="宋体"/>
          <w:b w:val="0"/>
          <w:bCs w:val="0"/>
          <w:color w:val="auto"/>
          <w:sz w:val="24"/>
          <w:szCs w:val="24"/>
          <w:highlight w:val="none"/>
        </w:rPr>
        <w:t>（委托代理时必须提供）</w:t>
      </w:r>
    </w:p>
    <w:p w14:paraId="764D77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供应商参加政府采购活动前3年内在经营活动中没有重大违法记录及有关信用信息的书面声明（必须提供）</w:t>
      </w:r>
    </w:p>
    <w:p w14:paraId="1EBC1D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4.供应商的法人或者其他组织营业执照等证明文件复印件</w:t>
      </w:r>
      <w:r>
        <w:rPr>
          <w:rFonts w:hint="eastAsia" w:ascii="宋体" w:hAnsi="宋体" w:eastAsia="宋体" w:cs="宋体"/>
          <w:b w:val="0"/>
          <w:bCs w:val="0"/>
          <w:color w:val="auto"/>
          <w:sz w:val="24"/>
          <w:szCs w:val="24"/>
          <w:highlight w:val="none"/>
        </w:rPr>
        <w:t>（必须提供，自然人除外）</w:t>
      </w:r>
    </w:p>
    <w:p w14:paraId="0F8DF1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供应商有效的资质证书复印件</w:t>
      </w:r>
      <w:r>
        <w:rPr>
          <w:rFonts w:hint="eastAsia" w:ascii="宋体" w:hAnsi="宋体" w:eastAsia="宋体" w:cs="宋体"/>
          <w:b w:val="0"/>
          <w:bCs w:val="0"/>
          <w:color w:val="auto"/>
          <w:sz w:val="24"/>
          <w:szCs w:val="24"/>
          <w:highlight w:val="none"/>
          <w:lang w:val="en-US" w:eastAsia="zh-CN"/>
        </w:rPr>
        <w:t>（必须提供）</w:t>
      </w:r>
    </w:p>
    <w:p w14:paraId="47917C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eastAsia="zh-CN"/>
        </w:rPr>
        <w:t>拟派项目经理的</w:t>
      </w:r>
      <w:r>
        <w:rPr>
          <w:rFonts w:hint="eastAsia" w:ascii="宋体" w:hAnsi="宋体" w:cs="宋体"/>
          <w:b w:val="0"/>
          <w:bCs w:val="0"/>
          <w:color w:val="auto"/>
          <w:kern w:val="0"/>
          <w:sz w:val="24"/>
          <w:szCs w:val="24"/>
          <w:highlight w:val="none"/>
          <w:lang w:eastAsia="zh-CN"/>
        </w:rPr>
        <w:t>市政公用工程</w:t>
      </w:r>
      <w:r>
        <w:rPr>
          <w:rFonts w:hint="eastAsia" w:ascii="宋体" w:hAnsi="宋体" w:eastAsia="宋体" w:cs="宋体"/>
          <w:b w:val="0"/>
          <w:bCs w:val="0"/>
          <w:color w:val="auto"/>
          <w:kern w:val="0"/>
          <w:sz w:val="24"/>
          <w:szCs w:val="24"/>
          <w:highlight w:val="none"/>
          <w:lang w:eastAsia="zh-CN"/>
        </w:rPr>
        <w:t>专业二级及以上注册建造师证和安全生产考核合格证书（B类）复印件</w:t>
      </w:r>
      <w:r>
        <w:rPr>
          <w:rFonts w:hint="eastAsia" w:ascii="宋体" w:hAnsi="宋体" w:eastAsia="宋体" w:cs="宋体"/>
          <w:b w:val="0"/>
          <w:bCs w:val="0"/>
          <w:color w:val="auto"/>
          <w:sz w:val="24"/>
          <w:szCs w:val="24"/>
          <w:highlight w:val="none"/>
          <w:lang w:val="en-US" w:eastAsia="zh-CN"/>
        </w:rPr>
        <w:t>（必须提供）</w:t>
      </w:r>
    </w:p>
    <w:p w14:paraId="324B8C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项目经理无在建工程承诺书（格式自拟）（必须提供）</w:t>
      </w:r>
    </w:p>
    <w:p w14:paraId="69704F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供应商2024年的财务状况报告</w:t>
      </w:r>
      <w:r>
        <w:rPr>
          <w:rFonts w:hint="eastAsia" w:ascii="宋体" w:hAnsi="宋体" w:eastAsia="宋体" w:cs="宋体"/>
          <w:b w:val="0"/>
          <w:bCs w:val="0"/>
          <w:color w:val="auto"/>
          <w:kern w:val="0"/>
          <w:sz w:val="24"/>
          <w:szCs w:val="24"/>
          <w:highlight w:val="none"/>
          <w:lang w:val="en-US" w:eastAsia="zh-CN"/>
        </w:rPr>
        <w:t>（或银行出具的资信证明）复印件（必须提供）</w:t>
      </w:r>
    </w:p>
    <w:p w14:paraId="54324E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lang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eastAsia="zh-CN"/>
        </w:rPr>
        <w:t>供应商近半年内任意一个月或任一季度依法缴纳税收的证明材料【增值税发票(税收完税证明)或企业所得税完税证明或税务部门出具的免税证明】复印件</w:t>
      </w:r>
      <w:r>
        <w:rPr>
          <w:rFonts w:hint="eastAsia" w:ascii="宋体" w:hAnsi="宋体" w:eastAsia="宋体" w:cs="宋体"/>
          <w:b w:val="0"/>
          <w:bCs w:val="0"/>
          <w:color w:val="auto"/>
          <w:sz w:val="24"/>
          <w:szCs w:val="24"/>
          <w:highlight w:val="none"/>
        </w:rPr>
        <w:t>（必须提供）</w:t>
      </w:r>
    </w:p>
    <w:p w14:paraId="75C470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color w:val="auto"/>
          <w:sz w:val="36"/>
          <w:szCs w:val="36"/>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中小企业声明函或者残疾人福利性单位声明函（格式后附）或者</w:t>
      </w:r>
      <w:r>
        <w:rPr>
          <w:rFonts w:hint="eastAsia" w:ascii="宋体" w:hAnsi="宋体" w:eastAsia="宋体" w:cs="宋体"/>
          <w:b w:val="0"/>
          <w:bCs w:val="0"/>
          <w:i w:val="0"/>
          <w:i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属于监狱企业的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p>
    <w:p w14:paraId="14ED8C3A">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1092" w:name="_Toc22703"/>
      <w:bookmarkStart w:id="1093" w:name="_Toc4819"/>
      <w:bookmarkStart w:id="1094" w:name="_Toc6697"/>
      <w:bookmarkStart w:id="1095" w:name="_Toc28594"/>
      <w:bookmarkStart w:id="1096" w:name="_Toc19265"/>
      <w:r>
        <w:rPr>
          <w:rFonts w:hint="eastAsia" w:ascii="宋体" w:hAnsi="宋体" w:eastAsia="宋体" w:cs="宋体"/>
          <w:b/>
          <w:color w:val="auto"/>
          <w:sz w:val="28"/>
          <w:szCs w:val="28"/>
          <w:highlight w:val="none"/>
          <w:lang w:val="en-US" w:eastAsia="zh-CN"/>
        </w:rPr>
        <w:t>1.</w:t>
      </w:r>
      <w:bookmarkEnd w:id="1092"/>
      <w:bookmarkEnd w:id="1093"/>
      <w:bookmarkEnd w:id="1094"/>
      <w:bookmarkEnd w:id="1095"/>
      <w:bookmarkEnd w:id="1096"/>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2F86A6E">
      <w:pPr>
        <w:spacing w:line="440" w:lineRule="atLeast"/>
        <w:rPr>
          <w:rFonts w:hint="eastAsia"/>
          <w:color w:val="auto"/>
          <w:highlight w:val="none"/>
        </w:rPr>
      </w:pPr>
    </w:p>
    <w:p w14:paraId="4618E090">
      <w:pPr>
        <w:rPr>
          <w:rFonts w:hint="eastAsia"/>
          <w:color w:val="auto"/>
          <w:highlight w:val="none"/>
        </w:rPr>
      </w:pPr>
    </w:p>
    <w:p w14:paraId="1E8296EC">
      <w:pPr>
        <w:spacing w:line="440" w:lineRule="atLeast"/>
        <w:rPr>
          <w:rFonts w:hint="eastAsia" w:ascii="宋体" w:hAnsi="宋体" w:eastAsia="宋体" w:cs="宋体"/>
          <w:b/>
          <w:color w:val="auto"/>
          <w:sz w:val="28"/>
          <w:szCs w:val="28"/>
          <w:highlight w:val="none"/>
        </w:rPr>
      </w:pPr>
    </w:p>
    <w:p w14:paraId="3999DC58">
      <w:pPr>
        <w:spacing w:line="440" w:lineRule="atLeast"/>
        <w:rPr>
          <w:rFonts w:hint="eastAsia" w:ascii="宋体" w:hAnsi="宋体" w:eastAsia="宋体" w:cs="宋体"/>
          <w:b/>
          <w:color w:val="auto"/>
          <w:sz w:val="28"/>
          <w:szCs w:val="28"/>
          <w:highlight w:val="none"/>
        </w:rPr>
      </w:pPr>
    </w:p>
    <w:p w14:paraId="18175E1F">
      <w:pPr>
        <w:spacing w:line="440" w:lineRule="atLeast"/>
        <w:rPr>
          <w:rFonts w:hint="eastAsia" w:ascii="宋体" w:hAnsi="宋体" w:eastAsia="宋体" w:cs="宋体"/>
          <w:b/>
          <w:color w:val="auto"/>
          <w:sz w:val="28"/>
          <w:szCs w:val="28"/>
          <w:highlight w:val="none"/>
        </w:rPr>
      </w:pPr>
    </w:p>
    <w:p w14:paraId="4D855965">
      <w:pPr>
        <w:spacing w:line="440" w:lineRule="atLeast"/>
        <w:rPr>
          <w:rFonts w:hint="eastAsia" w:ascii="宋体" w:hAnsi="宋体" w:eastAsia="宋体" w:cs="宋体"/>
          <w:b/>
          <w:color w:val="auto"/>
          <w:sz w:val="28"/>
          <w:szCs w:val="28"/>
          <w:highlight w:val="none"/>
        </w:rPr>
      </w:pPr>
    </w:p>
    <w:p w14:paraId="0EEC31CE">
      <w:pPr>
        <w:spacing w:line="440" w:lineRule="atLeast"/>
        <w:rPr>
          <w:rFonts w:hint="eastAsia" w:ascii="宋体" w:hAnsi="宋体" w:eastAsia="宋体" w:cs="宋体"/>
          <w:b/>
          <w:color w:val="auto"/>
          <w:sz w:val="28"/>
          <w:szCs w:val="28"/>
          <w:highlight w:val="none"/>
        </w:rPr>
      </w:pPr>
    </w:p>
    <w:p w14:paraId="10BAF874">
      <w:pPr>
        <w:spacing w:line="440" w:lineRule="atLeast"/>
        <w:rPr>
          <w:rFonts w:hint="eastAsia" w:ascii="宋体" w:hAnsi="宋体" w:eastAsia="宋体" w:cs="宋体"/>
          <w:b/>
          <w:color w:val="auto"/>
          <w:sz w:val="28"/>
          <w:szCs w:val="28"/>
          <w:highlight w:val="none"/>
        </w:rPr>
      </w:pPr>
    </w:p>
    <w:p w14:paraId="4A37DB67">
      <w:pPr>
        <w:spacing w:line="440" w:lineRule="atLeast"/>
        <w:rPr>
          <w:rFonts w:hint="eastAsia" w:ascii="宋体" w:hAnsi="宋体" w:eastAsia="宋体" w:cs="宋体"/>
          <w:b/>
          <w:color w:val="auto"/>
          <w:sz w:val="28"/>
          <w:szCs w:val="28"/>
          <w:highlight w:val="none"/>
          <w:lang w:eastAsia="zh-CN"/>
        </w:rPr>
      </w:pPr>
      <w:bookmarkStart w:id="1097" w:name="_Toc16573"/>
      <w:bookmarkStart w:id="1098" w:name="_Toc15990"/>
      <w:bookmarkStart w:id="1099" w:name="_Toc29198"/>
      <w:bookmarkStart w:id="1100" w:name="_Toc3592"/>
      <w:bookmarkStart w:id="1101" w:name="_Toc1213"/>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1097"/>
      <w:bookmarkEnd w:id="1098"/>
      <w:bookmarkEnd w:id="1099"/>
      <w:bookmarkEnd w:id="1100"/>
      <w:bookmarkEnd w:id="1101"/>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w:t>
      </w:r>
      <w:r>
        <w:rPr>
          <w:rFonts w:hint="eastAsia" w:ascii="宋体" w:hAnsi="宋体" w:cs="宋体"/>
          <w:b/>
          <w:color w:val="auto"/>
          <w:sz w:val="28"/>
          <w:szCs w:val="28"/>
          <w:highlight w:val="none"/>
          <w:lang w:eastAsia="zh-CN"/>
        </w:rPr>
        <w:t>缴纳的响应文件递交截止时间前半年内任意连续三个月社保证明复印件</w:t>
      </w:r>
      <w:r>
        <w:rPr>
          <w:rFonts w:hint="eastAsia" w:ascii="宋体" w:hAnsi="宋体" w:eastAsia="宋体" w:cs="宋体"/>
          <w:b/>
          <w:color w:val="auto"/>
          <w:sz w:val="28"/>
          <w:szCs w:val="28"/>
          <w:highlight w:val="none"/>
          <w:lang w:eastAsia="zh-CN"/>
        </w:rPr>
        <w:t>（委托代理时必须提供）</w:t>
      </w:r>
    </w:p>
    <w:p w14:paraId="094263A8">
      <w:pPr>
        <w:spacing w:line="440" w:lineRule="atLeast"/>
        <w:rPr>
          <w:rFonts w:hint="eastAsia" w:ascii="宋体" w:hAnsi="宋体" w:eastAsia="宋体" w:cs="宋体"/>
          <w:b/>
          <w:color w:val="auto"/>
          <w:sz w:val="28"/>
          <w:szCs w:val="28"/>
          <w:highlight w:val="none"/>
        </w:rPr>
      </w:pPr>
    </w:p>
    <w:p w14:paraId="314D6A50">
      <w:pPr>
        <w:pStyle w:val="12"/>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60460035">
      <w:pPr>
        <w:pStyle w:val="12"/>
        <w:jc w:val="center"/>
        <w:rPr>
          <w:rFonts w:hint="eastAsia" w:ascii="宋体" w:hAnsi="宋体" w:eastAsia="宋体" w:cs="宋体"/>
          <w:b/>
          <w:color w:val="auto"/>
          <w:sz w:val="32"/>
          <w:highlight w:val="none"/>
        </w:rPr>
      </w:pPr>
      <w:bookmarkStart w:id="1102" w:name="_Toc964_WPSOffice_Level1"/>
      <w:bookmarkStart w:id="1103" w:name="_Toc5420_WPSOffice_Level1"/>
      <w:r>
        <w:rPr>
          <w:rFonts w:hint="eastAsia" w:ascii="宋体" w:hAnsi="宋体" w:eastAsia="宋体" w:cs="宋体"/>
          <w:b/>
          <w:color w:val="auto"/>
          <w:sz w:val="32"/>
          <w:highlight w:val="none"/>
        </w:rPr>
        <w:t>授权委托书（格式一）</w:t>
      </w:r>
      <w:bookmarkEnd w:id="1102"/>
      <w:bookmarkEnd w:id="1103"/>
    </w:p>
    <w:p w14:paraId="644472AC">
      <w:pPr>
        <w:pStyle w:val="12"/>
        <w:rPr>
          <w:rFonts w:hint="eastAsia" w:ascii="宋体" w:hAnsi="宋体" w:eastAsia="宋体" w:cs="宋体"/>
          <w:color w:val="auto"/>
          <w:highlight w:val="none"/>
        </w:rPr>
      </w:pPr>
    </w:p>
    <w:p w14:paraId="3920294C">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广西乐正工程项目管理有限公司</w:t>
      </w:r>
    </w:p>
    <w:p w14:paraId="1A115FF8">
      <w:pPr>
        <w:spacing w:line="400" w:lineRule="exact"/>
        <w:rPr>
          <w:rFonts w:hint="eastAsia" w:ascii="宋体" w:hAnsi="宋体" w:eastAsia="宋体" w:cs="宋体"/>
          <w:color w:val="auto"/>
          <w:szCs w:val="21"/>
          <w:highlight w:val="none"/>
        </w:rPr>
      </w:pPr>
    </w:p>
    <w:p w14:paraId="068CCD6B">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66D5E514">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77E93A1A">
      <w:pPr>
        <w:pStyle w:val="12"/>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8DDDAEC">
      <w:pPr>
        <w:pStyle w:val="12"/>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B8AA855">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6E58CF60">
      <w:pPr>
        <w:spacing w:line="400" w:lineRule="exact"/>
        <w:ind w:firstLine="420" w:firstLineChars="200"/>
        <w:rPr>
          <w:rFonts w:hint="eastAsia" w:ascii="宋体" w:hAnsi="宋体" w:eastAsia="宋体" w:cs="宋体"/>
          <w:color w:val="auto"/>
          <w:kern w:val="0"/>
          <w:highlight w:val="none"/>
        </w:rPr>
      </w:pPr>
    </w:p>
    <w:p w14:paraId="782A734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297F3957">
      <w:pPr>
        <w:spacing w:line="400" w:lineRule="exact"/>
        <w:ind w:firstLine="420" w:firstLineChars="200"/>
        <w:rPr>
          <w:rFonts w:hint="eastAsia" w:ascii="宋体" w:hAnsi="宋体" w:eastAsia="宋体" w:cs="宋体"/>
          <w:color w:val="auto"/>
          <w:szCs w:val="21"/>
          <w:highlight w:val="none"/>
        </w:rPr>
      </w:pPr>
    </w:p>
    <w:p w14:paraId="6D9F8BD4">
      <w:pPr>
        <w:spacing w:line="400" w:lineRule="exact"/>
        <w:ind w:firstLine="420" w:firstLineChars="200"/>
        <w:rPr>
          <w:rFonts w:hint="eastAsia" w:ascii="宋体" w:hAnsi="宋体" w:eastAsia="宋体" w:cs="宋体"/>
          <w:color w:val="auto"/>
          <w:szCs w:val="21"/>
          <w:highlight w:val="none"/>
        </w:rPr>
      </w:pPr>
    </w:p>
    <w:p w14:paraId="35AE6F8A">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48CFEB6">
      <w:pPr>
        <w:snapToGrid w:val="0"/>
        <w:spacing w:line="400" w:lineRule="exact"/>
        <w:ind w:firstLine="420"/>
        <w:rPr>
          <w:rFonts w:hint="eastAsia" w:ascii="宋体" w:hAnsi="宋体" w:eastAsia="宋体" w:cs="宋体"/>
          <w:color w:val="auto"/>
          <w:szCs w:val="21"/>
          <w:highlight w:val="none"/>
        </w:rPr>
      </w:pPr>
    </w:p>
    <w:p w14:paraId="650D76C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2AD9B0B">
      <w:pPr>
        <w:pStyle w:val="6"/>
        <w:ind w:left="0" w:leftChars="0" w:firstLine="0" w:firstLineChars="0"/>
        <w:rPr>
          <w:rFonts w:hint="eastAsia"/>
          <w:color w:val="auto"/>
          <w:highlight w:val="none"/>
        </w:rPr>
      </w:pPr>
    </w:p>
    <w:p w14:paraId="7BFF0B8F">
      <w:pPr>
        <w:pStyle w:val="12"/>
        <w:jc w:val="center"/>
        <w:rPr>
          <w:rFonts w:hint="eastAsia" w:ascii="宋体" w:hAnsi="宋体" w:eastAsia="宋体" w:cs="宋体"/>
          <w:b/>
          <w:color w:val="auto"/>
          <w:sz w:val="32"/>
          <w:highlight w:val="none"/>
          <w:lang w:eastAsia="zh-CN"/>
        </w:rPr>
      </w:pPr>
      <w:bookmarkStart w:id="1104" w:name="_Toc21370_WPSOffice_Level1"/>
      <w:bookmarkStart w:id="1105" w:name="_Toc6975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bookmarkEnd w:id="1104"/>
    <w:bookmarkEnd w:id="1105"/>
    <w:p w14:paraId="31987A01">
      <w:pPr>
        <w:pStyle w:val="12"/>
        <w:jc w:val="both"/>
        <w:rPr>
          <w:rFonts w:hint="eastAsia" w:ascii="宋体" w:hAnsi="宋体" w:eastAsia="宋体" w:cs="宋体"/>
          <w:b/>
          <w:color w:val="auto"/>
          <w:sz w:val="32"/>
          <w:highlight w:val="none"/>
        </w:rPr>
      </w:pPr>
    </w:p>
    <w:p w14:paraId="3382D36C">
      <w:pPr>
        <w:pStyle w:val="12"/>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广西乐正工程项目管理有限公司</w:t>
      </w:r>
    </w:p>
    <w:p w14:paraId="1CE441F7">
      <w:pPr>
        <w:rPr>
          <w:rFonts w:hint="eastAsia" w:ascii="宋体" w:hAnsi="宋体" w:eastAsia="宋体" w:cs="宋体"/>
          <w:color w:val="auto"/>
          <w:highlight w:val="none"/>
        </w:rPr>
      </w:pPr>
    </w:p>
    <w:p w14:paraId="01EC3A58">
      <w:pPr>
        <w:pStyle w:val="12"/>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27CA146">
      <w:pPr>
        <w:pStyle w:val="12"/>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785A6B15">
      <w:pPr>
        <w:pStyle w:val="12"/>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51596457">
      <w:pPr>
        <w:pStyle w:val="12"/>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DF9CFFE">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B1B80ED">
      <w:pPr>
        <w:spacing w:line="340" w:lineRule="exact"/>
        <w:ind w:firstLine="420" w:firstLineChars="200"/>
        <w:rPr>
          <w:rFonts w:hint="eastAsia" w:ascii="宋体" w:hAnsi="宋体" w:eastAsia="宋体" w:cs="宋体"/>
          <w:color w:val="auto"/>
          <w:kern w:val="0"/>
          <w:highlight w:val="none"/>
        </w:rPr>
      </w:pPr>
    </w:p>
    <w:p w14:paraId="44FDB30E">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61E7FDEB">
      <w:pPr>
        <w:spacing w:line="340" w:lineRule="exact"/>
        <w:ind w:firstLine="420" w:firstLineChars="200"/>
        <w:rPr>
          <w:rFonts w:hint="eastAsia" w:ascii="宋体" w:hAnsi="宋体" w:eastAsia="宋体" w:cs="宋体"/>
          <w:color w:val="auto"/>
          <w:szCs w:val="21"/>
          <w:highlight w:val="none"/>
        </w:rPr>
      </w:pPr>
    </w:p>
    <w:p w14:paraId="1E2811C3">
      <w:pPr>
        <w:spacing w:line="340" w:lineRule="exact"/>
        <w:ind w:firstLine="420" w:firstLineChars="200"/>
        <w:rPr>
          <w:rFonts w:hint="eastAsia" w:ascii="宋体" w:hAnsi="宋体" w:eastAsia="宋体" w:cs="宋体"/>
          <w:color w:val="auto"/>
          <w:szCs w:val="21"/>
          <w:highlight w:val="none"/>
        </w:rPr>
      </w:pPr>
    </w:p>
    <w:p w14:paraId="6ACB0E21">
      <w:pPr>
        <w:spacing w:line="340" w:lineRule="exact"/>
        <w:ind w:firstLine="420" w:firstLineChars="200"/>
        <w:rPr>
          <w:rFonts w:hint="eastAsia" w:ascii="宋体" w:hAnsi="宋体" w:eastAsia="宋体" w:cs="宋体"/>
          <w:color w:val="auto"/>
          <w:szCs w:val="21"/>
          <w:highlight w:val="none"/>
        </w:rPr>
      </w:pPr>
    </w:p>
    <w:p w14:paraId="2AE34E34">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768813A">
      <w:pPr>
        <w:pStyle w:val="12"/>
        <w:spacing w:line="400" w:lineRule="exact"/>
        <w:ind w:left="420" w:leftChars="200"/>
        <w:rPr>
          <w:rFonts w:hint="eastAsia" w:ascii="宋体" w:hAnsi="宋体" w:eastAsia="宋体" w:cs="宋体"/>
          <w:color w:val="auto"/>
          <w:szCs w:val="21"/>
          <w:highlight w:val="none"/>
        </w:rPr>
      </w:pPr>
    </w:p>
    <w:p w14:paraId="7CB0F677">
      <w:pPr>
        <w:rPr>
          <w:rFonts w:hint="eastAsia" w:ascii="宋体" w:hAnsi="宋体" w:eastAsia="宋体" w:cs="宋体"/>
          <w:b/>
          <w:color w:val="auto"/>
          <w:szCs w:val="21"/>
          <w:highlight w:val="none"/>
        </w:rPr>
      </w:pPr>
    </w:p>
    <w:p w14:paraId="1110363F">
      <w:pPr>
        <w:pStyle w:val="8"/>
        <w:rPr>
          <w:rFonts w:hint="eastAsia" w:ascii="宋体" w:hAnsi="宋体" w:eastAsia="宋体" w:cs="宋体"/>
          <w:b/>
          <w:color w:val="auto"/>
          <w:szCs w:val="21"/>
          <w:highlight w:val="none"/>
        </w:rPr>
      </w:pPr>
    </w:p>
    <w:p w14:paraId="6556F997">
      <w:pPr>
        <w:pStyle w:val="8"/>
        <w:rPr>
          <w:rFonts w:hint="eastAsia" w:ascii="宋体" w:hAnsi="宋体" w:eastAsia="宋体" w:cs="宋体"/>
          <w:b/>
          <w:color w:val="auto"/>
          <w:szCs w:val="21"/>
          <w:highlight w:val="none"/>
        </w:rPr>
      </w:pPr>
    </w:p>
    <w:p w14:paraId="7B7324F0">
      <w:pPr>
        <w:pStyle w:val="6"/>
        <w:numPr>
          <w:ilvl w:val="0"/>
          <w:numId w:val="0"/>
        </w:numPr>
        <w:outlineLvl w:val="1"/>
        <w:rPr>
          <w:rFonts w:hint="eastAsia" w:ascii="宋体" w:hAnsi="宋体" w:eastAsia="宋体" w:cs="宋体"/>
          <w:b/>
          <w:color w:val="auto"/>
          <w:sz w:val="28"/>
          <w:szCs w:val="28"/>
          <w:highlight w:val="none"/>
          <w:lang w:val="en-US" w:eastAsia="zh-CN"/>
        </w:rPr>
      </w:pPr>
      <w:bookmarkStart w:id="1106" w:name="_Toc2998"/>
      <w:bookmarkStart w:id="1107" w:name="_Toc2683"/>
      <w:bookmarkStart w:id="1108" w:name="_Toc2550"/>
      <w:bookmarkStart w:id="1109" w:name="_Toc24664"/>
      <w:bookmarkStart w:id="1110" w:name="_Toc27156"/>
    </w:p>
    <w:p w14:paraId="5769BB0F">
      <w:pPr>
        <w:pStyle w:val="6"/>
        <w:numPr>
          <w:ilvl w:val="0"/>
          <w:numId w:val="0"/>
        </w:numPr>
        <w:outlineLvl w:val="1"/>
        <w:rPr>
          <w:rFonts w:hint="eastAsia" w:ascii="宋体" w:hAnsi="宋体" w:eastAsia="宋体" w:cs="宋体"/>
          <w:b/>
          <w:color w:val="auto"/>
          <w:sz w:val="28"/>
          <w:szCs w:val="28"/>
          <w:highlight w:val="none"/>
          <w:lang w:val="en-US" w:eastAsia="zh-CN"/>
        </w:rPr>
      </w:pPr>
    </w:p>
    <w:p w14:paraId="1ECD13F7">
      <w:pPr>
        <w:rPr>
          <w:rFonts w:hint="eastAsia" w:ascii="宋体" w:hAnsi="宋体" w:eastAsia="宋体" w:cs="宋体"/>
          <w:b/>
          <w:color w:val="auto"/>
          <w:sz w:val="28"/>
          <w:szCs w:val="28"/>
          <w:highlight w:val="none"/>
          <w:lang w:val="en-US" w:eastAsia="zh-CN"/>
        </w:rPr>
      </w:pPr>
    </w:p>
    <w:p w14:paraId="2D30CFF8">
      <w:pPr>
        <w:rPr>
          <w:rFonts w:hint="eastAsia" w:ascii="宋体" w:hAnsi="宋体" w:eastAsia="宋体" w:cs="宋体"/>
          <w:b/>
          <w:color w:val="auto"/>
          <w:sz w:val="28"/>
          <w:szCs w:val="28"/>
          <w:highlight w:val="none"/>
          <w:lang w:val="en-US" w:eastAsia="zh-CN"/>
        </w:rPr>
      </w:pPr>
    </w:p>
    <w:p w14:paraId="751C2897">
      <w:pPr>
        <w:rPr>
          <w:rFonts w:hint="eastAsia" w:ascii="宋体" w:hAnsi="宋体" w:eastAsia="宋体" w:cs="宋体"/>
          <w:b/>
          <w:color w:val="auto"/>
          <w:sz w:val="28"/>
          <w:szCs w:val="28"/>
          <w:highlight w:val="none"/>
          <w:lang w:val="en-US" w:eastAsia="zh-CN"/>
        </w:rPr>
      </w:pPr>
    </w:p>
    <w:p w14:paraId="2E755DD2">
      <w:pPr>
        <w:rPr>
          <w:rFonts w:hint="eastAsia" w:ascii="宋体" w:hAnsi="宋体" w:eastAsia="宋体" w:cs="宋体"/>
          <w:b/>
          <w:color w:val="auto"/>
          <w:sz w:val="28"/>
          <w:szCs w:val="28"/>
          <w:highlight w:val="none"/>
          <w:lang w:val="en-US" w:eastAsia="zh-CN"/>
        </w:rPr>
      </w:pPr>
    </w:p>
    <w:p w14:paraId="222D61EC">
      <w:pPr>
        <w:rPr>
          <w:rFonts w:hint="eastAsia" w:ascii="宋体" w:hAnsi="宋体" w:eastAsia="宋体" w:cs="宋体"/>
          <w:b/>
          <w:color w:val="auto"/>
          <w:sz w:val="28"/>
          <w:szCs w:val="28"/>
          <w:highlight w:val="none"/>
          <w:lang w:val="en-US" w:eastAsia="zh-CN"/>
        </w:rPr>
      </w:pPr>
    </w:p>
    <w:p w14:paraId="5D53BB04">
      <w:pPr>
        <w:rPr>
          <w:rFonts w:hint="eastAsia" w:ascii="宋体" w:hAnsi="宋体" w:eastAsia="宋体" w:cs="宋体"/>
          <w:b/>
          <w:color w:val="auto"/>
          <w:sz w:val="28"/>
          <w:szCs w:val="28"/>
          <w:highlight w:val="none"/>
          <w:lang w:val="en-US" w:eastAsia="zh-CN"/>
        </w:rPr>
      </w:pPr>
    </w:p>
    <w:p w14:paraId="622160FF">
      <w:pPr>
        <w:rPr>
          <w:rFonts w:hint="eastAsia" w:ascii="宋体" w:hAnsi="宋体" w:eastAsia="宋体" w:cs="宋体"/>
          <w:b/>
          <w:color w:val="auto"/>
          <w:sz w:val="28"/>
          <w:szCs w:val="28"/>
          <w:highlight w:val="none"/>
          <w:lang w:val="en-US" w:eastAsia="zh-CN"/>
        </w:rPr>
      </w:pPr>
    </w:p>
    <w:p w14:paraId="542B127C">
      <w:pPr>
        <w:rPr>
          <w:rFonts w:hint="eastAsia" w:ascii="宋体" w:hAnsi="宋体" w:eastAsia="宋体" w:cs="宋体"/>
          <w:b/>
          <w:color w:val="auto"/>
          <w:sz w:val="28"/>
          <w:szCs w:val="28"/>
          <w:highlight w:val="none"/>
          <w:lang w:val="en-US" w:eastAsia="zh-CN"/>
        </w:rPr>
      </w:pPr>
    </w:p>
    <w:p w14:paraId="45F2DD45">
      <w:pPr>
        <w:rPr>
          <w:rFonts w:hint="eastAsia" w:ascii="宋体" w:hAnsi="宋体" w:eastAsia="宋体" w:cs="宋体"/>
          <w:b/>
          <w:color w:val="auto"/>
          <w:sz w:val="28"/>
          <w:szCs w:val="28"/>
          <w:highlight w:val="none"/>
          <w:lang w:val="en-US" w:eastAsia="zh-CN"/>
        </w:rPr>
      </w:pPr>
    </w:p>
    <w:p w14:paraId="0C922DA8">
      <w:pPr>
        <w:rPr>
          <w:rFonts w:hint="eastAsia" w:ascii="宋体" w:hAnsi="宋体" w:eastAsia="宋体" w:cs="宋体"/>
          <w:b/>
          <w:color w:val="auto"/>
          <w:sz w:val="28"/>
          <w:szCs w:val="28"/>
          <w:highlight w:val="none"/>
          <w:lang w:val="en-US" w:eastAsia="zh-CN"/>
        </w:rPr>
      </w:pPr>
    </w:p>
    <w:p w14:paraId="39C83C13">
      <w:pPr>
        <w:rPr>
          <w:rFonts w:hint="eastAsia" w:ascii="宋体" w:hAnsi="宋体" w:eastAsia="宋体" w:cs="宋体"/>
          <w:b/>
          <w:color w:val="auto"/>
          <w:sz w:val="28"/>
          <w:szCs w:val="28"/>
          <w:highlight w:val="none"/>
          <w:lang w:val="en-US" w:eastAsia="zh-CN"/>
        </w:rPr>
      </w:pPr>
    </w:p>
    <w:p w14:paraId="1CAADD26">
      <w:pPr>
        <w:rPr>
          <w:rFonts w:hint="eastAsia" w:ascii="宋体" w:hAnsi="宋体" w:eastAsia="宋体" w:cs="宋体"/>
          <w:b/>
          <w:color w:val="auto"/>
          <w:sz w:val="28"/>
          <w:szCs w:val="28"/>
          <w:highlight w:val="none"/>
          <w:lang w:val="en-US" w:eastAsia="zh-CN"/>
        </w:rPr>
      </w:pPr>
    </w:p>
    <w:p w14:paraId="270FFDB1">
      <w:pPr>
        <w:rPr>
          <w:rFonts w:hint="eastAsia" w:ascii="宋体" w:hAnsi="宋体" w:eastAsia="宋体" w:cs="宋体"/>
          <w:b/>
          <w:color w:val="auto"/>
          <w:sz w:val="28"/>
          <w:szCs w:val="28"/>
          <w:highlight w:val="none"/>
          <w:lang w:val="en-US" w:eastAsia="zh-CN"/>
        </w:rPr>
      </w:pPr>
    </w:p>
    <w:p w14:paraId="1B21B501">
      <w:pPr>
        <w:rPr>
          <w:rFonts w:hint="eastAsia" w:ascii="宋体" w:hAnsi="宋体" w:eastAsia="宋体" w:cs="宋体"/>
          <w:b/>
          <w:color w:val="auto"/>
          <w:sz w:val="28"/>
          <w:szCs w:val="28"/>
          <w:highlight w:val="none"/>
          <w:lang w:val="en-US" w:eastAsia="zh-CN"/>
        </w:rPr>
      </w:pPr>
    </w:p>
    <w:p w14:paraId="35568801">
      <w:pPr>
        <w:rPr>
          <w:rFonts w:hint="eastAsia" w:ascii="宋体" w:hAnsi="宋体" w:eastAsia="宋体" w:cs="宋体"/>
          <w:b/>
          <w:color w:val="auto"/>
          <w:sz w:val="28"/>
          <w:szCs w:val="28"/>
          <w:highlight w:val="none"/>
          <w:lang w:val="en-US" w:eastAsia="zh-CN"/>
        </w:rPr>
      </w:pPr>
    </w:p>
    <w:p w14:paraId="4683539B">
      <w:pPr>
        <w:rPr>
          <w:rFonts w:hint="eastAsia" w:ascii="宋体" w:hAnsi="宋体" w:eastAsia="宋体" w:cs="宋体"/>
          <w:b/>
          <w:color w:val="auto"/>
          <w:sz w:val="28"/>
          <w:szCs w:val="28"/>
          <w:highlight w:val="none"/>
          <w:lang w:val="en-US" w:eastAsia="zh-CN"/>
        </w:rPr>
      </w:pPr>
    </w:p>
    <w:p w14:paraId="27AEC9EF">
      <w:pPr>
        <w:pStyle w:val="6"/>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1106"/>
      <w:bookmarkEnd w:id="1107"/>
      <w:bookmarkEnd w:id="1108"/>
      <w:bookmarkEnd w:id="1109"/>
      <w:bookmarkEnd w:id="1110"/>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4B5E9805">
      <w:pPr>
        <w:pStyle w:val="12"/>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4E82D03">
      <w:pPr>
        <w:pStyle w:val="12"/>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436DEA13">
      <w:pPr>
        <w:pStyle w:val="12"/>
        <w:spacing w:line="400" w:lineRule="exact"/>
        <w:jc w:val="center"/>
        <w:rPr>
          <w:rFonts w:hint="eastAsia" w:ascii="宋体" w:hAnsi="宋体" w:eastAsia="宋体" w:cs="宋体"/>
          <w:b/>
          <w:color w:val="auto"/>
          <w:sz w:val="32"/>
          <w:szCs w:val="32"/>
          <w:highlight w:val="none"/>
        </w:rPr>
      </w:pPr>
      <w:bookmarkStart w:id="1111" w:name="_Toc30304_WPSOffice_Level1"/>
      <w:bookmarkStart w:id="1112" w:name="_Toc30890_WPSOffice_Level1"/>
      <w:r>
        <w:rPr>
          <w:rFonts w:hint="eastAsia" w:ascii="宋体" w:hAnsi="宋体" w:eastAsia="宋体" w:cs="宋体"/>
          <w:b/>
          <w:color w:val="auto"/>
          <w:sz w:val="32"/>
          <w:szCs w:val="32"/>
          <w:highlight w:val="none"/>
        </w:rPr>
        <w:t>声   明</w:t>
      </w:r>
      <w:bookmarkEnd w:id="1111"/>
      <w:bookmarkEnd w:id="1112"/>
    </w:p>
    <w:p w14:paraId="1CF6AB15">
      <w:pPr>
        <w:pStyle w:val="12"/>
        <w:spacing w:line="400" w:lineRule="exact"/>
        <w:jc w:val="both"/>
        <w:rPr>
          <w:rFonts w:hint="eastAsia" w:ascii="宋体" w:hAnsi="宋体" w:eastAsia="宋体" w:cs="宋体"/>
          <w:b/>
          <w:color w:val="auto"/>
          <w:sz w:val="32"/>
          <w:szCs w:val="32"/>
          <w:highlight w:val="none"/>
        </w:rPr>
      </w:pPr>
    </w:p>
    <w:p w14:paraId="2583CCE8">
      <w:pPr>
        <w:pStyle w:val="12"/>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广西乐正工程项目管理有限公司</w:t>
      </w:r>
    </w:p>
    <w:p w14:paraId="73F2CB70">
      <w:pPr>
        <w:rPr>
          <w:rFonts w:hint="eastAsia" w:ascii="宋体" w:hAnsi="宋体" w:eastAsia="宋体" w:cs="宋体"/>
          <w:color w:val="auto"/>
          <w:szCs w:val="21"/>
          <w:highlight w:val="none"/>
          <w:u w:val="single"/>
        </w:rPr>
      </w:pPr>
    </w:p>
    <w:p w14:paraId="673EC217">
      <w:pPr>
        <w:pStyle w:val="8"/>
        <w:rPr>
          <w:rFonts w:hint="eastAsia" w:ascii="宋体" w:hAnsi="宋体" w:eastAsia="宋体" w:cs="宋体"/>
          <w:color w:val="auto"/>
          <w:highlight w:val="none"/>
        </w:rPr>
      </w:pPr>
    </w:p>
    <w:p w14:paraId="36CB8846">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D1ACB52">
      <w:pPr>
        <w:rPr>
          <w:rFonts w:hint="eastAsia" w:ascii="宋体" w:hAnsi="宋体" w:eastAsia="宋体" w:cs="宋体"/>
          <w:color w:val="auto"/>
          <w:highlight w:val="none"/>
        </w:rPr>
      </w:pPr>
    </w:p>
    <w:p w14:paraId="0EA245B3">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68189BD">
      <w:pPr>
        <w:pStyle w:val="12"/>
        <w:ind w:firstLine="3990" w:firstLineChars="1900"/>
        <w:rPr>
          <w:rFonts w:hint="eastAsia" w:ascii="宋体" w:hAnsi="宋体" w:eastAsia="宋体" w:cs="宋体"/>
          <w:color w:val="auto"/>
          <w:highlight w:val="none"/>
        </w:rPr>
      </w:pPr>
    </w:p>
    <w:p w14:paraId="3CF7F165">
      <w:pPr>
        <w:pStyle w:val="12"/>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156E0B1D">
      <w:pPr>
        <w:pStyle w:val="12"/>
        <w:spacing w:line="340" w:lineRule="exact"/>
        <w:rPr>
          <w:rFonts w:hint="eastAsia" w:ascii="宋体" w:hAnsi="宋体" w:eastAsia="宋体" w:cs="宋体"/>
          <w:b/>
          <w:color w:val="auto"/>
          <w:sz w:val="28"/>
          <w:szCs w:val="28"/>
          <w:highlight w:val="none"/>
        </w:rPr>
      </w:pPr>
    </w:p>
    <w:p w14:paraId="0A8509DE">
      <w:pPr>
        <w:pStyle w:val="12"/>
        <w:spacing w:line="340" w:lineRule="exact"/>
        <w:rPr>
          <w:rFonts w:hint="eastAsia" w:ascii="宋体" w:hAnsi="宋体" w:eastAsia="宋体" w:cs="宋体"/>
          <w:b/>
          <w:color w:val="auto"/>
          <w:sz w:val="28"/>
          <w:szCs w:val="28"/>
          <w:highlight w:val="none"/>
          <w:lang w:val="en-US" w:eastAsia="zh-CN"/>
        </w:rPr>
      </w:pPr>
    </w:p>
    <w:p w14:paraId="5AFFB84F">
      <w:pPr>
        <w:pStyle w:val="12"/>
        <w:spacing w:line="340" w:lineRule="exact"/>
        <w:rPr>
          <w:rFonts w:hint="eastAsia" w:ascii="宋体" w:hAnsi="宋体" w:eastAsia="宋体" w:cs="宋体"/>
          <w:b/>
          <w:color w:val="auto"/>
          <w:sz w:val="28"/>
          <w:szCs w:val="28"/>
          <w:highlight w:val="none"/>
          <w:lang w:val="en-US" w:eastAsia="zh-CN"/>
        </w:rPr>
      </w:pPr>
    </w:p>
    <w:p w14:paraId="05F1D6F1">
      <w:pPr>
        <w:pStyle w:val="12"/>
        <w:spacing w:line="340" w:lineRule="exact"/>
        <w:rPr>
          <w:rFonts w:hint="eastAsia" w:ascii="宋体" w:hAnsi="宋体" w:eastAsia="宋体" w:cs="宋体"/>
          <w:b/>
          <w:color w:val="auto"/>
          <w:sz w:val="28"/>
          <w:szCs w:val="28"/>
          <w:highlight w:val="none"/>
          <w:lang w:val="en-US" w:eastAsia="zh-CN"/>
        </w:rPr>
      </w:pPr>
    </w:p>
    <w:p w14:paraId="77D45E3F">
      <w:pPr>
        <w:pStyle w:val="12"/>
        <w:spacing w:line="340" w:lineRule="exact"/>
        <w:rPr>
          <w:rFonts w:hint="eastAsia" w:ascii="宋体" w:hAnsi="宋体" w:eastAsia="宋体" w:cs="宋体"/>
          <w:b/>
          <w:color w:val="auto"/>
          <w:sz w:val="28"/>
          <w:szCs w:val="28"/>
          <w:highlight w:val="none"/>
          <w:lang w:val="en-US" w:eastAsia="zh-CN"/>
        </w:rPr>
      </w:pPr>
    </w:p>
    <w:p w14:paraId="3801D14B">
      <w:pPr>
        <w:pStyle w:val="12"/>
        <w:spacing w:line="340" w:lineRule="exact"/>
        <w:rPr>
          <w:rFonts w:hint="eastAsia" w:ascii="宋体" w:hAnsi="宋体" w:eastAsia="宋体" w:cs="宋体"/>
          <w:b/>
          <w:color w:val="auto"/>
          <w:sz w:val="28"/>
          <w:szCs w:val="28"/>
          <w:highlight w:val="none"/>
          <w:lang w:val="en-US" w:eastAsia="zh-CN"/>
        </w:rPr>
      </w:pPr>
    </w:p>
    <w:p w14:paraId="6575E503">
      <w:pPr>
        <w:pStyle w:val="12"/>
        <w:spacing w:line="340" w:lineRule="exact"/>
        <w:rPr>
          <w:rFonts w:hint="eastAsia" w:ascii="宋体" w:hAnsi="宋体" w:eastAsia="宋体" w:cs="宋体"/>
          <w:b/>
          <w:color w:val="auto"/>
          <w:sz w:val="28"/>
          <w:szCs w:val="28"/>
          <w:highlight w:val="none"/>
          <w:lang w:val="en-US" w:eastAsia="zh-CN"/>
        </w:rPr>
      </w:pPr>
    </w:p>
    <w:p w14:paraId="6DBA344D">
      <w:pPr>
        <w:pStyle w:val="12"/>
        <w:spacing w:line="340" w:lineRule="exact"/>
        <w:rPr>
          <w:rFonts w:hint="eastAsia" w:ascii="宋体" w:hAnsi="宋体" w:eastAsia="宋体" w:cs="宋体"/>
          <w:b/>
          <w:color w:val="auto"/>
          <w:sz w:val="28"/>
          <w:szCs w:val="28"/>
          <w:highlight w:val="none"/>
          <w:lang w:val="en-US" w:eastAsia="zh-CN"/>
        </w:rPr>
      </w:pPr>
    </w:p>
    <w:p w14:paraId="17EEA1E6">
      <w:pPr>
        <w:pStyle w:val="6"/>
        <w:numPr>
          <w:ilvl w:val="0"/>
          <w:numId w:val="0"/>
        </w:numPr>
        <w:outlineLvl w:val="1"/>
        <w:rPr>
          <w:rFonts w:hint="eastAsia" w:ascii="宋体" w:hAnsi="宋体" w:eastAsia="宋体" w:cs="宋体"/>
          <w:b/>
          <w:color w:val="auto"/>
          <w:sz w:val="28"/>
          <w:szCs w:val="28"/>
          <w:highlight w:val="none"/>
        </w:rPr>
      </w:pPr>
      <w:bookmarkStart w:id="1113" w:name="_Toc20647"/>
      <w:bookmarkStart w:id="1114" w:name="_Toc32703"/>
      <w:bookmarkStart w:id="1115" w:name="_Toc28909"/>
      <w:bookmarkStart w:id="1116" w:name="_Toc20796"/>
      <w:bookmarkStart w:id="1117" w:name="_Toc28801"/>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1113"/>
      <w:bookmarkEnd w:id="1114"/>
      <w:bookmarkEnd w:id="1115"/>
      <w:bookmarkEnd w:id="1116"/>
      <w:bookmarkEnd w:id="1117"/>
      <w:r>
        <w:rPr>
          <w:rFonts w:hint="eastAsia" w:ascii="宋体" w:hAnsi="宋体" w:eastAsia="宋体" w:cs="宋体"/>
          <w:b/>
          <w:color w:val="auto"/>
          <w:sz w:val="28"/>
          <w:szCs w:val="28"/>
          <w:highlight w:val="none"/>
        </w:rPr>
        <w:t>供应商的法人或者其他组织营业执照等证明文件复印件（必须提供，自然人除外）</w:t>
      </w:r>
    </w:p>
    <w:p w14:paraId="60658893">
      <w:pPr>
        <w:rPr>
          <w:rFonts w:hint="eastAsia" w:ascii="宋体" w:hAnsi="宋体" w:eastAsia="宋体" w:cs="宋体"/>
          <w:b/>
          <w:bCs/>
          <w:color w:val="auto"/>
          <w:sz w:val="28"/>
          <w:szCs w:val="28"/>
          <w:highlight w:val="none"/>
        </w:rPr>
      </w:pPr>
    </w:p>
    <w:p w14:paraId="15AC401B">
      <w:pPr>
        <w:pStyle w:val="12"/>
        <w:numPr>
          <w:ilvl w:val="0"/>
          <w:numId w:val="0"/>
        </w:numPr>
        <w:spacing w:line="340" w:lineRule="exact"/>
        <w:rPr>
          <w:rFonts w:hint="eastAsia" w:ascii="宋体" w:hAnsi="宋体" w:eastAsia="宋体" w:cs="宋体"/>
          <w:b/>
          <w:color w:val="auto"/>
          <w:sz w:val="28"/>
          <w:szCs w:val="28"/>
          <w:highlight w:val="none"/>
          <w:lang w:val="en-US" w:eastAsia="zh-CN"/>
        </w:rPr>
      </w:pPr>
    </w:p>
    <w:p w14:paraId="2B63F757">
      <w:pPr>
        <w:rPr>
          <w:rFonts w:hint="eastAsia" w:ascii="宋体" w:hAnsi="宋体" w:eastAsia="宋体" w:cs="宋体"/>
          <w:b/>
          <w:color w:val="auto"/>
          <w:sz w:val="28"/>
          <w:szCs w:val="28"/>
          <w:highlight w:val="none"/>
          <w:lang w:val="en-US" w:eastAsia="zh-CN"/>
        </w:rPr>
      </w:pPr>
      <w:bookmarkStart w:id="1118" w:name="_Toc12697"/>
      <w:bookmarkStart w:id="1119" w:name="_Toc29194"/>
      <w:bookmarkStart w:id="1120" w:name="_Toc6956"/>
      <w:bookmarkStart w:id="1121" w:name="_Toc28158"/>
      <w:r>
        <w:rPr>
          <w:rFonts w:hint="eastAsia" w:ascii="宋体" w:hAnsi="宋体" w:eastAsia="宋体" w:cs="宋体"/>
          <w:b/>
          <w:color w:val="auto"/>
          <w:sz w:val="28"/>
          <w:szCs w:val="28"/>
          <w:highlight w:val="none"/>
          <w:lang w:val="en-US" w:eastAsia="zh-CN"/>
        </w:rPr>
        <w:br w:type="page"/>
      </w:r>
    </w:p>
    <w:p w14:paraId="6E81F7E5">
      <w:pPr>
        <w:pStyle w:val="6"/>
        <w:numPr>
          <w:ilvl w:val="0"/>
          <w:numId w:val="0"/>
        </w:numPr>
        <w:outlineLvl w:val="1"/>
        <w:rPr>
          <w:rFonts w:hint="eastAsia" w:ascii="宋体" w:hAnsi="宋体" w:eastAsia="宋体" w:cs="宋体"/>
          <w:b/>
          <w:color w:val="auto"/>
          <w:sz w:val="28"/>
          <w:szCs w:val="28"/>
          <w:highlight w:val="none"/>
          <w:lang w:val="en-US" w:eastAsia="zh-CN"/>
        </w:rPr>
      </w:pPr>
      <w:bookmarkStart w:id="1122" w:name="_Toc19732"/>
      <w:r>
        <w:rPr>
          <w:rFonts w:hint="eastAsia" w:ascii="宋体" w:hAnsi="宋体" w:eastAsia="宋体" w:cs="宋体"/>
          <w:b/>
          <w:color w:val="auto"/>
          <w:sz w:val="28"/>
          <w:szCs w:val="28"/>
          <w:highlight w:val="none"/>
          <w:lang w:val="en-US" w:eastAsia="zh-CN"/>
        </w:rPr>
        <w:t>5.</w:t>
      </w:r>
      <w:bookmarkEnd w:id="1118"/>
      <w:bookmarkEnd w:id="1119"/>
      <w:bookmarkEnd w:id="1120"/>
      <w:bookmarkEnd w:id="1121"/>
      <w:bookmarkEnd w:id="1122"/>
      <w:r>
        <w:rPr>
          <w:rFonts w:hint="eastAsia" w:ascii="宋体" w:hAnsi="宋体" w:eastAsia="宋体" w:cs="宋体"/>
          <w:b/>
          <w:color w:val="auto"/>
          <w:sz w:val="28"/>
          <w:szCs w:val="28"/>
          <w:highlight w:val="none"/>
          <w:lang w:val="en-US" w:eastAsia="zh-CN"/>
        </w:rPr>
        <w:t>供应商有效的资质证书复印件（必须提供）</w:t>
      </w:r>
    </w:p>
    <w:p w14:paraId="37966052">
      <w:pPr>
        <w:pStyle w:val="6"/>
        <w:numPr>
          <w:ilvl w:val="0"/>
          <w:numId w:val="0"/>
        </w:numPr>
        <w:rPr>
          <w:rFonts w:hint="eastAsia"/>
          <w:color w:val="auto"/>
          <w:highlight w:val="none"/>
          <w:lang w:val="en-US" w:eastAsia="zh-CN"/>
        </w:rPr>
      </w:pPr>
    </w:p>
    <w:p w14:paraId="7D6AC86F">
      <w:pPr>
        <w:pStyle w:val="12"/>
        <w:spacing w:line="340" w:lineRule="exact"/>
        <w:jc w:val="left"/>
        <w:rPr>
          <w:rFonts w:hint="eastAsia" w:ascii="宋体" w:hAnsi="宋体" w:eastAsia="宋体" w:cs="宋体"/>
          <w:b/>
          <w:color w:val="auto"/>
          <w:sz w:val="28"/>
          <w:szCs w:val="28"/>
          <w:highlight w:val="none"/>
          <w:lang w:val="en-US" w:eastAsia="zh-CN"/>
        </w:rPr>
      </w:pPr>
    </w:p>
    <w:p w14:paraId="78467ACD">
      <w:pPr>
        <w:pStyle w:val="6"/>
        <w:ind w:left="0" w:leftChars="0" w:firstLine="0" w:firstLineChars="0"/>
        <w:jc w:val="left"/>
        <w:rPr>
          <w:rFonts w:hint="eastAsia" w:ascii="宋体" w:hAnsi="宋体" w:eastAsia="宋体" w:cs="宋体"/>
          <w:b/>
          <w:color w:val="auto"/>
          <w:sz w:val="28"/>
          <w:szCs w:val="28"/>
          <w:highlight w:val="none"/>
          <w:lang w:val="en-US" w:eastAsia="zh-CN"/>
        </w:rPr>
      </w:pPr>
    </w:p>
    <w:p w14:paraId="6AF17C6D">
      <w:pPr>
        <w:jc w:val="left"/>
        <w:rPr>
          <w:rFonts w:hint="eastAsia" w:ascii="宋体" w:hAnsi="宋体" w:eastAsia="宋体" w:cs="宋体"/>
          <w:b/>
          <w:color w:val="auto"/>
          <w:sz w:val="28"/>
          <w:szCs w:val="28"/>
          <w:highlight w:val="none"/>
          <w:lang w:val="en-US" w:eastAsia="zh-CN"/>
        </w:rPr>
      </w:pPr>
    </w:p>
    <w:p w14:paraId="780BF6C9">
      <w:pPr>
        <w:pStyle w:val="13"/>
        <w:jc w:val="left"/>
        <w:rPr>
          <w:rFonts w:hint="eastAsia"/>
          <w:color w:val="auto"/>
          <w:highlight w:val="none"/>
          <w:lang w:val="en-US" w:eastAsia="zh-CN"/>
        </w:rPr>
      </w:pPr>
    </w:p>
    <w:p w14:paraId="4310EFF6">
      <w:pPr>
        <w:pStyle w:val="12"/>
        <w:spacing w:line="340" w:lineRule="exact"/>
        <w:jc w:val="left"/>
        <w:rPr>
          <w:rFonts w:hint="eastAsia" w:ascii="宋体" w:hAnsi="宋体" w:eastAsia="宋体" w:cs="宋体"/>
          <w:b/>
          <w:color w:val="auto"/>
          <w:sz w:val="28"/>
          <w:szCs w:val="28"/>
          <w:highlight w:val="none"/>
          <w:lang w:val="en-US" w:eastAsia="zh-CN"/>
        </w:rPr>
      </w:pPr>
    </w:p>
    <w:p w14:paraId="75C06882">
      <w:pPr>
        <w:pStyle w:val="6"/>
        <w:numPr>
          <w:ilvl w:val="0"/>
          <w:numId w:val="0"/>
        </w:numPr>
        <w:outlineLvl w:val="1"/>
        <w:rPr>
          <w:rFonts w:hint="default" w:ascii="宋体" w:hAnsi="宋体" w:eastAsia="宋体" w:cs="宋体"/>
          <w:b/>
          <w:color w:val="auto"/>
          <w:sz w:val="28"/>
          <w:szCs w:val="28"/>
          <w:highlight w:val="none"/>
          <w:lang w:val="en-US" w:eastAsia="zh-CN"/>
        </w:rPr>
      </w:pPr>
      <w:bookmarkStart w:id="1123" w:name="_Toc12953"/>
      <w:bookmarkStart w:id="1124" w:name="_Toc23822"/>
      <w:bookmarkStart w:id="1125" w:name="_Toc12365"/>
      <w:bookmarkStart w:id="1126" w:name="_Toc15020"/>
      <w:bookmarkStart w:id="1127" w:name="_Toc11223"/>
      <w:r>
        <w:rPr>
          <w:rFonts w:hint="eastAsia" w:ascii="宋体" w:hAnsi="宋体" w:eastAsia="宋体" w:cs="宋体"/>
          <w:b/>
          <w:color w:val="auto"/>
          <w:sz w:val="28"/>
          <w:szCs w:val="28"/>
          <w:highlight w:val="none"/>
          <w:lang w:val="en-US" w:eastAsia="zh-CN"/>
        </w:rPr>
        <w:t>6.</w:t>
      </w:r>
      <w:bookmarkEnd w:id="1123"/>
      <w:bookmarkEnd w:id="1124"/>
      <w:bookmarkEnd w:id="1125"/>
      <w:bookmarkEnd w:id="1126"/>
      <w:bookmarkEnd w:id="1127"/>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市政公用工程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0267B815">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1128" w:name="_Toc27290"/>
      <w:bookmarkStart w:id="1129" w:name="_Toc31765"/>
      <w:bookmarkStart w:id="1130" w:name="_Toc16476"/>
      <w:bookmarkStart w:id="1131" w:name="_Toc1162"/>
    </w:p>
    <w:p w14:paraId="462FA7F4">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13C4D1DC">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4CBEBF55">
      <w:pPr>
        <w:jc w:val="left"/>
        <w:rPr>
          <w:rFonts w:hint="eastAsia" w:ascii="宋体" w:hAnsi="宋体" w:eastAsia="宋体" w:cs="宋体"/>
          <w:b/>
          <w:color w:val="auto"/>
          <w:sz w:val="28"/>
          <w:szCs w:val="28"/>
          <w:highlight w:val="none"/>
          <w:lang w:val="en-US" w:eastAsia="zh-CN"/>
        </w:rPr>
      </w:pPr>
    </w:p>
    <w:p w14:paraId="1C2891A0">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6D6490BB">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6832A060">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7.</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54DEBF6">
      <w:pPr>
        <w:pStyle w:val="6"/>
        <w:numPr>
          <w:ilvl w:val="0"/>
          <w:numId w:val="0"/>
        </w:numPr>
        <w:outlineLvl w:val="1"/>
        <w:rPr>
          <w:rFonts w:hint="eastAsia" w:ascii="宋体" w:hAnsi="宋体" w:eastAsia="宋体" w:cs="宋体"/>
          <w:b/>
          <w:color w:val="auto"/>
          <w:sz w:val="28"/>
          <w:szCs w:val="28"/>
          <w:highlight w:val="none"/>
          <w:lang w:val="en-US" w:eastAsia="zh-CN"/>
        </w:rPr>
      </w:pPr>
      <w:bookmarkStart w:id="1132" w:name="_Toc3115"/>
    </w:p>
    <w:p w14:paraId="3A5382D2">
      <w:pPr>
        <w:pStyle w:val="6"/>
        <w:numPr>
          <w:ilvl w:val="0"/>
          <w:numId w:val="0"/>
        </w:numPr>
        <w:outlineLvl w:val="1"/>
        <w:rPr>
          <w:rFonts w:hint="eastAsia" w:ascii="宋体" w:hAnsi="宋体" w:eastAsia="宋体" w:cs="宋体"/>
          <w:b/>
          <w:color w:val="auto"/>
          <w:sz w:val="28"/>
          <w:szCs w:val="28"/>
          <w:highlight w:val="none"/>
          <w:lang w:val="en-US" w:eastAsia="zh-CN"/>
        </w:rPr>
      </w:pPr>
    </w:p>
    <w:p w14:paraId="563C9DDB">
      <w:pPr>
        <w:pStyle w:val="6"/>
        <w:numPr>
          <w:ilvl w:val="0"/>
          <w:numId w:val="0"/>
        </w:numPr>
        <w:outlineLvl w:val="1"/>
        <w:rPr>
          <w:rFonts w:hint="eastAsia" w:ascii="宋体" w:hAnsi="宋体" w:eastAsia="宋体" w:cs="宋体"/>
          <w:b/>
          <w:color w:val="auto"/>
          <w:sz w:val="28"/>
          <w:szCs w:val="28"/>
          <w:highlight w:val="none"/>
          <w:lang w:val="en-US" w:eastAsia="zh-CN"/>
        </w:rPr>
      </w:pPr>
    </w:p>
    <w:p w14:paraId="114084B7">
      <w:pPr>
        <w:pStyle w:val="6"/>
        <w:numPr>
          <w:ilvl w:val="0"/>
          <w:numId w:val="0"/>
        </w:numPr>
        <w:outlineLvl w:val="1"/>
        <w:rPr>
          <w:rFonts w:hint="eastAsia" w:ascii="宋体" w:hAnsi="宋体" w:eastAsia="宋体" w:cs="宋体"/>
          <w:b/>
          <w:color w:val="auto"/>
          <w:sz w:val="28"/>
          <w:szCs w:val="28"/>
          <w:highlight w:val="none"/>
          <w:lang w:val="en-US" w:eastAsia="zh-CN"/>
        </w:rPr>
      </w:pPr>
    </w:p>
    <w:p w14:paraId="06865950">
      <w:pPr>
        <w:pStyle w:val="6"/>
        <w:numPr>
          <w:ilvl w:val="0"/>
          <w:numId w:val="0"/>
        </w:numPr>
        <w:outlineLvl w:val="1"/>
        <w:rPr>
          <w:rFonts w:hint="eastAsia" w:ascii="宋体" w:hAnsi="宋体" w:eastAsia="宋体" w:cs="宋体"/>
          <w:b/>
          <w:color w:val="auto"/>
          <w:sz w:val="28"/>
          <w:szCs w:val="28"/>
          <w:highlight w:val="none"/>
          <w:lang w:val="en-US" w:eastAsia="zh-CN"/>
        </w:rPr>
      </w:pPr>
    </w:p>
    <w:p w14:paraId="23E292C6">
      <w:pPr>
        <w:pStyle w:val="6"/>
        <w:numPr>
          <w:ilvl w:val="0"/>
          <w:numId w:val="0"/>
        </w:numPr>
        <w:outlineLvl w:val="1"/>
        <w:rPr>
          <w:rFonts w:hint="eastAsia" w:ascii="宋体" w:hAnsi="宋体" w:eastAsia="宋体" w:cs="宋体"/>
          <w:b/>
          <w:color w:val="auto"/>
          <w:sz w:val="28"/>
          <w:szCs w:val="28"/>
          <w:highlight w:val="none"/>
          <w:lang w:val="en-US" w:eastAsia="zh-CN"/>
        </w:rPr>
      </w:pPr>
    </w:p>
    <w:p w14:paraId="6F23F50C">
      <w:pPr>
        <w:pStyle w:val="6"/>
        <w:numPr>
          <w:ilvl w:val="0"/>
          <w:numId w:val="0"/>
        </w:numPr>
        <w:outlineLvl w:val="1"/>
        <w:rPr>
          <w:rFonts w:hint="eastAsia" w:ascii="宋体" w:hAnsi="宋体" w:eastAsia="宋体" w:cs="宋体"/>
          <w:b/>
          <w:color w:val="auto"/>
          <w:sz w:val="28"/>
          <w:szCs w:val="28"/>
          <w:highlight w:val="none"/>
          <w:lang w:val="en-US" w:eastAsia="zh-CN"/>
        </w:rPr>
      </w:pPr>
    </w:p>
    <w:p w14:paraId="14A5F686">
      <w:pPr>
        <w:pStyle w:val="6"/>
        <w:numPr>
          <w:ilvl w:val="0"/>
          <w:numId w:val="0"/>
        </w:numPr>
        <w:outlineLvl w:val="1"/>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w:t>
      </w:r>
      <w:bookmarkEnd w:id="1128"/>
      <w:bookmarkEnd w:id="1129"/>
      <w:bookmarkEnd w:id="1130"/>
      <w:bookmarkEnd w:id="1131"/>
      <w:bookmarkEnd w:id="1132"/>
      <w:r>
        <w:rPr>
          <w:rFonts w:hint="eastAsia" w:ascii="宋体" w:hAnsi="宋体" w:cs="宋体"/>
          <w:b/>
          <w:color w:val="auto"/>
          <w:sz w:val="28"/>
          <w:szCs w:val="28"/>
          <w:highlight w:val="none"/>
          <w:lang w:val="en-US" w:eastAsia="zh-CN"/>
        </w:rPr>
        <w:t>供应商2024年的财务状况报告</w:t>
      </w:r>
      <w:r>
        <w:rPr>
          <w:rFonts w:hint="eastAsia" w:ascii="宋体" w:hAnsi="宋体" w:eastAsia="宋体" w:cs="宋体"/>
          <w:b/>
          <w:color w:val="auto"/>
          <w:sz w:val="28"/>
          <w:szCs w:val="28"/>
          <w:highlight w:val="none"/>
          <w:lang w:val="en-US" w:eastAsia="zh-CN"/>
        </w:rPr>
        <w:t>（或银行出具的资信证明）复印件（必须提供）</w:t>
      </w:r>
    </w:p>
    <w:p w14:paraId="44BE810B">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1133" w:name="_Toc12791"/>
      <w:bookmarkStart w:id="1134" w:name="_Toc10639"/>
      <w:bookmarkStart w:id="1135" w:name="_Toc21896"/>
      <w:bookmarkStart w:id="1136" w:name="_Toc18342"/>
    </w:p>
    <w:p w14:paraId="58485087">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2CFBFD89">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F6A7CEE">
      <w:pPr>
        <w:jc w:val="left"/>
        <w:rPr>
          <w:rFonts w:hint="eastAsia" w:ascii="宋体" w:hAnsi="宋体" w:eastAsia="宋体" w:cs="宋体"/>
          <w:b/>
          <w:color w:val="auto"/>
          <w:sz w:val="28"/>
          <w:szCs w:val="28"/>
          <w:highlight w:val="none"/>
          <w:lang w:val="en-US" w:eastAsia="zh-CN"/>
        </w:rPr>
      </w:pPr>
    </w:p>
    <w:p w14:paraId="192BB7E5">
      <w:pPr>
        <w:jc w:val="left"/>
        <w:rPr>
          <w:rFonts w:hint="eastAsia" w:ascii="宋体" w:hAnsi="宋体" w:eastAsia="宋体" w:cs="宋体"/>
          <w:b/>
          <w:color w:val="auto"/>
          <w:sz w:val="28"/>
          <w:szCs w:val="28"/>
          <w:highlight w:val="none"/>
          <w:lang w:val="en-US" w:eastAsia="zh-CN"/>
        </w:rPr>
      </w:pPr>
    </w:p>
    <w:p w14:paraId="68D79E39">
      <w:pPr>
        <w:jc w:val="left"/>
        <w:rPr>
          <w:rFonts w:hint="eastAsia" w:ascii="宋体" w:hAnsi="宋体" w:eastAsia="宋体" w:cs="宋体"/>
          <w:b/>
          <w:color w:val="auto"/>
          <w:sz w:val="28"/>
          <w:szCs w:val="28"/>
          <w:highlight w:val="none"/>
          <w:lang w:val="en-US" w:eastAsia="zh-CN"/>
        </w:rPr>
      </w:pPr>
    </w:p>
    <w:p w14:paraId="416623B1">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8C253E4">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14283D4C">
      <w:pPr>
        <w:pStyle w:val="6"/>
        <w:numPr>
          <w:ilvl w:val="0"/>
          <w:numId w:val="0"/>
        </w:numPr>
        <w:outlineLvl w:val="1"/>
        <w:rPr>
          <w:rFonts w:hint="eastAsia" w:ascii="宋体" w:hAnsi="宋体" w:eastAsia="宋体" w:cs="宋体"/>
          <w:b/>
          <w:color w:val="auto"/>
          <w:sz w:val="28"/>
          <w:szCs w:val="28"/>
          <w:highlight w:val="none"/>
          <w:lang w:val="en-US" w:eastAsia="zh-CN"/>
        </w:rPr>
      </w:pPr>
      <w:bookmarkStart w:id="1137" w:name="_Toc10118"/>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w:t>
      </w:r>
      <w:bookmarkEnd w:id="1133"/>
      <w:bookmarkEnd w:id="1134"/>
      <w:bookmarkEnd w:id="1135"/>
      <w:bookmarkEnd w:id="1136"/>
      <w:bookmarkEnd w:id="1137"/>
      <w:r>
        <w:rPr>
          <w:rFonts w:hint="eastAsia" w:ascii="宋体" w:hAnsi="宋体" w:cs="宋体"/>
          <w:b/>
          <w:color w:val="auto"/>
          <w:sz w:val="28"/>
          <w:szCs w:val="28"/>
          <w:highlight w:val="none"/>
          <w:lang w:val="en-US" w:eastAsia="zh-CN"/>
        </w:rPr>
        <w:t>供应商近半年内任意一个月或任一季度依法缴纳税收的证明材料【增值税发票(税收完税证明)或企业所得税完税证明或税务部门出具的免税证明】复印件</w:t>
      </w:r>
      <w:r>
        <w:rPr>
          <w:rFonts w:hint="eastAsia" w:ascii="宋体" w:hAnsi="宋体" w:eastAsia="宋体" w:cs="宋体"/>
          <w:b/>
          <w:color w:val="auto"/>
          <w:sz w:val="28"/>
          <w:szCs w:val="28"/>
          <w:highlight w:val="none"/>
          <w:lang w:val="en-US" w:eastAsia="zh-CN"/>
        </w:rPr>
        <w:t>（必须提供）</w:t>
      </w:r>
    </w:p>
    <w:p w14:paraId="7B9D859F">
      <w:pPr>
        <w:numPr>
          <w:ilvl w:val="0"/>
          <w:numId w:val="0"/>
        </w:numPr>
        <w:jc w:val="both"/>
        <w:rPr>
          <w:rFonts w:hint="eastAsia" w:ascii="宋体" w:hAnsi="宋体" w:cs="宋体"/>
          <w:b/>
          <w:bCs/>
          <w:color w:val="auto"/>
          <w:sz w:val="32"/>
          <w:szCs w:val="32"/>
          <w:highlight w:val="none"/>
          <w:lang w:eastAsia="zh-CN"/>
        </w:rPr>
      </w:pPr>
    </w:p>
    <w:p w14:paraId="7C34507E">
      <w:pPr>
        <w:pStyle w:val="13"/>
        <w:rPr>
          <w:rFonts w:hint="eastAsia"/>
          <w:color w:val="auto"/>
          <w:highlight w:val="none"/>
          <w:lang w:eastAsia="zh-CN"/>
        </w:rPr>
      </w:pPr>
    </w:p>
    <w:p w14:paraId="7F35FC03">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71396AED">
      <w:pPr>
        <w:pStyle w:val="6"/>
        <w:numPr>
          <w:ilvl w:val="0"/>
          <w:numId w:val="0"/>
        </w:numPr>
        <w:outlineLvl w:val="1"/>
        <w:rPr>
          <w:rFonts w:hint="eastAsia" w:ascii="宋体" w:hAnsi="宋体" w:cs="宋体"/>
          <w:b/>
          <w:bCs/>
          <w:color w:val="auto"/>
          <w:sz w:val="32"/>
          <w:szCs w:val="32"/>
          <w:highlight w:val="none"/>
          <w:lang w:eastAsia="zh-CN"/>
        </w:rPr>
      </w:pPr>
      <w:bookmarkStart w:id="1138" w:name="_Toc18910"/>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w:t>
      </w:r>
      <w:bookmarkEnd w:id="1138"/>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7F2A7D2D">
      <w:pPr>
        <w:numPr>
          <w:ilvl w:val="0"/>
          <w:numId w:val="0"/>
        </w:numPr>
        <w:jc w:val="both"/>
        <w:rPr>
          <w:rFonts w:hint="eastAsia" w:ascii="宋体" w:hAnsi="宋体" w:cs="宋体"/>
          <w:b/>
          <w:bCs/>
          <w:color w:val="auto"/>
          <w:sz w:val="32"/>
          <w:szCs w:val="32"/>
          <w:highlight w:val="none"/>
          <w:lang w:eastAsia="zh-CN"/>
        </w:rPr>
      </w:pPr>
    </w:p>
    <w:p w14:paraId="45A0B227">
      <w:pPr>
        <w:jc w:val="center"/>
        <w:outlineLvl w:val="1"/>
        <w:rPr>
          <w:rStyle w:val="25"/>
          <w:rFonts w:hint="eastAsia" w:ascii="宋体" w:hAnsi="宋体" w:eastAsia="宋体" w:cs="宋体"/>
          <w:b/>
          <w:bCs/>
          <w:color w:val="auto"/>
          <w:kern w:val="0"/>
          <w:sz w:val="24"/>
          <w:szCs w:val="24"/>
          <w:highlight w:val="none"/>
          <w:lang w:eastAsia="zh-CN"/>
        </w:rPr>
      </w:pPr>
      <w:bookmarkStart w:id="1139" w:name="_Toc20297"/>
      <w:bookmarkStart w:id="1140" w:name="_Toc27491"/>
      <w:bookmarkStart w:id="1141" w:name="_Toc16031"/>
      <w:bookmarkStart w:id="1142" w:name="_Toc20326"/>
      <w:bookmarkStart w:id="1143" w:name="_Toc23913"/>
      <w:bookmarkStart w:id="1144" w:name="_Toc22992"/>
      <w:r>
        <w:rPr>
          <w:rStyle w:val="25"/>
          <w:rFonts w:hint="eastAsia" w:ascii="宋体" w:hAnsi="宋体" w:cs="宋体"/>
          <w:b/>
          <w:bCs/>
          <w:color w:val="auto"/>
          <w:kern w:val="0"/>
          <w:sz w:val="24"/>
          <w:szCs w:val="24"/>
          <w:highlight w:val="none"/>
          <w:lang w:eastAsia="zh-CN"/>
        </w:rPr>
        <w:t>（</w:t>
      </w:r>
      <w:r>
        <w:rPr>
          <w:rStyle w:val="25"/>
          <w:rFonts w:hint="eastAsia" w:ascii="宋体" w:hAnsi="宋体" w:cs="宋体"/>
          <w:b/>
          <w:bCs/>
          <w:color w:val="auto"/>
          <w:kern w:val="0"/>
          <w:sz w:val="24"/>
          <w:szCs w:val="24"/>
          <w:highlight w:val="none"/>
          <w:lang w:val="en-US" w:eastAsia="zh-CN"/>
        </w:rPr>
        <w:t>1</w:t>
      </w:r>
      <w:r>
        <w:rPr>
          <w:rStyle w:val="25"/>
          <w:rFonts w:hint="eastAsia" w:ascii="宋体" w:hAnsi="宋体" w:cs="宋体"/>
          <w:b/>
          <w:bCs/>
          <w:color w:val="auto"/>
          <w:kern w:val="0"/>
          <w:sz w:val="24"/>
          <w:szCs w:val="24"/>
          <w:highlight w:val="none"/>
          <w:lang w:eastAsia="zh-CN"/>
        </w:rPr>
        <w:t>）</w:t>
      </w:r>
      <w:r>
        <w:rPr>
          <w:rStyle w:val="25"/>
          <w:rFonts w:ascii="宋体" w:hAnsi="宋体" w:cs="宋体"/>
          <w:b/>
          <w:bCs/>
          <w:color w:val="auto"/>
          <w:kern w:val="0"/>
          <w:sz w:val="24"/>
          <w:szCs w:val="24"/>
          <w:highlight w:val="none"/>
        </w:rPr>
        <w:t>中小企业声明函（</w:t>
      </w:r>
      <w:r>
        <w:rPr>
          <w:rStyle w:val="25"/>
          <w:rFonts w:hint="eastAsia" w:ascii="宋体" w:hAnsi="宋体" w:cs="宋体"/>
          <w:b/>
          <w:bCs/>
          <w:color w:val="auto"/>
          <w:kern w:val="0"/>
          <w:sz w:val="24"/>
          <w:szCs w:val="24"/>
          <w:highlight w:val="none"/>
        </w:rPr>
        <w:t>工程</w:t>
      </w:r>
      <w:r>
        <w:rPr>
          <w:rStyle w:val="25"/>
          <w:rFonts w:ascii="宋体" w:hAnsi="宋体" w:cs="宋体"/>
          <w:b/>
          <w:bCs/>
          <w:color w:val="auto"/>
          <w:kern w:val="0"/>
          <w:sz w:val="24"/>
          <w:szCs w:val="24"/>
          <w:highlight w:val="none"/>
        </w:rPr>
        <w:t>）</w:t>
      </w:r>
      <w:bookmarkEnd w:id="1139"/>
      <w:bookmarkEnd w:id="1140"/>
      <w:bookmarkEnd w:id="1141"/>
      <w:bookmarkEnd w:id="1142"/>
      <w:bookmarkEnd w:id="1143"/>
      <w:r>
        <w:rPr>
          <w:rStyle w:val="25"/>
          <w:rFonts w:hint="eastAsia" w:ascii="宋体" w:hAnsi="宋体" w:cs="宋体"/>
          <w:b/>
          <w:bCs/>
          <w:color w:val="auto"/>
          <w:kern w:val="0"/>
          <w:sz w:val="24"/>
          <w:szCs w:val="24"/>
          <w:highlight w:val="none"/>
          <w:lang w:eastAsia="zh-CN"/>
        </w:rPr>
        <w:t>（</w:t>
      </w:r>
      <w:r>
        <w:rPr>
          <w:rStyle w:val="25"/>
          <w:rFonts w:hint="eastAsia" w:ascii="宋体" w:hAnsi="宋体" w:cs="宋体"/>
          <w:b/>
          <w:bCs/>
          <w:color w:val="auto"/>
          <w:kern w:val="0"/>
          <w:sz w:val="24"/>
          <w:szCs w:val="24"/>
          <w:highlight w:val="none"/>
          <w:lang w:val="en-US" w:eastAsia="zh-CN"/>
        </w:rPr>
        <w:t>格式</w:t>
      </w:r>
      <w:r>
        <w:rPr>
          <w:rStyle w:val="25"/>
          <w:rFonts w:hint="eastAsia" w:ascii="宋体" w:hAnsi="宋体" w:cs="宋体"/>
          <w:b/>
          <w:bCs/>
          <w:color w:val="auto"/>
          <w:kern w:val="0"/>
          <w:sz w:val="24"/>
          <w:szCs w:val="24"/>
          <w:highlight w:val="none"/>
          <w:lang w:eastAsia="zh-CN"/>
        </w:rPr>
        <w:t>）</w:t>
      </w:r>
      <w:bookmarkEnd w:id="1144"/>
    </w:p>
    <w:p w14:paraId="08E9E67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4D91FA94">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40B2EDAD">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60C2DC85">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49FE520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328DF22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41ABDB51">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6F6D1BC5">
      <w:pPr>
        <w:ind w:right="420" w:firstLine="6120" w:firstLineChars="2550"/>
        <w:rPr>
          <w:rFonts w:hint="eastAsia" w:ascii="Times New Roman" w:hAnsi="Times New Roman" w:cs="Times New Roman"/>
          <w:bCs/>
          <w:color w:val="auto"/>
          <w:sz w:val="24"/>
          <w:szCs w:val="24"/>
          <w:highlight w:val="none"/>
        </w:rPr>
      </w:pPr>
    </w:p>
    <w:p w14:paraId="04BF0A95">
      <w:pPr>
        <w:spacing w:line="360" w:lineRule="auto"/>
        <w:ind w:firstLine="960" w:firstLineChars="400"/>
        <w:jc w:val="right"/>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42CDF33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269FB245">
      <w:pPr>
        <w:pStyle w:val="1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D18DBDD">
      <w:pPr>
        <w:pStyle w:val="1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3EECBB59">
      <w:pPr>
        <w:pStyle w:val="1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0A801F2C">
      <w:pPr>
        <w:pStyle w:val="1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58D02643">
      <w:pPr>
        <w:spacing w:line="240" w:lineRule="auto"/>
        <w:rPr>
          <w:rFonts w:hint="eastAsia" w:ascii="宋体" w:hAnsi="宋体" w:eastAsia="宋体" w:cs="宋体"/>
          <w:b/>
          <w:bCs/>
          <w:iCs/>
          <w:color w:val="auto"/>
          <w:kern w:val="2"/>
          <w:sz w:val="24"/>
          <w:szCs w:val="24"/>
          <w:highlight w:val="none"/>
          <w:lang w:val="en-US" w:eastAsia="zh-CN" w:bidi="ar-SA"/>
        </w:rPr>
      </w:pPr>
    </w:p>
    <w:p w14:paraId="48128D8C">
      <w:pPr>
        <w:rPr>
          <w:rFonts w:hint="eastAsia" w:ascii="宋体" w:hAnsi="宋体" w:cs="宋体"/>
          <w:b/>
          <w:color w:val="auto"/>
          <w:kern w:val="0"/>
          <w:sz w:val="24"/>
          <w:szCs w:val="24"/>
          <w:highlight w:val="none"/>
          <w:lang w:eastAsia="zh-CN"/>
        </w:rPr>
      </w:pPr>
      <w:bookmarkStart w:id="1145" w:name="_Toc20905"/>
      <w:bookmarkStart w:id="1146" w:name="_Toc13328"/>
      <w:bookmarkStart w:id="1147" w:name="_Toc7068"/>
      <w:bookmarkStart w:id="1148" w:name="_Toc15783"/>
      <w:bookmarkStart w:id="1149" w:name="OLE_LINK14"/>
      <w:bookmarkStart w:id="1150" w:name="OLE_LINK13"/>
      <w:r>
        <w:rPr>
          <w:rFonts w:hint="eastAsia" w:ascii="宋体" w:hAnsi="宋体" w:cs="宋体"/>
          <w:b/>
          <w:color w:val="auto"/>
          <w:kern w:val="0"/>
          <w:sz w:val="24"/>
          <w:szCs w:val="24"/>
          <w:highlight w:val="none"/>
          <w:lang w:eastAsia="zh-CN"/>
        </w:rPr>
        <w:br w:type="page"/>
      </w:r>
    </w:p>
    <w:p w14:paraId="7F25C1E3">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bookmarkStart w:id="1151" w:name="_Toc23442"/>
      <w:r>
        <w:rPr>
          <w:rFonts w:hint="eastAsia" w:ascii="宋体" w:hAnsi="宋体" w:eastAsia="宋体" w:cs="宋体"/>
          <w:b/>
          <w:bCs/>
          <w:color w:val="auto"/>
          <w:sz w:val="24"/>
          <w:highlight w:val="none"/>
        </w:rPr>
        <w:t>附表</w:t>
      </w:r>
      <w:bookmarkEnd w:id="1151"/>
    </w:p>
    <w:p w14:paraId="1AFD5E7B">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152" w:name="_Toc28361_WPSOffice_Level2"/>
      <w:r>
        <w:rPr>
          <w:rFonts w:hint="eastAsia" w:ascii="宋体" w:hAnsi="宋体" w:eastAsia="宋体" w:cs="宋体"/>
          <w:b/>
          <w:bCs/>
          <w:color w:val="auto"/>
          <w:kern w:val="0"/>
          <w:sz w:val="30"/>
          <w:szCs w:val="30"/>
          <w:highlight w:val="none"/>
        </w:rPr>
        <w:t>统计上大中小微型企业划分标准</w:t>
      </w:r>
      <w:bookmarkEnd w:id="1152"/>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F87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3EC34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30D20A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1E96EF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01EC0C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5F6997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693EA8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1A04201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3E1215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16E6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5F909C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25464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28C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8231B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F789C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619BEF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51876C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213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90EAD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09D08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3DC09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1E1D5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635A30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E10BF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53CEB5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A40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C707CD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A23AC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44F71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2F146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7332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17E5C8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C70C0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122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EFABD4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5C60865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ED73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DD3A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13379E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3DA6904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6BFB96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053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4483A7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96AF0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FDD8A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0455A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3AE208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36CCC3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40776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26E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6EFD3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066653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BCAF9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E0A9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1C1C20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DE99E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76240A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367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4F1D8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69DD8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BE692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5F60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39E3FB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0E9B760">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E6659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033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375E4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5297DF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22FC0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1BE16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2112FA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8DC07F9">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1D2DF4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D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D2A8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73799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AD1C8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DE0D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7FFE0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0A191CC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A0DD5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A7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EFC91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58A6D0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1F057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29579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600ABB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911A3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EF2FE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C21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2188A1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97AE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CF379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40A69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2610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F941D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4C55E3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8EF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23123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7BE710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55A3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35C6D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8991A3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961C4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267D7BB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9C1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5CF094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FB8A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B6A1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D725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6E8A7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5B877B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0F1DD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32D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3C0AE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3FA28A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FD887F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5822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8AC55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009AA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30C6B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287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2748F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8B070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D806C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7D59D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65360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1DE163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B562B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7B3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EA7E5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1531E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F993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A1A19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E94D1B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C3A8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59FCE2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B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E935D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1D6B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963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1E40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8FAB3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D3E3C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93A7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A8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3B729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3615A8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1686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8F8AC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E0F0ED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69271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919F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16F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3B44F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61E4B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8A75A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8AE6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15FB1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46DFA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ED5F8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AB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EADB6E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151D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B4517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E9B4E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2BE6A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43B6DA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80D2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5A7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C4F92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74A0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FC4A8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E0C3E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46187B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115F56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2A9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37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1F1E44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345881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3FF72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B6A05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8CF44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1977E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34697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10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732661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661718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D6FB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76A76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DDE14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0DEF15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512BFC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11C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6827EC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87395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82F39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5A6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47534C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197D9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61FE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377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DD286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3F9F4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23E9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4E02B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6541A9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E2416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2A43D9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3DCB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4C4DD1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102134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381A0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F51F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CD65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2E31618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703382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77A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E5BE1A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27D7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D41FF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CDD65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825278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56BA961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6BA257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7A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DF7B5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1CE2F0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F4F3C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9787D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D82BE8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8AED5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25492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854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72679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6E302B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060423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F6EC7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0E358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5D949D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353AC6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65E5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2BD2C4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937D1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245B9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5DA0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131A22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2A0D3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4F2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82C2A78">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50D04482">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p>
    <w:p w14:paraId="1DCAB498">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0CAE54B4">
      <w:pPr>
        <w:pStyle w:val="12"/>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4A051453">
      <w:pPr>
        <w:pStyle w:val="12"/>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AF1CD2D">
      <w:pPr>
        <w:rPr>
          <w:rFonts w:hint="eastAsia" w:ascii="宋体" w:hAnsi="宋体" w:cs="宋体"/>
          <w:b/>
          <w:color w:val="auto"/>
          <w:kern w:val="0"/>
          <w:sz w:val="24"/>
          <w:szCs w:val="24"/>
          <w:highlight w:val="none"/>
          <w:lang w:eastAsia="zh-CN"/>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2F22890">
      <w:pPr>
        <w:spacing w:line="588" w:lineRule="exact"/>
        <w:jc w:val="center"/>
        <w:outlineLvl w:val="1"/>
        <w:rPr>
          <w:rFonts w:hint="eastAsia" w:ascii="宋体" w:hAnsi="宋体" w:cs="宋体"/>
          <w:b/>
          <w:color w:val="auto"/>
          <w:kern w:val="0"/>
          <w:sz w:val="24"/>
          <w:szCs w:val="24"/>
          <w:highlight w:val="none"/>
          <w:lang w:eastAsia="zh-CN"/>
        </w:rPr>
      </w:pPr>
      <w:bookmarkStart w:id="1153" w:name="_Toc2170"/>
    </w:p>
    <w:p w14:paraId="1FF26430">
      <w:pPr>
        <w:spacing w:line="588" w:lineRule="exact"/>
        <w:jc w:val="center"/>
        <w:outlineLvl w:val="1"/>
        <w:rPr>
          <w:rFonts w:hint="eastAsia" w:ascii="宋体" w:hAnsi="宋体" w:cs="宋体"/>
          <w:b/>
          <w:color w:val="auto"/>
          <w:kern w:val="0"/>
          <w:sz w:val="24"/>
          <w:szCs w:val="24"/>
          <w:highlight w:val="none"/>
          <w:lang w:eastAsia="zh-CN"/>
        </w:rPr>
      </w:pPr>
    </w:p>
    <w:p w14:paraId="6FF3F6D7">
      <w:pPr>
        <w:spacing w:line="588" w:lineRule="exact"/>
        <w:jc w:val="center"/>
        <w:outlineLvl w:val="1"/>
        <w:rPr>
          <w:rFonts w:hint="eastAsia" w:ascii="宋体" w:hAnsi="宋体" w:cs="宋体"/>
          <w:b/>
          <w:color w:val="auto"/>
          <w:kern w:val="0"/>
          <w:sz w:val="24"/>
          <w:szCs w:val="24"/>
          <w:highlight w:val="none"/>
          <w:lang w:eastAsia="zh-CN"/>
        </w:rPr>
      </w:pPr>
    </w:p>
    <w:p w14:paraId="2F504F41">
      <w:pPr>
        <w:spacing w:line="588" w:lineRule="exact"/>
        <w:jc w:val="center"/>
        <w:outlineLvl w:val="1"/>
        <w:rPr>
          <w:rFonts w:hint="eastAsia" w:ascii="宋体" w:hAnsi="宋体" w:cs="宋体"/>
          <w:b/>
          <w:color w:val="auto"/>
          <w:kern w:val="0"/>
          <w:sz w:val="24"/>
          <w:szCs w:val="24"/>
          <w:highlight w:val="none"/>
          <w:lang w:eastAsia="zh-CN"/>
        </w:rPr>
      </w:pPr>
    </w:p>
    <w:p w14:paraId="4773AA8C">
      <w:pPr>
        <w:spacing w:line="588" w:lineRule="exact"/>
        <w:jc w:val="center"/>
        <w:outlineLvl w:val="1"/>
        <w:rPr>
          <w:rFonts w:hint="eastAsia" w:ascii="宋体" w:hAnsi="宋体" w:cs="宋体"/>
          <w:b/>
          <w:color w:val="auto"/>
          <w:kern w:val="0"/>
          <w:sz w:val="24"/>
          <w:szCs w:val="24"/>
          <w:highlight w:val="none"/>
          <w:lang w:eastAsia="zh-CN"/>
        </w:rPr>
      </w:pPr>
    </w:p>
    <w:p w14:paraId="2467522A">
      <w:pPr>
        <w:spacing w:line="588" w:lineRule="exact"/>
        <w:jc w:val="center"/>
        <w:outlineLvl w:val="1"/>
        <w:rPr>
          <w:rFonts w:hint="eastAsia" w:ascii="宋体" w:hAnsi="宋体" w:cs="宋体"/>
          <w:b/>
          <w:color w:val="auto"/>
          <w:kern w:val="0"/>
          <w:sz w:val="24"/>
          <w:szCs w:val="24"/>
          <w:highlight w:val="none"/>
          <w:lang w:eastAsia="zh-CN"/>
        </w:rPr>
      </w:pPr>
    </w:p>
    <w:p w14:paraId="5F9FAD64">
      <w:pPr>
        <w:spacing w:line="588" w:lineRule="exact"/>
        <w:jc w:val="center"/>
        <w:outlineLvl w:val="1"/>
        <w:rPr>
          <w:rFonts w:hint="eastAsia" w:ascii="宋体" w:hAnsi="宋体" w:cs="宋体"/>
          <w:b/>
          <w:color w:val="auto"/>
          <w:kern w:val="0"/>
          <w:sz w:val="24"/>
          <w:szCs w:val="24"/>
          <w:highlight w:val="none"/>
          <w:lang w:eastAsia="zh-CN"/>
        </w:rPr>
      </w:pPr>
    </w:p>
    <w:p w14:paraId="19010255">
      <w:pPr>
        <w:spacing w:line="588" w:lineRule="exact"/>
        <w:jc w:val="center"/>
        <w:outlineLvl w:val="1"/>
        <w:rPr>
          <w:rFonts w:hint="eastAsia" w:ascii="宋体" w:hAnsi="宋体" w:cs="宋体"/>
          <w:b/>
          <w:color w:val="auto"/>
          <w:kern w:val="0"/>
          <w:sz w:val="24"/>
          <w:szCs w:val="24"/>
          <w:highlight w:val="none"/>
          <w:lang w:eastAsia="zh-CN"/>
        </w:rPr>
      </w:pPr>
    </w:p>
    <w:p w14:paraId="4733C97B">
      <w:pPr>
        <w:spacing w:line="588" w:lineRule="exact"/>
        <w:jc w:val="center"/>
        <w:outlineLvl w:val="1"/>
        <w:rPr>
          <w:rFonts w:hint="eastAsia" w:ascii="宋体" w:hAnsi="宋体" w:cs="宋体"/>
          <w:b/>
          <w:color w:val="auto"/>
          <w:kern w:val="0"/>
          <w:sz w:val="24"/>
          <w:szCs w:val="24"/>
          <w:highlight w:val="none"/>
          <w:lang w:eastAsia="zh-CN"/>
        </w:rPr>
      </w:pPr>
    </w:p>
    <w:p w14:paraId="0621C2F3">
      <w:pPr>
        <w:spacing w:line="588" w:lineRule="exact"/>
        <w:jc w:val="center"/>
        <w:outlineLvl w:val="1"/>
        <w:rPr>
          <w:rFonts w:hint="eastAsia" w:ascii="宋体" w:hAnsi="宋体" w:cs="宋体"/>
          <w:b/>
          <w:color w:val="auto"/>
          <w:kern w:val="0"/>
          <w:sz w:val="24"/>
          <w:szCs w:val="24"/>
          <w:highlight w:val="none"/>
          <w:lang w:eastAsia="zh-CN"/>
        </w:rPr>
      </w:pPr>
    </w:p>
    <w:p w14:paraId="4CDDDD9E">
      <w:pPr>
        <w:spacing w:line="588" w:lineRule="exact"/>
        <w:jc w:val="center"/>
        <w:outlineLvl w:val="1"/>
        <w:rPr>
          <w:rFonts w:hint="eastAsia" w:ascii="宋体" w:hAnsi="宋体" w:cs="宋体"/>
          <w:b/>
          <w:color w:val="auto"/>
          <w:kern w:val="0"/>
          <w:sz w:val="24"/>
          <w:szCs w:val="24"/>
          <w:highlight w:val="none"/>
          <w:lang w:eastAsia="zh-CN"/>
        </w:rPr>
      </w:pPr>
    </w:p>
    <w:p w14:paraId="24EF651B">
      <w:pPr>
        <w:spacing w:line="588" w:lineRule="exact"/>
        <w:jc w:val="center"/>
        <w:outlineLvl w:val="1"/>
        <w:rPr>
          <w:rFonts w:hint="eastAsia" w:ascii="宋体" w:hAnsi="宋体" w:cs="宋体"/>
          <w:b/>
          <w:color w:val="auto"/>
          <w:kern w:val="0"/>
          <w:sz w:val="24"/>
          <w:szCs w:val="24"/>
          <w:highlight w:val="none"/>
          <w:lang w:eastAsia="zh-CN"/>
        </w:rPr>
      </w:pPr>
    </w:p>
    <w:p w14:paraId="492B0408">
      <w:pPr>
        <w:spacing w:line="588" w:lineRule="exact"/>
        <w:jc w:val="center"/>
        <w:outlineLvl w:val="1"/>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1145"/>
      <w:bookmarkEnd w:id="1146"/>
      <w:bookmarkEnd w:id="1147"/>
      <w:bookmarkEnd w:id="1148"/>
      <w:bookmarkEnd w:id="1153"/>
    </w:p>
    <w:bookmarkEnd w:id="1149"/>
    <w:bookmarkEnd w:id="1150"/>
    <w:p w14:paraId="6F742017">
      <w:pPr>
        <w:spacing w:line="588" w:lineRule="exact"/>
        <w:rPr>
          <w:rFonts w:hint="eastAsia" w:ascii="宋体" w:hAnsi="宋体" w:eastAsia="宋体" w:cs="宋体"/>
          <w:b/>
          <w:color w:val="auto"/>
          <w:kern w:val="0"/>
          <w:sz w:val="21"/>
          <w:szCs w:val="21"/>
          <w:highlight w:val="none"/>
        </w:rPr>
      </w:pPr>
    </w:p>
    <w:p w14:paraId="534631EC">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204167">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2C699C11">
      <w:pPr>
        <w:spacing w:line="588" w:lineRule="exact"/>
        <w:ind w:firstLine="420" w:firstLineChars="200"/>
        <w:rPr>
          <w:rFonts w:hint="eastAsia" w:ascii="宋体" w:hAnsi="宋体" w:eastAsia="宋体" w:cs="宋体"/>
          <w:color w:val="auto"/>
          <w:kern w:val="0"/>
          <w:sz w:val="21"/>
          <w:szCs w:val="21"/>
          <w:highlight w:val="none"/>
        </w:rPr>
      </w:pPr>
    </w:p>
    <w:p w14:paraId="01F5190B">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6CFC51B">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E497A2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C08B614">
      <w:pPr>
        <w:numPr>
          <w:ilvl w:val="0"/>
          <w:numId w:val="0"/>
        </w:numPr>
        <w:jc w:val="both"/>
        <w:rPr>
          <w:rFonts w:hint="eastAsia" w:ascii="宋体" w:hAnsi="宋体" w:cs="宋体"/>
          <w:b/>
          <w:bCs/>
          <w:color w:val="auto"/>
          <w:sz w:val="32"/>
          <w:szCs w:val="32"/>
          <w:highlight w:val="none"/>
          <w:lang w:eastAsia="zh-CN"/>
        </w:rPr>
      </w:pPr>
    </w:p>
    <w:p w14:paraId="20307B8C">
      <w:pPr>
        <w:numPr>
          <w:ilvl w:val="0"/>
          <w:numId w:val="0"/>
        </w:numPr>
        <w:jc w:val="both"/>
        <w:rPr>
          <w:rFonts w:hint="eastAsia" w:ascii="宋体" w:hAnsi="宋体" w:cs="宋体"/>
          <w:b/>
          <w:bCs/>
          <w:color w:val="auto"/>
          <w:sz w:val="32"/>
          <w:szCs w:val="32"/>
          <w:highlight w:val="none"/>
          <w:lang w:eastAsia="zh-CN"/>
        </w:rPr>
      </w:pPr>
    </w:p>
    <w:p w14:paraId="187837DF">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33E6C24C">
      <w:pPr>
        <w:numPr>
          <w:ilvl w:val="0"/>
          <w:numId w:val="0"/>
        </w:numPr>
        <w:jc w:val="both"/>
        <w:rPr>
          <w:rFonts w:hint="eastAsia" w:ascii="宋体" w:hAnsi="宋体" w:cs="宋体"/>
          <w:b/>
          <w:bCs/>
          <w:color w:val="auto"/>
          <w:sz w:val="32"/>
          <w:szCs w:val="32"/>
          <w:highlight w:val="none"/>
          <w:lang w:eastAsia="zh-CN"/>
        </w:rPr>
      </w:pPr>
    </w:p>
    <w:p w14:paraId="77950A40">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1154"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1154"/>
    </w:p>
    <w:p w14:paraId="4E5ECCEE">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7911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响应函（格式见附件）（必须提供）</w:t>
      </w:r>
    </w:p>
    <w:p w14:paraId="1BF0FB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工程报价汇总表（格式见附件）（必须提供）</w:t>
      </w:r>
    </w:p>
    <w:p w14:paraId="747431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3.已标价工程量清单（必须提供）</w:t>
      </w:r>
    </w:p>
    <w:p w14:paraId="7B2DBB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4.拟投入本工程主要施工管理人员表必须提供）</w:t>
      </w:r>
    </w:p>
    <w:p w14:paraId="17597F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.施工组织设计（根据工程量清单及工程情况自行编制）（格式自拟，必须提供）</w:t>
      </w:r>
    </w:p>
    <w:p w14:paraId="42B3D3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.工程完工服务承诺书（必须提供）</w:t>
      </w:r>
    </w:p>
    <w:p w14:paraId="144C7B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1155" w:name="_Toc1014"/>
      <w:bookmarkStart w:id="1156" w:name="_Toc6633"/>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.农民工工资保障金交纳与使用承诺书（必须提供）</w:t>
      </w:r>
      <w:bookmarkEnd w:id="1155"/>
      <w:bookmarkEnd w:id="1156"/>
    </w:p>
    <w:p w14:paraId="7F412932">
      <w:pPr>
        <w:pStyle w:val="37"/>
        <w:rPr>
          <w:rFonts w:hint="eastAsia" w:ascii="宋体" w:hAnsi="宋体" w:eastAsia="宋体" w:cs="宋体"/>
          <w:color w:val="auto"/>
          <w:highlight w:val="none"/>
        </w:rPr>
      </w:pPr>
    </w:p>
    <w:p w14:paraId="46934596">
      <w:pPr>
        <w:pStyle w:val="8"/>
        <w:rPr>
          <w:rFonts w:hint="eastAsia" w:ascii="宋体" w:hAnsi="宋体" w:eastAsia="宋体" w:cs="宋体"/>
          <w:color w:val="auto"/>
          <w:highlight w:val="none"/>
        </w:rPr>
      </w:pPr>
    </w:p>
    <w:p w14:paraId="5CF52A01">
      <w:pPr>
        <w:numPr>
          <w:ilvl w:val="0"/>
          <w:numId w:val="0"/>
        </w:numPr>
        <w:spacing w:line="400" w:lineRule="exact"/>
        <w:outlineLvl w:val="1"/>
        <w:rPr>
          <w:rFonts w:hint="eastAsia" w:ascii="宋体" w:hAnsi="宋体" w:eastAsia="宋体" w:cs="宋体"/>
          <w:b/>
          <w:bCs/>
          <w:color w:val="auto"/>
          <w:sz w:val="28"/>
          <w:szCs w:val="28"/>
          <w:highlight w:val="none"/>
        </w:rPr>
      </w:pPr>
      <w:bookmarkStart w:id="1157" w:name="_Toc497927072"/>
      <w:bookmarkStart w:id="1158" w:name="_Toc17617"/>
      <w:bookmarkStart w:id="1159" w:name="_Toc12920"/>
      <w:r>
        <w:rPr>
          <w:rFonts w:hint="eastAsia" w:ascii="宋体" w:hAnsi="宋体" w:cs="宋体"/>
          <w:b/>
          <w:bCs/>
          <w:color w:val="auto"/>
          <w:sz w:val="28"/>
          <w:szCs w:val="28"/>
          <w:highlight w:val="none"/>
          <w:lang w:val="en-US" w:eastAsia="zh-CN"/>
        </w:rPr>
        <w:br w:type="page"/>
      </w:r>
      <w:bookmarkStart w:id="1160" w:name="_Toc22576"/>
      <w:bookmarkStart w:id="1161" w:name="_Toc7733"/>
      <w:bookmarkStart w:id="1162" w:name="_Toc15505"/>
      <w:bookmarkStart w:id="1163" w:name="_Toc4512"/>
      <w:bookmarkStart w:id="1164" w:name="_Toc15513"/>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1157"/>
      <w:bookmarkEnd w:id="1158"/>
      <w:bookmarkEnd w:id="1159"/>
      <w:bookmarkEnd w:id="1160"/>
      <w:bookmarkEnd w:id="1161"/>
      <w:bookmarkEnd w:id="1162"/>
      <w:bookmarkEnd w:id="1163"/>
      <w:bookmarkEnd w:id="1164"/>
    </w:p>
    <w:p w14:paraId="4DF4B2B3">
      <w:pPr>
        <w:pStyle w:val="37"/>
        <w:rPr>
          <w:rFonts w:hint="eastAsia" w:ascii="宋体" w:hAnsi="宋体" w:eastAsia="宋体" w:cs="宋体"/>
          <w:color w:val="auto"/>
          <w:highlight w:val="none"/>
        </w:rPr>
      </w:pPr>
    </w:p>
    <w:p w14:paraId="253054A1">
      <w:pPr>
        <w:pStyle w:val="12"/>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31187E67">
      <w:pPr>
        <w:pStyle w:val="12"/>
        <w:ind w:firstLine="803" w:firstLineChars="250"/>
        <w:jc w:val="center"/>
        <w:rPr>
          <w:rFonts w:hint="eastAsia" w:ascii="宋体" w:hAnsi="宋体" w:eastAsia="宋体" w:cs="宋体"/>
          <w:b/>
          <w:color w:val="auto"/>
          <w:sz w:val="32"/>
          <w:highlight w:val="none"/>
        </w:rPr>
      </w:pPr>
      <w:bookmarkStart w:id="1165" w:name="_Toc7273_WPSOffice_Level1"/>
      <w:bookmarkStart w:id="1166" w:name="_Toc17832_WPSOffice_Level1"/>
      <w:r>
        <w:rPr>
          <w:rFonts w:hint="eastAsia" w:ascii="宋体" w:hAnsi="宋体" w:eastAsia="宋体" w:cs="宋体"/>
          <w:b/>
          <w:color w:val="auto"/>
          <w:sz w:val="32"/>
          <w:highlight w:val="none"/>
        </w:rPr>
        <w:t>响 应 函 （格 式）</w:t>
      </w:r>
      <w:bookmarkEnd w:id="1165"/>
      <w:bookmarkEnd w:id="1166"/>
    </w:p>
    <w:p w14:paraId="5F054D06">
      <w:pPr>
        <w:spacing w:line="240" w:lineRule="exact"/>
        <w:jc w:val="center"/>
        <w:rPr>
          <w:rFonts w:hint="eastAsia" w:ascii="宋体" w:hAnsi="宋体" w:eastAsia="宋体" w:cs="宋体"/>
          <w:color w:val="auto"/>
          <w:sz w:val="32"/>
          <w:highlight w:val="none"/>
        </w:rPr>
      </w:pPr>
    </w:p>
    <w:p w14:paraId="0D3C03F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广西乐正工程项目管理有限公司</w:t>
      </w:r>
    </w:p>
    <w:p w14:paraId="1098A4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6A2C607E">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44F1E1D9">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37B442">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6D6A9F5D">
      <w:pPr>
        <w:pStyle w:val="38"/>
        <w:tabs>
          <w:tab w:val="left" w:pos="7560"/>
        </w:tabs>
        <w:spacing w:line="460" w:lineRule="exact"/>
        <w:ind w:firstLine="420" w:firstLineChars="200"/>
        <w:rPr>
          <w:rStyle w:val="22"/>
          <w:rFonts w:hint="eastAsia" w:ascii="Times New Roman" w:hAnsi="Times New Roman" w:eastAsia="宋体" w:cs="Times New Roman"/>
          <w:color w:val="auto"/>
          <w:szCs w:val="21"/>
          <w:highlight w:val="none"/>
          <w:lang w:eastAsia="zh-CN"/>
        </w:rPr>
      </w:pPr>
      <w:r>
        <w:rPr>
          <w:rStyle w:val="22"/>
          <w:rFonts w:hint="eastAsia" w:ascii="Times New Roman" w:hAnsi="Times New Roman" w:eastAsia="宋体" w:cs="宋体"/>
          <w:color w:val="auto"/>
          <w:szCs w:val="21"/>
          <w:highlight w:val="none"/>
        </w:rPr>
        <w:t>我方愿以人民币（大写）</w:t>
      </w:r>
      <w:r>
        <w:rPr>
          <w:rStyle w:val="22"/>
          <w:rFonts w:ascii="Times New Roman" w:hAnsi="Times New Roman" w:eastAsia="宋体" w:cs="Times New Roman"/>
          <w:color w:val="auto"/>
          <w:szCs w:val="21"/>
          <w:highlight w:val="none"/>
          <w:u w:val="single"/>
        </w:rPr>
        <w:t xml:space="preserve">      </w:t>
      </w:r>
      <w:r>
        <w:rPr>
          <w:rStyle w:val="22"/>
          <w:rFonts w:hint="eastAsia" w:ascii="Times New Roman" w:hAnsi="Times New Roman" w:cs="Times New Roman"/>
          <w:color w:val="auto"/>
          <w:szCs w:val="21"/>
          <w:highlight w:val="none"/>
          <w:u w:val="single"/>
          <w:lang w:val="en-US" w:eastAsia="zh-CN"/>
        </w:rPr>
        <w:t xml:space="preserve">      </w:t>
      </w:r>
      <w:r>
        <w:rPr>
          <w:rStyle w:val="22"/>
          <w:rFonts w:hint="eastAsia" w:ascii="Times New Roman" w:hAnsi="Times New Roman" w:eastAsia="宋体" w:cs="宋体"/>
          <w:color w:val="auto"/>
          <w:szCs w:val="21"/>
          <w:highlight w:val="none"/>
        </w:rPr>
        <w:t>（</w:t>
      </w:r>
      <w:r>
        <w:rPr>
          <w:rStyle w:val="22"/>
          <w:rFonts w:hint="eastAsia" w:ascii="Times New Roman" w:hAnsi="Times New Roman" w:eastAsia="宋体" w:cs="宋体"/>
          <w:color w:val="auto"/>
          <w:szCs w:val="21"/>
          <w:highlight w:val="none"/>
          <w:u w:val="single"/>
        </w:rPr>
        <w:t>￥</w:t>
      </w:r>
      <w:r>
        <w:rPr>
          <w:rStyle w:val="22"/>
          <w:rFonts w:ascii="Times New Roman" w:hAnsi="Times New Roman" w:eastAsia="宋体" w:cs="Times New Roman"/>
          <w:color w:val="auto"/>
          <w:szCs w:val="21"/>
          <w:highlight w:val="none"/>
          <w:u w:val="single"/>
        </w:rPr>
        <w:t xml:space="preserve">   </w:t>
      </w:r>
      <w:r>
        <w:rPr>
          <w:rStyle w:val="22"/>
          <w:rFonts w:hint="eastAsia" w:ascii="Times New Roman" w:hAnsi="Times New Roman" w:cs="Times New Roman"/>
          <w:color w:val="auto"/>
          <w:szCs w:val="21"/>
          <w:highlight w:val="none"/>
          <w:u w:val="single"/>
          <w:lang w:val="en-US" w:eastAsia="zh-CN"/>
        </w:rPr>
        <w:t xml:space="preserve">   </w:t>
      </w:r>
      <w:r>
        <w:rPr>
          <w:rStyle w:val="22"/>
          <w:rFonts w:ascii="Times New Roman" w:hAnsi="Times New Roman" w:eastAsia="宋体" w:cs="Times New Roman"/>
          <w:color w:val="auto"/>
          <w:szCs w:val="21"/>
          <w:highlight w:val="none"/>
          <w:u w:val="single"/>
        </w:rPr>
        <w:t xml:space="preserve">   </w:t>
      </w:r>
      <w:r>
        <w:rPr>
          <w:rStyle w:val="22"/>
          <w:rFonts w:hint="eastAsia" w:ascii="Times New Roman" w:hAnsi="Times New Roman" w:eastAsia="宋体" w:cs="宋体"/>
          <w:color w:val="auto"/>
          <w:szCs w:val="21"/>
          <w:highlight w:val="none"/>
        </w:rPr>
        <w:t>元）的</w:t>
      </w:r>
      <w:r>
        <w:rPr>
          <w:rStyle w:val="22"/>
          <w:rFonts w:hint="eastAsia" w:ascii="Times New Roman" w:hAnsi="Times New Roman" w:cs="宋体"/>
          <w:color w:val="auto"/>
          <w:szCs w:val="21"/>
          <w:highlight w:val="none"/>
          <w:lang w:eastAsia="zh-CN"/>
        </w:rPr>
        <w:t>磋商报</w:t>
      </w:r>
      <w:r>
        <w:rPr>
          <w:rStyle w:val="22"/>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22"/>
          <w:rFonts w:ascii="Times New Roman" w:hAnsi="Times New Roman" w:eastAsia="宋体" w:cs="Times New Roman"/>
          <w:color w:val="auto"/>
          <w:szCs w:val="21"/>
          <w:highlight w:val="none"/>
          <w:u w:val="single"/>
        </w:rPr>
        <w:t xml:space="preserve">     </w:t>
      </w:r>
      <w:r>
        <w:rPr>
          <w:rStyle w:val="22"/>
          <w:rFonts w:hint="eastAsia" w:ascii="Times New Roman" w:hAnsi="Times New Roman" w:cs="Times New Roman"/>
          <w:color w:val="auto"/>
          <w:szCs w:val="21"/>
          <w:highlight w:val="none"/>
          <w:u w:val="single"/>
          <w:lang w:val="en-US" w:eastAsia="zh-CN"/>
        </w:rPr>
        <w:t xml:space="preserve"> </w:t>
      </w:r>
      <w:r>
        <w:rPr>
          <w:rStyle w:val="22"/>
          <w:rFonts w:ascii="Times New Roman" w:hAnsi="Times New Roman" w:eastAsia="宋体" w:cs="Times New Roman"/>
          <w:color w:val="auto"/>
          <w:szCs w:val="21"/>
          <w:highlight w:val="none"/>
          <w:u w:val="single"/>
        </w:rPr>
        <w:t xml:space="preserve">  </w:t>
      </w:r>
      <w:r>
        <w:rPr>
          <w:rStyle w:val="22"/>
          <w:rFonts w:hint="eastAsia" w:ascii="Times New Roman" w:hAnsi="Times New Roman" w:cs="Times New Roman"/>
          <w:color w:val="auto"/>
          <w:szCs w:val="21"/>
          <w:highlight w:val="none"/>
          <w:u w:val="single"/>
          <w:lang w:val="en-US" w:eastAsia="zh-CN"/>
        </w:rPr>
        <w:t xml:space="preserve"> </w:t>
      </w:r>
      <w:r>
        <w:rPr>
          <w:rStyle w:val="22"/>
          <w:rFonts w:hint="eastAsia" w:ascii="Times New Roman" w:hAnsi="Times New Roman" w:eastAsia="宋体" w:cs="宋体"/>
          <w:color w:val="auto"/>
          <w:szCs w:val="21"/>
          <w:highlight w:val="none"/>
        </w:rPr>
        <w:t>。</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22"/>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lang w:eastAsia="zh-CN"/>
        </w:rPr>
        <w:t>。</w:t>
      </w:r>
    </w:p>
    <w:p w14:paraId="4B215A45">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57451B05">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33A7E91">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4F6A4BD">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0FBAA06F">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1CD0A2FF">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E909D3C">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7D753873">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492C93EE">
      <w:pPr>
        <w:rPr>
          <w:rFonts w:hint="eastAsia" w:ascii="宋体" w:hAnsi="宋体" w:eastAsia="宋体" w:cs="宋体"/>
          <w:color w:val="auto"/>
          <w:sz w:val="21"/>
          <w:szCs w:val="21"/>
          <w:highlight w:val="none"/>
        </w:rPr>
      </w:pPr>
    </w:p>
    <w:p w14:paraId="355E27D8">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5EF0DCC2">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28C13111">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424DB7CD">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494ADC60">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13EF1F33">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76BAA041">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1F288691">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3D587159">
      <w:pPr>
        <w:pStyle w:val="1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D5D3561">
      <w:pPr>
        <w:rPr>
          <w:rFonts w:hint="eastAsia" w:hAnsi="宋体" w:cs="宋体"/>
          <w:b/>
          <w:color w:val="auto"/>
          <w:sz w:val="28"/>
          <w:szCs w:val="28"/>
          <w:highlight w:val="none"/>
          <w:lang w:val="en-US" w:eastAsia="zh-CN"/>
        </w:rPr>
      </w:pPr>
      <w:bookmarkStart w:id="1167" w:name="_Toc20211"/>
      <w:bookmarkStart w:id="1168" w:name="_Toc28417"/>
      <w:r>
        <w:rPr>
          <w:rFonts w:hint="eastAsia" w:hAnsi="宋体" w:cs="宋体"/>
          <w:b/>
          <w:color w:val="auto"/>
          <w:sz w:val="28"/>
          <w:szCs w:val="28"/>
          <w:highlight w:val="none"/>
          <w:lang w:val="en-US" w:eastAsia="zh-CN"/>
        </w:rPr>
        <w:br w:type="page"/>
      </w:r>
    </w:p>
    <w:p w14:paraId="5A874D90">
      <w:pPr>
        <w:numPr>
          <w:ilvl w:val="0"/>
          <w:numId w:val="0"/>
        </w:numPr>
        <w:spacing w:line="400" w:lineRule="exact"/>
        <w:outlineLvl w:val="1"/>
        <w:rPr>
          <w:rFonts w:hint="eastAsia" w:ascii="宋体" w:hAnsi="宋体" w:eastAsia="宋体" w:cs="宋体"/>
          <w:color w:val="auto"/>
          <w:highlight w:val="none"/>
        </w:rPr>
      </w:pPr>
      <w:bookmarkStart w:id="1169" w:name="_Toc15542"/>
      <w:bookmarkStart w:id="1170" w:name="_Toc10518"/>
      <w:bookmarkStart w:id="1171" w:name="_Toc3465"/>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.工程</w:t>
      </w:r>
      <w:r>
        <w:rPr>
          <w:rFonts w:hint="eastAsia" w:ascii="宋体" w:hAnsi="宋体" w:eastAsia="宋体" w:cs="宋体"/>
          <w:b/>
          <w:bCs/>
          <w:color w:val="auto"/>
          <w:sz w:val="28"/>
          <w:szCs w:val="28"/>
          <w:highlight w:val="none"/>
          <w:lang w:val="en-US" w:eastAsia="zh-CN"/>
        </w:rPr>
        <w:t>报价</w:t>
      </w:r>
      <w:r>
        <w:rPr>
          <w:rFonts w:hint="eastAsia" w:ascii="宋体" w:hAnsi="宋体" w:eastAsia="宋体" w:cs="宋体"/>
          <w:b/>
          <w:color w:val="auto"/>
          <w:sz w:val="28"/>
          <w:szCs w:val="28"/>
          <w:highlight w:val="none"/>
          <w:lang w:val="en-US" w:eastAsia="zh-CN"/>
        </w:rPr>
        <w:t>汇总表</w:t>
      </w:r>
      <w:r>
        <w:rPr>
          <w:rFonts w:hint="eastAsia" w:ascii="宋体" w:hAnsi="宋体" w:eastAsia="宋体" w:cs="宋体"/>
          <w:b/>
          <w:color w:val="auto"/>
          <w:sz w:val="28"/>
          <w:szCs w:val="28"/>
          <w:highlight w:val="none"/>
        </w:rPr>
        <w:t>（必须提供）</w:t>
      </w:r>
      <w:bookmarkEnd w:id="1167"/>
      <w:bookmarkEnd w:id="1168"/>
      <w:bookmarkEnd w:id="1169"/>
      <w:bookmarkEnd w:id="1170"/>
      <w:bookmarkEnd w:id="1171"/>
    </w:p>
    <w:p w14:paraId="380132C2">
      <w:pPr>
        <w:pStyle w:val="12"/>
        <w:spacing w:line="320" w:lineRule="exact"/>
        <w:jc w:val="left"/>
        <w:rPr>
          <w:rFonts w:hint="eastAsia" w:ascii="宋体" w:hAnsi="宋体" w:eastAsia="宋体" w:cs="宋体"/>
          <w:b/>
          <w:color w:val="auto"/>
          <w:sz w:val="28"/>
          <w:szCs w:val="28"/>
          <w:highlight w:val="none"/>
        </w:rPr>
      </w:pPr>
    </w:p>
    <w:p w14:paraId="3A268587">
      <w:pPr>
        <w:widowControl/>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工程报价汇总表</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格式</w:t>
      </w:r>
      <w:r>
        <w:rPr>
          <w:rFonts w:hint="eastAsia" w:ascii="宋体" w:hAnsi="宋体" w:eastAsia="宋体" w:cs="宋体"/>
          <w:b/>
          <w:color w:val="auto"/>
          <w:kern w:val="0"/>
          <w:sz w:val="24"/>
          <w:szCs w:val="24"/>
          <w:highlight w:val="none"/>
          <w:lang w:eastAsia="zh-CN"/>
        </w:rPr>
        <w:t>）</w:t>
      </w:r>
    </w:p>
    <w:p w14:paraId="56AAFA6A">
      <w:pPr>
        <w:widowControl/>
        <w:jc w:val="center"/>
        <w:rPr>
          <w:rFonts w:hint="eastAsia" w:ascii="宋体" w:hAnsi="宋体" w:cs="宋体"/>
          <w:color w:val="auto"/>
          <w:kern w:val="0"/>
          <w:sz w:val="24"/>
          <w:highlight w:val="none"/>
        </w:rPr>
      </w:pPr>
    </w:p>
    <w:p w14:paraId="0395C34B">
      <w:pPr>
        <w:keepNext w:val="0"/>
        <w:keepLines w:val="0"/>
        <w:pageBreakBefore w:val="0"/>
        <w:widowControl/>
        <w:kinsoku/>
        <w:wordWrap/>
        <w:overflowPunct/>
        <w:topLinePunct w:val="0"/>
        <w:autoSpaceDE/>
        <w:autoSpaceDN/>
        <w:bidi w:val="0"/>
        <w:adjustRightInd/>
        <w:snapToGrid/>
        <w:spacing w:line="360" w:lineRule="exact"/>
        <w:ind w:firstLine="630" w:firstLineChars="30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项目</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币种：人民币</w:t>
      </w: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01A5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672F7C12">
            <w:pPr>
              <w:pStyle w:val="39"/>
              <w:widowControl/>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cs="宋体"/>
                <w:color w:val="auto"/>
                <w:kern w:val="2"/>
                <w:sz w:val="21"/>
                <w:szCs w:val="21"/>
                <w:highlight w:val="none"/>
                <w:lang w:val="en-US" w:eastAsia="zh-CN" w:bidi="ar-SA"/>
              </w:rPr>
              <w:t>磋商报价</w:t>
            </w:r>
          </w:p>
        </w:tc>
        <w:tc>
          <w:tcPr>
            <w:tcW w:w="1987" w:type="dxa"/>
            <w:noWrap w:val="0"/>
            <w:vAlign w:val="center"/>
          </w:tcPr>
          <w:p w14:paraId="4FEE3FC6">
            <w:pPr>
              <w:pStyle w:val="39"/>
              <w:widowControl/>
              <w:jc w:val="righ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元</w:t>
            </w:r>
          </w:p>
        </w:tc>
        <w:tc>
          <w:tcPr>
            <w:tcW w:w="1702" w:type="dxa"/>
            <w:noWrap w:val="0"/>
            <w:vAlign w:val="center"/>
          </w:tcPr>
          <w:p w14:paraId="4E969839">
            <w:pPr>
              <w:pStyle w:val="39"/>
              <w:widowControl/>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备注</w:t>
            </w:r>
          </w:p>
        </w:tc>
      </w:tr>
      <w:tr w14:paraId="68E5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160207B6">
            <w:pPr>
              <w:pStyle w:val="39"/>
              <w:widowControl w:val="0"/>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其中</w:t>
            </w:r>
          </w:p>
        </w:tc>
        <w:tc>
          <w:tcPr>
            <w:tcW w:w="3116" w:type="dxa"/>
            <w:noWrap w:val="0"/>
            <w:vAlign w:val="center"/>
          </w:tcPr>
          <w:p w14:paraId="2097173D">
            <w:pPr>
              <w:pStyle w:val="39"/>
              <w:widowControl w:val="0"/>
              <w:jc w:val="lef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安全文明施工费</w:t>
            </w:r>
          </w:p>
        </w:tc>
        <w:tc>
          <w:tcPr>
            <w:tcW w:w="1987" w:type="dxa"/>
            <w:noWrap w:val="0"/>
            <w:vAlign w:val="center"/>
          </w:tcPr>
          <w:p w14:paraId="1EC3F29C">
            <w:pPr>
              <w:pStyle w:val="39"/>
              <w:widowControl w:val="0"/>
              <w:jc w:val="righ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元</w:t>
            </w:r>
          </w:p>
        </w:tc>
        <w:tc>
          <w:tcPr>
            <w:tcW w:w="1702" w:type="dxa"/>
            <w:noWrap w:val="0"/>
            <w:vAlign w:val="center"/>
          </w:tcPr>
          <w:p w14:paraId="23F61039">
            <w:pPr>
              <w:pStyle w:val="39"/>
              <w:widowControl w:val="0"/>
              <w:jc w:val="center"/>
              <w:rPr>
                <w:rStyle w:val="22"/>
                <w:rFonts w:ascii="Times New Roman" w:hAnsi="Times New Roman" w:eastAsia="宋体" w:cs="Times New Roman"/>
                <w:color w:val="auto"/>
                <w:kern w:val="2"/>
                <w:sz w:val="21"/>
                <w:szCs w:val="21"/>
                <w:highlight w:val="none"/>
                <w:lang w:val="en-US" w:eastAsia="zh-CN" w:bidi="ar-SA"/>
              </w:rPr>
            </w:pPr>
          </w:p>
        </w:tc>
      </w:tr>
      <w:tr w14:paraId="1310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4A28A0D">
            <w:pPr>
              <w:pStyle w:val="39"/>
              <w:widowControl/>
              <w:jc w:val="center"/>
              <w:rPr>
                <w:rStyle w:val="22"/>
                <w:rFonts w:ascii="Times New Roman" w:hAnsi="Times New Roman" w:eastAsia="宋体" w:cs="Times New Roman"/>
                <w:color w:val="auto"/>
                <w:kern w:val="2"/>
                <w:sz w:val="21"/>
                <w:szCs w:val="21"/>
                <w:highlight w:val="none"/>
                <w:lang w:val="en-US" w:eastAsia="zh-CN" w:bidi="ar-SA"/>
              </w:rPr>
            </w:pPr>
          </w:p>
        </w:tc>
        <w:tc>
          <w:tcPr>
            <w:tcW w:w="3116" w:type="dxa"/>
            <w:noWrap w:val="0"/>
            <w:vAlign w:val="center"/>
          </w:tcPr>
          <w:p w14:paraId="5837EDFF">
            <w:pPr>
              <w:pStyle w:val="39"/>
              <w:widowControl w:val="0"/>
              <w:jc w:val="lef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cs="宋体"/>
                <w:color w:val="auto"/>
                <w:kern w:val="2"/>
                <w:sz w:val="21"/>
                <w:szCs w:val="21"/>
                <w:highlight w:val="none"/>
                <w:lang w:val="en-US" w:eastAsia="zh-CN" w:bidi="ar-SA"/>
              </w:rPr>
              <w:t>发包人提供</w:t>
            </w:r>
            <w:r>
              <w:rPr>
                <w:rStyle w:val="22"/>
                <w:rFonts w:hint="eastAsia" w:ascii="Times New Roman" w:hAnsi="Times New Roman" w:eastAsia="宋体" w:cs="宋体"/>
                <w:color w:val="auto"/>
                <w:kern w:val="2"/>
                <w:sz w:val="21"/>
                <w:szCs w:val="21"/>
                <w:highlight w:val="none"/>
                <w:lang w:val="en-US" w:eastAsia="zh-CN" w:bidi="ar-SA"/>
              </w:rPr>
              <w:t>材料（工程设备）暂估价（如有）</w:t>
            </w:r>
          </w:p>
        </w:tc>
        <w:tc>
          <w:tcPr>
            <w:tcW w:w="1987" w:type="dxa"/>
            <w:noWrap w:val="0"/>
            <w:vAlign w:val="center"/>
          </w:tcPr>
          <w:p w14:paraId="395A7868">
            <w:pPr>
              <w:pStyle w:val="39"/>
              <w:widowControl/>
              <w:jc w:val="righ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元</w:t>
            </w:r>
          </w:p>
        </w:tc>
        <w:tc>
          <w:tcPr>
            <w:tcW w:w="1702" w:type="dxa"/>
            <w:noWrap w:val="0"/>
            <w:vAlign w:val="top"/>
          </w:tcPr>
          <w:p w14:paraId="42111B3A">
            <w:pPr>
              <w:pStyle w:val="39"/>
              <w:widowControl/>
              <w:ind w:right="480"/>
              <w:jc w:val="both"/>
              <w:rPr>
                <w:rStyle w:val="22"/>
                <w:rFonts w:ascii="Times New Roman" w:hAnsi="Times New Roman" w:eastAsia="宋体" w:cs="Times New Roman"/>
                <w:color w:val="auto"/>
                <w:kern w:val="2"/>
                <w:sz w:val="21"/>
                <w:szCs w:val="21"/>
                <w:highlight w:val="none"/>
                <w:lang w:val="en-US" w:eastAsia="zh-CN" w:bidi="ar-SA"/>
              </w:rPr>
            </w:pPr>
          </w:p>
        </w:tc>
      </w:tr>
      <w:tr w14:paraId="3030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A13BECD">
            <w:pPr>
              <w:pStyle w:val="39"/>
              <w:widowControl/>
              <w:jc w:val="center"/>
              <w:rPr>
                <w:rStyle w:val="22"/>
                <w:rFonts w:ascii="Times New Roman" w:hAnsi="Times New Roman" w:eastAsia="宋体" w:cs="Times New Roman"/>
                <w:color w:val="auto"/>
                <w:kern w:val="2"/>
                <w:sz w:val="21"/>
                <w:szCs w:val="21"/>
                <w:highlight w:val="none"/>
                <w:lang w:val="en-US" w:eastAsia="zh-CN" w:bidi="ar-SA"/>
              </w:rPr>
            </w:pPr>
          </w:p>
        </w:tc>
        <w:tc>
          <w:tcPr>
            <w:tcW w:w="3116" w:type="dxa"/>
            <w:noWrap w:val="0"/>
            <w:vAlign w:val="center"/>
          </w:tcPr>
          <w:p w14:paraId="16A2D08E">
            <w:pPr>
              <w:pStyle w:val="39"/>
              <w:widowControl w:val="0"/>
              <w:jc w:val="lef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专业工程暂估价（如有）</w:t>
            </w:r>
          </w:p>
        </w:tc>
        <w:tc>
          <w:tcPr>
            <w:tcW w:w="1987" w:type="dxa"/>
            <w:noWrap w:val="0"/>
            <w:vAlign w:val="center"/>
          </w:tcPr>
          <w:p w14:paraId="7966217C">
            <w:pPr>
              <w:pStyle w:val="39"/>
              <w:widowControl/>
              <w:jc w:val="righ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元</w:t>
            </w:r>
          </w:p>
        </w:tc>
        <w:tc>
          <w:tcPr>
            <w:tcW w:w="1702" w:type="dxa"/>
            <w:noWrap w:val="0"/>
            <w:vAlign w:val="top"/>
          </w:tcPr>
          <w:p w14:paraId="3434A25A">
            <w:pPr>
              <w:pStyle w:val="39"/>
              <w:widowControl/>
              <w:ind w:right="480"/>
              <w:jc w:val="both"/>
              <w:rPr>
                <w:rStyle w:val="22"/>
                <w:rFonts w:ascii="Times New Roman" w:hAnsi="Times New Roman" w:eastAsia="宋体" w:cs="Times New Roman"/>
                <w:color w:val="auto"/>
                <w:kern w:val="2"/>
                <w:sz w:val="21"/>
                <w:szCs w:val="21"/>
                <w:highlight w:val="none"/>
                <w:lang w:val="en-US" w:eastAsia="zh-CN" w:bidi="ar-SA"/>
              </w:rPr>
            </w:pPr>
          </w:p>
        </w:tc>
      </w:tr>
      <w:tr w14:paraId="52EB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8365277">
            <w:pPr>
              <w:pStyle w:val="39"/>
              <w:widowControl/>
              <w:jc w:val="center"/>
              <w:rPr>
                <w:rStyle w:val="22"/>
                <w:rFonts w:ascii="Times New Roman" w:hAnsi="Times New Roman" w:eastAsia="宋体" w:cs="Times New Roman"/>
                <w:color w:val="auto"/>
                <w:kern w:val="2"/>
                <w:sz w:val="21"/>
                <w:szCs w:val="21"/>
                <w:highlight w:val="none"/>
                <w:lang w:val="en-US" w:eastAsia="zh-CN" w:bidi="ar-SA"/>
              </w:rPr>
            </w:pPr>
          </w:p>
        </w:tc>
        <w:tc>
          <w:tcPr>
            <w:tcW w:w="3116" w:type="dxa"/>
            <w:noWrap w:val="0"/>
            <w:vAlign w:val="center"/>
          </w:tcPr>
          <w:p w14:paraId="1DA869CF">
            <w:pPr>
              <w:pStyle w:val="39"/>
              <w:widowControl w:val="0"/>
              <w:jc w:val="left"/>
              <w:rPr>
                <w:rStyle w:val="22"/>
                <w:rFonts w:hint="eastAsia"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安全生产责任保险费暂估价</w:t>
            </w:r>
            <w:r>
              <w:rPr>
                <w:rStyle w:val="22"/>
                <w:rFonts w:hint="eastAsia" w:ascii="Times New Roman" w:hAnsi="Times New Roman" w:cs="宋体"/>
                <w:color w:val="auto"/>
                <w:kern w:val="2"/>
                <w:sz w:val="21"/>
                <w:szCs w:val="21"/>
                <w:highlight w:val="none"/>
                <w:lang w:val="en-US" w:eastAsia="zh-CN" w:bidi="ar-SA"/>
              </w:rPr>
              <w:t>（如有）</w:t>
            </w:r>
          </w:p>
        </w:tc>
        <w:tc>
          <w:tcPr>
            <w:tcW w:w="1987" w:type="dxa"/>
            <w:noWrap w:val="0"/>
            <w:vAlign w:val="center"/>
          </w:tcPr>
          <w:p w14:paraId="1579C0BB">
            <w:pPr>
              <w:pStyle w:val="39"/>
              <w:widowControl/>
              <w:jc w:val="right"/>
              <w:rPr>
                <w:rStyle w:val="22"/>
                <w:rFonts w:hint="eastAsia" w:ascii="Times New Roman" w:hAnsi="Times New Roman" w:eastAsia="宋体" w:cs="宋体"/>
                <w:color w:val="auto"/>
                <w:kern w:val="2"/>
                <w:sz w:val="21"/>
                <w:szCs w:val="21"/>
                <w:highlight w:val="none"/>
                <w:lang w:val="en-US" w:eastAsia="zh-CN" w:bidi="ar-SA"/>
              </w:rPr>
            </w:pPr>
            <w:r>
              <w:rPr>
                <w:rStyle w:val="22"/>
                <w:rFonts w:hint="eastAsia" w:ascii="Times New Roman" w:hAnsi="Times New Roman" w:cs="宋体"/>
                <w:color w:val="auto"/>
                <w:kern w:val="2"/>
                <w:sz w:val="21"/>
                <w:szCs w:val="21"/>
                <w:highlight w:val="none"/>
                <w:lang w:val="en-US" w:eastAsia="zh-CN" w:bidi="ar-SA"/>
              </w:rPr>
              <w:t>元</w:t>
            </w:r>
          </w:p>
        </w:tc>
        <w:tc>
          <w:tcPr>
            <w:tcW w:w="1702" w:type="dxa"/>
            <w:noWrap w:val="0"/>
            <w:vAlign w:val="top"/>
          </w:tcPr>
          <w:p w14:paraId="30A0548F">
            <w:pPr>
              <w:pStyle w:val="39"/>
              <w:widowControl/>
              <w:ind w:right="480"/>
              <w:jc w:val="both"/>
              <w:rPr>
                <w:rStyle w:val="22"/>
                <w:rFonts w:ascii="Times New Roman" w:hAnsi="Times New Roman" w:eastAsia="宋体" w:cs="Times New Roman"/>
                <w:color w:val="auto"/>
                <w:kern w:val="2"/>
                <w:sz w:val="21"/>
                <w:szCs w:val="21"/>
                <w:highlight w:val="none"/>
                <w:lang w:val="en-US" w:eastAsia="zh-CN" w:bidi="ar-SA"/>
              </w:rPr>
            </w:pPr>
          </w:p>
        </w:tc>
      </w:tr>
      <w:tr w14:paraId="614D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8731AF2">
            <w:pPr>
              <w:pStyle w:val="39"/>
              <w:widowControl/>
              <w:jc w:val="center"/>
              <w:rPr>
                <w:rStyle w:val="22"/>
                <w:rFonts w:ascii="Times New Roman" w:hAnsi="Times New Roman" w:eastAsia="宋体" w:cs="Times New Roman"/>
                <w:color w:val="auto"/>
                <w:kern w:val="2"/>
                <w:sz w:val="21"/>
                <w:szCs w:val="21"/>
                <w:highlight w:val="none"/>
                <w:lang w:val="en-US" w:eastAsia="zh-CN" w:bidi="ar-SA"/>
              </w:rPr>
            </w:pPr>
          </w:p>
        </w:tc>
        <w:tc>
          <w:tcPr>
            <w:tcW w:w="3116" w:type="dxa"/>
            <w:noWrap w:val="0"/>
            <w:vAlign w:val="center"/>
          </w:tcPr>
          <w:p w14:paraId="14D46B4A">
            <w:pPr>
              <w:pStyle w:val="39"/>
              <w:widowControl/>
              <w:jc w:val="lef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暂列金额（如有）</w:t>
            </w:r>
          </w:p>
        </w:tc>
        <w:tc>
          <w:tcPr>
            <w:tcW w:w="1987" w:type="dxa"/>
            <w:noWrap w:val="0"/>
            <w:vAlign w:val="center"/>
          </w:tcPr>
          <w:p w14:paraId="007EB663">
            <w:pPr>
              <w:pStyle w:val="39"/>
              <w:widowControl/>
              <w:jc w:val="righ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元</w:t>
            </w:r>
          </w:p>
        </w:tc>
        <w:tc>
          <w:tcPr>
            <w:tcW w:w="1702" w:type="dxa"/>
            <w:noWrap w:val="0"/>
            <w:vAlign w:val="top"/>
          </w:tcPr>
          <w:p w14:paraId="3D21F5AA">
            <w:pPr>
              <w:pStyle w:val="39"/>
              <w:widowControl/>
              <w:ind w:right="480"/>
              <w:jc w:val="both"/>
              <w:rPr>
                <w:rStyle w:val="22"/>
                <w:rFonts w:ascii="Times New Roman" w:hAnsi="Times New Roman" w:eastAsia="宋体" w:cs="Times New Roman"/>
                <w:color w:val="auto"/>
                <w:kern w:val="2"/>
                <w:sz w:val="21"/>
                <w:szCs w:val="21"/>
                <w:highlight w:val="none"/>
                <w:lang w:val="en-US" w:eastAsia="zh-CN" w:bidi="ar-SA"/>
              </w:rPr>
            </w:pPr>
          </w:p>
        </w:tc>
      </w:tr>
      <w:tr w14:paraId="0BFD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1F6D8F1C">
            <w:pPr>
              <w:pStyle w:val="39"/>
              <w:widowControl/>
              <w:jc w:val="center"/>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主要材料</w:t>
            </w:r>
          </w:p>
        </w:tc>
        <w:tc>
          <w:tcPr>
            <w:tcW w:w="3116" w:type="dxa"/>
            <w:noWrap w:val="0"/>
            <w:vAlign w:val="center"/>
          </w:tcPr>
          <w:p w14:paraId="2A909C75">
            <w:pPr>
              <w:pStyle w:val="39"/>
              <w:widowControl/>
              <w:jc w:val="lef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钢筋</w:t>
            </w:r>
          </w:p>
        </w:tc>
        <w:tc>
          <w:tcPr>
            <w:tcW w:w="1987" w:type="dxa"/>
            <w:noWrap w:val="0"/>
            <w:vAlign w:val="center"/>
          </w:tcPr>
          <w:p w14:paraId="4DFFFE67">
            <w:pPr>
              <w:pStyle w:val="39"/>
              <w:widowControl/>
              <w:jc w:val="righ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吨</w:t>
            </w:r>
          </w:p>
        </w:tc>
        <w:tc>
          <w:tcPr>
            <w:tcW w:w="1702" w:type="dxa"/>
            <w:noWrap w:val="0"/>
            <w:vAlign w:val="top"/>
          </w:tcPr>
          <w:p w14:paraId="1B3FB360">
            <w:pPr>
              <w:pStyle w:val="39"/>
              <w:widowControl/>
              <w:jc w:val="right"/>
              <w:rPr>
                <w:rStyle w:val="22"/>
                <w:rFonts w:ascii="Times New Roman" w:hAnsi="Times New Roman" w:eastAsia="宋体" w:cs="Times New Roman"/>
                <w:color w:val="auto"/>
                <w:kern w:val="2"/>
                <w:sz w:val="21"/>
                <w:szCs w:val="21"/>
                <w:highlight w:val="none"/>
                <w:lang w:val="en-US" w:eastAsia="zh-CN" w:bidi="ar-SA"/>
              </w:rPr>
            </w:pPr>
          </w:p>
        </w:tc>
      </w:tr>
      <w:tr w14:paraId="3FCF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335A0EB0">
            <w:pPr>
              <w:pStyle w:val="39"/>
              <w:widowControl/>
              <w:jc w:val="center"/>
              <w:rPr>
                <w:rStyle w:val="22"/>
                <w:rFonts w:ascii="Times New Roman" w:hAnsi="Times New Roman" w:eastAsia="宋体" w:cs="Times New Roman"/>
                <w:color w:val="auto"/>
                <w:kern w:val="2"/>
                <w:sz w:val="21"/>
                <w:szCs w:val="21"/>
                <w:highlight w:val="none"/>
                <w:lang w:val="en-US" w:eastAsia="zh-CN" w:bidi="ar-SA"/>
              </w:rPr>
            </w:pPr>
          </w:p>
        </w:tc>
        <w:tc>
          <w:tcPr>
            <w:tcW w:w="3116" w:type="dxa"/>
            <w:noWrap w:val="0"/>
            <w:vAlign w:val="center"/>
          </w:tcPr>
          <w:p w14:paraId="77FF5549">
            <w:pPr>
              <w:pStyle w:val="39"/>
              <w:widowControl/>
              <w:jc w:val="lef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水泥（不含商品混凝土用量）</w:t>
            </w:r>
          </w:p>
        </w:tc>
        <w:tc>
          <w:tcPr>
            <w:tcW w:w="1987" w:type="dxa"/>
            <w:noWrap w:val="0"/>
            <w:vAlign w:val="center"/>
          </w:tcPr>
          <w:p w14:paraId="58CB34F5">
            <w:pPr>
              <w:pStyle w:val="39"/>
              <w:widowControl/>
              <w:tabs>
                <w:tab w:val="left" w:pos="2398"/>
              </w:tabs>
              <w:ind w:right="18"/>
              <w:jc w:val="righ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吨</w:t>
            </w:r>
          </w:p>
        </w:tc>
        <w:tc>
          <w:tcPr>
            <w:tcW w:w="1702" w:type="dxa"/>
            <w:noWrap w:val="0"/>
            <w:vAlign w:val="top"/>
          </w:tcPr>
          <w:p w14:paraId="267C6BFD">
            <w:pPr>
              <w:pStyle w:val="39"/>
              <w:widowControl/>
              <w:jc w:val="right"/>
              <w:rPr>
                <w:rStyle w:val="22"/>
                <w:rFonts w:ascii="Times New Roman" w:hAnsi="Times New Roman" w:eastAsia="宋体" w:cs="Times New Roman"/>
                <w:color w:val="auto"/>
                <w:kern w:val="2"/>
                <w:sz w:val="21"/>
                <w:szCs w:val="21"/>
                <w:highlight w:val="none"/>
                <w:lang w:val="en-US" w:eastAsia="zh-CN" w:bidi="ar-SA"/>
              </w:rPr>
            </w:pPr>
          </w:p>
        </w:tc>
      </w:tr>
      <w:tr w14:paraId="390E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2701C113">
            <w:pPr>
              <w:pStyle w:val="39"/>
              <w:widowControl/>
              <w:jc w:val="center"/>
              <w:rPr>
                <w:rStyle w:val="22"/>
                <w:rFonts w:ascii="Times New Roman" w:hAnsi="Times New Roman" w:eastAsia="宋体" w:cs="Times New Roman"/>
                <w:color w:val="auto"/>
                <w:kern w:val="2"/>
                <w:sz w:val="21"/>
                <w:szCs w:val="21"/>
                <w:highlight w:val="none"/>
                <w:lang w:val="en-US" w:eastAsia="zh-CN" w:bidi="ar-SA"/>
              </w:rPr>
            </w:pPr>
          </w:p>
        </w:tc>
        <w:tc>
          <w:tcPr>
            <w:tcW w:w="3116" w:type="dxa"/>
            <w:noWrap w:val="0"/>
            <w:vAlign w:val="center"/>
          </w:tcPr>
          <w:p w14:paraId="004A510B">
            <w:pPr>
              <w:pStyle w:val="39"/>
              <w:widowControl/>
              <w:jc w:val="left"/>
              <w:rPr>
                <w:rStyle w:val="22"/>
                <w:rFonts w:ascii="Times New Roman" w:hAnsi="Times New Roman" w:eastAsia="宋体" w:cs="Times New Roman"/>
                <w:color w:val="auto"/>
                <w:kern w:val="2"/>
                <w:sz w:val="21"/>
                <w:szCs w:val="21"/>
                <w:highlight w:val="none"/>
                <w:lang w:val="en-US" w:eastAsia="zh-CN" w:bidi="ar-SA"/>
              </w:rPr>
            </w:pPr>
            <w:r>
              <w:rPr>
                <w:rStyle w:val="22"/>
                <w:rFonts w:hint="eastAsia" w:ascii="Times New Roman" w:hAnsi="Times New Roman" w:eastAsia="宋体" w:cs="宋体"/>
                <w:color w:val="auto"/>
                <w:kern w:val="2"/>
                <w:sz w:val="21"/>
                <w:szCs w:val="21"/>
                <w:highlight w:val="none"/>
                <w:lang w:val="en-US" w:eastAsia="zh-CN" w:bidi="ar-SA"/>
              </w:rPr>
              <w:t>商品混凝土</w:t>
            </w:r>
          </w:p>
        </w:tc>
        <w:tc>
          <w:tcPr>
            <w:tcW w:w="1987" w:type="dxa"/>
            <w:noWrap w:val="0"/>
            <w:vAlign w:val="center"/>
          </w:tcPr>
          <w:p w14:paraId="4C97E2C2">
            <w:pPr>
              <w:pStyle w:val="39"/>
              <w:widowControl/>
              <w:jc w:val="right"/>
              <w:rPr>
                <w:rStyle w:val="22"/>
                <w:rFonts w:ascii="Times New Roman" w:hAnsi="Times New Roman" w:eastAsia="宋体" w:cs="Times New Roman"/>
                <w:color w:val="auto"/>
                <w:kern w:val="2"/>
                <w:sz w:val="21"/>
                <w:szCs w:val="21"/>
                <w:highlight w:val="none"/>
                <w:lang w:val="en-US" w:eastAsia="zh-CN" w:bidi="ar-SA"/>
              </w:rPr>
            </w:pPr>
            <w:r>
              <w:rPr>
                <w:rStyle w:val="22"/>
                <w:rFonts w:ascii="Times New Roman" w:hAnsi="Times New Roman" w:eastAsia="宋体" w:cs="Times New Roman"/>
                <w:color w:val="auto"/>
                <w:kern w:val="2"/>
                <w:sz w:val="21"/>
                <w:szCs w:val="21"/>
                <w:highlight w:val="none"/>
                <w:lang w:val="en-US" w:eastAsia="zh-CN" w:bidi="ar-SA"/>
              </w:rPr>
              <w:t>m</w:t>
            </w:r>
            <w:r>
              <w:rPr>
                <w:rStyle w:val="22"/>
                <w:rFonts w:ascii="Times New Roman" w:hAnsi="Times New Roman" w:eastAsia="宋体" w:cs="Times New Roman"/>
                <w:color w:val="auto"/>
                <w:kern w:val="2"/>
                <w:sz w:val="21"/>
                <w:szCs w:val="21"/>
                <w:highlight w:val="none"/>
                <w:vertAlign w:val="superscript"/>
                <w:lang w:val="en-US" w:eastAsia="zh-CN" w:bidi="ar-SA"/>
              </w:rPr>
              <w:t>3</w:t>
            </w:r>
          </w:p>
        </w:tc>
        <w:tc>
          <w:tcPr>
            <w:tcW w:w="1702" w:type="dxa"/>
            <w:noWrap w:val="0"/>
            <w:vAlign w:val="top"/>
          </w:tcPr>
          <w:p w14:paraId="5C7D03D0">
            <w:pPr>
              <w:pStyle w:val="39"/>
              <w:widowControl/>
              <w:jc w:val="right"/>
              <w:rPr>
                <w:rStyle w:val="22"/>
                <w:rFonts w:ascii="Times New Roman" w:hAnsi="Times New Roman" w:eastAsia="宋体" w:cs="Times New Roman"/>
                <w:color w:val="auto"/>
                <w:kern w:val="2"/>
                <w:sz w:val="21"/>
                <w:szCs w:val="21"/>
                <w:highlight w:val="none"/>
                <w:lang w:val="en-US" w:eastAsia="zh-CN" w:bidi="ar-SA"/>
              </w:rPr>
            </w:pPr>
          </w:p>
        </w:tc>
      </w:tr>
    </w:tbl>
    <w:p w14:paraId="17342412">
      <w:pPr>
        <w:spacing w:line="340" w:lineRule="exact"/>
        <w:rPr>
          <w:rFonts w:hint="eastAsia" w:ascii="宋体" w:hAnsi="宋体" w:eastAsia="宋体" w:cs="宋体"/>
          <w:color w:val="auto"/>
          <w:szCs w:val="21"/>
          <w:highlight w:val="none"/>
        </w:rPr>
      </w:pPr>
    </w:p>
    <w:p w14:paraId="47869410">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EB9BAC0">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5D991C2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CA48217">
      <w:pPr>
        <w:tabs>
          <w:tab w:val="left" w:pos="1305"/>
        </w:tabs>
        <w:spacing w:line="340" w:lineRule="exact"/>
        <w:rPr>
          <w:rFonts w:hint="eastAsia" w:ascii="宋体" w:hAnsi="宋体" w:eastAsia="宋体" w:cs="宋体"/>
          <w:bCs/>
          <w:color w:val="auto"/>
          <w:sz w:val="21"/>
          <w:szCs w:val="21"/>
          <w:highlight w:val="none"/>
        </w:rPr>
      </w:pPr>
    </w:p>
    <w:p w14:paraId="022A95A4">
      <w:pPr>
        <w:pStyle w:val="12"/>
        <w:numPr>
          <w:ilvl w:val="0"/>
          <w:numId w:val="0"/>
        </w:numPr>
        <w:spacing w:line="340" w:lineRule="exact"/>
        <w:rPr>
          <w:rFonts w:hint="eastAsia" w:hAnsi="宋体" w:cs="宋体"/>
          <w:b/>
          <w:color w:val="auto"/>
          <w:sz w:val="28"/>
          <w:szCs w:val="28"/>
          <w:highlight w:val="none"/>
          <w:lang w:val="en-US" w:eastAsia="zh-CN"/>
        </w:rPr>
      </w:pPr>
    </w:p>
    <w:p w14:paraId="209E72D9">
      <w:pPr>
        <w:pStyle w:val="12"/>
        <w:numPr>
          <w:ilvl w:val="0"/>
          <w:numId w:val="0"/>
        </w:numPr>
        <w:spacing w:line="340" w:lineRule="exact"/>
        <w:rPr>
          <w:rFonts w:hint="eastAsia" w:hAnsi="宋体" w:cs="宋体"/>
          <w:b/>
          <w:color w:val="auto"/>
          <w:sz w:val="28"/>
          <w:szCs w:val="28"/>
          <w:highlight w:val="none"/>
          <w:lang w:val="en-US" w:eastAsia="zh-CN"/>
        </w:rPr>
      </w:pPr>
    </w:p>
    <w:p w14:paraId="0A568A2C">
      <w:pPr>
        <w:pStyle w:val="12"/>
        <w:numPr>
          <w:ilvl w:val="0"/>
          <w:numId w:val="0"/>
        </w:numPr>
        <w:spacing w:line="340" w:lineRule="exact"/>
        <w:rPr>
          <w:rFonts w:hint="eastAsia" w:hAnsi="宋体" w:cs="宋体"/>
          <w:b/>
          <w:color w:val="auto"/>
          <w:sz w:val="28"/>
          <w:szCs w:val="28"/>
          <w:highlight w:val="none"/>
          <w:lang w:val="en-US" w:eastAsia="zh-CN"/>
        </w:rPr>
      </w:pPr>
    </w:p>
    <w:p w14:paraId="1462EA2C">
      <w:pPr>
        <w:pStyle w:val="12"/>
        <w:numPr>
          <w:ilvl w:val="0"/>
          <w:numId w:val="0"/>
        </w:numPr>
        <w:spacing w:line="340" w:lineRule="exact"/>
        <w:rPr>
          <w:rFonts w:hint="eastAsia" w:hAnsi="宋体" w:cs="宋体"/>
          <w:b/>
          <w:color w:val="auto"/>
          <w:sz w:val="28"/>
          <w:szCs w:val="28"/>
          <w:highlight w:val="none"/>
          <w:lang w:val="en-US" w:eastAsia="zh-CN"/>
        </w:rPr>
      </w:pPr>
    </w:p>
    <w:p w14:paraId="7DF13042">
      <w:pPr>
        <w:pStyle w:val="12"/>
        <w:numPr>
          <w:ilvl w:val="0"/>
          <w:numId w:val="0"/>
        </w:numPr>
        <w:spacing w:line="340" w:lineRule="exact"/>
        <w:rPr>
          <w:rFonts w:hint="eastAsia" w:hAnsi="宋体" w:cs="宋体"/>
          <w:b/>
          <w:color w:val="auto"/>
          <w:sz w:val="28"/>
          <w:szCs w:val="28"/>
          <w:highlight w:val="none"/>
          <w:lang w:val="en-US" w:eastAsia="zh-CN"/>
        </w:rPr>
      </w:pPr>
    </w:p>
    <w:p w14:paraId="50E0F238">
      <w:pPr>
        <w:pStyle w:val="12"/>
        <w:numPr>
          <w:ilvl w:val="0"/>
          <w:numId w:val="0"/>
        </w:numPr>
        <w:spacing w:line="340" w:lineRule="exact"/>
        <w:rPr>
          <w:rFonts w:hint="eastAsia" w:hAnsi="宋体" w:cs="宋体"/>
          <w:b/>
          <w:color w:val="auto"/>
          <w:sz w:val="28"/>
          <w:szCs w:val="28"/>
          <w:highlight w:val="none"/>
          <w:lang w:val="en-US" w:eastAsia="zh-CN"/>
        </w:rPr>
      </w:pPr>
    </w:p>
    <w:p w14:paraId="3EB87B4F">
      <w:pPr>
        <w:numPr>
          <w:ilvl w:val="0"/>
          <w:numId w:val="0"/>
        </w:numPr>
        <w:spacing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bookmarkStart w:id="1172" w:name="_Toc5788"/>
      <w:bookmarkStart w:id="1173" w:name="_Toc21686"/>
      <w:bookmarkStart w:id="1174" w:name="_Toc32015"/>
      <w:bookmarkStart w:id="1175" w:name="_Toc4209"/>
      <w:bookmarkStart w:id="1176" w:name="_Toc8996"/>
      <w:r>
        <w:rPr>
          <w:rFonts w:hint="eastAsia" w:ascii="宋体" w:hAnsi="宋体" w:eastAsia="宋体" w:cs="宋体"/>
          <w:b/>
          <w:color w:val="auto"/>
          <w:sz w:val="28"/>
          <w:szCs w:val="28"/>
          <w:highlight w:val="none"/>
          <w:lang w:val="en-US" w:eastAsia="zh-CN"/>
        </w:rPr>
        <w:t>3.</w:t>
      </w:r>
      <w:bookmarkEnd w:id="1172"/>
      <w:bookmarkEnd w:id="1173"/>
      <w:bookmarkEnd w:id="1174"/>
      <w:bookmarkEnd w:id="1175"/>
      <w:bookmarkEnd w:id="1176"/>
      <w:r>
        <w:rPr>
          <w:rFonts w:hint="eastAsia" w:ascii="宋体" w:hAnsi="宋体" w:eastAsia="宋体" w:cs="宋体"/>
          <w:b/>
          <w:color w:val="auto"/>
          <w:sz w:val="28"/>
          <w:szCs w:val="28"/>
          <w:highlight w:val="none"/>
          <w:lang w:val="en-US" w:eastAsia="zh-CN"/>
        </w:rPr>
        <w:t>已标价工程量清单（必须提供）</w:t>
      </w:r>
    </w:p>
    <w:p w14:paraId="6AFCDE46">
      <w:pPr>
        <w:spacing w:line="240" w:lineRule="auto"/>
        <w:jc w:val="both"/>
        <w:rPr>
          <w:rFonts w:hint="eastAsia" w:ascii="宋体" w:hAnsi="宋体" w:eastAsia="宋体" w:cs="宋体"/>
          <w:color w:val="auto"/>
          <w:highlight w:val="none"/>
        </w:rPr>
      </w:pPr>
    </w:p>
    <w:p w14:paraId="53B5508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2F026B5A">
      <w:pPr>
        <w:spacing w:line="340" w:lineRule="exact"/>
        <w:rPr>
          <w:rFonts w:hint="eastAsia" w:ascii="宋体" w:hAnsi="宋体" w:eastAsia="宋体" w:cs="宋体"/>
          <w:color w:val="auto"/>
          <w:szCs w:val="21"/>
          <w:highlight w:val="none"/>
        </w:rPr>
      </w:pPr>
    </w:p>
    <w:p w14:paraId="743CCAD8">
      <w:pPr>
        <w:pStyle w:val="8"/>
        <w:rPr>
          <w:rFonts w:hint="eastAsia" w:ascii="宋体" w:hAnsi="宋体" w:eastAsia="宋体" w:cs="宋体"/>
          <w:color w:val="auto"/>
          <w:highlight w:val="none"/>
        </w:rPr>
      </w:pPr>
    </w:p>
    <w:p w14:paraId="2E4723E6">
      <w:pPr>
        <w:pStyle w:val="8"/>
        <w:rPr>
          <w:rFonts w:hint="eastAsia" w:ascii="宋体" w:hAnsi="宋体" w:eastAsia="宋体" w:cs="宋体"/>
          <w:color w:val="auto"/>
          <w:highlight w:val="none"/>
        </w:rPr>
      </w:pPr>
    </w:p>
    <w:p w14:paraId="50608F1B">
      <w:pPr>
        <w:pStyle w:val="8"/>
        <w:rPr>
          <w:rFonts w:hint="eastAsia" w:ascii="宋体" w:hAnsi="宋体" w:eastAsia="宋体" w:cs="宋体"/>
          <w:color w:val="auto"/>
          <w:highlight w:val="none"/>
        </w:rPr>
      </w:pPr>
    </w:p>
    <w:p w14:paraId="52473BB6">
      <w:pPr>
        <w:pStyle w:val="8"/>
        <w:rPr>
          <w:rFonts w:hint="eastAsia" w:ascii="宋体" w:hAnsi="宋体" w:eastAsia="宋体" w:cs="宋体"/>
          <w:color w:val="auto"/>
          <w:highlight w:val="none"/>
        </w:rPr>
      </w:pPr>
    </w:p>
    <w:p w14:paraId="6466D0B4">
      <w:pPr>
        <w:pStyle w:val="8"/>
        <w:rPr>
          <w:rFonts w:hint="eastAsia" w:ascii="宋体" w:hAnsi="宋体" w:eastAsia="宋体" w:cs="宋体"/>
          <w:color w:val="auto"/>
          <w:highlight w:val="none"/>
        </w:rPr>
      </w:pPr>
    </w:p>
    <w:p w14:paraId="16B8B905">
      <w:pPr>
        <w:rPr>
          <w:rFonts w:hint="eastAsia" w:ascii="宋体" w:hAnsi="宋体" w:eastAsia="宋体" w:cs="宋体"/>
          <w:color w:val="auto"/>
          <w:highlight w:val="none"/>
        </w:rPr>
      </w:pPr>
    </w:p>
    <w:p w14:paraId="3DBD222C">
      <w:pPr>
        <w:pStyle w:val="11"/>
        <w:rPr>
          <w:rFonts w:hint="eastAsia"/>
          <w:color w:val="auto"/>
          <w:highlight w:val="none"/>
        </w:rPr>
      </w:pPr>
    </w:p>
    <w:p w14:paraId="4484746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1177" w:name="_Toc24899"/>
      <w:bookmarkStart w:id="1178" w:name="_Toc8898"/>
      <w:bookmarkStart w:id="1179" w:name="_Toc22086"/>
      <w:bookmarkStart w:id="1180" w:name="_Toc26600"/>
      <w:bookmarkStart w:id="1181" w:name="_Toc13917"/>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1177"/>
      <w:bookmarkEnd w:id="1178"/>
      <w:bookmarkEnd w:id="1179"/>
      <w:bookmarkEnd w:id="1180"/>
      <w:bookmarkEnd w:id="1181"/>
      <w:r>
        <w:rPr>
          <w:rFonts w:hint="eastAsia" w:ascii="宋体" w:hAnsi="宋体" w:eastAsia="宋体" w:cs="宋体"/>
          <w:b/>
          <w:color w:val="auto"/>
          <w:sz w:val="28"/>
          <w:szCs w:val="28"/>
          <w:highlight w:val="none"/>
          <w:lang w:val="en-US" w:eastAsia="zh-CN"/>
        </w:rPr>
        <w:t>拟投入本工程主要施工管理人员表（必须提供）</w:t>
      </w:r>
    </w:p>
    <w:p w14:paraId="0D660B35">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BD8F3F0">
      <w:pPr>
        <w:spacing w:line="400" w:lineRule="exact"/>
        <w:ind w:firstLine="361" w:firstLineChars="150"/>
        <w:jc w:val="left"/>
        <w:rPr>
          <w:rFonts w:hint="eastAsia" w:ascii="宋体" w:hAnsi="宋体"/>
          <w:b/>
          <w:bCs/>
          <w:color w:val="auto"/>
          <w:sz w:val="24"/>
          <w:highlight w:val="none"/>
        </w:rPr>
      </w:pPr>
    </w:p>
    <w:p w14:paraId="3F35C518">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04468FEB">
      <w:pPr>
        <w:spacing w:line="400" w:lineRule="exact"/>
        <w:ind w:firstLine="422" w:firstLineChars="150"/>
        <w:jc w:val="center"/>
        <w:rPr>
          <w:rFonts w:hint="eastAsia" w:ascii="宋体" w:hAnsi="宋体"/>
          <w:b/>
          <w:color w:val="auto"/>
          <w:sz w:val="28"/>
          <w:szCs w:val="28"/>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1"/>
        <w:gridCol w:w="793"/>
        <w:gridCol w:w="792"/>
        <w:gridCol w:w="1448"/>
        <w:gridCol w:w="3673"/>
      </w:tblGrid>
      <w:tr w14:paraId="51C2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104DA824">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93" w:type="dxa"/>
            <w:noWrap w:val="0"/>
            <w:vAlign w:val="center"/>
          </w:tcPr>
          <w:p w14:paraId="332D12FC">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92" w:type="dxa"/>
            <w:noWrap w:val="0"/>
            <w:vAlign w:val="center"/>
          </w:tcPr>
          <w:p w14:paraId="58C841A6">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8" w:type="dxa"/>
            <w:noWrap w:val="0"/>
            <w:vAlign w:val="center"/>
          </w:tcPr>
          <w:p w14:paraId="4B8E8507">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73" w:type="dxa"/>
            <w:noWrap w:val="0"/>
            <w:vAlign w:val="center"/>
          </w:tcPr>
          <w:p w14:paraId="5A18BE23">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7E81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00100C77">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93" w:type="dxa"/>
            <w:noWrap w:val="0"/>
            <w:vAlign w:val="center"/>
          </w:tcPr>
          <w:p w14:paraId="6053B578">
            <w:pPr>
              <w:spacing w:line="300" w:lineRule="auto"/>
              <w:rPr>
                <w:rFonts w:hint="eastAsia" w:ascii="宋体" w:hAnsi="宋体"/>
                <w:color w:val="auto"/>
                <w:szCs w:val="21"/>
                <w:highlight w:val="none"/>
              </w:rPr>
            </w:pPr>
          </w:p>
        </w:tc>
        <w:tc>
          <w:tcPr>
            <w:tcW w:w="792" w:type="dxa"/>
            <w:noWrap w:val="0"/>
            <w:vAlign w:val="center"/>
          </w:tcPr>
          <w:p w14:paraId="09635781">
            <w:pPr>
              <w:spacing w:line="300" w:lineRule="auto"/>
              <w:rPr>
                <w:rFonts w:hint="eastAsia" w:ascii="宋体" w:hAnsi="宋体"/>
                <w:color w:val="auto"/>
                <w:szCs w:val="21"/>
                <w:highlight w:val="none"/>
              </w:rPr>
            </w:pPr>
          </w:p>
        </w:tc>
        <w:tc>
          <w:tcPr>
            <w:tcW w:w="1448" w:type="dxa"/>
            <w:noWrap w:val="0"/>
            <w:vAlign w:val="center"/>
          </w:tcPr>
          <w:p w14:paraId="4F1669BB">
            <w:pPr>
              <w:spacing w:line="300" w:lineRule="auto"/>
              <w:rPr>
                <w:rFonts w:hint="eastAsia" w:ascii="宋体" w:hAnsi="宋体"/>
                <w:color w:val="auto"/>
                <w:szCs w:val="21"/>
                <w:highlight w:val="none"/>
              </w:rPr>
            </w:pPr>
          </w:p>
        </w:tc>
        <w:tc>
          <w:tcPr>
            <w:tcW w:w="3673" w:type="dxa"/>
            <w:noWrap w:val="0"/>
            <w:vAlign w:val="center"/>
          </w:tcPr>
          <w:p w14:paraId="2404677F">
            <w:pPr>
              <w:spacing w:line="300" w:lineRule="auto"/>
              <w:rPr>
                <w:rFonts w:hint="eastAsia" w:ascii="宋体" w:hAnsi="宋体"/>
                <w:color w:val="auto"/>
                <w:szCs w:val="21"/>
                <w:highlight w:val="none"/>
              </w:rPr>
            </w:pPr>
          </w:p>
        </w:tc>
      </w:tr>
      <w:tr w14:paraId="047A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2B47DAC4">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93" w:type="dxa"/>
            <w:noWrap w:val="0"/>
            <w:vAlign w:val="center"/>
          </w:tcPr>
          <w:p w14:paraId="5ECF50D3">
            <w:pPr>
              <w:spacing w:line="300" w:lineRule="auto"/>
              <w:rPr>
                <w:rFonts w:hint="eastAsia" w:ascii="宋体" w:hAnsi="宋体"/>
                <w:color w:val="auto"/>
                <w:szCs w:val="21"/>
                <w:highlight w:val="none"/>
              </w:rPr>
            </w:pPr>
          </w:p>
        </w:tc>
        <w:tc>
          <w:tcPr>
            <w:tcW w:w="792" w:type="dxa"/>
            <w:noWrap w:val="0"/>
            <w:vAlign w:val="center"/>
          </w:tcPr>
          <w:p w14:paraId="059A8565">
            <w:pPr>
              <w:spacing w:line="300" w:lineRule="auto"/>
              <w:rPr>
                <w:rFonts w:hint="eastAsia" w:ascii="宋体" w:hAnsi="宋体"/>
                <w:color w:val="auto"/>
                <w:szCs w:val="21"/>
                <w:highlight w:val="none"/>
              </w:rPr>
            </w:pPr>
          </w:p>
        </w:tc>
        <w:tc>
          <w:tcPr>
            <w:tcW w:w="1448" w:type="dxa"/>
            <w:noWrap w:val="0"/>
            <w:vAlign w:val="center"/>
          </w:tcPr>
          <w:p w14:paraId="61045557">
            <w:pPr>
              <w:spacing w:line="300" w:lineRule="auto"/>
              <w:rPr>
                <w:rFonts w:hint="eastAsia" w:ascii="宋体" w:hAnsi="宋体"/>
                <w:color w:val="auto"/>
                <w:szCs w:val="21"/>
                <w:highlight w:val="none"/>
              </w:rPr>
            </w:pPr>
          </w:p>
        </w:tc>
        <w:tc>
          <w:tcPr>
            <w:tcW w:w="3673" w:type="dxa"/>
            <w:noWrap w:val="0"/>
            <w:vAlign w:val="center"/>
          </w:tcPr>
          <w:p w14:paraId="0FA321EE">
            <w:pPr>
              <w:spacing w:line="300" w:lineRule="auto"/>
              <w:rPr>
                <w:rFonts w:hint="eastAsia" w:ascii="宋体" w:hAnsi="宋体"/>
                <w:color w:val="auto"/>
                <w:szCs w:val="21"/>
                <w:highlight w:val="none"/>
              </w:rPr>
            </w:pPr>
          </w:p>
        </w:tc>
      </w:tr>
      <w:tr w14:paraId="37D3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2566033C">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93" w:type="dxa"/>
            <w:noWrap w:val="0"/>
            <w:vAlign w:val="center"/>
          </w:tcPr>
          <w:p w14:paraId="7ECE6F3D">
            <w:pPr>
              <w:spacing w:line="300" w:lineRule="auto"/>
              <w:rPr>
                <w:rFonts w:hint="eastAsia" w:ascii="宋体" w:hAnsi="宋体"/>
                <w:color w:val="auto"/>
                <w:szCs w:val="21"/>
                <w:highlight w:val="none"/>
              </w:rPr>
            </w:pPr>
          </w:p>
        </w:tc>
        <w:tc>
          <w:tcPr>
            <w:tcW w:w="792" w:type="dxa"/>
            <w:noWrap w:val="0"/>
            <w:vAlign w:val="center"/>
          </w:tcPr>
          <w:p w14:paraId="297606CC">
            <w:pPr>
              <w:spacing w:line="300" w:lineRule="auto"/>
              <w:rPr>
                <w:rFonts w:hint="eastAsia" w:ascii="宋体" w:hAnsi="宋体"/>
                <w:color w:val="auto"/>
                <w:szCs w:val="21"/>
                <w:highlight w:val="none"/>
              </w:rPr>
            </w:pPr>
          </w:p>
        </w:tc>
        <w:tc>
          <w:tcPr>
            <w:tcW w:w="1448" w:type="dxa"/>
            <w:noWrap w:val="0"/>
            <w:vAlign w:val="center"/>
          </w:tcPr>
          <w:p w14:paraId="186C580E">
            <w:pPr>
              <w:spacing w:line="300" w:lineRule="auto"/>
              <w:rPr>
                <w:rFonts w:hint="eastAsia" w:ascii="宋体" w:hAnsi="宋体"/>
                <w:color w:val="auto"/>
                <w:szCs w:val="21"/>
                <w:highlight w:val="none"/>
              </w:rPr>
            </w:pPr>
          </w:p>
        </w:tc>
        <w:tc>
          <w:tcPr>
            <w:tcW w:w="3673" w:type="dxa"/>
            <w:noWrap w:val="0"/>
            <w:vAlign w:val="center"/>
          </w:tcPr>
          <w:p w14:paraId="084A15E6">
            <w:pPr>
              <w:spacing w:line="300" w:lineRule="auto"/>
              <w:rPr>
                <w:rFonts w:hint="eastAsia" w:ascii="宋体" w:hAnsi="宋体"/>
                <w:color w:val="auto"/>
                <w:szCs w:val="21"/>
                <w:highlight w:val="none"/>
              </w:rPr>
            </w:pPr>
          </w:p>
        </w:tc>
      </w:tr>
      <w:tr w14:paraId="42D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6DF21E3C">
            <w:pPr>
              <w:spacing w:line="300" w:lineRule="auto"/>
              <w:rPr>
                <w:rFonts w:hint="eastAsia" w:ascii="宋体" w:hAnsi="宋体"/>
                <w:color w:val="auto"/>
                <w:szCs w:val="21"/>
                <w:highlight w:val="none"/>
              </w:rPr>
            </w:pPr>
          </w:p>
        </w:tc>
        <w:tc>
          <w:tcPr>
            <w:tcW w:w="793" w:type="dxa"/>
            <w:noWrap w:val="0"/>
            <w:vAlign w:val="center"/>
          </w:tcPr>
          <w:p w14:paraId="66B3B546">
            <w:pPr>
              <w:spacing w:line="300" w:lineRule="auto"/>
              <w:rPr>
                <w:rFonts w:hint="eastAsia" w:ascii="宋体" w:hAnsi="宋体"/>
                <w:color w:val="auto"/>
                <w:szCs w:val="21"/>
                <w:highlight w:val="none"/>
              </w:rPr>
            </w:pPr>
          </w:p>
        </w:tc>
        <w:tc>
          <w:tcPr>
            <w:tcW w:w="792" w:type="dxa"/>
            <w:noWrap w:val="0"/>
            <w:vAlign w:val="center"/>
          </w:tcPr>
          <w:p w14:paraId="5A90B7C0">
            <w:pPr>
              <w:spacing w:line="300" w:lineRule="auto"/>
              <w:rPr>
                <w:rFonts w:hint="eastAsia" w:ascii="宋体" w:hAnsi="宋体"/>
                <w:color w:val="auto"/>
                <w:szCs w:val="21"/>
                <w:highlight w:val="none"/>
              </w:rPr>
            </w:pPr>
          </w:p>
        </w:tc>
        <w:tc>
          <w:tcPr>
            <w:tcW w:w="1448" w:type="dxa"/>
            <w:noWrap w:val="0"/>
            <w:vAlign w:val="center"/>
          </w:tcPr>
          <w:p w14:paraId="3BF4AF89">
            <w:pPr>
              <w:spacing w:line="300" w:lineRule="auto"/>
              <w:rPr>
                <w:rFonts w:hint="eastAsia" w:ascii="宋体" w:hAnsi="宋体"/>
                <w:color w:val="auto"/>
                <w:szCs w:val="21"/>
                <w:highlight w:val="none"/>
              </w:rPr>
            </w:pPr>
          </w:p>
        </w:tc>
        <w:tc>
          <w:tcPr>
            <w:tcW w:w="3673" w:type="dxa"/>
            <w:noWrap w:val="0"/>
            <w:vAlign w:val="center"/>
          </w:tcPr>
          <w:p w14:paraId="7D28C5D6">
            <w:pPr>
              <w:spacing w:line="300" w:lineRule="auto"/>
              <w:rPr>
                <w:rFonts w:hint="eastAsia" w:ascii="宋体" w:hAnsi="宋体"/>
                <w:color w:val="auto"/>
                <w:szCs w:val="21"/>
                <w:highlight w:val="none"/>
              </w:rPr>
            </w:pPr>
          </w:p>
        </w:tc>
      </w:tr>
      <w:tr w14:paraId="3956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0E16D1E5">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93" w:type="dxa"/>
            <w:noWrap w:val="0"/>
            <w:vAlign w:val="center"/>
          </w:tcPr>
          <w:p w14:paraId="1FBC32B1">
            <w:pPr>
              <w:spacing w:line="300" w:lineRule="auto"/>
              <w:rPr>
                <w:rFonts w:hint="eastAsia" w:ascii="宋体" w:hAnsi="宋体"/>
                <w:color w:val="auto"/>
                <w:szCs w:val="21"/>
                <w:highlight w:val="none"/>
              </w:rPr>
            </w:pPr>
          </w:p>
        </w:tc>
        <w:tc>
          <w:tcPr>
            <w:tcW w:w="792" w:type="dxa"/>
            <w:noWrap w:val="0"/>
            <w:vAlign w:val="center"/>
          </w:tcPr>
          <w:p w14:paraId="3F5A1DBE">
            <w:pPr>
              <w:spacing w:line="300" w:lineRule="auto"/>
              <w:rPr>
                <w:rFonts w:hint="eastAsia" w:ascii="宋体" w:hAnsi="宋体"/>
                <w:color w:val="auto"/>
                <w:szCs w:val="21"/>
                <w:highlight w:val="none"/>
              </w:rPr>
            </w:pPr>
          </w:p>
        </w:tc>
        <w:tc>
          <w:tcPr>
            <w:tcW w:w="1448" w:type="dxa"/>
            <w:noWrap w:val="0"/>
            <w:vAlign w:val="center"/>
          </w:tcPr>
          <w:p w14:paraId="7574B821">
            <w:pPr>
              <w:spacing w:line="300" w:lineRule="auto"/>
              <w:rPr>
                <w:rFonts w:hint="eastAsia" w:ascii="宋体" w:hAnsi="宋体"/>
                <w:color w:val="auto"/>
                <w:szCs w:val="21"/>
                <w:highlight w:val="none"/>
              </w:rPr>
            </w:pPr>
          </w:p>
        </w:tc>
        <w:tc>
          <w:tcPr>
            <w:tcW w:w="3673" w:type="dxa"/>
            <w:noWrap w:val="0"/>
            <w:vAlign w:val="center"/>
          </w:tcPr>
          <w:p w14:paraId="0110E770">
            <w:pPr>
              <w:spacing w:line="300" w:lineRule="auto"/>
              <w:rPr>
                <w:rFonts w:hint="eastAsia" w:ascii="宋体" w:hAnsi="宋体"/>
                <w:color w:val="auto"/>
                <w:szCs w:val="21"/>
                <w:highlight w:val="none"/>
              </w:rPr>
            </w:pPr>
          </w:p>
        </w:tc>
      </w:tr>
      <w:tr w14:paraId="46CF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38A4C46E">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93" w:type="dxa"/>
            <w:noWrap w:val="0"/>
            <w:vAlign w:val="center"/>
          </w:tcPr>
          <w:p w14:paraId="3CBB9C50">
            <w:pPr>
              <w:spacing w:line="300" w:lineRule="auto"/>
              <w:rPr>
                <w:rFonts w:hint="eastAsia" w:ascii="宋体" w:hAnsi="宋体"/>
                <w:color w:val="auto"/>
                <w:szCs w:val="21"/>
                <w:highlight w:val="none"/>
              </w:rPr>
            </w:pPr>
          </w:p>
        </w:tc>
        <w:tc>
          <w:tcPr>
            <w:tcW w:w="792" w:type="dxa"/>
            <w:noWrap w:val="0"/>
            <w:vAlign w:val="center"/>
          </w:tcPr>
          <w:p w14:paraId="6C4E7BCD">
            <w:pPr>
              <w:spacing w:line="300" w:lineRule="auto"/>
              <w:rPr>
                <w:rFonts w:hint="eastAsia" w:ascii="宋体" w:hAnsi="宋体"/>
                <w:color w:val="auto"/>
                <w:szCs w:val="21"/>
                <w:highlight w:val="none"/>
              </w:rPr>
            </w:pPr>
          </w:p>
        </w:tc>
        <w:tc>
          <w:tcPr>
            <w:tcW w:w="1448" w:type="dxa"/>
            <w:noWrap w:val="0"/>
            <w:vAlign w:val="center"/>
          </w:tcPr>
          <w:p w14:paraId="380B467E">
            <w:pPr>
              <w:spacing w:line="300" w:lineRule="auto"/>
              <w:rPr>
                <w:rFonts w:hint="eastAsia" w:ascii="宋体" w:hAnsi="宋体"/>
                <w:color w:val="auto"/>
                <w:szCs w:val="21"/>
                <w:highlight w:val="none"/>
              </w:rPr>
            </w:pPr>
          </w:p>
        </w:tc>
        <w:tc>
          <w:tcPr>
            <w:tcW w:w="3673" w:type="dxa"/>
            <w:noWrap w:val="0"/>
            <w:vAlign w:val="center"/>
          </w:tcPr>
          <w:p w14:paraId="34E69F89">
            <w:pPr>
              <w:spacing w:line="300" w:lineRule="auto"/>
              <w:rPr>
                <w:rFonts w:hint="eastAsia" w:ascii="宋体" w:hAnsi="宋体"/>
                <w:color w:val="auto"/>
                <w:szCs w:val="21"/>
                <w:highlight w:val="none"/>
              </w:rPr>
            </w:pPr>
          </w:p>
        </w:tc>
      </w:tr>
      <w:tr w14:paraId="3F96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12E7A379">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93" w:type="dxa"/>
            <w:noWrap w:val="0"/>
            <w:vAlign w:val="center"/>
          </w:tcPr>
          <w:p w14:paraId="74FB87E6">
            <w:pPr>
              <w:spacing w:line="300" w:lineRule="auto"/>
              <w:rPr>
                <w:rFonts w:hint="eastAsia" w:ascii="宋体" w:hAnsi="宋体"/>
                <w:color w:val="auto"/>
                <w:szCs w:val="21"/>
                <w:highlight w:val="none"/>
              </w:rPr>
            </w:pPr>
          </w:p>
        </w:tc>
        <w:tc>
          <w:tcPr>
            <w:tcW w:w="792" w:type="dxa"/>
            <w:noWrap w:val="0"/>
            <w:vAlign w:val="center"/>
          </w:tcPr>
          <w:p w14:paraId="6AAED765">
            <w:pPr>
              <w:spacing w:line="300" w:lineRule="auto"/>
              <w:rPr>
                <w:rFonts w:hint="eastAsia" w:ascii="宋体" w:hAnsi="宋体"/>
                <w:color w:val="auto"/>
                <w:szCs w:val="21"/>
                <w:highlight w:val="none"/>
              </w:rPr>
            </w:pPr>
          </w:p>
        </w:tc>
        <w:tc>
          <w:tcPr>
            <w:tcW w:w="1448" w:type="dxa"/>
            <w:noWrap w:val="0"/>
            <w:vAlign w:val="center"/>
          </w:tcPr>
          <w:p w14:paraId="5ED79B3F">
            <w:pPr>
              <w:spacing w:line="300" w:lineRule="auto"/>
              <w:rPr>
                <w:rFonts w:hint="eastAsia" w:ascii="宋体" w:hAnsi="宋体"/>
                <w:color w:val="auto"/>
                <w:szCs w:val="21"/>
                <w:highlight w:val="none"/>
              </w:rPr>
            </w:pPr>
          </w:p>
        </w:tc>
        <w:tc>
          <w:tcPr>
            <w:tcW w:w="3673" w:type="dxa"/>
            <w:noWrap w:val="0"/>
            <w:vAlign w:val="center"/>
          </w:tcPr>
          <w:p w14:paraId="278FAEB8">
            <w:pPr>
              <w:spacing w:line="300" w:lineRule="auto"/>
              <w:rPr>
                <w:rFonts w:hint="eastAsia" w:ascii="宋体" w:hAnsi="宋体"/>
                <w:color w:val="auto"/>
                <w:szCs w:val="21"/>
                <w:highlight w:val="none"/>
              </w:rPr>
            </w:pPr>
          </w:p>
        </w:tc>
      </w:tr>
      <w:tr w14:paraId="084F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3527D76E">
            <w:pPr>
              <w:spacing w:line="300" w:lineRule="auto"/>
              <w:rPr>
                <w:rFonts w:hint="eastAsia" w:ascii="宋体" w:hAnsi="宋体"/>
                <w:color w:val="auto"/>
                <w:szCs w:val="21"/>
                <w:highlight w:val="none"/>
              </w:rPr>
            </w:pPr>
            <w:r>
              <w:rPr>
                <w:rFonts w:ascii="宋体" w:hAnsi="宋体"/>
                <w:color w:val="auto"/>
                <w:szCs w:val="21"/>
                <w:highlight w:val="none"/>
              </w:rPr>
              <w:t>……</w:t>
            </w:r>
          </w:p>
        </w:tc>
        <w:tc>
          <w:tcPr>
            <w:tcW w:w="793" w:type="dxa"/>
            <w:noWrap w:val="0"/>
            <w:vAlign w:val="center"/>
          </w:tcPr>
          <w:p w14:paraId="34870E38">
            <w:pPr>
              <w:spacing w:line="300" w:lineRule="auto"/>
              <w:rPr>
                <w:rFonts w:hint="eastAsia" w:ascii="宋体" w:hAnsi="宋体"/>
                <w:color w:val="auto"/>
                <w:szCs w:val="21"/>
                <w:highlight w:val="none"/>
              </w:rPr>
            </w:pPr>
          </w:p>
        </w:tc>
        <w:tc>
          <w:tcPr>
            <w:tcW w:w="792" w:type="dxa"/>
            <w:noWrap w:val="0"/>
            <w:vAlign w:val="center"/>
          </w:tcPr>
          <w:p w14:paraId="7BADEE7E">
            <w:pPr>
              <w:spacing w:line="300" w:lineRule="auto"/>
              <w:rPr>
                <w:rFonts w:hint="eastAsia" w:ascii="宋体" w:hAnsi="宋体"/>
                <w:color w:val="auto"/>
                <w:szCs w:val="21"/>
                <w:highlight w:val="none"/>
              </w:rPr>
            </w:pPr>
          </w:p>
        </w:tc>
        <w:tc>
          <w:tcPr>
            <w:tcW w:w="1448" w:type="dxa"/>
            <w:noWrap w:val="0"/>
            <w:vAlign w:val="center"/>
          </w:tcPr>
          <w:p w14:paraId="5D92D199">
            <w:pPr>
              <w:spacing w:line="300" w:lineRule="auto"/>
              <w:rPr>
                <w:rFonts w:hint="eastAsia" w:ascii="宋体" w:hAnsi="宋体"/>
                <w:color w:val="auto"/>
                <w:szCs w:val="21"/>
                <w:highlight w:val="none"/>
              </w:rPr>
            </w:pPr>
          </w:p>
        </w:tc>
        <w:tc>
          <w:tcPr>
            <w:tcW w:w="3673" w:type="dxa"/>
            <w:noWrap w:val="0"/>
            <w:vAlign w:val="center"/>
          </w:tcPr>
          <w:p w14:paraId="3A221C47">
            <w:pPr>
              <w:spacing w:line="300" w:lineRule="auto"/>
              <w:rPr>
                <w:rFonts w:hint="eastAsia" w:ascii="宋体" w:hAnsi="宋体"/>
                <w:color w:val="auto"/>
                <w:szCs w:val="21"/>
                <w:highlight w:val="none"/>
              </w:rPr>
            </w:pPr>
          </w:p>
        </w:tc>
      </w:tr>
      <w:tr w14:paraId="7729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7AC77609">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93" w:type="dxa"/>
            <w:noWrap w:val="0"/>
            <w:vAlign w:val="center"/>
          </w:tcPr>
          <w:p w14:paraId="00F052FD">
            <w:pPr>
              <w:spacing w:line="300" w:lineRule="auto"/>
              <w:rPr>
                <w:rFonts w:hint="eastAsia" w:ascii="宋体" w:hAnsi="宋体"/>
                <w:color w:val="auto"/>
                <w:szCs w:val="21"/>
                <w:highlight w:val="none"/>
              </w:rPr>
            </w:pPr>
          </w:p>
        </w:tc>
        <w:tc>
          <w:tcPr>
            <w:tcW w:w="792" w:type="dxa"/>
            <w:noWrap w:val="0"/>
            <w:vAlign w:val="center"/>
          </w:tcPr>
          <w:p w14:paraId="42F6DEC2">
            <w:pPr>
              <w:spacing w:line="300" w:lineRule="auto"/>
              <w:rPr>
                <w:rFonts w:hint="eastAsia" w:ascii="宋体" w:hAnsi="宋体"/>
                <w:color w:val="auto"/>
                <w:szCs w:val="21"/>
                <w:highlight w:val="none"/>
              </w:rPr>
            </w:pPr>
          </w:p>
        </w:tc>
        <w:tc>
          <w:tcPr>
            <w:tcW w:w="1448" w:type="dxa"/>
            <w:noWrap w:val="0"/>
            <w:vAlign w:val="center"/>
          </w:tcPr>
          <w:p w14:paraId="5B7F10F8">
            <w:pPr>
              <w:spacing w:line="300" w:lineRule="auto"/>
              <w:rPr>
                <w:rFonts w:hint="eastAsia" w:ascii="宋体" w:hAnsi="宋体"/>
                <w:color w:val="auto"/>
                <w:szCs w:val="21"/>
                <w:highlight w:val="none"/>
              </w:rPr>
            </w:pPr>
          </w:p>
        </w:tc>
        <w:tc>
          <w:tcPr>
            <w:tcW w:w="3673" w:type="dxa"/>
            <w:noWrap w:val="0"/>
            <w:vAlign w:val="center"/>
          </w:tcPr>
          <w:p w14:paraId="4829870F">
            <w:pPr>
              <w:spacing w:line="300" w:lineRule="auto"/>
              <w:rPr>
                <w:rFonts w:hint="eastAsia" w:ascii="宋体" w:hAnsi="宋体"/>
                <w:color w:val="auto"/>
                <w:szCs w:val="21"/>
                <w:highlight w:val="none"/>
              </w:rPr>
            </w:pPr>
          </w:p>
        </w:tc>
      </w:tr>
      <w:tr w14:paraId="4C66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43BAC5FA">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93" w:type="dxa"/>
            <w:noWrap w:val="0"/>
            <w:vAlign w:val="center"/>
          </w:tcPr>
          <w:p w14:paraId="70F6C50E">
            <w:pPr>
              <w:spacing w:line="300" w:lineRule="auto"/>
              <w:rPr>
                <w:rFonts w:hint="eastAsia" w:ascii="宋体" w:hAnsi="宋体"/>
                <w:color w:val="auto"/>
                <w:szCs w:val="21"/>
                <w:highlight w:val="none"/>
              </w:rPr>
            </w:pPr>
          </w:p>
        </w:tc>
        <w:tc>
          <w:tcPr>
            <w:tcW w:w="792" w:type="dxa"/>
            <w:noWrap w:val="0"/>
            <w:vAlign w:val="center"/>
          </w:tcPr>
          <w:p w14:paraId="6430757C">
            <w:pPr>
              <w:spacing w:line="300" w:lineRule="auto"/>
              <w:rPr>
                <w:rFonts w:hint="eastAsia" w:ascii="宋体" w:hAnsi="宋体"/>
                <w:color w:val="auto"/>
                <w:szCs w:val="21"/>
                <w:highlight w:val="none"/>
              </w:rPr>
            </w:pPr>
          </w:p>
        </w:tc>
        <w:tc>
          <w:tcPr>
            <w:tcW w:w="1448" w:type="dxa"/>
            <w:noWrap w:val="0"/>
            <w:vAlign w:val="center"/>
          </w:tcPr>
          <w:p w14:paraId="2F4D8C65">
            <w:pPr>
              <w:spacing w:line="300" w:lineRule="auto"/>
              <w:rPr>
                <w:rFonts w:hint="eastAsia" w:ascii="宋体" w:hAnsi="宋体"/>
                <w:color w:val="auto"/>
                <w:szCs w:val="21"/>
                <w:highlight w:val="none"/>
              </w:rPr>
            </w:pPr>
          </w:p>
        </w:tc>
        <w:tc>
          <w:tcPr>
            <w:tcW w:w="3673" w:type="dxa"/>
            <w:noWrap w:val="0"/>
            <w:vAlign w:val="center"/>
          </w:tcPr>
          <w:p w14:paraId="3D18BCD0">
            <w:pPr>
              <w:spacing w:line="300" w:lineRule="auto"/>
              <w:rPr>
                <w:rFonts w:hint="eastAsia" w:ascii="宋体" w:hAnsi="宋体"/>
                <w:color w:val="auto"/>
                <w:szCs w:val="21"/>
                <w:highlight w:val="none"/>
              </w:rPr>
            </w:pPr>
          </w:p>
        </w:tc>
      </w:tr>
      <w:tr w14:paraId="1973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6F8A1BD3">
            <w:pPr>
              <w:spacing w:line="300" w:lineRule="auto"/>
              <w:rPr>
                <w:rFonts w:hint="eastAsia" w:ascii="宋体" w:hAnsi="宋体"/>
                <w:color w:val="auto"/>
                <w:szCs w:val="21"/>
                <w:highlight w:val="none"/>
              </w:rPr>
            </w:pPr>
            <w:r>
              <w:rPr>
                <w:rFonts w:ascii="宋体" w:hAnsi="宋体"/>
                <w:color w:val="auto"/>
                <w:szCs w:val="21"/>
                <w:highlight w:val="none"/>
              </w:rPr>
              <w:t>……</w:t>
            </w:r>
          </w:p>
        </w:tc>
        <w:tc>
          <w:tcPr>
            <w:tcW w:w="793" w:type="dxa"/>
            <w:noWrap w:val="0"/>
            <w:vAlign w:val="center"/>
          </w:tcPr>
          <w:p w14:paraId="67656C67">
            <w:pPr>
              <w:spacing w:line="300" w:lineRule="auto"/>
              <w:rPr>
                <w:rFonts w:hint="eastAsia" w:ascii="宋体" w:hAnsi="宋体"/>
                <w:color w:val="auto"/>
                <w:szCs w:val="21"/>
                <w:highlight w:val="none"/>
              </w:rPr>
            </w:pPr>
          </w:p>
        </w:tc>
        <w:tc>
          <w:tcPr>
            <w:tcW w:w="792" w:type="dxa"/>
            <w:noWrap w:val="0"/>
            <w:vAlign w:val="center"/>
          </w:tcPr>
          <w:p w14:paraId="08A46F95">
            <w:pPr>
              <w:spacing w:line="300" w:lineRule="auto"/>
              <w:rPr>
                <w:rFonts w:hint="eastAsia" w:ascii="宋体" w:hAnsi="宋体"/>
                <w:color w:val="auto"/>
                <w:szCs w:val="21"/>
                <w:highlight w:val="none"/>
              </w:rPr>
            </w:pPr>
          </w:p>
        </w:tc>
        <w:tc>
          <w:tcPr>
            <w:tcW w:w="1448" w:type="dxa"/>
            <w:noWrap w:val="0"/>
            <w:vAlign w:val="center"/>
          </w:tcPr>
          <w:p w14:paraId="4A9CC778">
            <w:pPr>
              <w:spacing w:line="300" w:lineRule="auto"/>
              <w:rPr>
                <w:rFonts w:hint="eastAsia" w:ascii="宋体" w:hAnsi="宋体"/>
                <w:color w:val="auto"/>
                <w:szCs w:val="21"/>
                <w:highlight w:val="none"/>
              </w:rPr>
            </w:pPr>
          </w:p>
        </w:tc>
        <w:tc>
          <w:tcPr>
            <w:tcW w:w="3673" w:type="dxa"/>
            <w:noWrap w:val="0"/>
            <w:vAlign w:val="center"/>
          </w:tcPr>
          <w:p w14:paraId="7A1C15C8">
            <w:pPr>
              <w:spacing w:line="300" w:lineRule="auto"/>
              <w:rPr>
                <w:rFonts w:hint="eastAsia" w:ascii="宋体" w:hAnsi="宋体"/>
                <w:color w:val="auto"/>
                <w:szCs w:val="21"/>
                <w:highlight w:val="none"/>
              </w:rPr>
            </w:pPr>
          </w:p>
        </w:tc>
      </w:tr>
      <w:tr w14:paraId="4AE8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0BC84121">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93" w:type="dxa"/>
            <w:noWrap w:val="0"/>
            <w:vAlign w:val="center"/>
          </w:tcPr>
          <w:p w14:paraId="27962E71">
            <w:pPr>
              <w:spacing w:line="300" w:lineRule="auto"/>
              <w:rPr>
                <w:rFonts w:hint="eastAsia" w:ascii="宋体" w:hAnsi="宋体"/>
                <w:color w:val="auto"/>
                <w:szCs w:val="21"/>
                <w:highlight w:val="none"/>
              </w:rPr>
            </w:pPr>
          </w:p>
        </w:tc>
        <w:tc>
          <w:tcPr>
            <w:tcW w:w="792" w:type="dxa"/>
            <w:noWrap w:val="0"/>
            <w:vAlign w:val="center"/>
          </w:tcPr>
          <w:p w14:paraId="2C25B7EA">
            <w:pPr>
              <w:spacing w:line="300" w:lineRule="auto"/>
              <w:rPr>
                <w:rFonts w:hint="eastAsia" w:ascii="宋体" w:hAnsi="宋体"/>
                <w:color w:val="auto"/>
                <w:szCs w:val="21"/>
                <w:highlight w:val="none"/>
              </w:rPr>
            </w:pPr>
          </w:p>
        </w:tc>
        <w:tc>
          <w:tcPr>
            <w:tcW w:w="1448" w:type="dxa"/>
            <w:noWrap w:val="0"/>
            <w:vAlign w:val="center"/>
          </w:tcPr>
          <w:p w14:paraId="3949922D">
            <w:pPr>
              <w:spacing w:line="300" w:lineRule="auto"/>
              <w:rPr>
                <w:rFonts w:hint="eastAsia" w:ascii="宋体" w:hAnsi="宋体"/>
                <w:color w:val="auto"/>
                <w:szCs w:val="21"/>
                <w:highlight w:val="none"/>
              </w:rPr>
            </w:pPr>
          </w:p>
        </w:tc>
        <w:tc>
          <w:tcPr>
            <w:tcW w:w="3673" w:type="dxa"/>
            <w:noWrap w:val="0"/>
            <w:vAlign w:val="center"/>
          </w:tcPr>
          <w:p w14:paraId="7F6F7CED">
            <w:pPr>
              <w:spacing w:line="300" w:lineRule="auto"/>
              <w:rPr>
                <w:rFonts w:hint="eastAsia" w:ascii="宋体" w:hAnsi="宋体"/>
                <w:color w:val="auto"/>
                <w:szCs w:val="21"/>
                <w:highlight w:val="none"/>
              </w:rPr>
            </w:pPr>
          </w:p>
        </w:tc>
      </w:tr>
      <w:tr w14:paraId="38AC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3BB177F6">
            <w:pPr>
              <w:spacing w:line="300" w:lineRule="auto"/>
              <w:rPr>
                <w:rFonts w:hint="eastAsia" w:ascii="宋体" w:hAnsi="宋体"/>
                <w:color w:val="auto"/>
                <w:szCs w:val="21"/>
                <w:highlight w:val="none"/>
              </w:rPr>
            </w:pPr>
            <w:r>
              <w:rPr>
                <w:rFonts w:ascii="宋体" w:hAnsi="宋体"/>
                <w:color w:val="auto"/>
                <w:szCs w:val="21"/>
                <w:highlight w:val="none"/>
              </w:rPr>
              <w:t>……</w:t>
            </w:r>
          </w:p>
        </w:tc>
        <w:tc>
          <w:tcPr>
            <w:tcW w:w="793" w:type="dxa"/>
            <w:noWrap w:val="0"/>
            <w:vAlign w:val="center"/>
          </w:tcPr>
          <w:p w14:paraId="0C958A55">
            <w:pPr>
              <w:spacing w:line="300" w:lineRule="auto"/>
              <w:rPr>
                <w:rFonts w:ascii="宋体" w:hAnsi="宋体"/>
                <w:color w:val="auto"/>
                <w:szCs w:val="21"/>
                <w:highlight w:val="none"/>
              </w:rPr>
            </w:pPr>
          </w:p>
        </w:tc>
        <w:tc>
          <w:tcPr>
            <w:tcW w:w="792" w:type="dxa"/>
            <w:noWrap w:val="0"/>
            <w:vAlign w:val="center"/>
          </w:tcPr>
          <w:p w14:paraId="37C20A6D">
            <w:pPr>
              <w:spacing w:line="300" w:lineRule="auto"/>
              <w:rPr>
                <w:rFonts w:ascii="宋体" w:hAnsi="宋体"/>
                <w:color w:val="auto"/>
                <w:szCs w:val="21"/>
                <w:highlight w:val="none"/>
              </w:rPr>
            </w:pPr>
          </w:p>
        </w:tc>
        <w:tc>
          <w:tcPr>
            <w:tcW w:w="1448" w:type="dxa"/>
            <w:noWrap w:val="0"/>
            <w:vAlign w:val="center"/>
          </w:tcPr>
          <w:p w14:paraId="76422807">
            <w:pPr>
              <w:spacing w:line="300" w:lineRule="auto"/>
              <w:rPr>
                <w:rFonts w:ascii="宋体" w:hAnsi="宋体"/>
                <w:color w:val="auto"/>
                <w:szCs w:val="21"/>
                <w:highlight w:val="none"/>
              </w:rPr>
            </w:pPr>
          </w:p>
        </w:tc>
        <w:tc>
          <w:tcPr>
            <w:tcW w:w="3673" w:type="dxa"/>
            <w:noWrap w:val="0"/>
            <w:vAlign w:val="center"/>
          </w:tcPr>
          <w:p w14:paraId="4AB51BF2">
            <w:pPr>
              <w:spacing w:line="300" w:lineRule="auto"/>
              <w:rPr>
                <w:rFonts w:ascii="宋体" w:hAnsi="宋体"/>
                <w:color w:val="auto"/>
                <w:szCs w:val="21"/>
                <w:highlight w:val="none"/>
              </w:rPr>
            </w:pPr>
          </w:p>
        </w:tc>
      </w:tr>
      <w:tr w14:paraId="5421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67FFCAC3">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93" w:type="dxa"/>
            <w:noWrap w:val="0"/>
            <w:vAlign w:val="center"/>
          </w:tcPr>
          <w:p w14:paraId="7D82D3B6">
            <w:pPr>
              <w:spacing w:line="300" w:lineRule="auto"/>
              <w:rPr>
                <w:rFonts w:ascii="宋体" w:hAnsi="宋体"/>
                <w:color w:val="auto"/>
                <w:szCs w:val="21"/>
                <w:highlight w:val="none"/>
              </w:rPr>
            </w:pPr>
          </w:p>
        </w:tc>
        <w:tc>
          <w:tcPr>
            <w:tcW w:w="792" w:type="dxa"/>
            <w:noWrap w:val="0"/>
            <w:vAlign w:val="center"/>
          </w:tcPr>
          <w:p w14:paraId="6FF6C7C1">
            <w:pPr>
              <w:spacing w:line="300" w:lineRule="auto"/>
              <w:rPr>
                <w:rFonts w:ascii="宋体" w:hAnsi="宋体"/>
                <w:color w:val="auto"/>
                <w:szCs w:val="21"/>
                <w:highlight w:val="none"/>
              </w:rPr>
            </w:pPr>
          </w:p>
        </w:tc>
        <w:tc>
          <w:tcPr>
            <w:tcW w:w="1448" w:type="dxa"/>
            <w:noWrap w:val="0"/>
            <w:vAlign w:val="center"/>
          </w:tcPr>
          <w:p w14:paraId="4AAE37F6">
            <w:pPr>
              <w:spacing w:line="300" w:lineRule="auto"/>
              <w:rPr>
                <w:rFonts w:ascii="宋体" w:hAnsi="宋体"/>
                <w:color w:val="auto"/>
                <w:szCs w:val="21"/>
                <w:highlight w:val="none"/>
              </w:rPr>
            </w:pPr>
          </w:p>
        </w:tc>
        <w:tc>
          <w:tcPr>
            <w:tcW w:w="3673" w:type="dxa"/>
            <w:noWrap w:val="0"/>
            <w:vAlign w:val="center"/>
          </w:tcPr>
          <w:p w14:paraId="58247F4B">
            <w:pPr>
              <w:spacing w:line="300" w:lineRule="auto"/>
              <w:rPr>
                <w:rFonts w:ascii="宋体" w:hAnsi="宋体"/>
                <w:color w:val="auto"/>
                <w:szCs w:val="21"/>
                <w:highlight w:val="none"/>
              </w:rPr>
            </w:pPr>
          </w:p>
        </w:tc>
      </w:tr>
      <w:tr w14:paraId="530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1" w:type="dxa"/>
            <w:noWrap w:val="0"/>
            <w:vAlign w:val="center"/>
          </w:tcPr>
          <w:p w14:paraId="3323D22E">
            <w:pPr>
              <w:spacing w:line="300" w:lineRule="auto"/>
              <w:rPr>
                <w:rFonts w:hint="eastAsia" w:ascii="宋体" w:hAnsi="宋体"/>
                <w:color w:val="auto"/>
                <w:szCs w:val="21"/>
                <w:highlight w:val="none"/>
              </w:rPr>
            </w:pPr>
            <w:r>
              <w:rPr>
                <w:rFonts w:ascii="宋体" w:hAnsi="宋体"/>
                <w:color w:val="auto"/>
                <w:szCs w:val="21"/>
                <w:highlight w:val="none"/>
              </w:rPr>
              <w:t>……</w:t>
            </w:r>
          </w:p>
        </w:tc>
        <w:tc>
          <w:tcPr>
            <w:tcW w:w="793" w:type="dxa"/>
            <w:noWrap w:val="0"/>
            <w:vAlign w:val="center"/>
          </w:tcPr>
          <w:p w14:paraId="66FBBAD2">
            <w:pPr>
              <w:spacing w:line="300" w:lineRule="auto"/>
              <w:rPr>
                <w:rFonts w:ascii="宋体" w:hAnsi="宋体"/>
                <w:color w:val="auto"/>
                <w:szCs w:val="21"/>
                <w:highlight w:val="none"/>
              </w:rPr>
            </w:pPr>
          </w:p>
        </w:tc>
        <w:tc>
          <w:tcPr>
            <w:tcW w:w="792" w:type="dxa"/>
            <w:noWrap w:val="0"/>
            <w:vAlign w:val="center"/>
          </w:tcPr>
          <w:p w14:paraId="398C3F65">
            <w:pPr>
              <w:spacing w:line="300" w:lineRule="auto"/>
              <w:rPr>
                <w:rFonts w:ascii="宋体" w:hAnsi="宋体"/>
                <w:color w:val="auto"/>
                <w:szCs w:val="21"/>
                <w:highlight w:val="none"/>
              </w:rPr>
            </w:pPr>
          </w:p>
        </w:tc>
        <w:tc>
          <w:tcPr>
            <w:tcW w:w="1448" w:type="dxa"/>
            <w:noWrap w:val="0"/>
            <w:vAlign w:val="center"/>
          </w:tcPr>
          <w:p w14:paraId="5EE704CF">
            <w:pPr>
              <w:spacing w:line="300" w:lineRule="auto"/>
              <w:rPr>
                <w:rFonts w:ascii="宋体" w:hAnsi="宋体"/>
                <w:color w:val="auto"/>
                <w:szCs w:val="21"/>
                <w:highlight w:val="none"/>
              </w:rPr>
            </w:pPr>
          </w:p>
        </w:tc>
        <w:tc>
          <w:tcPr>
            <w:tcW w:w="3673" w:type="dxa"/>
            <w:noWrap w:val="0"/>
            <w:vAlign w:val="center"/>
          </w:tcPr>
          <w:p w14:paraId="277B5AF9">
            <w:pPr>
              <w:spacing w:line="300" w:lineRule="auto"/>
              <w:rPr>
                <w:rFonts w:ascii="宋体" w:hAnsi="宋体"/>
                <w:color w:val="auto"/>
                <w:szCs w:val="21"/>
                <w:highlight w:val="none"/>
              </w:rPr>
            </w:pPr>
          </w:p>
        </w:tc>
      </w:tr>
    </w:tbl>
    <w:p w14:paraId="5AACC9D3">
      <w:pPr>
        <w:rPr>
          <w:rFonts w:hint="eastAsia" w:ascii="宋体" w:hAnsi="宋体"/>
          <w:b/>
          <w:color w:val="auto"/>
          <w:highlight w:val="none"/>
        </w:rPr>
      </w:pPr>
    </w:p>
    <w:p w14:paraId="115AA28F">
      <w:pPr>
        <w:numPr>
          <w:ilvl w:val="0"/>
          <w:numId w:val="0"/>
        </w:numPr>
        <w:spacing w:line="360" w:lineRule="auto"/>
        <w:outlineLvl w:val="1"/>
        <w:rPr>
          <w:rFonts w:hint="eastAsia" w:ascii="宋体" w:hAnsi="宋体" w:eastAsia="宋体" w:cs="Times New Roman"/>
          <w:b/>
          <w:color w:val="auto"/>
          <w:szCs w:val="21"/>
          <w:highlight w:val="none"/>
          <w:lang w:val="en-US" w:eastAsia="zh-CN"/>
        </w:rPr>
      </w:pPr>
      <w:r>
        <w:rPr>
          <w:rFonts w:hint="eastAsia" w:ascii="宋体" w:hAnsi="宋体"/>
          <w:b/>
          <w:color w:val="auto"/>
          <w:highlight w:val="none"/>
        </w:rPr>
        <w:t>注：</w:t>
      </w:r>
      <w:r>
        <w:rPr>
          <w:rFonts w:hint="eastAsia" w:ascii="宋体" w:hAnsi="宋体" w:eastAsia="宋体" w:cs="Times New Roman"/>
          <w:b/>
          <w:color w:val="auto"/>
          <w:szCs w:val="21"/>
          <w:highlight w:val="none"/>
          <w:lang w:val="en-US" w:eastAsia="zh-CN"/>
        </w:rPr>
        <w:t>1、项目经理须附身份证复印件、注册建造师注册证书和安全生产考核合格证书（B类）复印件；技术负责人须附身份证复印件、</w:t>
      </w:r>
      <w:r>
        <w:rPr>
          <w:rFonts w:hint="eastAsia" w:ascii="宋体" w:hAnsi="宋体" w:cs="Times New Roman"/>
          <w:b/>
          <w:color w:val="auto"/>
          <w:szCs w:val="21"/>
          <w:highlight w:val="none"/>
          <w:lang w:val="en-US" w:eastAsia="zh-CN"/>
        </w:rPr>
        <w:t>中级以上（含中级）职称证书</w:t>
      </w:r>
      <w:r>
        <w:rPr>
          <w:rFonts w:hint="eastAsia" w:ascii="宋体" w:hAnsi="宋体" w:eastAsia="宋体" w:cs="Times New Roman"/>
          <w:b/>
          <w:color w:val="auto"/>
          <w:szCs w:val="21"/>
          <w:highlight w:val="none"/>
          <w:lang w:val="en-US" w:eastAsia="zh-CN"/>
        </w:rPr>
        <w:t>复印件；专职安全生产管理人员应附身份证复印件、专职安全员安全生产考核合格证书（C类）复印件；项目其他主要人员（至少包括施工员、质检员）须附身份证复印件、执业证或上岗证书复印件；提供以上人员由社保部门出具的供应商为其交纳的响应文件递交截止时间前半年内任意连续三个月社保证明复印件；若为新进员工，请提供劳动合同复印件。</w:t>
      </w:r>
    </w:p>
    <w:p w14:paraId="4CC4F274">
      <w:pPr>
        <w:numPr>
          <w:ilvl w:val="0"/>
          <w:numId w:val="0"/>
        </w:numPr>
        <w:spacing w:line="360" w:lineRule="auto"/>
        <w:outlineLvl w:val="1"/>
        <w:rPr>
          <w:rFonts w:hint="eastAsia" w:ascii="宋体" w:hAnsi="宋体" w:eastAsia="宋体" w:cs="Times New Roman"/>
          <w:b/>
          <w:color w:val="auto"/>
          <w:szCs w:val="21"/>
          <w:highlight w:val="none"/>
          <w:lang w:val="en-US" w:eastAsia="zh-CN"/>
        </w:rPr>
      </w:pPr>
    </w:p>
    <w:p w14:paraId="0AB6BB81">
      <w:pPr>
        <w:spacing w:line="360" w:lineRule="auto"/>
        <w:rPr>
          <w:rFonts w:ascii="宋体" w:hAnsi="宋体"/>
          <w:b/>
          <w:color w:val="auto"/>
          <w:szCs w:val="21"/>
          <w:highlight w:val="none"/>
        </w:rPr>
      </w:pPr>
      <w:r>
        <w:rPr>
          <w:rFonts w:hint="eastAsia" w:ascii="宋体" w:hAnsi="宋体"/>
          <w:b/>
          <w:color w:val="auto"/>
          <w:highlight w:val="none"/>
          <w:lang w:val="en-US" w:eastAsia="zh-CN"/>
        </w:rPr>
        <w:t>2、主要施工管理人员表</w:t>
      </w:r>
      <w:r>
        <w:rPr>
          <w:rFonts w:hint="eastAsia" w:ascii="宋体" w:hAnsi="宋体"/>
          <w:b/>
          <w:color w:val="auto"/>
          <w:szCs w:val="21"/>
          <w:highlight w:val="none"/>
        </w:rPr>
        <w:t>配备最低要求：</w:t>
      </w:r>
    </w:p>
    <w:tbl>
      <w:tblPr>
        <w:tblStyle w:val="20"/>
        <w:tblW w:w="8454"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9"/>
        <w:gridCol w:w="3067"/>
        <w:gridCol w:w="2058"/>
      </w:tblGrid>
      <w:tr w14:paraId="7516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trPr>
        <w:tc>
          <w:tcPr>
            <w:tcW w:w="3329" w:type="dxa"/>
            <w:tcBorders>
              <w:top w:val="single" w:color="auto" w:sz="4" w:space="0"/>
              <w:left w:val="single" w:color="auto" w:sz="4" w:space="0"/>
              <w:bottom w:val="nil"/>
              <w:right w:val="single" w:color="auto" w:sz="4" w:space="0"/>
            </w:tcBorders>
            <w:noWrap w:val="0"/>
            <w:vAlign w:val="center"/>
          </w:tcPr>
          <w:p w14:paraId="388E3388">
            <w:pPr>
              <w:widowControl/>
              <w:spacing w:before="100" w:beforeAutospacing="1" w:after="100" w:afterAutospacing="1" w:line="240" w:lineRule="exact"/>
              <w:jc w:val="center"/>
              <w:rPr>
                <w:rFonts w:ascii="宋体" w:hAnsi="宋体" w:cs="宋体"/>
                <w:color w:val="auto"/>
                <w:kern w:val="0"/>
                <w:szCs w:val="21"/>
                <w:highlight w:val="none"/>
              </w:rPr>
            </w:pPr>
            <w:r>
              <w:rPr>
                <w:rFonts w:hint="eastAsia"/>
                <w:b/>
                <w:color w:val="auto"/>
                <w:highlight w:val="none"/>
              </w:rPr>
              <w:t>人员类型</w:t>
            </w:r>
          </w:p>
        </w:tc>
        <w:tc>
          <w:tcPr>
            <w:tcW w:w="3067" w:type="dxa"/>
            <w:tcBorders>
              <w:top w:val="single" w:color="auto" w:sz="4" w:space="0"/>
              <w:left w:val="nil"/>
              <w:bottom w:val="single" w:color="auto" w:sz="4" w:space="0"/>
              <w:right w:val="single" w:color="auto" w:sz="4" w:space="0"/>
            </w:tcBorders>
            <w:noWrap w:val="0"/>
            <w:vAlign w:val="center"/>
          </w:tcPr>
          <w:p w14:paraId="6B4A8C02">
            <w:pPr>
              <w:widowControl/>
              <w:spacing w:before="100" w:beforeAutospacing="1" w:after="100" w:afterAutospacing="1" w:line="2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2058" w:type="dxa"/>
            <w:tcBorders>
              <w:top w:val="single" w:color="auto" w:sz="4" w:space="0"/>
              <w:left w:val="nil"/>
              <w:bottom w:val="single" w:color="auto" w:sz="4" w:space="0"/>
              <w:right w:val="single" w:color="auto" w:sz="4" w:space="0"/>
            </w:tcBorders>
            <w:noWrap w:val="0"/>
            <w:vAlign w:val="center"/>
          </w:tcPr>
          <w:p w14:paraId="00578EAF">
            <w:pPr>
              <w:widowControl/>
              <w:spacing w:before="100" w:beforeAutospacing="1" w:after="100" w:afterAutospacing="1" w:line="240" w:lineRule="exact"/>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lang w:eastAsia="zh-CN"/>
              </w:rPr>
              <w:t>备注</w:t>
            </w:r>
          </w:p>
        </w:tc>
      </w:tr>
      <w:tr w14:paraId="6E5B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329" w:type="dxa"/>
            <w:tcBorders>
              <w:top w:val="single" w:color="auto" w:sz="4" w:space="0"/>
              <w:left w:val="single" w:color="auto" w:sz="4" w:space="0"/>
              <w:bottom w:val="nil"/>
              <w:right w:val="single" w:color="auto" w:sz="4" w:space="0"/>
            </w:tcBorders>
            <w:noWrap w:val="0"/>
            <w:vAlign w:val="center"/>
          </w:tcPr>
          <w:p w14:paraId="0DDFA733">
            <w:pPr>
              <w:widowControl/>
              <w:spacing w:before="100" w:beforeAutospacing="1" w:after="100" w:afterAutospacing="1"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067" w:type="dxa"/>
            <w:tcBorders>
              <w:top w:val="single" w:color="auto" w:sz="4" w:space="0"/>
              <w:left w:val="nil"/>
              <w:bottom w:val="single" w:color="auto" w:sz="4" w:space="0"/>
              <w:right w:val="single" w:color="auto" w:sz="4" w:space="0"/>
            </w:tcBorders>
            <w:noWrap w:val="0"/>
            <w:vAlign w:val="center"/>
          </w:tcPr>
          <w:p w14:paraId="7201F91B">
            <w:pPr>
              <w:widowControl/>
              <w:spacing w:before="100" w:beforeAutospacing="1" w:after="100" w:afterAutospacing="1"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1C29D3BF">
            <w:pPr>
              <w:widowControl/>
              <w:spacing w:before="100" w:beforeAutospacing="1" w:after="100" w:afterAutospacing="1" w:line="240" w:lineRule="exact"/>
              <w:jc w:val="center"/>
              <w:rPr>
                <w:rFonts w:ascii="宋体" w:hAnsi="宋体" w:cs="宋体"/>
                <w:color w:val="auto"/>
                <w:kern w:val="0"/>
                <w:szCs w:val="21"/>
                <w:highlight w:val="none"/>
              </w:rPr>
            </w:pPr>
          </w:p>
        </w:tc>
      </w:tr>
      <w:tr w14:paraId="01D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3329" w:type="dxa"/>
            <w:tcBorders>
              <w:top w:val="single" w:color="auto" w:sz="4" w:space="0"/>
              <w:left w:val="single" w:color="auto" w:sz="4" w:space="0"/>
              <w:bottom w:val="nil"/>
              <w:right w:val="single" w:color="auto" w:sz="4" w:space="0"/>
            </w:tcBorders>
            <w:noWrap w:val="0"/>
            <w:vAlign w:val="center"/>
          </w:tcPr>
          <w:p w14:paraId="1C18EE40">
            <w:pPr>
              <w:widowControl/>
              <w:spacing w:before="100" w:beforeAutospacing="1" w:after="100" w:afterAutospacing="1"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067" w:type="dxa"/>
            <w:tcBorders>
              <w:top w:val="single" w:color="auto" w:sz="4" w:space="0"/>
              <w:left w:val="nil"/>
              <w:bottom w:val="single" w:color="auto" w:sz="4" w:space="0"/>
              <w:right w:val="single" w:color="auto" w:sz="4" w:space="0"/>
            </w:tcBorders>
            <w:noWrap w:val="0"/>
            <w:vAlign w:val="center"/>
          </w:tcPr>
          <w:p w14:paraId="14B8BA72">
            <w:pPr>
              <w:widowControl/>
              <w:spacing w:before="100" w:beforeAutospacing="1" w:after="100" w:afterAutospacing="1"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41A314D6">
            <w:pPr>
              <w:widowControl/>
              <w:spacing w:before="100" w:beforeAutospacing="1" w:after="100" w:afterAutospacing="1" w:line="240" w:lineRule="exact"/>
              <w:jc w:val="center"/>
              <w:rPr>
                <w:rFonts w:ascii="宋体" w:hAnsi="宋体" w:cs="宋体"/>
                <w:color w:val="auto"/>
                <w:kern w:val="0"/>
                <w:szCs w:val="21"/>
                <w:highlight w:val="none"/>
              </w:rPr>
            </w:pPr>
          </w:p>
        </w:tc>
      </w:tr>
      <w:tr w14:paraId="521C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3329" w:type="dxa"/>
            <w:tcBorders>
              <w:top w:val="single" w:color="auto" w:sz="4" w:space="0"/>
              <w:left w:val="single" w:color="auto" w:sz="4" w:space="0"/>
              <w:bottom w:val="nil"/>
              <w:right w:val="single" w:color="auto" w:sz="4" w:space="0"/>
            </w:tcBorders>
            <w:noWrap w:val="0"/>
            <w:vAlign w:val="center"/>
          </w:tcPr>
          <w:p w14:paraId="07E3713E">
            <w:pPr>
              <w:widowControl/>
              <w:spacing w:before="100" w:beforeAutospacing="1" w:after="100" w:afterAutospacing="1"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067" w:type="dxa"/>
            <w:tcBorders>
              <w:top w:val="single" w:color="auto" w:sz="4" w:space="0"/>
              <w:left w:val="nil"/>
              <w:bottom w:val="single" w:color="auto" w:sz="4" w:space="0"/>
              <w:right w:val="single" w:color="auto" w:sz="4" w:space="0"/>
            </w:tcBorders>
            <w:noWrap w:val="0"/>
            <w:vAlign w:val="center"/>
          </w:tcPr>
          <w:p w14:paraId="733AF549">
            <w:pPr>
              <w:widowControl/>
              <w:spacing w:before="100" w:beforeAutospacing="1" w:after="100" w:afterAutospacing="1"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0703548B">
            <w:pPr>
              <w:widowControl/>
              <w:spacing w:before="100" w:beforeAutospacing="1" w:after="100" w:afterAutospacing="1" w:line="240" w:lineRule="exact"/>
              <w:jc w:val="center"/>
              <w:rPr>
                <w:rFonts w:ascii="宋体" w:hAnsi="宋体" w:cs="宋体"/>
                <w:color w:val="auto"/>
                <w:kern w:val="0"/>
                <w:szCs w:val="21"/>
                <w:highlight w:val="none"/>
              </w:rPr>
            </w:pPr>
          </w:p>
        </w:tc>
      </w:tr>
      <w:tr w14:paraId="1DFC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3329" w:type="dxa"/>
            <w:tcBorders>
              <w:top w:val="single" w:color="auto" w:sz="4" w:space="0"/>
              <w:left w:val="single" w:color="auto" w:sz="4" w:space="0"/>
              <w:bottom w:val="nil"/>
              <w:right w:val="single" w:color="auto" w:sz="4" w:space="0"/>
            </w:tcBorders>
            <w:noWrap w:val="0"/>
            <w:vAlign w:val="center"/>
          </w:tcPr>
          <w:p w14:paraId="2C6F9691">
            <w:pPr>
              <w:widowControl/>
              <w:spacing w:before="100" w:beforeAutospacing="1" w:after="100" w:afterAutospacing="1"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067" w:type="dxa"/>
            <w:tcBorders>
              <w:top w:val="single" w:color="auto" w:sz="4" w:space="0"/>
              <w:left w:val="nil"/>
              <w:bottom w:val="single" w:color="auto" w:sz="4" w:space="0"/>
              <w:right w:val="single" w:color="auto" w:sz="4" w:space="0"/>
            </w:tcBorders>
            <w:noWrap w:val="0"/>
            <w:vAlign w:val="center"/>
          </w:tcPr>
          <w:p w14:paraId="5AED35A4">
            <w:pPr>
              <w:widowControl/>
              <w:spacing w:before="100" w:beforeAutospacing="1" w:after="100" w:afterAutospacing="1"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484E254D">
            <w:pPr>
              <w:widowControl/>
              <w:spacing w:before="100" w:beforeAutospacing="1" w:after="100" w:afterAutospacing="1" w:line="240" w:lineRule="exact"/>
              <w:jc w:val="center"/>
              <w:rPr>
                <w:rFonts w:ascii="宋体" w:hAnsi="宋体" w:cs="宋体"/>
                <w:color w:val="auto"/>
                <w:kern w:val="0"/>
                <w:szCs w:val="21"/>
                <w:highlight w:val="none"/>
              </w:rPr>
            </w:pPr>
          </w:p>
        </w:tc>
      </w:tr>
      <w:tr w14:paraId="3854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3329" w:type="dxa"/>
            <w:tcBorders>
              <w:top w:val="single" w:color="auto" w:sz="4" w:space="0"/>
              <w:left w:val="single" w:color="auto" w:sz="4" w:space="0"/>
              <w:bottom w:val="nil"/>
              <w:right w:val="single" w:color="auto" w:sz="4" w:space="0"/>
            </w:tcBorders>
            <w:noWrap w:val="0"/>
            <w:vAlign w:val="center"/>
          </w:tcPr>
          <w:p w14:paraId="2176D17D">
            <w:pPr>
              <w:widowControl/>
              <w:spacing w:before="100" w:beforeAutospacing="1" w:after="100" w:afterAutospacing="1"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067" w:type="dxa"/>
            <w:tcBorders>
              <w:top w:val="single" w:color="auto" w:sz="4" w:space="0"/>
              <w:left w:val="nil"/>
              <w:bottom w:val="single" w:color="auto" w:sz="4" w:space="0"/>
              <w:right w:val="single" w:color="auto" w:sz="4" w:space="0"/>
            </w:tcBorders>
            <w:noWrap w:val="0"/>
            <w:vAlign w:val="center"/>
          </w:tcPr>
          <w:p w14:paraId="01C0BE7D">
            <w:pPr>
              <w:widowControl/>
              <w:spacing w:before="100" w:beforeAutospacing="1" w:after="100" w:afterAutospacing="1"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59F6675E">
            <w:pPr>
              <w:widowControl/>
              <w:spacing w:before="100" w:beforeAutospacing="1" w:after="100" w:afterAutospacing="1" w:line="240" w:lineRule="exact"/>
              <w:jc w:val="center"/>
              <w:rPr>
                <w:rFonts w:ascii="宋体" w:hAnsi="宋体" w:cs="宋体"/>
                <w:color w:val="auto"/>
                <w:kern w:val="0"/>
                <w:szCs w:val="21"/>
                <w:highlight w:val="none"/>
              </w:rPr>
            </w:pPr>
          </w:p>
        </w:tc>
      </w:tr>
      <w:tr w14:paraId="4855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3329" w:type="dxa"/>
            <w:tcBorders>
              <w:top w:val="single" w:color="auto" w:sz="4" w:space="0"/>
              <w:left w:val="single" w:color="auto" w:sz="4" w:space="0"/>
              <w:bottom w:val="single" w:color="auto" w:sz="4" w:space="0"/>
              <w:right w:val="single" w:color="auto" w:sz="4" w:space="0"/>
            </w:tcBorders>
            <w:noWrap w:val="0"/>
            <w:vAlign w:val="center"/>
          </w:tcPr>
          <w:p w14:paraId="52BD88ED">
            <w:pPr>
              <w:widowControl/>
              <w:spacing w:before="100" w:beforeAutospacing="1" w:after="100" w:afterAutospacing="1"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067" w:type="dxa"/>
            <w:tcBorders>
              <w:top w:val="single" w:color="auto" w:sz="4" w:space="0"/>
              <w:left w:val="nil"/>
              <w:bottom w:val="single" w:color="auto" w:sz="4" w:space="0"/>
              <w:right w:val="single" w:color="auto" w:sz="4" w:space="0"/>
            </w:tcBorders>
            <w:noWrap w:val="0"/>
            <w:vAlign w:val="center"/>
          </w:tcPr>
          <w:p w14:paraId="2E384C3B">
            <w:pPr>
              <w:widowControl/>
              <w:spacing w:before="100" w:beforeAutospacing="1" w:after="100" w:afterAutospacing="1"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2058" w:type="dxa"/>
            <w:tcBorders>
              <w:top w:val="single" w:color="auto" w:sz="4" w:space="0"/>
              <w:left w:val="nil"/>
              <w:bottom w:val="single" w:color="auto" w:sz="4" w:space="0"/>
              <w:right w:val="single" w:color="auto" w:sz="4" w:space="0"/>
            </w:tcBorders>
            <w:noWrap w:val="0"/>
            <w:vAlign w:val="center"/>
          </w:tcPr>
          <w:p w14:paraId="42083ABA">
            <w:pPr>
              <w:widowControl/>
              <w:spacing w:before="100" w:beforeAutospacing="1" w:after="100" w:afterAutospacing="1" w:line="240" w:lineRule="exact"/>
              <w:jc w:val="center"/>
              <w:rPr>
                <w:rFonts w:ascii="宋体" w:hAnsi="宋体" w:cs="宋体"/>
                <w:color w:val="auto"/>
                <w:kern w:val="0"/>
                <w:szCs w:val="21"/>
                <w:highlight w:val="none"/>
              </w:rPr>
            </w:pPr>
          </w:p>
        </w:tc>
      </w:tr>
    </w:tbl>
    <w:p w14:paraId="69424D00">
      <w:pPr>
        <w:spacing w:line="400" w:lineRule="exact"/>
        <w:ind w:firstLine="422" w:firstLineChars="200"/>
        <w:rPr>
          <w:rFonts w:ascii="宋体" w:hAnsi="宋体"/>
          <w:b/>
          <w:color w:val="auto"/>
          <w:szCs w:val="21"/>
          <w:highlight w:val="none"/>
        </w:rPr>
      </w:pPr>
    </w:p>
    <w:p w14:paraId="712BB15E">
      <w:pPr>
        <w:spacing w:line="400" w:lineRule="exact"/>
        <w:rPr>
          <w:rFonts w:hint="eastAsia" w:hAnsi="宋体"/>
          <w:color w:val="auto"/>
          <w:highlight w:val="none"/>
        </w:rPr>
      </w:pPr>
    </w:p>
    <w:p w14:paraId="1BCF1E66">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62CE6D4">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82144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010D9A28">
      <w:pPr>
        <w:pStyle w:val="12"/>
        <w:spacing w:line="340" w:lineRule="exact"/>
        <w:jc w:val="center"/>
        <w:rPr>
          <w:rFonts w:hint="eastAsia" w:ascii="宋体" w:hAnsi="宋体" w:eastAsia="宋体" w:cs="宋体"/>
          <w:b/>
          <w:color w:val="auto"/>
          <w:sz w:val="32"/>
          <w:szCs w:val="32"/>
          <w:highlight w:val="none"/>
        </w:rPr>
      </w:pPr>
    </w:p>
    <w:p w14:paraId="7F478DC4">
      <w:pPr>
        <w:pStyle w:val="8"/>
        <w:rPr>
          <w:rFonts w:hint="eastAsia" w:ascii="宋体" w:hAnsi="宋体" w:eastAsia="宋体" w:cs="宋体"/>
          <w:b/>
          <w:bCs/>
          <w:color w:val="auto"/>
          <w:szCs w:val="21"/>
          <w:highlight w:val="none"/>
        </w:rPr>
      </w:pPr>
    </w:p>
    <w:p w14:paraId="662B3515">
      <w:pPr>
        <w:pStyle w:val="8"/>
        <w:rPr>
          <w:rFonts w:hint="eastAsia" w:ascii="宋体" w:hAnsi="宋体" w:eastAsia="宋体" w:cs="宋体"/>
          <w:b/>
          <w:color w:val="auto"/>
          <w:sz w:val="28"/>
          <w:szCs w:val="28"/>
          <w:highlight w:val="none"/>
          <w:lang w:val="en-US" w:eastAsia="zh-CN"/>
        </w:rPr>
      </w:pPr>
      <w:bookmarkStart w:id="1182" w:name="_Toc31920"/>
      <w:bookmarkStart w:id="1183" w:name="_Toc13064"/>
      <w:r>
        <w:rPr>
          <w:rFonts w:hint="eastAsia" w:ascii="宋体" w:hAnsi="宋体" w:eastAsia="宋体" w:cs="宋体"/>
          <w:b/>
          <w:color w:val="auto"/>
          <w:sz w:val="28"/>
          <w:szCs w:val="28"/>
          <w:highlight w:val="none"/>
          <w:lang w:val="en-US" w:eastAsia="zh-CN"/>
        </w:rPr>
        <w:br w:type="page"/>
      </w:r>
    </w:p>
    <w:p w14:paraId="642C42D4">
      <w:pPr>
        <w:numPr>
          <w:ilvl w:val="0"/>
          <w:numId w:val="0"/>
        </w:numPr>
        <w:spacing w:line="400" w:lineRule="exact"/>
        <w:outlineLvl w:val="1"/>
        <w:rPr>
          <w:rFonts w:hint="eastAsia" w:ascii="宋体" w:hAnsi="宋体" w:eastAsia="宋体" w:cs="宋体"/>
          <w:b/>
          <w:color w:val="auto"/>
          <w:sz w:val="28"/>
          <w:szCs w:val="28"/>
          <w:highlight w:val="none"/>
        </w:rPr>
      </w:pPr>
      <w:bookmarkStart w:id="1184" w:name="_Toc4756"/>
      <w:bookmarkStart w:id="1185" w:name="_Toc10745"/>
      <w:bookmarkStart w:id="1186" w:name="_Toc9716"/>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bookmarkEnd w:id="1182"/>
      <w:bookmarkEnd w:id="1183"/>
      <w:bookmarkEnd w:id="1184"/>
      <w:bookmarkEnd w:id="1185"/>
      <w:bookmarkEnd w:id="1186"/>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16F7FC95">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391CEB3F">
      <w:pPr>
        <w:snapToGrid w:val="0"/>
        <w:spacing w:line="400" w:lineRule="exact"/>
        <w:jc w:val="both"/>
        <w:outlineLvl w:val="9"/>
        <w:rPr>
          <w:rFonts w:hint="eastAsia" w:ascii="宋体" w:hAnsi="宋体" w:eastAsia="宋体" w:cs="宋体"/>
          <w:b/>
          <w:color w:val="auto"/>
          <w:sz w:val="28"/>
          <w:szCs w:val="28"/>
          <w:highlight w:val="none"/>
          <w:lang w:val="en-US" w:eastAsia="zh-CN"/>
        </w:rPr>
      </w:pPr>
    </w:p>
    <w:p w14:paraId="3A76C3F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87E1A16">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3F744FFD">
      <w:pPr>
        <w:snapToGrid w:val="0"/>
        <w:spacing w:line="400" w:lineRule="exact"/>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257F49C0">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486917C">
      <w:pPr>
        <w:snapToGrid w:val="0"/>
        <w:spacing w:line="400" w:lineRule="exact"/>
        <w:jc w:val="both"/>
        <w:outlineLvl w:val="9"/>
        <w:rPr>
          <w:rFonts w:hint="eastAsia" w:ascii="宋体" w:hAnsi="宋体" w:eastAsia="宋体" w:cs="宋体"/>
          <w:b/>
          <w:color w:val="auto"/>
          <w:sz w:val="28"/>
          <w:szCs w:val="28"/>
          <w:highlight w:val="none"/>
          <w:lang w:val="en-US" w:eastAsia="zh-CN"/>
        </w:rPr>
      </w:pPr>
    </w:p>
    <w:p w14:paraId="37C4027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0582F7">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32D7930C">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14B1C037">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77D8E9BA">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5FFB2064">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63DE13BC">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F12A5F0">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1187" w:name="_Toc4253"/>
      <w:bookmarkStart w:id="1188" w:name="_Toc226"/>
      <w:bookmarkStart w:id="1189" w:name="_Toc1099"/>
      <w:bookmarkStart w:id="1190" w:name="_Toc18938"/>
      <w:bookmarkStart w:id="1191" w:name="_Toc15169"/>
    </w:p>
    <w:p w14:paraId="3757A139">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732C7D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579DC555">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.工程</w:t>
      </w:r>
      <w:r>
        <w:rPr>
          <w:rFonts w:hint="eastAsia" w:ascii="宋体" w:hAnsi="宋体" w:eastAsia="宋体" w:cs="宋体"/>
          <w:b/>
          <w:bCs/>
          <w:color w:val="auto"/>
          <w:sz w:val="28"/>
          <w:szCs w:val="28"/>
          <w:highlight w:val="none"/>
          <w:lang w:val="en-US" w:eastAsia="zh-CN"/>
        </w:rPr>
        <w:t>完工</w:t>
      </w:r>
      <w:r>
        <w:rPr>
          <w:rFonts w:hint="eastAsia" w:ascii="宋体" w:hAnsi="宋体" w:eastAsia="宋体" w:cs="宋体"/>
          <w:b/>
          <w:color w:val="auto"/>
          <w:sz w:val="28"/>
          <w:szCs w:val="28"/>
          <w:highlight w:val="none"/>
          <w:lang w:val="en-US" w:eastAsia="zh-CN"/>
        </w:rPr>
        <w:t>服务承诺书（必须提供）</w:t>
      </w:r>
      <w:bookmarkEnd w:id="1187"/>
      <w:bookmarkEnd w:id="1188"/>
      <w:bookmarkEnd w:id="1189"/>
      <w:bookmarkEnd w:id="1190"/>
      <w:bookmarkEnd w:id="1191"/>
    </w:p>
    <w:p w14:paraId="059626D7">
      <w:pPr>
        <w:pStyle w:val="40"/>
        <w:rPr>
          <w:rFonts w:hint="eastAsia"/>
          <w:color w:val="auto"/>
          <w:highlight w:val="none"/>
        </w:rPr>
      </w:pPr>
    </w:p>
    <w:p w14:paraId="77DBEC3D">
      <w:pPr>
        <w:rPr>
          <w:rFonts w:hint="eastAsia"/>
          <w:color w:val="auto"/>
          <w:highlight w:val="none"/>
        </w:rPr>
      </w:pPr>
    </w:p>
    <w:p w14:paraId="1FB12823">
      <w:pPr>
        <w:rPr>
          <w:rFonts w:hint="eastAsia"/>
          <w:color w:val="auto"/>
          <w:highlight w:val="none"/>
        </w:rPr>
      </w:pPr>
    </w:p>
    <w:p w14:paraId="5C34BA4D">
      <w:pPr>
        <w:rPr>
          <w:rFonts w:hint="eastAsia"/>
          <w:color w:val="auto"/>
          <w:highlight w:val="none"/>
        </w:rPr>
      </w:pPr>
    </w:p>
    <w:p w14:paraId="3DD5744D">
      <w:pPr>
        <w:rPr>
          <w:rFonts w:hint="eastAsia"/>
          <w:color w:val="auto"/>
          <w:highlight w:val="none"/>
        </w:rPr>
      </w:pPr>
    </w:p>
    <w:p w14:paraId="7B56E033">
      <w:pPr>
        <w:rPr>
          <w:rFonts w:hint="eastAsia"/>
          <w:color w:val="auto"/>
          <w:highlight w:val="none"/>
        </w:rPr>
      </w:pPr>
    </w:p>
    <w:p w14:paraId="5D4DA7BD">
      <w:pPr>
        <w:rPr>
          <w:rFonts w:hint="eastAsia"/>
          <w:color w:val="auto"/>
          <w:highlight w:val="none"/>
        </w:rPr>
      </w:pPr>
    </w:p>
    <w:p w14:paraId="2A9DF241">
      <w:pPr>
        <w:rPr>
          <w:rFonts w:hint="eastAsia"/>
          <w:color w:val="auto"/>
          <w:highlight w:val="none"/>
        </w:rPr>
      </w:pPr>
    </w:p>
    <w:p w14:paraId="28E5491D">
      <w:pPr>
        <w:rPr>
          <w:rFonts w:hint="eastAsia"/>
          <w:color w:val="auto"/>
          <w:highlight w:val="none"/>
        </w:rPr>
      </w:pPr>
    </w:p>
    <w:p w14:paraId="134B56C5">
      <w:pPr>
        <w:pStyle w:val="12"/>
        <w:jc w:val="center"/>
        <w:rPr>
          <w:rFonts w:hint="eastAsia" w:hAnsi="宋体" w:cs="宋体"/>
          <w:color w:val="auto"/>
          <w:highlight w:val="none"/>
        </w:rPr>
      </w:pPr>
      <w:r>
        <w:rPr>
          <w:rFonts w:hint="eastAsia" w:ascii="宋体" w:hAnsi="宋体" w:eastAsia="宋体" w:cs="宋体"/>
          <w:b/>
          <w:color w:val="auto"/>
          <w:sz w:val="28"/>
          <w:szCs w:val="28"/>
          <w:highlight w:val="none"/>
          <w:lang w:val="en-US" w:eastAsia="zh-CN"/>
        </w:rPr>
        <w:t>工程</w:t>
      </w:r>
      <w:r>
        <w:rPr>
          <w:rFonts w:hint="eastAsia" w:ascii="宋体" w:hAnsi="宋体" w:eastAsia="宋体" w:cs="宋体"/>
          <w:b/>
          <w:bCs/>
          <w:color w:val="auto"/>
          <w:sz w:val="28"/>
          <w:szCs w:val="28"/>
          <w:highlight w:val="none"/>
          <w:lang w:val="en-US" w:eastAsia="zh-CN"/>
        </w:rPr>
        <w:t>完工</w:t>
      </w:r>
      <w:r>
        <w:rPr>
          <w:rFonts w:hint="eastAsia" w:ascii="宋体" w:hAnsi="宋体" w:eastAsia="宋体" w:cs="宋体"/>
          <w:b/>
          <w:color w:val="auto"/>
          <w:sz w:val="28"/>
          <w:szCs w:val="28"/>
          <w:highlight w:val="none"/>
          <w:lang w:val="en-US" w:eastAsia="zh-CN"/>
        </w:rPr>
        <w:t>服务承诺书</w:t>
      </w:r>
    </w:p>
    <w:p w14:paraId="452F4C76">
      <w:pPr>
        <w:widowControl/>
        <w:jc w:val="left"/>
        <w:rPr>
          <w:rFonts w:hint="eastAsia" w:ascii="宋体" w:hAnsi="宋体" w:eastAsia="宋体" w:cs="宋体"/>
          <w:color w:val="auto"/>
          <w:szCs w:val="21"/>
          <w:highlight w:val="none"/>
          <w:lang w:eastAsia="zh-CN"/>
        </w:rPr>
      </w:pPr>
    </w:p>
    <w:p w14:paraId="0B8A6F64">
      <w:pPr>
        <w:pStyle w:val="40"/>
        <w:rPr>
          <w:rFonts w:hint="eastAsia"/>
          <w:color w:val="auto"/>
          <w:highlight w:val="none"/>
          <w:lang w:eastAsia="zh-CN"/>
        </w:rPr>
      </w:pPr>
    </w:p>
    <w:p w14:paraId="617769A9">
      <w:pPr>
        <w:rPr>
          <w:rFonts w:hint="eastAsia"/>
          <w:color w:val="auto"/>
          <w:highlight w:val="none"/>
          <w:lang w:eastAsia="zh-CN"/>
        </w:rPr>
      </w:pPr>
    </w:p>
    <w:p w14:paraId="61F3646C">
      <w:pPr>
        <w:rPr>
          <w:rFonts w:hint="eastAsia"/>
          <w:color w:val="auto"/>
          <w:highlight w:val="none"/>
          <w:lang w:eastAsia="zh-CN"/>
        </w:rPr>
      </w:pPr>
    </w:p>
    <w:p w14:paraId="213A2ED6">
      <w:pPr>
        <w:rPr>
          <w:rFonts w:hint="eastAsia"/>
          <w:color w:val="auto"/>
          <w:highlight w:val="none"/>
          <w:lang w:eastAsia="zh-CN"/>
        </w:rPr>
      </w:pPr>
    </w:p>
    <w:p w14:paraId="4758105C">
      <w:pPr>
        <w:rPr>
          <w:rFonts w:hint="eastAsia"/>
          <w:color w:val="auto"/>
          <w:highlight w:val="none"/>
          <w:lang w:eastAsia="zh-CN"/>
        </w:rPr>
      </w:pPr>
    </w:p>
    <w:p w14:paraId="0B1910B2">
      <w:pPr>
        <w:rPr>
          <w:rFonts w:hint="eastAsia"/>
          <w:color w:val="auto"/>
          <w:highlight w:val="none"/>
          <w:lang w:eastAsia="zh-CN"/>
        </w:rPr>
      </w:pPr>
    </w:p>
    <w:p w14:paraId="7ED73519">
      <w:pPr>
        <w:rPr>
          <w:rFonts w:hint="eastAsia"/>
          <w:color w:val="auto"/>
          <w:highlight w:val="none"/>
          <w:lang w:eastAsia="zh-CN"/>
        </w:rPr>
      </w:pPr>
    </w:p>
    <w:p w14:paraId="68688216">
      <w:pPr>
        <w:rPr>
          <w:rFonts w:hint="eastAsia"/>
          <w:color w:val="auto"/>
          <w:highlight w:val="none"/>
          <w:lang w:eastAsia="zh-CN"/>
        </w:rPr>
      </w:pPr>
    </w:p>
    <w:p w14:paraId="754A5D98">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4E98A24">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p>
    <w:p w14:paraId="6E8C498E">
      <w:pPr>
        <w:rPr>
          <w:rFonts w:hint="eastAsia"/>
          <w:color w:val="auto"/>
          <w:highlight w:val="none"/>
        </w:rPr>
      </w:pPr>
    </w:p>
    <w:p w14:paraId="7805EF63">
      <w:pPr>
        <w:pStyle w:val="13"/>
        <w:rPr>
          <w:rFonts w:hint="eastAsia"/>
          <w:color w:val="auto"/>
          <w:highlight w:val="none"/>
          <w:lang w:val="en-US" w:eastAsia="zh-CN"/>
        </w:rPr>
      </w:pPr>
    </w:p>
    <w:p w14:paraId="600A4EF3">
      <w:pPr>
        <w:numPr>
          <w:ilvl w:val="0"/>
          <w:numId w:val="2"/>
        </w:numPr>
        <w:spacing w:line="400" w:lineRule="exact"/>
        <w:ind w:left="0" w:leftChars="0" w:firstLine="562" w:firstLineChars="200"/>
        <w:outlineLvl w:val="1"/>
        <w:rPr>
          <w:rFonts w:hint="eastAsia" w:ascii="宋体" w:hAnsi="宋体" w:eastAsia="宋体" w:cs="宋体"/>
          <w:b/>
          <w:color w:val="auto"/>
          <w:sz w:val="28"/>
          <w:szCs w:val="28"/>
          <w:highlight w:val="none"/>
          <w:lang w:val="en-US" w:eastAsia="zh-CN"/>
        </w:rPr>
      </w:pPr>
      <w:bookmarkStart w:id="1192" w:name="_Toc26788"/>
      <w:bookmarkStart w:id="1193" w:name="_Toc32582"/>
      <w:bookmarkStart w:id="1194" w:name="_Toc24798"/>
      <w:bookmarkStart w:id="1195" w:name="_Toc330"/>
      <w:bookmarkStart w:id="1196" w:name="_Toc1043"/>
      <w:bookmarkStart w:id="1197" w:name="_Toc31962"/>
      <w:bookmarkStart w:id="1198" w:name="_Toc27687"/>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工资保障金交纳与使用承诺书（必须提供）</w:t>
      </w:r>
      <w:bookmarkEnd w:id="1192"/>
      <w:bookmarkEnd w:id="1193"/>
      <w:bookmarkEnd w:id="1194"/>
      <w:bookmarkEnd w:id="1195"/>
      <w:bookmarkEnd w:id="1196"/>
      <w:bookmarkEnd w:id="1197"/>
      <w:bookmarkEnd w:id="1198"/>
    </w:p>
    <w:p w14:paraId="45DA9D83">
      <w:pPr>
        <w:widowControl w:val="0"/>
        <w:numPr>
          <w:ilvl w:val="0"/>
          <w:numId w:val="0"/>
        </w:numPr>
        <w:spacing w:line="400" w:lineRule="exact"/>
        <w:jc w:val="both"/>
        <w:outlineLvl w:val="1"/>
        <w:rPr>
          <w:rFonts w:hint="eastAsia" w:ascii="宋体" w:hAnsi="宋体" w:eastAsia="宋体" w:cs="宋体"/>
          <w:b/>
          <w:color w:val="auto"/>
          <w:sz w:val="28"/>
          <w:szCs w:val="28"/>
          <w:highlight w:val="none"/>
          <w:lang w:val="en-US" w:eastAsia="zh-CN"/>
        </w:rPr>
      </w:pPr>
    </w:p>
    <w:p w14:paraId="4E3D8676">
      <w:pPr>
        <w:spacing w:line="420" w:lineRule="exact"/>
        <w:ind w:firstLine="562" w:firstLineChars="200"/>
        <w:jc w:val="center"/>
        <w:rPr>
          <w:rFonts w:hint="eastAsia" w:ascii="宋体" w:hAnsi="宋体" w:cs="宋体"/>
          <w:b/>
          <w:color w:val="auto"/>
          <w:kern w:val="0"/>
          <w:sz w:val="24"/>
          <w:szCs w:val="24"/>
          <w:highlight w:val="none"/>
        </w:rPr>
      </w:pP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w:t>
      </w:r>
    </w:p>
    <w:p w14:paraId="7235DCF6">
      <w:pPr>
        <w:spacing w:line="420" w:lineRule="exact"/>
        <w:rPr>
          <w:rFonts w:hint="eastAsia" w:ascii="宋体" w:hAnsi="宋体" w:cs="宋体"/>
          <w:color w:val="auto"/>
          <w:kern w:val="0"/>
          <w:szCs w:val="21"/>
          <w:highlight w:val="none"/>
        </w:rPr>
      </w:pPr>
    </w:p>
    <w:p w14:paraId="0FEEFE41">
      <w:pPr>
        <w:spacing w:line="420" w:lineRule="exact"/>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采购</w:t>
      </w:r>
      <w:r>
        <w:rPr>
          <w:rFonts w:hint="eastAsia" w:ascii="宋体" w:hAnsi="宋体" w:cs="宋体"/>
          <w:color w:val="auto"/>
          <w:kern w:val="0"/>
          <w:szCs w:val="21"/>
          <w:highlight w:val="none"/>
          <w:u w:val="single"/>
        </w:rPr>
        <w:t>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9AD47F">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03C28B0B">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6EE82205">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0C5D35ED">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3.如我方在承包的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项目中出现拖欠农民工和工人工资情况的，由相关部门从其农民工工资保证金中先予划支。</w:t>
      </w:r>
    </w:p>
    <w:p w14:paraId="20AC43C6">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color w:val="auto"/>
          <w:highlight w:val="none"/>
        </w:rPr>
      </w:pPr>
      <w:r>
        <w:rPr>
          <w:rFonts w:hint="eastAsia" w:ascii="宋体" w:hAnsi="宋体" w:cs="宋体"/>
          <w:color w:val="auto"/>
          <w:kern w:val="0"/>
          <w:szCs w:val="21"/>
          <w:highlight w:val="none"/>
        </w:rPr>
        <w:t>4.如我方不按时、足额存入农民工工资保证金，采购人有权取消我方承包资格。</w:t>
      </w:r>
    </w:p>
    <w:p w14:paraId="6EE24BA7">
      <w:pPr>
        <w:pStyle w:val="12"/>
        <w:spacing w:line="340" w:lineRule="exact"/>
        <w:rPr>
          <w:rFonts w:hint="eastAsia" w:ascii="宋体" w:hAnsi="宋体" w:eastAsia="宋体" w:cs="宋体"/>
          <w:b/>
          <w:color w:val="auto"/>
          <w:sz w:val="28"/>
          <w:szCs w:val="28"/>
          <w:highlight w:val="none"/>
        </w:rPr>
      </w:pPr>
    </w:p>
    <w:p w14:paraId="6369059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auto"/>
          <w:sz w:val="32"/>
          <w:szCs w:val="32"/>
          <w:highlight w:val="none"/>
        </w:rPr>
      </w:pPr>
      <w:bookmarkStart w:id="1199" w:name="_Toc497927084"/>
      <w:bookmarkStart w:id="1200" w:name="_Toc9339"/>
      <w:bookmarkStart w:id="1201" w:name="_Toc28672"/>
    </w:p>
    <w:p w14:paraId="58BC898F">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621CC76">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p>
    <w:p w14:paraId="5AD194F4">
      <w:pPr>
        <w:pStyle w:val="13"/>
        <w:rPr>
          <w:rFonts w:hint="eastAsia" w:ascii="宋体" w:hAnsi="宋体" w:eastAsia="宋体" w:cs="宋体"/>
          <w:b/>
          <w:color w:val="auto"/>
          <w:sz w:val="28"/>
          <w:szCs w:val="28"/>
          <w:highlight w:val="none"/>
          <w:lang w:val="en-US" w:eastAsia="zh-CN"/>
        </w:rPr>
      </w:pPr>
    </w:p>
    <w:p w14:paraId="6296857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120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1199"/>
      <w:bookmarkEnd w:id="1200"/>
      <w:bookmarkEnd w:id="1201"/>
      <w:bookmarkEnd w:id="1202"/>
    </w:p>
    <w:p w14:paraId="3D6188B0">
      <w:pPr>
        <w:numPr>
          <w:ilvl w:val="0"/>
          <w:numId w:val="0"/>
        </w:numPr>
        <w:spacing w:line="360" w:lineRule="auto"/>
        <w:rPr>
          <w:rFonts w:hint="eastAsia" w:ascii="宋体" w:hAnsi="宋体" w:eastAsia="宋体" w:cs="宋体"/>
          <w:color w:val="auto"/>
          <w:sz w:val="21"/>
          <w:szCs w:val="21"/>
          <w:highlight w:val="none"/>
          <w:lang w:val="en-US" w:eastAsia="zh-CN"/>
        </w:rPr>
      </w:pPr>
    </w:p>
    <w:p w14:paraId="47C3ADA8">
      <w:pPr>
        <w:numPr>
          <w:ilvl w:val="0"/>
          <w:numId w:val="0"/>
        </w:num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供应商2022年1月1日以来具有同类</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w:t>
      </w:r>
      <w:r>
        <w:rPr>
          <w:rFonts w:hint="eastAsia" w:ascii="宋体" w:hAnsi="宋体" w:eastAsia="宋体" w:cs="宋体"/>
          <w:b w:val="0"/>
          <w:bCs w:val="0"/>
          <w:color w:val="auto"/>
          <w:sz w:val="24"/>
          <w:szCs w:val="24"/>
          <w:highlight w:val="none"/>
        </w:rPr>
        <w:t>录，以中标、成交通知书或签订的合同为准，并能清晰反映</w:t>
      </w:r>
      <w:r>
        <w:rPr>
          <w:rFonts w:hint="eastAsia" w:ascii="宋体" w:hAnsi="宋体" w:eastAsia="宋体" w:cs="宋体"/>
          <w:b w:val="0"/>
          <w:bCs w:val="0"/>
          <w:color w:val="auto"/>
          <w:sz w:val="24"/>
          <w:szCs w:val="24"/>
          <w:highlight w:val="none"/>
          <w:lang w:eastAsia="zh-CN"/>
        </w:rPr>
        <w:t>项目</w:t>
      </w:r>
      <w:r>
        <w:rPr>
          <w:rFonts w:hint="eastAsia" w:ascii="宋体" w:hAnsi="宋体" w:eastAsia="宋体" w:cs="宋体"/>
          <w:b w:val="0"/>
          <w:bCs w:val="0"/>
          <w:color w:val="auto"/>
          <w:sz w:val="24"/>
          <w:szCs w:val="24"/>
          <w:highlight w:val="none"/>
        </w:rPr>
        <w:t>的名称、</w:t>
      </w:r>
      <w:r>
        <w:rPr>
          <w:rFonts w:hint="eastAsia" w:ascii="宋体" w:hAnsi="宋体" w:eastAsia="宋体" w:cs="宋体"/>
          <w:b w:val="0"/>
          <w:bCs w:val="0"/>
          <w:color w:val="auto"/>
          <w:sz w:val="24"/>
          <w:szCs w:val="24"/>
          <w:highlight w:val="none"/>
          <w:lang w:eastAsia="zh-CN"/>
        </w:rPr>
        <w:t>采购内容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金额</w:t>
      </w:r>
      <w:r>
        <w:rPr>
          <w:rFonts w:hint="eastAsia" w:ascii="宋体" w:hAnsi="宋体" w:eastAsia="宋体" w:cs="宋体"/>
          <w:b w:val="0"/>
          <w:bCs w:val="0"/>
          <w:color w:val="auto"/>
          <w:sz w:val="24"/>
          <w:szCs w:val="24"/>
          <w:highlight w:val="none"/>
          <w:lang w:eastAsia="zh-CN"/>
        </w:rPr>
        <w:t>、采购时间</w:t>
      </w:r>
      <w:r>
        <w:rPr>
          <w:rFonts w:hint="eastAsia" w:ascii="宋体" w:hAnsi="宋体" w:eastAsia="宋体" w:cs="宋体"/>
          <w:b w:val="0"/>
          <w:bCs w:val="0"/>
          <w:color w:val="auto"/>
          <w:sz w:val="24"/>
          <w:szCs w:val="24"/>
          <w:highlight w:val="none"/>
        </w:rPr>
        <w:t>）（如有，请提供）</w:t>
      </w:r>
    </w:p>
    <w:p w14:paraId="23A7F6D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供应商可结合本项目的评审办法视自身情况自行提交其它相关证明材料（如有，请提供）</w:t>
      </w:r>
    </w:p>
    <w:p w14:paraId="69D20707">
      <w:pPr>
        <w:spacing w:line="360" w:lineRule="auto"/>
        <w:ind w:firstLine="480" w:firstLineChars="200"/>
        <w:rPr>
          <w:rFonts w:hint="eastAsia" w:ascii="宋体" w:hAnsi="宋体" w:eastAsia="宋体" w:cs="宋体"/>
          <w:color w:val="auto"/>
          <w:sz w:val="24"/>
          <w:highlight w:val="none"/>
        </w:rPr>
      </w:pPr>
    </w:p>
    <w:p w14:paraId="11CFF151">
      <w:pPr>
        <w:pStyle w:val="37"/>
        <w:rPr>
          <w:rFonts w:hint="eastAsia" w:ascii="宋体" w:hAnsi="宋体" w:eastAsia="宋体" w:cs="宋体"/>
          <w:b/>
          <w:bCs/>
          <w:color w:val="auto"/>
          <w:sz w:val="24"/>
          <w:highlight w:val="none"/>
        </w:rPr>
      </w:pPr>
    </w:p>
    <w:p w14:paraId="3D34088B">
      <w:pPr>
        <w:pStyle w:val="37"/>
        <w:rPr>
          <w:rFonts w:hint="eastAsia" w:ascii="宋体" w:hAnsi="宋体" w:eastAsia="宋体" w:cs="宋体"/>
          <w:b/>
          <w:bCs/>
          <w:color w:val="auto"/>
          <w:sz w:val="24"/>
          <w:highlight w:val="none"/>
        </w:rPr>
      </w:pPr>
    </w:p>
    <w:p w14:paraId="6353A036">
      <w:pPr>
        <w:pStyle w:val="37"/>
        <w:rPr>
          <w:rFonts w:hint="eastAsia" w:ascii="宋体" w:hAnsi="宋体" w:eastAsia="宋体" w:cs="宋体"/>
          <w:b/>
          <w:bCs/>
          <w:color w:val="auto"/>
          <w:sz w:val="24"/>
          <w:highlight w:val="none"/>
        </w:rPr>
      </w:pPr>
    </w:p>
    <w:p w14:paraId="296DF71C">
      <w:pPr>
        <w:pStyle w:val="37"/>
        <w:rPr>
          <w:rFonts w:hint="eastAsia" w:ascii="宋体" w:hAnsi="宋体" w:eastAsia="宋体" w:cs="宋体"/>
          <w:b/>
          <w:bCs/>
          <w:color w:val="auto"/>
          <w:sz w:val="24"/>
          <w:highlight w:val="none"/>
        </w:rPr>
      </w:pPr>
    </w:p>
    <w:p w14:paraId="3428E32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1203" w:name="_Toc4954"/>
      <w:bookmarkStart w:id="1204" w:name="_Toc4151"/>
      <w:bookmarkStart w:id="1205" w:name="_Toc6250"/>
      <w:bookmarkStart w:id="1206" w:name="_Toc6063"/>
      <w:bookmarkStart w:id="1207" w:name="_Toc13907"/>
      <w:r>
        <w:rPr>
          <w:rFonts w:hint="eastAsia" w:ascii="宋体" w:hAnsi="宋体" w:eastAsia="宋体" w:cs="宋体"/>
          <w:b/>
          <w:bCs/>
          <w:iCs/>
          <w:color w:val="auto"/>
          <w:kern w:val="2"/>
          <w:sz w:val="28"/>
          <w:szCs w:val="28"/>
          <w:highlight w:val="none"/>
          <w:lang w:val="en-US" w:eastAsia="zh-CN" w:bidi="ar-SA"/>
        </w:rPr>
        <w:t>1.</w:t>
      </w:r>
      <w:bookmarkEnd w:id="1203"/>
      <w:bookmarkEnd w:id="1204"/>
      <w:bookmarkEnd w:id="1205"/>
      <w:bookmarkEnd w:id="1206"/>
      <w:bookmarkEnd w:id="1207"/>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2022年1月1日以来</w:t>
      </w:r>
      <w:r>
        <w:rPr>
          <w:rFonts w:hint="eastAsia" w:ascii="宋体" w:hAnsi="宋体" w:eastAsia="宋体" w:cs="宋体"/>
          <w:b/>
          <w:bCs/>
          <w:iCs/>
          <w:color w:val="auto"/>
          <w:kern w:val="2"/>
          <w:sz w:val="28"/>
          <w:szCs w:val="28"/>
          <w:highlight w:val="none"/>
          <w:lang w:val="en-US" w:eastAsia="zh-CN" w:bidi="ar-SA"/>
        </w:rPr>
        <w:t>具有同类项目的业绩相关证明材料（无不良记录，以中标、成交通知书或签订的合同为准，并能清晰反映项目的名称、采购内容、采购金额、采购时间）（如有，请提供）</w:t>
      </w:r>
    </w:p>
    <w:p w14:paraId="14914A7D">
      <w:pPr>
        <w:rPr>
          <w:rFonts w:hint="eastAsia"/>
          <w:color w:val="auto"/>
          <w:highlight w:val="none"/>
          <w:lang w:val="en-US" w:eastAsia="zh-CN"/>
        </w:rPr>
      </w:pPr>
    </w:p>
    <w:p w14:paraId="1D59324E">
      <w:pPr>
        <w:rPr>
          <w:rFonts w:hint="eastAsia"/>
          <w:color w:val="auto"/>
          <w:highlight w:val="none"/>
          <w:lang w:val="en-US" w:eastAsia="zh-CN"/>
        </w:rPr>
      </w:pPr>
    </w:p>
    <w:p w14:paraId="23FC637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49E011E8">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2C7C6CF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3183009">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35EFFAF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51CAF1B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553CD84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C8FEDA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54F64D5A">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724FDDDC">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69C200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35940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4BBF42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86922D2">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2FA9400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7C99551B">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2263ABAC">
      <w:pPr>
        <w:spacing w:line="240" w:lineRule="auto"/>
        <w:outlineLvl w:val="1"/>
        <w:rPr>
          <w:rFonts w:hint="eastAsia" w:ascii="宋体" w:hAnsi="宋体" w:eastAsia="宋体" w:cs="宋体"/>
          <w:b/>
          <w:bCs/>
          <w:iCs/>
          <w:color w:val="auto"/>
          <w:kern w:val="2"/>
          <w:sz w:val="28"/>
          <w:szCs w:val="28"/>
          <w:highlight w:val="none"/>
          <w:lang w:val="en-US" w:eastAsia="zh-CN" w:bidi="ar-SA"/>
        </w:rPr>
      </w:pPr>
      <w:bookmarkStart w:id="1208" w:name="_Toc17885"/>
      <w:bookmarkStart w:id="1209" w:name="_Toc21485"/>
      <w:bookmarkStart w:id="1210" w:name="_Toc15093"/>
      <w:bookmarkStart w:id="1211" w:name="_Toc30255"/>
      <w:bookmarkStart w:id="1212" w:name="_Toc21043"/>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1208"/>
      <w:bookmarkEnd w:id="1209"/>
      <w:bookmarkEnd w:id="1210"/>
      <w:bookmarkEnd w:id="1211"/>
      <w:bookmarkEnd w:id="121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p w14:paraId="1B471BE1">
      <w:pPr>
        <w:bidi w:val="0"/>
        <w:rPr>
          <w:rFonts w:hint="default"/>
          <w:color w:val="auto"/>
          <w:highlight w:val="none"/>
          <w:lang w:val="en-US" w:eastAsia="zh-CN"/>
        </w:rPr>
      </w:pPr>
    </w:p>
    <w:p w14:paraId="769F8DE0">
      <w:pPr>
        <w:rPr>
          <w:rFonts w:hint="default"/>
          <w:color w:val="auto"/>
          <w:highlight w:val="none"/>
          <w:lang w:val="en-US" w:eastAsia="zh-CN"/>
        </w:rPr>
      </w:pPr>
    </w:p>
    <w:p w14:paraId="61B86E74">
      <w:pPr>
        <w:rPr>
          <w:rFonts w:hint="default"/>
          <w:color w:val="auto"/>
          <w:highlight w:val="none"/>
          <w:lang w:val="en-US" w:eastAsia="zh-CN"/>
        </w:rPr>
      </w:pPr>
    </w:p>
    <w:p w14:paraId="6700B90B">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213" w:name="_Toc2237"/>
      <w:bookmarkStart w:id="1214" w:name="_Toc22545"/>
      <w:bookmarkStart w:id="1215" w:name="_Toc16284"/>
      <w:bookmarkStart w:id="1216" w:name="_Toc12385"/>
      <w:bookmarkStart w:id="1217" w:name="_Toc6973"/>
      <w:bookmarkStart w:id="1218" w:name="_Toc18780"/>
      <w:bookmarkStart w:id="1219" w:name="_Toc16390"/>
      <w:bookmarkStart w:id="1220" w:name="_Toc1637952"/>
      <w:r>
        <w:rPr>
          <w:rFonts w:hint="eastAsia" w:ascii="华文中宋" w:hAnsi="华文中宋" w:eastAsia="华文中宋" w:cs="华文中宋"/>
          <w:b/>
          <w:bCs/>
          <w:color w:val="auto"/>
          <w:kern w:val="2"/>
          <w:sz w:val="32"/>
          <w:szCs w:val="32"/>
          <w:highlight w:val="none"/>
          <w:lang w:val="en-US" w:eastAsia="zh-CN" w:bidi="ar-SA"/>
        </w:rPr>
        <w:br w:type="page"/>
      </w:r>
      <w:bookmarkStart w:id="1221" w:name="_Toc13075"/>
      <w:r>
        <w:rPr>
          <w:rFonts w:hint="eastAsia" w:ascii="华文中宋" w:hAnsi="华文中宋" w:eastAsia="华文中宋" w:cs="华文中宋"/>
          <w:b/>
          <w:bCs/>
          <w:color w:val="auto"/>
          <w:kern w:val="2"/>
          <w:sz w:val="32"/>
          <w:szCs w:val="32"/>
          <w:highlight w:val="none"/>
          <w:lang w:val="en-US" w:eastAsia="zh-CN" w:bidi="ar-SA"/>
        </w:rPr>
        <w:t>第七章  图纸</w:t>
      </w:r>
      <w:bookmarkEnd w:id="1213"/>
      <w:bookmarkEnd w:id="1214"/>
      <w:bookmarkEnd w:id="1215"/>
      <w:bookmarkEnd w:id="1216"/>
      <w:bookmarkEnd w:id="1217"/>
      <w:bookmarkEnd w:id="1218"/>
      <w:bookmarkEnd w:id="1219"/>
      <w:bookmarkEnd w:id="1221"/>
    </w:p>
    <w:bookmarkEnd w:id="1220"/>
    <w:p w14:paraId="0DA7B3FE">
      <w:pPr>
        <w:jc w:val="center"/>
        <w:rPr>
          <w:rFonts w:hint="eastAsia"/>
          <w:color w:val="auto"/>
          <w:highlight w:val="none"/>
        </w:rPr>
      </w:pPr>
    </w:p>
    <w:p w14:paraId="20D3814A">
      <w:pPr>
        <w:ind w:left="0" w:leftChars="0" w:right="0" w:rightChars="0" w:firstLine="0" w:firstLineChars="0"/>
        <w:jc w:val="center"/>
        <w:rPr>
          <w:rFonts w:hint="eastAsia" w:ascii="宋体" w:hAnsi="宋体" w:eastAsia="宋体" w:cs="宋体"/>
          <w:b/>
          <w:color w:val="auto"/>
          <w:kern w:val="0"/>
          <w:sz w:val="24"/>
          <w:highlight w:val="none"/>
        </w:rPr>
      </w:pPr>
      <w:bookmarkStart w:id="1222" w:name="_Toc16907"/>
      <w:bookmarkStart w:id="1223" w:name="_Toc11205"/>
      <w:r>
        <w:rPr>
          <w:rFonts w:hint="eastAsia" w:ascii="宋体" w:hAnsi="宋体" w:eastAsia="宋体" w:cs="宋体"/>
          <w:b/>
          <w:color w:val="auto"/>
          <w:kern w:val="0"/>
          <w:sz w:val="24"/>
          <w:highlight w:val="none"/>
        </w:rPr>
        <w:t>另附</w:t>
      </w:r>
      <w:bookmarkEnd w:id="1222"/>
      <w:bookmarkEnd w:id="1223"/>
    </w:p>
    <w:p w14:paraId="656EA633">
      <w:pPr>
        <w:ind w:left="0" w:leftChars="0" w:right="0" w:rightChars="0" w:firstLine="0" w:firstLineChars="0"/>
        <w:jc w:val="both"/>
        <w:rPr>
          <w:rFonts w:hint="default"/>
          <w:color w:val="auto"/>
          <w:highlight w:val="none"/>
          <w:lang w:val="en-US" w:eastAsia="zh-CN"/>
        </w:rPr>
      </w:pPr>
    </w:p>
    <w:p w14:paraId="4A293E81">
      <w:pPr>
        <w:rPr>
          <w:highlight w:val="none"/>
        </w:rPr>
      </w:pPr>
    </w:p>
    <w:sectPr>
      <w:headerReference r:id="rId6" w:type="default"/>
      <w:footerReference r:id="rId7"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555C864-5C58-499A-BED9-F60C463C719B}"/>
  </w:font>
  <w:font w:name="黑体">
    <w:panose1 w:val="02010609060101010101"/>
    <w:charset w:val="86"/>
    <w:family w:val="auto"/>
    <w:pitch w:val="default"/>
    <w:sig w:usb0="800002BF" w:usb1="38CF7CFA" w:usb2="00000016" w:usb3="00000000" w:csb0="00040001" w:csb1="00000000"/>
    <w:embedRegular r:id="rId2" w:fontKey="{85E8066E-2D7E-4748-9676-73E9341A67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embedRegular r:id="rId3" w:fontKey="{0CA2E5AB-8B13-49FF-BA35-F70A3151E45A}"/>
  </w:font>
  <w:font w:name="楷体_GB2312">
    <w:panose1 w:val="02010609030101010101"/>
    <w:charset w:val="86"/>
    <w:family w:val="modern"/>
    <w:pitch w:val="default"/>
    <w:sig w:usb0="00000001" w:usb1="080E0000" w:usb2="00000000" w:usb3="00000000" w:csb0="00040000" w:csb1="00000000"/>
    <w:embedRegular r:id="rId4" w:fontKey="{D9A5D162-0595-4231-87B0-DAECFF5F71BD}"/>
  </w:font>
  <w:font w:name="文鼎中隶简">
    <w:altName w:val="宋体"/>
    <w:panose1 w:val="00000000000000000000"/>
    <w:charset w:val="86"/>
    <w:family w:val="modern"/>
    <w:pitch w:val="default"/>
    <w:sig w:usb0="00000000" w:usb1="00000000" w:usb2="00000010" w:usb3="00000000" w:csb0="00040000" w:csb1="00000000"/>
    <w:embedRegular r:id="rId5" w:fontKey="{1ADE7186-37E9-4558-854C-5332A2A3BE89}"/>
  </w:font>
  <w:font w:name="华文中宋">
    <w:altName w:val="宋体"/>
    <w:panose1 w:val="02010600040101010101"/>
    <w:charset w:val="86"/>
    <w:family w:val="auto"/>
    <w:pitch w:val="default"/>
    <w:sig w:usb0="00000000" w:usb1="00000000" w:usb2="00000000" w:usb3="00000000" w:csb0="0004009F" w:csb1="DFD70000"/>
    <w:embedRegular r:id="rId6" w:fontKey="{E8EF3181-9FB9-4EF2-B2EC-9A8BFF8E523A}"/>
  </w:font>
  <w:font w:name="仿宋">
    <w:panose1 w:val="02010609060101010101"/>
    <w:charset w:val="86"/>
    <w:family w:val="auto"/>
    <w:pitch w:val="default"/>
    <w:sig w:usb0="800002BF" w:usb1="38CF7CFA" w:usb2="00000016" w:usb3="00000000" w:csb0="00040001" w:csb1="00000000"/>
    <w:embedRegular r:id="rId7" w:fontKey="{AFD8E202-9A08-48CB-AD5B-3E9F3A47289E}"/>
  </w:font>
  <w:font w:name="方正小标宋_GBK">
    <w:panose1 w:val="02000000000000000000"/>
    <w:charset w:val="86"/>
    <w:family w:val="auto"/>
    <w:pitch w:val="default"/>
    <w:sig w:usb0="A00002BF" w:usb1="38CF7CFA" w:usb2="00082016" w:usb3="00000000" w:csb0="00040001" w:csb1="00000000"/>
    <w:embedRegular r:id="rId8" w:fontKey="{D315B05C-4432-4926-ACE2-482B3005E0E4}"/>
  </w:font>
  <w:font w:name="仿宋_GB2312">
    <w:panose1 w:val="02010609030101010101"/>
    <w:charset w:val="86"/>
    <w:family w:val="modern"/>
    <w:pitch w:val="default"/>
    <w:sig w:usb0="00000001" w:usb1="080E0000" w:usb2="00000000" w:usb3="00000000" w:csb0="00040000" w:csb1="00000000"/>
    <w:embedRegular r:id="rId9" w:fontKey="{DEFFCEC6-6CA9-41E3-B6AC-FB3C5185A466}"/>
  </w:font>
  <w:font w:name="等线">
    <w:altName w:val="微软雅黑"/>
    <w:panose1 w:val="02010600030101010101"/>
    <w:charset w:val="86"/>
    <w:family w:val="auto"/>
    <w:pitch w:val="default"/>
    <w:sig w:usb0="00000000" w:usb1="00000000" w:usb2="00000016" w:usb3="00000000" w:csb0="0004000F" w:csb1="00000000"/>
    <w:embedRegular r:id="rId10" w:fontKey="{FEE69214-BCFF-4DFD-A8D4-C21A7B01F2E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3B7E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45D38">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14:paraId="5FC45D3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6B87">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16F3CA">
                          <w:pPr>
                            <w:pStyle w:val="1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5D16F3CA">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30C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F45D29">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24F45D2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7FEF">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74506">
                          <w:pPr>
                            <w:pStyle w:val="13"/>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25B74506">
                    <w:pPr>
                      <w:pStyle w:val="13"/>
                    </w:pPr>
                    <w:r>
                      <w:fldChar w:fldCharType="begin"/>
                    </w:r>
                    <w:r>
                      <w:instrText xml:space="preserve"> PAGE  \* MERGEFORMAT </w:instrText>
                    </w:r>
                    <w:r>
                      <w:fldChar w:fldCharType="separate"/>
                    </w:r>
                    <w:r>
                      <w:t>64</w:t>
                    </w:r>
                    <w:r>
                      <w:fldChar w:fldCharType="end"/>
                    </w:r>
                  </w:p>
                </w:txbxContent>
              </v:textbox>
            </v:shape>
          </w:pict>
        </mc:Fallback>
      </mc:AlternateContent>
    </w:r>
  </w:p>
  <w:p w14:paraId="77B2DE6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7D94">
    <w:pPr>
      <w:pStyle w:val="1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73616"/>
    <w:multiLevelType w:val="singleLevel"/>
    <w:tmpl w:val="AE873616"/>
    <w:lvl w:ilvl="0" w:tentative="0">
      <w:start w:val="5"/>
      <w:numFmt w:val="decimal"/>
      <w:suff w:val="space"/>
      <w:lvlText w:val="%1."/>
      <w:lvlJc w:val="left"/>
    </w:lvl>
  </w:abstractNum>
  <w:abstractNum w:abstractNumId="1">
    <w:nsid w:val="B2F21CB0"/>
    <w:multiLevelType w:val="singleLevel"/>
    <w:tmpl w:val="B2F21CB0"/>
    <w:lvl w:ilvl="0" w:tentative="0">
      <w:start w:val="3"/>
      <w:numFmt w:val="decimal"/>
      <w:suff w:val="nothing"/>
      <w:lvlText w:val="%1、"/>
      <w:lvlJc w:val="left"/>
    </w:lvl>
  </w:abstractNum>
  <w:abstractNum w:abstractNumId="2">
    <w:nsid w:val="CEC72EFE"/>
    <w:multiLevelType w:val="singleLevel"/>
    <w:tmpl w:val="CEC72EFE"/>
    <w:lvl w:ilvl="0" w:tentative="0">
      <w:start w:val="1"/>
      <w:numFmt w:val="decimal"/>
      <w:suff w:val="nothing"/>
      <w:lvlText w:val="（%1）"/>
      <w:lvlJc w:val="left"/>
    </w:lvl>
  </w:abstractNum>
  <w:abstractNum w:abstractNumId="3">
    <w:nsid w:val="DF1D21AD"/>
    <w:multiLevelType w:val="singleLevel"/>
    <w:tmpl w:val="DF1D21AD"/>
    <w:lvl w:ilvl="0" w:tentative="0">
      <w:start w:val="31"/>
      <w:numFmt w:val="decimal"/>
      <w:suff w:val="space"/>
      <w:lvlText w:val="%1."/>
      <w:lvlJc w:val="left"/>
    </w:lvl>
  </w:abstractNum>
  <w:abstractNum w:abstractNumId="4">
    <w:nsid w:val="1AE88C9F"/>
    <w:multiLevelType w:val="singleLevel"/>
    <w:tmpl w:val="1AE88C9F"/>
    <w:lvl w:ilvl="0" w:tentative="0">
      <w:start w:val="3"/>
      <w:numFmt w:val="chineseCounting"/>
      <w:suff w:val="space"/>
      <w:lvlText w:val="第%1章"/>
      <w:lvlJc w:val="left"/>
      <w:rPr>
        <w:rFonts w:hint="eastAsia"/>
      </w:rPr>
    </w:lvl>
  </w:abstractNum>
  <w:abstractNum w:abstractNumId="5">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1FD97BE0"/>
    <w:multiLevelType w:val="singleLevel"/>
    <w:tmpl w:val="1FD97BE0"/>
    <w:lvl w:ilvl="0" w:tentative="0">
      <w:start w:val="1"/>
      <w:numFmt w:val="chineseCounting"/>
      <w:suff w:val="nothing"/>
      <w:lvlText w:val="（%1）"/>
      <w:lvlJc w:val="left"/>
      <w:rPr>
        <w:rFonts w:hint="eastAsia"/>
      </w:rPr>
    </w:lvl>
  </w:abstractNum>
  <w:abstractNum w:abstractNumId="7">
    <w:nsid w:val="40D69635"/>
    <w:multiLevelType w:val="singleLevel"/>
    <w:tmpl w:val="40D69635"/>
    <w:lvl w:ilvl="0" w:tentative="0">
      <w:start w:val="1"/>
      <w:numFmt w:val="chineseCounting"/>
      <w:suff w:val="nothing"/>
      <w:lvlText w:val="（%1）"/>
      <w:lvlJc w:val="left"/>
      <w:rPr>
        <w:rFonts w:hint="eastAsia"/>
      </w:rPr>
    </w:lvl>
  </w:abstractNum>
  <w:abstractNum w:abstractNumId="8">
    <w:nsid w:val="591C3973"/>
    <w:multiLevelType w:val="singleLevel"/>
    <w:tmpl w:val="591C3973"/>
    <w:lvl w:ilvl="0" w:tentative="0">
      <w:start w:val="2"/>
      <w:numFmt w:val="decimal"/>
      <w:suff w:val="nothing"/>
      <w:lvlText w:val="%1、"/>
      <w:lvlJc w:val="left"/>
    </w:lvl>
  </w:abstractNum>
  <w:abstractNum w:abstractNumId="9">
    <w:nsid w:val="6D4FA51F"/>
    <w:multiLevelType w:val="singleLevel"/>
    <w:tmpl w:val="6D4FA51F"/>
    <w:lvl w:ilvl="0" w:tentative="0">
      <w:start w:val="26"/>
      <w:numFmt w:val="decimal"/>
      <w:suff w:val="space"/>
      <w:lvlText w:val="%1."/>
      <w:lvlJc w:val="left"/>
    </w:lvl>
  </w:abstractNum>
  <w:num w:numId="1">
    <w:abstractNumId w:val="5"/>
  </w:num>
  <w:num w:numId="2">
    <w:abstractNumId w:val="0"/>
  </w:num>
  <w:num w:numId="3">
    <w:abstractNumId w:val="2"/>
  </w:num>
  <w:num w:numId="4">
    <w:abstractNumId w:val="9"/>
  </w:num>
  <w:num w:numId="5">
    <w:abstractNumId w:val="3"/>
  </w:num>
  <w:num w:numId="6">
    <w:abstractNumId w:val="4"/>
  </w:num>
  <w:num w:numId="7">
    <w:abstractNumId w:val="1"/>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YTM3MmIxZmQxMjAxNGZhY2EwNDIzYjU1NjA2MDkifQ=="/>
  </w:docVars>
  <w:rsids>
    <w:rsidRoot w:val="2AF95074"/>
    <w:rsid w:val="003F4933"/>
    <w:rsid w:val="016955EB"/>
    <w:rsid w:val="0A9B30B5"/>
    <w:rsid w:val="0E036FAF"/>
    <w:rsid w:val="0E396DBD"/>
    <w:rsid w:val="10F20400"/>
    <w:rsid w:val="10FE598E"/>
    <w:rsid w:val="17FA132D"/>
    <w:rsid w:val="18032E29"/>
    <w:rsid w:val="19690A84"/>
    <w:rsid w:val="1AA71893"/>
    <w:rsid w:val="1C547BDE"/>
    <w:rsid w:val="1D64304A"/>
    <w:rsid w:val="20654B12"/>
    <w:rsid w:val="207F6365"/>
    <w:rsid w:val="24652BDE"/>
    <w:rsid w:val="25171900"/>
    <w:rsid w:val="253A60CB"/>
    <w:rsid w:val="256D5A77"/>
    <w:rsid w:val="25A36CA8"/>
    <w:rsid w:val="26C8461C"/>
    <w:rsid w:val="28655B8D"/>
    <w:rsid w:val="287F49E8"/>
    <w:rsid w:val="2A42394C"/>
    <w:rsid w:val="2A4E00F5"/>
    <w:rsid w:val="2A9548AC"/>
    <w:rsid w:val="2AF95074"/>
    <w:rsid w:val="2B2D7A8C"/>
    <w:rsid w:val="2C400EED"/>
    <w:rsid w:val="2CA7770C"/>
    <w:rsid w:val="2DCF546C"/>
    <w:rsid w:val="2F102AD3"/>
    <w:rsid w:val="2FE34CBB"/>
    <w:rsid w:val="33B50619"/>
    <w:rsid w:val="357056B5"/>
    <w:rsid w:val="35E61696"/>
    <w:rsid w:val="3CB9732D"/>
    <w:rsid w:val="3CF628FF"/>
    <w:rsid w:val="3DF7039A"/>
    <w:rsid w:val="3FA52271"/>
    <w:rsid w:val="40955117"/>
    <w:rsid w:val="43C842B2"/>
    <w:rsid w:val="46536279"/>
    <w:rsid w:val="478A6B01"/>
    <w:rsid w:val="49200EFF"/>
    <w:rsid w:val="4CF21BA3"/>
    <w:rsid w:val="4DAE5A6A"/>
    <w:rsid w:val="4ED6455A"/>
    <w:rsid w:val="52484953"/>
    <w:rsid w:val="56625C58"/>
    <w:rsid w:val="56D80C5A"/>
    <w:rsid w:val="570B5C25"/>
    <w:rsid w:val="57B909BF"/>
    <w:rsid w:val="590B0869"/>
    <w:rsid w:val="5B4E4733"/>
    <w:rsid w:val="62CD2D1E"/>
    <w:rsid w:val="647F6361"/>
    <w:rsid w:val="699F114D"/>
    <w:rsid w:val="69F54D7E"/>
    <w:rsid w:val="6A7421C9"/>
    <w:rsid w:val="6B0546DA"/>
    <w:rsid w:val="6BF244E3"/>
    <w:rsid w:val="6D8E4673"/>
    <w:rsid w:val="6EF12A11"/>
    <w:rsid w:val="706E57FE"/>
    <w:rsid w:val="71E47526"/>
    <w:rsid w:val="752D5343"/>
    <w:rsid w:val="75C60F69"/>
    <w:rsid w:val="78544A49"/>
    <w:rsid w:val="78700030"/>
    <w:rsid w:val="7BBD6727"/>
    <w:rsid w:val="7C9B2D6D"/>
    <w:rsid w:val="7D0A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annotation text"/>
    <w:basedOn w:val="1"/>
    <w:qFormat/>
    <w:uiPriority w:val="0"/>
    <w:pPr>
      <w:widowControl/>
      <w:jc w:val="left"/>
    </w:pPr>
    <w:rPr>
      <w:rFonts w:ascii="Calibri" w:hAnsi="Calibri" w:eastAsia="宋体" w:cs="Times New Roman"/>
    </w:rPr>
  </w:style>
  <w:style w:type="paragraph" w:styleId="8">
    <w:name w:val="Body Text"/>
    <w:basedOn w:val="1"/>
    <w:next w:val="1"/>
    <w:unhideWhenUsed/>
    <w:qFormat/>
    <w:uiPriority w:val="0"/>
    <w:pPr>
      <w:spacing w:after="120"/>
    </w:pPr>
  </w:style>
  <w:style w:type="paragraph" w:styleId="9">
    <w:name w:val="Body Text Indent"/>
    <w:basedOn w:val="1"/>
    <w:next w:val="10"/>
    <w:qFormat/>
    <w:uiPriority w:val="0"/>
    <w:pPr>
      <w:spacing w:after="120" w:line="360" w:lineRule="exact"/>
      <w:ind w:left="420" w:leftChars="200" w:firstLine="200" w:firstLineChars="200"/>
    </w:pPr>
  </w:style>
  <w:style w:type="paragraph" w:customStyle="1" w:styleId="10">
    <w:name w:val="样式 正文文本缩进 + 首行缩进:  2 字符 行距: 1.5 倍行距"/>
    <w:basedOn w:val="9"/>
    <w:autoRedefine/>
    <w:qFormat/>
    <w:uiPriority w:val="0"/>
    <w:rPr>
      <w:rFonts w:cs="宋体"/>
    </w:r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qFormat/>
    <w:uiPriority w:val="0"/>
    <w:rPr>
      <w:rFonts w:ascii="宋体" w:hAnsi="Courier New" w:cs="Times New Roman"/>
      <w:szCs w:val="22"/>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9"/>
    <w:next w:val="19"/>
    <w:unhideWhenUsed/>
    <w:qFormat/>
    <w:uiPriority w:val="99"/>
    <w:pPr>
      <w:ind w:firstLine="420" w:firstLineChars="200"/>
    </w:pPr>
  </w:style>
  <w:style w:type="paragraph" w:customStyle="1" w:styleId="19">
    <w:name w:val="**正文"/>
    <w:basedOn w:val="1"/>
    <w:autoRedefine/>
    <w:qFormat/>
    <w:uiPriority w:val="0"/>
    <w:pPr>
      <w:ind w:firstLine="482"/>
    </w:pPr>
    <w:rPr>
      <w:rFonts w:ascii="宋体" w:hAnsi="宋体"/>
      <w:sz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qFormat/>
    <w:uiPriority w:val="99"/>
    <w:rPr>
      <w:color w:val="333333"/>
      <w:u w:val="none"/>
    </w:rPr>
  </w:style>
  <w:style w:type="paragraph" w:customStyle="1" w:styleId="24">
    <w:name w:val="NormalIndent"/>
    <w:basedOn w:val="1"/>
    <w:next w:val="1"/>
    <w:autoRedefine/>
    <w:qFormat/>
    <w:uiPriority w:val="0"/>
    <w:pPr>
      <w:ind w:firstLine="420" w:firstLineChars="200"/>
    </w:pPr>
    <w:rPr>
      <w:kern w:val="0"/>
      <w:sz w:val="24"/>
    </w:rPr>
  </w:style>
  <w:style w:type="character" w:customStyle="1" w:styleId="25">
    <w:name w:val="NormalCharacter"/>
    <w:autoRedefine/>
    <w:semiHidden/>
    <w:qFormat/>
    <w:uiPriority w:val="0"/>
  </w:style>
  <w:style w:type="character" w:customStyle="1" w:styleId="26">
    <w:name w:val="标题 3 字符"/>
    <w:link w:val="4"/>
    <w:autoRedefine/>
    <w:qFormat/>
    <w:uiPriority w:val="0"/>
    <w:rPr>
      <w:b/>
      <w:bCs/>
      <w:sz w:val="24"/>
      <w:szCs w:val="32"/>
    </w:rPr>
  </w:style>
  <w:style w:type="paragraph" w:customStyle="1" w:styleId="27">
    <w:name w:val="正文_0"/>
    <w:next w:val="2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文本_0"/>
    <w:basedOn w:val="29"/>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呀2_1"/>
    <w:basedOn w:val="31"/>
    <w:autoRedefine/>
    <w:qFormat/>
    <w:uiPriority w:val="0"/>
    <w:rPr>
      <w:rFonts w:ascii="Times New Roman" w:hAnsi="Times New Roman" w:eastAsia="宋体" w:cs="Times New Roman"/>
      <w:kern w:val="2"/>
      <w:sz w:val="21"/>
      <w:lang w:val="en-US" w:eastAsia="zh-CN"/>
    </w:rPr>
  </w:style>
  <w:style w:type="paragraph" w:customStyle="1" w:styleId="31">
    <w:name w:val="正文呀_1"/>
    <w:basedOn w:val="27"/>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32">
    <w:name w:val="正文小标题_0"/>
    <w:basedOn w:val="33"/>
    <w:autoRedefine/>
    <w:qFormat/>
    <w:uiPriority w:val="0"/>
    <w:pPr>
      <w:spacing w:line="420" w:lineRule="exact"/>
    </w:pPr>
    <w:rPr>
      <w:rFonts w:hAnsi="宋体" w:eastAsia="宋体"/>
      <w:sz w:val="21"/>
      <w:szCs w:val="21"/>
    </w:rPr>
  </w:style>
  <w:style w:type="paragraph" w:customStyle="1" w:styleId="33">
    <w:name w:val="标题 1_0"/>
    <w:basedOn w:val="27"/>
    <w:next w:val="27"/>
    <w:autoRedefine/>
    <w:qFormat/>
    <w:uiPriority w:val="99"/>
    <w:pPr>
      <w:keepNext/>
      <w:keepLines/>
      <w:spacing w:line="360" w:lineRule="auto"/>
      <w:outlineLvl w:val="0"/>
    </w:pPr>
    <w:rPr>
      <w:rFonts w:eastAsia="黑体"/>
      <w:b/>
      <w:bCs/>
      <w:kern w:val="44"/>
      <w:sz w:val="32"/>
      <w:szCs w:val="44"/>
    </w:rPr>
  </w:style>
  <w:style w:type="paragraph" w:customStyle="1" w:styleId="34">
    <w:name w:val="纯文本_0"/>
    <w:basedOn w:val="27"/>
    <w:autoRedefine/>
    <w:unhideWhenUsed/>
    <w:qFormat/>
    <w:uiPriority w:val="0"/>
    <w:rPr>
      <w:rFonts w:ascii="宋体" w:hAnsi="Courier New"/>
      <w:szCs w:val="24"/>
    </w:rPr>
  </w:style>
  <w:style w:type="paragraph" w:customStyle="1" w:styleId="35">
    <w:name w:val="正文_2"/>
    <w:next w:val="3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4_1"/>
    <w:basedOn w:val="35"/>
    <w:next w:val="35"/>
    <w:autoRedefine/>
    <w:qFormat/>
    <w:uiPriority w:val="99"/>
    <w:pPr>
      <w:keepNext/>
      <w:keepLines/>
      <w:spacing w:before="280" w:after="290" w:line="376" w:lineRule="auto"/>
      <w:outlineLvl w:val="3"/>
    </w:pPr>
    <w:rPr>
      <w:rFonts w:ascii="Arial" w:hAnsi="Arial" w:eastAsia="黑体"/>
      <w:b/>
      <w:bCs/>
      <w:sz w:val="28"/>
      <w:szCs w:val="28"/>
    </w:rPr>
  </w:style>
  <w:style w:type="paragraph" w:customStyle="1" w:styleId="37">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正文小标题"/>
    <w:basedOn w:val="2"/>
    <w:autoRedefine/>
    <w:qFormat/>
    <w:uiPriority w:val="0"/>
    <w:pPr>
      <w:spacing w:line="420" w:lineRule="exact"/>
    </w:pPr>
    <w:rPr>
      <w:rFonts w:hAnsi="宋体"/>
      <w:b w:val="0"/>
      <w:bCs w:val="0"/>
      <w:sz w:val="21"/>
      <w:szCs w:val="20"/>
    </w:rPr>
  </w:style>
  <w:style w:type="paragraph" w:customStyle="1" w:styleId="42">
    <w:name w:val="正文呀2"/>
    <w:basedOn w:val="43"/>
    <w:autoRedefine/>
    <w:qFormat/>
    <w:uiPriority w:val="0"/>
    <w:rPr>
      <w:rFonts w:ascii="Times New Roman" w:hAnsi="Times New Roman"/>
    </w:rPr>
  </w:style>
  <w:style w:type="paragraph" w:customStyle="1" w:styleId="43">
    <w:name w:val="正文呀"/>
    <w:basedOn w:val="1"/>
    <w:autoRedefine/>
    <w:qFormat/>
    <w:uiPriority w:val="0"/>
    <w:pPr>
      <w:spacing w:line="420" w:lineRule="exact"/>
      <w:ind w:firstLine="420" w:firstLineChars="200"/>
    </w:pPr>
    <w:rPr>
      <w:rFonts w:ascii="宋体" w:eastAsia="宋体"/>
      <w:szCs w:val="20"/>
    </w:rPr>
  </w:style>
  <w:style w:type="paragraph" w:customStyle="1" w:styleId="44">
    <w:name w:val="Blockquote"/>
    <w:basedOn w:val="1"/>
    <w:autoRedefine/>
    <w:qFormat/>
    <w:uiPriority w:val="0"/>
    <w:pPr>
      <w:widowControl w:val="0"/>
      <w:autoSpaceDE w:val="0"/>
      <w:autoSpaceDN w:val="0"/>
      <w:adjustRightInd w:val="0"/>
      <w:spacing w:before="100" w:after="100" w:line="240" w:lineRule="auto"/>
      <w:ind w:left="360" w:right="36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52173</Words>
  <Characters>55322</Characters>
  <Lines>0</Lines>
  <Paragraphs>0</Paragraphs>
  <TotalTime>1</TotalTime>
  <ScaleCrop>false</ScaleCrop>
  <LinksUpToDate>false</LinksUpToDate>
  <CharactersWithSpaces>63637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2024-05-28T02:20:00Z</dcterms:created>
  <dc:creator>Administrator</dc:creator>
  <cp:lastModifiedBy>Administrator</cp:lastModifiedBy>
  <dcterms:modified xsi:type="dcterms:W3CDTF">2025-10-23T07:28:58Z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19B289749C3049C6BDA4B68D5E121BE9_11</vt:lpwstr>
  </property>
  <property fmtid="{D5CDD505-2E9C-101B-9397-08002B2CF9AE}" pid="4" name="KSOTemplateDocerSaveRecord">
    <vt:lpwstr>eyJoZGlkIjoiMzkwNTFlN2EzNThjNmZmYWIzN2ViMjM2MTQwOGUwYzAiLCJ1c2VySWQiOiI0MzYwMzg1NTQifQ==</vt:lpwstr>
  </property>
</Properties>
</file>