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520" w:hanging="3520" w:hangingChars="11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bookmarkStart w:id="1" w:name="OLE_LINK2"/>
      <w:bookmarkStart w:id="2" w:name="OLE_LINK11"/>
      <w:r>
        <w:rPr>
          <w:rFonts w:hint="eastAsia" w:ascii="方正小标宋_GBK" w:hAnsi="微软雅黑" w:eastAsia="方正小标宋_GBK"/>
          <w:color w:val="auto"/>
          <w:sz w:val="32"/>
          <w:szCs w:val="32"/>
          <w:highlight w:val="none"/>
          <w:lang w:eastAsia="zh-CN"/>
        </w:rPr>
        <w:t>中共浦北县纪律检查委员会物业服务</w:t>
      </w:r>
      <w:bookmarkEnd w:id="1"/>
    </w:p>
    <w:bookmarkEnd w:id="2"/>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QZZC2025-C3-220201-QZSZ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202</w:t>
      </w:r>
      <w:r>
        <w:rPr>
          <w:rFonts w:hint="eastAsia" w:ascii="方正小标宋_GBK" w:hAnsi="微软雅黑" w:eastAsia="方正小标宋_GBK"/>
          <w:color w:val="auto"/>
          <w:sz w:val="32"/>
          <w:szCs w:val="32"/>
          <w:highlight w:val="none"/>
          <w:lang w:val="en-US" w:eastAsia="zh-CN"/>
        </w:rPr>
        <w:t>5</w:t>
      </w:r>
      <w:r>
        <w:rPr>
          <w:rFonts w:hint="eastAsia" w:ascii="方正小标宋_GBK" w:hAnsi="微软雅黑" w:eastAsia="方正小标宋_GBK"/>
          <w:color w:val="auto"/>
          <w:sz w:val="32"/>
          <w:szCs w:val="32"/>
          <w:highlight w:val="none"/>
        </w:rPr>
        <w:t>年</w:t>
      </w:r>
      <w:r>
        <w:rPr>
          <w:rFonts w:hint="eastAsia" w:ascii="方正小标宋_GBK" w:hAnsi="微软雅黑" w:eastAsia="方正小标宋_GBK"/>
          <w:color w:val="auto"/>
          <w:sz w:val="32"/>
          <w:szCs w:val="32"/>
          <w:highlight w:val="none"/>
          <w:lang w:eastAsia="zh-CN"/>
        </w:rPr>
        <w:t>09月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3"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3"/>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3"/>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3"/>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27</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3"/>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38</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3"/>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color w:val="auto"/>
          <w:sz w:val="28"/>
          <w:szCs w:val="28"/>
          <w:highlight w:val="none"/>
        </w:rPr>
        <w:fldChar w:fldCharType="end"/>
      </w:r>
    </w:p>
    <w:p>
      <w:pPr>
        <w:pStyle w:val="28"/>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3"/>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48</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4" w:name="_Toc92355023"/>
      <w:r>
        <w:rPr>
          <w:rFonts w:hint="eastAsia" w:ascii="方正小标宋_GBK" w:hAnsi="宋体" w:eastAsia="方正小标宋_GBK"/>
          <w:color w:val="auto"/>
          <w:highlight w:val="none"/>
        </w:rPr>
        <w:t>第一章  竞争性磋商公告</w:t>
      </w:r>
      <w:bookmarkEnd w:id="3"/>
      <w:bookmarkEnd w:id="4"/>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bookmarkStart w:id="5" w:name="OLE_LINK1"/>
      <w:r>
        <w:rPr>
          <w:rFonts w:hint="eastAsia" w:ascii="方正小标宋_GBK" w:hAnsi="宋体" w:eastAsia="方正小标宋_GBK"/>
          <w:b/>
          <w:color w:val="auto"/>
          <w:sz w:val="34"/>
          <w:szCs w:val="34"/>
          <w:highlight w:val="none"/>
          <w:lang w:eastAsia="zh-CN"/>
        </w:rPr>
        <w:t>中共浦北县纪律检查委员会物业服务</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QZZC2025-C3-220201-QZSZ</w:t>
      </w:r>
      <w:r>
        <w:rPr>
          <w:rFonts w:ascii="方正小标宋_GBK" w:hAnsi="宋体" w:eastAsia="方正小标宋_GBK"/>
          <w:b/>
          <w:color w:val="auto"/>
          <w:sz w:val="34"/>
          <w:szCs w:val="34"/>
          <w:highlight w:val="none"/>
        </w:rPr>
        <w:t>)</w:t>
      </w:r>
      <w:bookmarkEnd w:id="5"/>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6"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中共浦北县纪律检查委员会物业服务</w:t>
      </w:r>
      <w:r>
        <w:rPr>
          <w:rFonts w:hint="eastAsia" w:ascii="宋体" w:hAnsi="宋体"/>
          <w:color w:val="auto"/>
          <w:szCs w:val="21"/>
          <w:highlight w:val="none"/>
        </w:rPr>
        <w:t>项目的潜在供应商应在广西政府采购云平台（https://www.gcy.zfcg.gxzf.gov.cn/）获取采购文件，并于202</w:t>
      </w:r>
      <w:r>
        <w:rPr>
          <w:rFonts w:hint="eastAsia" w:ascii="宋体" w:hAnsi="宋体"/>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9月28日</w:t>
      </w:r>
      <w:r>
        <w:rPr>
          <w:rFonts w:hint="eastAsia"/>
          <w:color w:val="auto"/>
          <w:highlight w:val="none"/>
          <w:lang w:val="en-US" w:eastAsia="zh-CN"/>
        </w:rPr>
        <w:t>9</w:t>
      </w:r>
      <w:r>
        <w:rPr>
          <w:color w:val="auto"/>
          <w:highlight w:val="none"/>
        </w:rPr>
        <w:t>:</w:t>
      </w:r>
      <w:r>
        <w:rPr>
          <w:rFonts w:hint="eastAsia"/>
          <w:color w:val="auto"/>
          <w:highlight w:val="none"/>
          <w:lang w:val="en-US" w:eastAsia="zh-CN"/>
        </w:rPr>
        <w:t>3</w:t>
      </w:r>
      <w:r>
        <w:rPr>
          <w:color w:val="auto"/>
          <w:highlight w:val="none"/>
        </w:rPr>
        <w:t>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6"/>
    <w:p>
      <w:pPr>
        <w:spacing w:line="400" w:lineRule="exact"/>
        <w:rPr>
          <w:b/>
          <w:color w:val="auto"/>
          <w:highlight w:val="none"/>
        </w:rPr>
      </w:pPr>
      <w:bookmarkStart w:id="7" w:name="_Toc28359002"/>
      <w:bookmarkStart w:id="8" w:name="_Toc28359079"/>
      <w:bookmarkStart w:id="9" w:name="_Toc35393790"/>
      <w:bookmarkStart w:id="10" w:name="_Toc35393621"/>
      <w:bookmarkStart w:id="11" w:name="_Hlk24379207"/>
      <w:bookmarkStart w:id="12" w:name="_Toc38370146"/>
      <w:r>
        <w:rPr>
          <w:rFonts w:hint="eastAsia"/>
          <w:b/>
          <w:color w:val="auto"/>
          <w:highlight w:val="none"/>
        </w:rPr>
        <w:t>一、项目基本情况</w:t>
      </w:r>
      <w:bookmarkEnd w:id="7"/>
      <w:bookmarkEnd w:id="8"/>
      <w:bookmarkEnd w:id="9"/>
      <w:bookmarkEnd w:id="10"/>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QZZC2025-C3-220201-QZSZ</w:t>
      </w:r>
    </w:p>
    <w:p>
      <w:pPr>
        <w:spacing w:line="400" w:lineRule="exact"/>
        <w:ind w:firstLine="420"/>
        <w:rPr>
          <w:rFonts w:hint="eastAsia" w:eastAsia="宋体"/>
          <w:color w:val="auto"/>
          <w:highlight w:val="none"/>
          <w:lang w:eastAsia="zh-CN"/>
        </w:rPr>
      </w:pPr>
      <w:r>
        <w:rPr>
          <w:rFonts w:hint="eastAsia"/>
          <w:color w:val="auto"/>
          <w:highlight w:val="none"/>
        </w:rPr>
        <w:t>项目名称：</w:t>
      </w:r>
      <w:bookmarkStart w:id="13" w:name="OLE_LINK6"/>
      <w:r>
        <w:rPr>
          <w:rFonts w:hint="eastAsia"/>
          <w:color w:val="auto"/>
          <w:highlight w:val="none"/>
          <w:lang w:eastAsia="zh-CN"/>
        </w:rPr>
        <w:t>中共浦北县纪律检查委员会物业服务</w:t>
      </w:r>
      <w:bookmarkEnd w:id="13"/>
    </w:p>
    <w:bookmarkEnd w:id="11"/>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bookmarkStart w:id="14" w:name="OLE_LINK4"/>
      <w:r>
        <w:rPr>
          <w:rFonts w:hint="eastAsia"/>
          <w:color w:val="auto"/>
          <w:highlight w:val="none"/>
          <w:lang w:eastAsia="zh-CN"/>
        </w:rPr>
        <w:t>550,000.00</w:t>
      </w:r>
      <w:bookmarkEnd w:id="14"/>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中共浦北县纪律检查委员会物业服务</w:t>
      </w:r>
    </w:p>
    <w:p>
      <w:pPr>
        <w:spacing w:line="400" w:lineRule="exact"/>
        <w:ind w:firstLine="420"/>
        <w:rPr>
          <w:rFonts w:hint="eastAsia" w:eastAsia="宋体"/>
          <w:color w:val="auto"/>
          <w:highlight w:val="none"/>
          <w:lang w:val="en-US" w:eastAsia="zh-CN"/>
        </w:rPr>
      </w:pPr>
      <w:r>
        <w:rPr>
          <w:rFonts w:hint="eastAsia"/>
          <w:bCs/>
          <w:color w:val="auto"/>
          <w:highlight w:val="none"/>
        </w:rPr>
        <w:t>数量：</w:t>
      </w:r>
      <w:r>
        <w:rPr>
          <w:rFonts w:hint="eastAsia"/>
          <w:bCs/>
          <w:color w:val="auto"/>
          <w:highlight w:val="none"/>
          <w:lang w:val="en-US" w:eastAsia="zh-CN"/>
        </w:rPr>
        <w:t>1</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550,000.00</w:t>
      </w:r>
    </w:p>
    <w:p>
      <w:pPr>
        <w:spacing w:line="400" w:lineRule="exact"/>
        <w:ind w:left="4410" w:leftChars="200" w:hanging="3990" w:hangingChars="1900"/>
        <w:rPr>
          <w:rFonts w:hint="eastAsia" w:eastAsia="宋体"/>
          <w:color w:val="auto"/>
          <w:highlight w:val="none"/>
          <w:lang w:eastAsia="zh-CN"/>
        </w:rPr>
      </w:pPr>
      <w:r>
        <w:rPr>
          <w:rFonts w:hint="eastAsia"/>
          <w:color w:val="auto"/>
          <w:highlight w:val="none"/>
        </w:rPr>
        <w:t>简要规格描述或项目基本概况介绍、用途：场所内的的安全保卫服务、卫生保洁及绿化养护服务、食堂后勤服务等</w:t>
      </w:r>
      <w:r>
        <w:rPr>
          <w:rFonts w:hint="eastAsia"/>
          <w:color w:val="auto"/>
          <w:highlight w:val="none"/>
          <w:lang w:eastAsia="zh-CN"/>
        </w:rPr>
        <w:t>。</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color w:val="auto"/>
          <w:highlight w:val="none"/>
        </w:rPr>
      </w:pPr>
      <w:r>
        <w:rPr>
          <w:rFonts w:hint="eastAsia"/>
          <w:color w:val="auto"/>
          <w:highlight w:val="none"/>
        </w:rPr>
        <w:t>合同履行期限：</w:t>
      </w:r>
      <w:bookmarkStart w:id="15" w:name="OLE_LINK5"/>
      <w:bookmarkStart w:id="16" w:name="OLE_LINK39"/>
      <w:r>
        <w:rPr>
          <w:rFonts w:hint="eastAsia"/>
          <w:color w:val="auto"/>
          <w:highlight w:val="none"/>
        </w:rPr>
        <w:t>签订合同之日起一年</w:t>
      </w:r>
      <w:bookmarkEnd w:id="15"/>
      <w:r>
        <w:rPr>
          <w:rFonts w:hint="eastAsia"/>
          <w:color w:val="auto"/>
          <w:highlight w:val="none"/>
        </w:rPr>
        <w:t>。</w:t>
      </w:r>
      <w:bookmarkEnd w:id="16"/>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7" w:name="_Toc28359080"/>
      <w:bookmarkStart w:id="18" w:name="_Toc35393622"/>
      <w:bookmarkStart w:id="19" w:name="_Toc28359003"/>
      <w:bookmarkStart w:id="20" w:name="_Toc35393791"/>
      <w:r>
        <w:rPr>
          <w:rFonts w:hint="eastAsia"/>
          <w:b/>
          <w:color w:val="auto"/>
          <w:highlight w:val="none"/>
        </w:rPr>
        <w:t>二、申请人的资格要求：</w:t>
      </w:r>
      <w:bookmarkEnd w:id="17"/>
      <w:bookmarkEnd w:id="18"/>
      <w:bookmarkEnd w:id="19"/>
      <w:bookmarkEnd w:id="20"/>
      <w:bookmarkStart w:id="21" w:name="_Toc35393792"/>
      <w:bookmarkStart w:id="22" w:name="_Toc28359004"/>
      <w:bookmarkStart w:id="23" w:name="_Toc28359081"/>
      <w:bookmarkStart w:id="24" w:name="_Toc35393623"/>
    </w:p>
    <w:p>
      <w:pPr>
        <w:spacing w:line="400" w:lineRule="exact"/>
        <w:ind w:firstLine="420"/>
        <w:rPr>
          <w:b/>
          <w:color w:val="auto"/>
          <w:highlight w:val="none"/>
        </w:rPr>
      </w:pPr>
      <w:bookmarkStart w:id="25"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color w:val="auto"/>
          <w:szCs w:val="21"/>
          <w:highlight w:val="none"/>
        </w:rPr>
      </w:pPr>
      <w:r>
        <w:rPr>
          <w:rFonts w:hint="eastAsia"/>
          <w:color w:val="auto"/>
          <w:highlight w:val="none"/>
        </w:rPr>
        <w:t>2.落实政府采购政策需满足的资格要求：</w:t>
      </w:r>
      <w:bookmarkStart w:id="26" w:name="OLE_LINK9"/>
      <w:r>
        <w:rPr>
          <w:rStyle w:val="43"/>
          <w:rFonts w:hint="eastAsia" w:ascii="宋体" w:hAnsi="宋体"/>
          <w:color w:val="auto"/>
          <w:szCs w:val="21"/>
          <w:highlight w:val="none"/>
          <w:u w:val="none"/>
        </w:rPr>
        <w:t>服务全部由符合政策要求的中小企业承接</w:t>
      </w:r>
      <w:bookmarkEnd w:id="26"/>
    </w:p>
    <w:p>
      <w:pPr>
        <w:spacing w:line="400" w:lineRule="exact"/>
        <w:ind w:firstLine="435"/>
        <w:rPr>
          <w:rFonts w:hint="eastAsia" w:eastAsia="宋体"/>
          <w:color w:val="auto"/>
          <w:highlight w:val="none"/>
          <w:lang w:eastAsia="zh-CN"/>
        </w:rPr>
      </w:pPr>
      <w:r>
        <w:rPr>
          <w:rFonts w:hint="eastAsia"/>
          <w:color w:val="auto"/>
          <w:highlight w:val="none"/>
        </w:rPr>
        <w:t>3.本项目的特定资格要求：</w:t>
      </w:r>
      <w:r>
        <w:rPr>
          <w:rFonts w:hint="eastAsia"/>
          <w:color w:val="auto"/>
          <w:highlight w:val="none"/>
          <w:lang w:val="en-US" w:eastAsia="zh-CN"/>
        </w:rPr>
        <w:t>无</w:t>
      </w:r>
    </w:p>
    <w:bookmarkEnd w:id="25"/>
    <w:p>
      <w:pPr>
        <w:spacing w:line="400" w:lineRule="exact"/>
        <w:rPr>
          <w:b/>
          <w:color w:val="auto"/>
          <w:highlight w:val="none"/>
        </w:rPr>
      </w:pPr>
      <w:r>
        <w:rPr>
          <w:rFonts w:hint="eastAsia"/>
          <w:b/>
          <w:color w:val="auto"/>
          <w:highlight w:val="none"/>
        </w:rPr>
        <w:t>三、获取采购文件</w:t>
      </w:r>
      <w:bookmarkEnd w:id="21"/>
      <w:bookmarkEnd w:id="22"/>
      <w:bookmarkEnd w:id="23"/>
      <w:bookmarkEnd w:id="24"/>
    </w:p>
    <w:p>
      <w:pPr>
        <w:spacing w:line="400" w:lineRule="exact"/>
        <w:ind w:firstLine="420"/>
        <w:jc w:val="left"/>
        <w:rPr>
          <w:color w:val="auto"/>
          <w:highlight w:val="none"/>
        </w:rPr>
      </w:pPr>
      <w:bookmarkStart w:id="27" w:name="_Toc38370141"/>
      <w:r>
        <w:rPr>
          <w:rFonts w:hint="eastAsia"/>
          <w:color w:val="auto"/>
          <w:highlight w:val="none"/>
        </w:rPr>
        <w:t>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17</w:t>
      </w:r>
      <w:r>
        <w:rPr>
          <w:rFonts w:hint="eastAsia"/>
          <w:color w:val="auto"/>
          <w:highlight w:val="none"/>
        </w:rPr>
        <w:t>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9月24</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8" w:name="OLE_LINK12"/>
      <w:bookmarkStart w:id="29" w:name="_Hlk164066481"/>
      <w:r>
        <w:rPr>
          <w:rFonts w:hint="eastAsia" w:ascii="宋体" w:hAnsi="宋体"/>
          <w:color w:val="auto"/>
          <w:szCs w:val="21"/>
          <w:highlight w:val="none"/>
        </w:rPr>
        <w:t>广西政府采购云平台（https://www.gcy.zfcg.gxzf.gov.cn/）</w:t>
      </w:r>
      <w:bookmarkEnd w:id="28"/>
      <w:bookmarkEnd w:id="29"/>
    </w:p>
    <w:p>
      <w:pPr>
        <w:spacing w:line="400" w:lineRule="exact"/>
        <w:ind w:firstLine="420"/>
        <w:rPr>
          <w:color w:val="auto"/>
          <w:highlight w:val="none"/>
        </w:rPr>
      </w:pPr>
      <w:r>
        <w:rPr>
          <w:rFonts w:hint="eastAsia"/>
          <w:color w:val="auto"/>
          <w:highlight w:val="none"/>
        </w:rPr>
        <w:t>方式：</w:t>
      </w:r>
      <w:bookmarkStart w:id="30" w:name="OLE_LINK13"/>
      <w:r>
        <w:rPr>
          <w:rFonts w:hint="eastAsia"/>
          <w:color w:val="auto"/>
          <w:highlight w:val="none"/>
        </w:rPr>
        <w:t>供应商登录广西政府采购云平台(以下称“政采云平台”)在线获取采购文件（进入“项目采购”应用选择项目，获取采购文件）</w:t>
      </w:r>
      <w:bookmarkEnd w:id="30"/>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27"/>
      <w:bookmarkStart w:id="31" w:name="_Toc28359005"/>
      <w:bookmarkStart w:id="32" w:name="_Toc28359082"/>
      <w:bookmarkStart w:id="33" w:name="_Toc35393793"/>
      <w:bookmarkStart w:id="34" w:name="_Toc35393624"/>
      <w:r>
        <w:rPr>
          <w:rFonts w:hint="eastAsia"/>
          <w:b/>
          <w:color w:val="auto"/>
          <w:highlight w:val="none"/>
        </w:rPr>
        <w:t>响应文件</w:t>
      </w:r>
      <w:bookmarkEnd w:id="31"/>
      <w:bookmarkEnd w:id="32"/>
      <w:r>
        <w:rPr>
          <w:rFonts w:hint="eastAsia"/>
          <w:b/>
          <w:color w:val="auto"/>
          <w:highlight w:val="none"/>
        </w:rPr>
        <w:t>提交</w:t>
      </w:r>
      <w:bookmarkEnd w:id="33"/>
      <w:bookmarkEnd w:id="34"/>
    </w:p>
    <w:p>
      <w:pPr>
        <w:spacing w:line="400" w:lineRule="exact"/>
        <w:ind w:firstLine="420"/>
        <w:rPr>
          <w:color w:val="auto"/>
          <w:highlight w:val="none"/>
        </w:rPr>
      </w:pPr>
      <w:r>
        <w:rPr>
          <w:rFonts w:hint="eastAsia"/>
          <w:color w:val="auto"/>
          <w:highlight w:val="none"/>
        </w:rPr>
        <w:t>截止时间：202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9月28日9:30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35" w:name="OLE_LINK14"/>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35"/>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9月28日9:30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36" w:name="_Toc35393794"/>
      <w:bookmarkStart w:id="37" w:name="_Toc28359084"/>
      <w:bookmarkStart w:id="38" w:name="_Toc28359007"/>
      <w:bookmarkStart w:id="39" w:name="_Toc35393625"/>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36"/>
      <w:bookmarkEnd w:id="37"/>
      <w:bookmarkEnd w:id="38"/>
      <w:bookmarkEnd w:id="39"/>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40" w:name="_Toc35393796"/>
      <w:bookmarkStart w:id="41" w:name="_Toc35393627"/>
      <w:bookmarkStart w:id="42" w:name="_Toc28359008"/>
      <w:bookmarkStart w:id="43" w:name="_Toc28359085"/>
      <w:r>
        <w:rPr>
          <w:rFonts w:hint="eastAsia"/>
          <w:b/>
          <w:color w:val="auto"/>
          <w:highlight w:val="none"/>
        </w:rPr>
        <w:t>七、其他补充事宜</w:t>
      </w:r>
    </w:p>
    <w:p>
      <w:pPr>
        <w:spacing w:line="400" w:lineRule="exact"/>
        <w:ind w:firstLine="420"/>
        <w:rPr>
          <w:b/>
          <w:color w:val="auto"/>
          <w:highlight w:val="none"/>
        </w:rPr>
      </w:pPr>
      <w:bookmarkStart w:id="44" w:name="OLE_LINK40"/>
      <w:bookmarkStart w:id="45" w:name="OLE_LINK15"/>
      <w:r>
        <w:rPr>
          <w:rFonts w:hint="eastAsia"/>
          <w:color w:val="auto"/>
          <w:highlight w:val="none"/>
        </w:rPr>
        <w:t>1</w:t>
      </w:r>
      <w:r>
        <w:rPr>
          <w:color w:val="auto"/>
          <w:highlight w:val="none"/>
        </w:rPr>
        <w:t>.</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rPr>
        <w:t>2</w:t>
      </w:r>
      <w:r>
        <w:rPr>
          <w:color w:val="auto"/>
          <w:highlight w:val="none"/>
        </w:rPr>
        <w:t>.</w:t>
      </w:r>
      <w:bookmarkStart w:id="46" w:name="_Hlk91598380"/>
      <w:r>
        <w:rPr>
          <w:rFonts w:hint="eastAsia"/>
          <w:color w:val="auto"/>
          <w:highlight w:val="none"/>
        </w:rPr>
        <w:t>全流程电子化</w:t>
      </w:r>
      <w:bookmarkEnd w:id="46"/>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47"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3"/>
          <w:rFonts w:hint="eastAsia"/>
          <w:color w:val="auto"/>
          <w:highlight w:val="none"/>
        </w:rPr>
        <w:t>政采云电子卖场首页右上角—服务中心—帮助文档—项目采购</w:t>
      </w:r>
      <w:r>
        <w:rPr>
          <w:rStyle w:val="43"/>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3"/>
          <w:rFonts w:hint="eastAsia"/>
          <w:color w:val="auto"/>
          <w:highlight w:val="none"/>
        </w:rPr>
        <w:t>政采云电子卖场首页右上角—帮助文档—入驻与配置—CA管理</w:t>
      </w:r>
      <w:r>
        <w:rPr>
          <w:rStyle w:val="43"/>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3"/>
          <w:rFonts w:hint="eastAsia"/>
          <w:color w:val="auto"/>
          <w:highlight w:val="none"/>
        </w:rPr>
        <w:t>政采云平台—我的工作台右上角—CA管理—CA证书申领</w:t>
      </w:r>
      <w:r>
        <w:rPr>
          <w:rStyle w:val="43"/>
          <w:rFonts w:hint="eastAsia"/>
          <w:color w:val="auto"/>
          <w:highlight w:val="none"/>
        </w:rPr>
        <w:fldChar w:fldCharType="end"/>
      </w:r>
      <w:r>
        <w:rPr>
          <w:rFonts w:hint="eastAsia"/>
          <w:color w:val="auto"/>
          <w:highlight w:val="none"/>
        </w:rPr>
        <w:t>)</w:t>
      </w:r>
      <w:bookmarkEnd w:id="47"/>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3"/>
          <w:rFonts w:hint="eastAsia"/>
          <w:color w:val="auto"/>
          <w:highlight w:val="none"/>
        </w:rPr>
        <w:t>政府采购云平台</w:t>
      </w:r>
      <w:r>
        <w:rPr>
          <w:rStyle w:val="43"/>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48" w:name="_Hlk90367388"/>
      <w:r>
        <w:rPr>
          <w:rFonts w:hint="eastAsia" w:ascii="宋体" w:hAnsi="宋体" w:cs="Courier New"/>
          <w:color w:val="auto"/>
          <w:szCs w:val="21"/>
          <w:highlight w:val="none"/>
        </w:rPr>
        <w:t>政采云远程开标大厅</w:t>
      </w:r>
      <w:bookmarkEnd w:id="48"/>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3"/>
          <w:rFonts w:hint="eastAsia" w:hAnsi="宋体"/>
          <w:color w:val="auto"/>
          <w:highlight w:val="none"/>
          <w:u w:val="none"/>
        </w:rPr>
        <w:t>广西政府采购网</w:t>
      </w:r>
      <w:r>
        <w:rPr>
          <w:rStyle w:val="43"/>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49" w:name="_Hlk107409555"/>
      <w:bookmarkStart w:id="50" w:name="_Hlk108515619"/>
      <w:r>
        <w:rPr>
          <w:rFonts w:hint="eastAsia" w:hAnsi="宋体"/>
          <w:color w:val="auto"/>
          <w:highlight w:val="none"/>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w:t>
      </w:r>
      <w:bookmarkStart w:id="51" w:name="OLE_LINK3"/>
      <w:r>
        <w:rPr>
          <w:rFonts w:hint="eastAsia" w:hAnsi="宋体"/>
          <w:color w:val="auto"/>
          <w:highlight w:val="none"/>
        </w:rPr>
        <w:t>陈侃</w:t>
      </w:r>
      <w:r>
        <w:rPr>
          <w:rFonts w:hint="eastAsia" w:hAnsi="宋体"/>
          <w:color w:val="auto"/>
          <w:highlight w:val="none"/>
          <w:lang w:eastAsia="zh-CN"/>
        </w:rPr>
        <w:t>、陈启梅</w:t>
      </w:r>
      <w:bookmarkEnd w:id="51"/>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联系方式：0777-2886006</w:t>
      </w:r>
      <w:bookmarkEnd w:id="44"/>
      <w:bookmarkEnd w:id="49"/>
    </w:p>
    <w:bookmarkEnd w:id="45"/>
    <w:bookmarkEnd w:id="50"/>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40"/>
      <w:bookmarkEnd w:id="41"/>
      <w:bookmarkEnd w:id="42"/>
      <w:bookmarkEnd w:id="43"/>
    </w:p>
    <w:p>
      <w:pPr>
        <w:spacing w:line="400" w:lineRule="exact"/>
        <w:ind w:firstLine="420" w:firstLineChars="200"/>
        <w:rPr>
          <w:color w:val="auto"/>
          <w:highlight w:val="none"/>
        </w:rPr>
      </w:pPr>
      <w:r>
        <w:rPr>
          <w:rFonts w:hint="eastAsia"/>
          <w:color w:val="auto"/>
          <w:highlight w:val="none"/>
        </w:rPr>
        <w:t>1.采购人信息</w:t>
      </w:r>
      <w:bookmarkEnd w:id="12"/>
    </w:p>
    <w:p>
      <w:pPr>
        <w:spacing w:line="400" w:lineRule="exact"/>
        <w:ind w:firstLine="420" w:firstLineChars="200"/>
        <w:rPr>
          <w:color w:val="auto"/>
          <w:highlight w:val="none"/>
        </w:rPr>
      </w:pPr>
      <w:r>
        <w:rPr>
          <w:rFonts w:hint="eastAsia"/>
          <w:color w:val="auto"/>
          <w:highlight w:val="none"/>
        </w:rPr>
        <w:t>名称：中国共产党浦北县纪律检查委员会</w:t>
      </w:r>
    </w:p>
    <w:p>
      <w:pPr>
        <w:spacing w:line="400" w:lineRule="exact"/>
        <w:ind w:firstLine="420" w:firstLineChars="200"/>
        <w:rPr>
          <w:rFonts w:hint="eastAsia"/>
          <w:color w:val="auto"/>
          <w:highlight w:val="none"/>
        </w:rPr>
      </w:pPr>
      <w:bookmarkStart w:id="52" w:name="_Toc38370147"/>
      <w:r>
        <w:rPr>
          <w:rFonts w:hint="eastAsia"/>
          <w:color w:val="auto"/>
          <w:highlight w:val="none"/>
        </w:rPr>
        <w:t>地址：浦北县小江街道和谐路36号</w:t>
      </w:r>
    </w:p>
    <w:p>
      <w:pPr>
        <w:spacing w:line="400" w:lineRule="exact"/>
        <w:ind w:firstLine="420" w:firstLineChars="200"/>
        <w:rPr>
          <w:color w:val="auto"/>
          <w:highlight w:val="none"/>
        </w:rPr>
      </w:pPr>
      <w:r>
        <w:rPr>
          <w:rFonts w:hint="eastAsia"/>
          <w:color w:val="auto"/>
          <w:highlight w:val="none"/>
        </w:rPr>
        <w:t>项目联系人：李彬</w:t>
      </w:r>
    </w:p>
    <w:p>
      <w:pPr>
        <w:spacing w:line="400" w:lineRule="exact"/>
        <w:ind w:firstLine="420" w:firstLineChars="200"/>
        <w:rPr>
          <w:color w:val="auto"/>
          <w:highlight w:val="none"/>
        </w:rPr>
      </w:pPr>
      <w:r>
        <w:rPr>
          <w:rFonts w:hint="eastAsia"/>
          <w:color w:val="auto"/>
          <w:highlight w:val="none"/>
        </w:rPr>
        <w:t>联系方式：0777-8212244</w:t>
      </w:r>
    </w:p>
    <w:bookmarkEnd w:id="52"/>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bookmarkStart w:id="53" w:name="OLE_LINK18"/>
      <w:r>
        <w:rPr>
          <w:rFonts w:hint="eastAsia"/>
          <w:color w:val="auto"/>
          <w:highlight w:val="none"/>
          <w:lang w:val="en-US" w:eastAsia="zh-CN"/>
        </w:rPr>
        <w:t>黄忠秀、陈侃、陈启梅</w:t>
      </w:r>
      <w:bookmarkEnd w:id="53"/>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项目联系方式：</w:t>
      </w:r>
      <w:bookmarkStart w:id="54" w:name="_Toc28359087"/>
      <w:bookmarkStart w:id="55" w:name="_Toc28359010"/>
      <w:r>
        <w:rPr>
          <w:rFonts w:hint="eastAsia" w:hAnsi="宋体"/>
          <w:color w:val="auto"/>
          <w:highlight w:val="none"/>
        </w:rPr>
        <w:t>0777-2886022</w:t>
      </w:r>
      <w:r>
        <w:rPr>
          <w:rFonts w:hint="eastAsia" w:hAnsi="宋体"/>
          <w:color w:val="auto"/>
          <w:highlight w:val="none"/>
          <w:lang w:eastAsia="zh-CN"/>
        </w:rPr>
        <w:t>、</w:t>
      </w:r>
      <w:r>
        <w:rPr>
          <w:rFonts w:hint="eastAsia" w:hAnsi="宋体"/>
          <w:color w:val="auto"/>
          <w:highlight w:val="none"/>
          <w:lang w:val="en-US" w:eastAsia="zh-CN"/>
        </w:rPr>
        <w:t>2886006</w:t>
      </w:r>
    </w:p>
    <w:p>
      <w:pPr>
        <w:widowControl/>
        <w:jc w:val="left"/>
        <w:rPr>
          <w:color w:val="auto"/>
          <w:highlight w:val="none"/>
        </w:rPr>
      </w:pPr>
      <w:r>
        <w:rPr>
          <w:color w:val="auto"/>
          <w:highlight w:val="none"/>
        </w:rPr>
        <w:br w:type="page"/>
      </w:r>
    </w:p>
    <w:p>
      <w:pPr>
        <w:rPr>
          <w:color w:val="auto"/>
          <w:highlight w:val="none"/>
        </w:rPr>
      </w:pPr>
    </w:p>
    <w:bookmarkEnd w:id="54"/>
    <w:bookmarkEnd w:id="55"/>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56" w:name="_Toc92355024"/>
      <w:r>
        <w:rPr>
          <w:rFonts w:hint="eastAsia" w:ascii="方正小标宋_GBK" w:hAnsi="宋体" w:eastAsia="方正小标宋_GBK"/>
          <w:color w:val="auto"/>
          <w:highlight w:val="none"/>
        </w:rPr>
        <w:t>第二章  项目需求</w:t>
      </w:r>
      <w:bookmarkEnd w:id="56"/>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spacing w:line="460" w:lineRule="exact"/>
        <w:rPr>
          <w:rFonts w:hint="eastAsia" w:ascii="宋体" w:hAnsi="宋体"/>
          <w:color w:val="auto"/>
          <w:szCs w:val="21"/>
          <w:highlight w:val="none"/>
          <w:u w:val="single"/>
        </w:rPr>
      </w:pPr>
      <w:bookmarkStart w:id="57" w:name="_Hlk89960406"/>
      <w:r>
        <w:rPr>
          <w:rFonts w:hint="eastAsia" w:ascii="宋体" w:hAnsi="宋体"/>
          <w:color w:val="auto"/>
          <w:szCs w:val="21"/>
          <w:highlight w:val="none"/>
        </w:rPr>
        <w:t>一、采购预算：</w:t>
      </w:r>
      <w:r>
        <w:rPr>
          <w:rFonts w:hint="eastAsia" w:ascii="宋体" w:hAnsi="宋体" w:cs="宋体"/>
          <w:b/>
          <w:bCs/>
          <w:color w:val="auto"/>
          <w:kern w:val="0"/>
          <w:sz w:val="22"/>
          <w:szCs w:val="22"/>
          <w:highlight w:val="none"/>
          <w:lang w:val="en-US" w:eastAsia="zh-CN" w:bidi="ar"/>
        </w:rPr>
        <w:t>550,000.00</w:t>
      </w:r>
      <w:r>
        <w:rPr>
          <w:rFonts w:hint="eastAsia" w:ascii="宋体" w:hAnsi="宋体" w:eastAsia="宋体" w:cs="宋体"/>
          <w:b/>
          <w:bCs/>
          <w:color w:val="auto"/>
          <w:kern w:val="0"/>
          <w:sz w:val="22"/>
          <w:szCs w:val="22"/>
          <w:highlight w:val="none"/>
          <w:lang w:val="en-US" w:eastAsia="zh-CN" w:bidi="ar"/>
        </w:rPr>
        <w:t>元</w:t>
      </w:r>
    </w:p>
    <w:p>
      <w:pPr>
        <w:spacing w:line="460" w:lineRule="exact"/>
        <w:rPr>
          <w:rFonts w:hint="eastAsia" w:ascii="宋体" w:hAnsi="宋体"/>
          <w:color w:val="auto"/>
          <w:szCs w:val="21"/>
          <w:highlight w:val="none"/>
        </w:rPr>
      </w:pPr>
      <w:r>
        <w:rPr>
          <w:rFonts w:hint="eastAsia" w:ascii="宋体" w:hAnsi="宋体"/>
          <w:color w:val="auto"/>
          <w:szCs w:val="21"/>
          <w:highlight w:val="none"/>
        </w:rPr>
        <w:t>二、本项目对应的中小企业划分标准所属行业为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物业管理。</w:t>
      </w:r>
      <w:r>
        <w:rPr>
          <w:rFonts w:ascii="宋体" w:hAnsi="宋体"/>
          <w:color w:val="auto"/>
          <w:szCs w:val="21"/>
          <w:highlight w:val="none"/>
          <w:u w:val="single"/>
        </w:rPr>
        <w:t xml:space="preserve"> </w:t>
      </w:r>
    </w:p>
    <w:p>
      <w:pPr>
        <w:spacing w:line="460" w:lineRule="exact"/>
        <w:rPr>
          <w:rFonts w:hint="eastAsia" w:ascii="宋体" w:hAnsi="宋体"/>
          <w:color w:val="auto"/>
          <w:szCs w:val="21"/>
          <w:highlight w:val="none"/>
        </w:rPr>
      </w:pPr>
      <w:r>
        <w:rPr>
          <w:rFonts w:hint="eastAsia" w:ascii="宋体" w:hAnsi="宋体"/>
          <w:color w:val="auto"/>
          <w:szCs w:val="21"/>
          <w:highlight w:val="none"/>
        </w:rPr>
        <w:t>三、磋商文件中可能实质性变动的内容：采购需求的技术、服务要求以及合同草案条款</w:t>
      </w:r>
    </w:p>
    <w:p>
      <w:pPr>
        <w:spacing w:line="460" w:lineRule="exact"/>
        <w:rPr>
          <w:rFonts w:hint="eastAsia" w:ascii="宋体" w:hAnsi="宋体"/>
          <w:color w:val="auto"/>
          <w:szCs w:val="21"/>
          <w:highlight w:val="none"/>
        </w:rPr>
      </w:pPr>
      <w:r>
        <w:rPr>
          <w:rFonts w:hint="eastAsia" w:ascii="宋体" w:hAnsi="宋体"/>
          <w:color w:val="auto"/>
          <w:szCs w:val="21"/>
          <w:highlight w:val="none"/>
        </w:rPr>
        <w:t>四、采购需求中如标注“★”号或“必须”的条款为实质性条款，竞标人必须满足或优于，否则竞标无效。</w:t>
      </w:r>
    </w:p>
    <w:p>
      <w:pPr>
        <w:spacing w:line="460" w:lineRule="exact"/>
        <w:rPr>
          <w:rFonts w:hint="eastAsia" w:ascii="宋体" w:hAnsi="宋体"/>
          <w:color w:val="auto"/>
          <w:szCs w:val="21"/>
          <w:highlight w:val="none"/>
        </w:rPr>
      </w:pPr>
      <w:r>
        <w:rPr>
          <w:rFonts w:hint="eastAsia" w:ascii="宋体" w:hAnsi="宋体"/>
          <w:color w:val="auto"/>
          <w:szCs w:val="21"/>
          <w:highlight w:val="none"/>
          <w:lang w:val="en-US" w:eastAsia="zh-CN"/>
        </w:rPr>
        <w:t>五</w:t>
      </w:r>
      <w:r>
        <w:rPr>
          <w:rFonts w:hint="eastAsia" w:ascii="宋体" w:hAnsi="宋体"/>
          <w:color w:val="auto"/>
          <w:szCs w:val="21"/>
          <w:highlight w:val="none"/>
        </w:rPr>
        <w:t>、项目需求：</w:t>
      </w:r>
      <w:bookmarkEnd w:id="57"/>
      <w:bookmarkStart w:id="58" w:name="_Toc358477280"/>
      <w:bookmarkStart w:id="59" w:name="_Toc354479498"/>
    </w:p>
    <w:p>
      <w:pPr>
        <w:spacing w:line="360" w:lineRule="auto"/>
        <w:rPr>
          <w:rFonts w:ascii="宋体" w:hAnsi="宋体"/>
          <w:b/>
          <w:sz w:val="24"/>
          <w:highlight w:val="none"/>
        </w:rPr>
      </w:pPr>
      <w:r>
        <w:rPr>
          <w:rFonts w:ascii="宋体" w:hAnsi="宋体" w:cs="Calibri"/>
          <w:b/>
          <w:sz w:val="24"/>
          <w:highlight w:val="none"/>
        </w:rPr>
        <w:t>1.</w:t>
      </w:r>
      <w:r>
        <w:rPr>
          <w:rFonts w:ascii="宋体" w:hAnsi="宋体"/>
          <w:b/>
          <w:sz w:val="24"/>
          <w:highlight w:val="none"/>
        </w:rPr>
        <w:t>项目基本情况</w:t>
      </w:r>
    </w:p>
    <w:p>
      <w:pPr>
        <w:spacing w:line="360" w:lineRule="auto"/>
        <w:jc w:val="left"/>
        <w:rPr>
          <w:rFonts w:ascii="宋体" w:hAnsi="宋体" w:cs="Microsoft JhengHei"/>
          <w:kern w:val="0"/>
          <w:sz w:val="24"/>
          <w:szCs w:val="21"/>
          <w:highlight w:val="none"/>
        </w:rPr>
      </w:pPr>
      <w:r>
        <w:rPr>
          <w:rFonts w:ascii="宋体" w:hAnsi="宋体" w:cs="Calibri"/>
          <w:b/>
          <w:bCs/>
          <w:spacing w:val="-2"/>
          <w:kern w:val="0"/>
          <w:sz w:val="24"/>
          <w:szCs w:val="21"/>
          <w:highlight w:val="none"/>
          <w:lang w:eastAsia="en-US"/>
        </w:rPr>
        <w:t>1.1</w:t>
      </w:r>
      <w:r>
        <w:rPr>
          <w:rFonts w:ascii="宋体" w:hAnsi="宋体" w:cs="Microsoft JhengHei"/>
          <w:b/>
          <w:bCs/>
          <w:spacing w:val="-2"/>
          <w:kern w:val="0"/>
          <w:sz w:val="24"/>
          <w:szCs w:val="21"/>
          <w:highlight w:val="none"/>
          <w:lang w:eastAsia="en-US"/>
        </w:rPr>
        <w:t>物业情况</w:t>
      </w:r>
    </w:p>
    <w:tbl>
      <w:tblPr>
        <w:tblStyle w:val="36"/>
        <w:tblW w:w="0" w:type="auto"/>
        <w:jc w:val="center"/>
        <w:tblLayout w:type="autofit"/>
        <w:tblCellMar>
          <w:top w:w="0" w:type="dxa"/>
          <w:left w:w="0" w:type="dxa"/>
          <w:bottom w:w="0" w:type="dxa"/>
          <w:right w:w="0" w:type="dxa"/>
        </w:tblCellMar>
      </w:tblPr>
      <w:tblGrid>
        <w:gridCol w:w="4367"/>
        <w:gridCol w:w="3566"/>
      </w:tblGrid>
      <w:tr>
        <w:tblPrEx>
          <w:tblCellMar>
            <w:top w:w="0" w:type="dxa"/>
            <w:left w:w="0" w:type="dxa"/>
            <w:bottom w:w="0" w:type="dxa"/>
            <w:right w:w="0" w:type="dxa"/>
          </w:tblCellMar>
        </w:tblPrEx>
        <w:trPr>
          <w:trHeight w:val="644" w:hRule="exact"/>
          <w:jc w:val="center"/>
        </w:trPr>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25" w:line="430" w:lineRule="exact"/>
              <w:ind w:left="102"/>
              <w:jc w:val="center"/>
              <w:rPr>
                <w:rFonts w:ascii="宋体" w:hAnsi="宋体" w:cs="宋体"/>
                <w:kern w:val="0"/>
                <w:sz w:val="22"/>
                <w:szCs w:val="21"/>
                <w:highlight w:val="none"/>
                <w:lang w:eastAsia="en-US"/>
              </w:rPr>
            </w:pPr>
            <w:r>
              <w:rPr>
                <w:rFonts w:ascii="宋体" w:hAnsi="宋体" w:cs="宋体"/>
                <w:spacing w:val="-1"/>
                <w:kern w:val="0"/>
                <w:sz w:val="22"/>
                <w:szCs w:val="21"/>
                <w:highlight w:val="none"/>
                <w:lang w:eastAsia="en-US"/>
              </w:rPr>
              <w:t>物业名称</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25" w:line="430" w:lineRule="exact"/>
              <w:ind w:left="99"/>
              <w:jc w:val="center"/>
              <w:rPr>
                <w:rFonts w:ascii="宋体" w:hAnsi="宋体" w:cs="宋体"/>
                <w:kern w:val="0"/>
                <w:sz w:val="22"/>
                <w:szCs w:val="21"/>
                <w:highlight w:val="none"/>
                <w:lang w:eastAsia="en-US"/>
              </w:rPr>
            </w:pPr>
            <w:r>
              <w:rPr>
                <w:rFonts w:ascii="宋体" w:hAnsi="宋体" w:cs="宋体"/>
                <w:spacing w:val="-1"/>
                <w:kern w:val="0"/>
                <w:sz w:val="22"/>
                <w:szCs w:val="21"/>
                <w:highlight w:val="none"/>
                <w:lang w:eastAsia="en-US"/>
              </w:rPr>
              <w:t>物业地址</w:t>
            </w:r>
          </w:p>
        </w:tc>
      </w:tr>
      <w:tr>
        <w:tblPrEx>
          <w:tblCellMar>
            <w:top w:w="0" w:type="dxa"/>
            <w:left w:w="0" w:type="dxa"/>
            <w:bottom w:w="0" w:type="dxa"/>
            <w:right w:w="0" w:type="dxa"/>
          </w:tblCellMar>
        </w:tblPrEx>
        <w:trPr>
          <w:trHeight w:val="695" w:hRule="exact"/>
          <w:jc w:val="center"/>
        </w:trPr>
        <w:tc>
          <w:tcPr>
            <w:tcW w:w="436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39" w:line="430" w:lineRule="exact"/>
              <w:ind w:left="102"/>
              <w:jc w:val="center"/>
              <w:rPr>
                <w:rFonts w:hint="eastAsia" w:ascii="宋体" w:hAnsi="宋体" w:eastAsia="宋体" w:cs="楷体"/>
                <w:kern w:val="0"/>
                <w:sz w:val="22"/>
                <w:szCs w:val="21"/>
                <w:highlight w:val="none"/>
                <w:lang w:eastAsia="zh-CN"/>
              </w:rPr>
            </w:pPr>
            <w:r>
              <w:rPr>
                <w:rFonts w:hint="eastAsia" w:ascii="宋体" w:hAnsi="宋体" w:cs="仿宋_GB2312"/>
                <w:kern w:val="0"/>
                <w:sz w:val="22"/>
                <w:szCs w:val="22"/>
                <w:highlight w:val="none"/>
                <w:lang w:eastAsia="zh-CN"/>
              </w:rPr>
              <w:t>中共浦北县纪律检查委员会物业管理服务</w:t>
            </w:r>
          </w:p>
        </w:tc>
        <w:tc>
          <w:tcPr>
            <w:tcW w:w="356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38" w:line="430" w:lineRule="exact"/>
              <w:ind w:left="99"/>
              <w:jc w:val="center"/>
              <w:rPr>
                <w:rFonts w:ascii="宋体" w:hAnsi="宋体" w:cs="楷体"/>
                <w:kern w:val="0"/>
                <w:sz w:val="22"/>
                <w:szCs w:val="21"/>
                <w:highlight w:val="none"/>
              </w:rPr>
            </w:pPr>
            <w:r>
              <w:rPr>
                <w:rFonts w:hint="eastAsia" w:ascii="宋体" w:hAnsi="宋体"/>
                <w:kern w:val="0"/>
                <w:sz w:val="22"/>
                <w:szCs w:val="22"/>
                <w:highlight w:val="none"/>
              </w:rPr>
              <w:t>钦州市浦北县小江街道和谐路36号</w:t>
            </w:r>
          </w:p>
        </w:tc>
      </w:tr>
    </w:tbl>
    <w:p>
      <w:pPr>
        <w:rPr>
          <w:rFonts w:ascii="宋体" w:hAnsi="宋体"/>
          <w:highlight w:val="none"/>
        </w:rPr>
      </w:pPr>
    </w:p>
    <w:p>
      <w:pPr>
        <w:spacing w:line="360" w:lineRule="auto"/>
        <w:jc w:val="left"/>
        <w:rPr>
          <w:rFonts w:ascii="宋体" w:hAnsi="宋体" w:cs="Microsoft JhengHei"/>
          <w:b/>
          <w:bCs/>
          <w:spacing w:val="-2"/>
          <w:kern w:val="0"/>
          <w:sz w:val="22"/>
          <w:szCs w:val="21"/>
          <w:highlight w:val="none"/>
        </w:rPr>
      </w:pPr>
      <w:r>
        <w:rPr>
          <w:rFonts w:ascii="宋体" w:hAnsi="宋体" w:cs="Microsoft JhengHei"/>
          <w:b/>
          <w:bCs/>
          <w:spacing w:val="-2"/>
          <w:kern w:val="0"/>
          <w:sz w:val="22"/>
          <w:szCs w:val="21"/>
          <w:highlight w:val="none"/>
        </w:rPr>
        <w:t>1.2采购人提供供应商使用的场地、设施、设备、材料等。</w:t>
      </w:r>
    </w:p>
    <w:p>
      <w:pPr>
        <w:spacing w:line="360" w:lineRule="auto"/>
        <w:rPr>
          <w:rFonts w:ascii="宋体" w:hAnsi="宋体"/>
          <w:sz w:val="22"/>
          <w:szCs w:val="21"/>
          <w:highlight w:val="none"/>
        </w:rPr>
      </w:pPr>
      <w:r>
        <w:rPr>
          <w:rFonts w:hint="eastAsia" w:ascii="宋体" w:hAnsi="宋体"/>
          <w:sz w:val="22"/>
          <w:szCs w:val="21"/>
          <w:highlight w:val="none"/>
        </w:rPr>
        <w:t>(1)采购人提</w:t>
      </w:r>
      <w:r>
        <w:rPr>
          <w:rFonts w:hint="eastAsia" w:ascii="宋体" w:hAnsi="宋体"/>
          <w:sz w:val="22"/>
          <w:szCs w:val="21"/>
          <w:highlight w:val="none"/>
          <w:lang w:val="en-US" w:eastAsia="zh-CN"/>
        </w:rPr>
        <w:t>供</w:t>
      </w:r>
      <w:r>
        <w:rPr>
          <w:rFonts w:hint="eastAsia" w:ascii="宋体" w:hAnsi="宋体"/>
          <w:sz w:val="22"/>
          <w:szCs w:val="21"/>
          <w:highlight w:val="none"/>
          <w:lang w:eastAsia="zh-CN"/>
        </w:rPr>
        <w:t>：</w:t>
      </w:r>
      <w:r>
        <w:rPr>
          <w:rFonts w:hint="eastAsia" w:ascii="宋体" w:hAnsi="宋体"/>
          <w:sz w:val="22"/>
          <w:szCs w:val="21"/>
          <w:highlight w:val="none"/>
        </w:rPr>
        <w:t>办公室1间，14平方米，办公桌椅，木沙发;门卫室1间、15平方米、监控设备、办公桌椅、卫生间、空调；</w:t>
      </w:r>
    </w:p>
    <w:p>
      <w:pPr>
        <w:spacing w:line="360" w:lineRule="auto"/>
        <w:rPr>
          <w:rFonts w:ascii="宋体" w:hAnsi="宋体"/>
          <w:sz w:val="22"/>
          <w:szCs w:val="21"/>
          <w:highlight w:val="none"/>
        </w:rPr>
      </w:pPr>
      <w:r>
        <w:rPr>
          <w:rFonts w:hint="eastAsia" w:ascii="宋体" w:hAnsi="宋体"/>
          <w:sz w:val="22"/>
          <w:szCs w:val="21"/>
          <w:highlight w:val="none"/>
        </w:rPr>
        <w:t>(2)提供物业管理服务设备，一批安保服务使用的警、防暴装备之类；</w:t>
      </w:r>
    </w:p>
    <w:p>
      <w:pPr>
        <w:spacing w:line="360" w:lineRule="auto"/>
        <w:rPr>
          <w:rFonts w:ascii="宋体" w:hAnsi="宋体"/>
          <w:sz w:val="22"/>
          <w:szCs w:val="21"/>
          <w:highlight w:val="none"/>
        </w:rPr>
      </w:pPr>
      <w:r>
        <w:rPr>
          <w:rFonts w:hint="eastAsia" w:ascii="宋体" w:hAnsi="宋体"/>
          <w:sz w:val="22"/>
          <w:szCs w:val="21"/>
          <w:highlight w:val="none"/>
        </w:rPr>
        <w:t>(3)采购人提供食堂，餐费由供应商自理；</w:t>
      </w:r>
    </w:p>
    <w:p>
      <w:pPr>
        <w:spacing w:line="360" w:lineRule="auto"/>
        <w:rPr>
          <w:rFonts w:ascii="宋体" w:hAnsi="宋体"/>
          <w:sz w:val="22"/>
          <w:szCs w:val="21"/>
          <w:highlight w:val="none"/>
        </w:rPr>
      </w:pPr>
      <w:r>
        <w:rPr>
          <w:rFonts w:hint="eastAsia" w:ascii="宋体" w:hAnsi="宋体"/>
          <w:sz w:val="22"/>
          <w:szCs w:val="21"/>
          <w:highlight w:val="none"/>
        </w:rPr>
        <w:t>(4)采购人提供安保休息室，房间1间、15 平方米、上下床1张；</w:t>
      </w:r>
    </w:p>
    <w:p>
      <w:pPr>
        <w:spacing w:line="360" w:lineRule="auto"/>
        <w:rPr>
          <w:rFonts w:ascii="宋体" w:hAnsi="宋体"/>
          <w:sz w:val="22"/>
          <w:szCs w:val="21"/>
          <w:highlight w:val="none"/>
        </w:rPr>
      </w:pPr>
      <w:r>
        <w:rPr>
          <w:rFonts w:hint="eastAsia" w:ascii="宋体" w:hAnsi="宋体"/>
          <w:sz w:val="22"/>
          <w:szCs w:val="21"/>
          <w:highlight w:val="none"/>
        </w:rPr>
        <w:t>（</w:t>
      </w:r>
      <w:r>
        <w:rPr>
          <w:rFonts w:ascii="宋体" w:hAnsi="宋体" w:cs="Calibri"/>
          <w:sz w:val="22"/>
          <w:szCs w:val="21"/>
          <w:highlight w:val="none"/>
        </w:rPr>
        <w:t>5</w:t>
      </w:r>
      <w:r>
        <w:rPr>
          <w:rFonts w:hint="eastAsia" w:ascii="宋体" w:hAnsi="宋体"/>
          <w:sz w:val="22"/>
          <w:szCs w:val="21"/>
          <w:highlight w:val="none"/>
        </w:rPr>
        <w:t>）采购人可提供零星维修材料；</w:t>
      </w:r>
    </w:p>
    <w:p>
      <w:pPr>
        <w:spacing w:line="360" w:lineRule="auto"/>
        <w:rPr>
          <w:rFonts w:ascii="宋体" w:hAnsi="宋体"/>
          <w:sz w:val="22"/>
          <w:szCs w:val="21"/>
          <w:highlight w:val="none"/>
        </w:rPr>
      </w:pPr>
      <w:r>
        <w:rPr>
          <w:rFonts w:ascii="宋体" w:hAnsi="宋体"/>
          <w:sz w:val="22"/>
          <w:szCs w:val="21"/>
          <w:highlight w:val="none"/>
        </w:rPr>
        <w:t>（</w:t>
      </w:r>
      <w:r>
        <w:rPr>
          <w:rFonts w:hint="eastAsia" w:ascii="宋体" w:hAnsi="宋体"/>
          <w:sz w:val="22"/>
          <w:szCs w:val="21"/>
          <w:highlight w:val="none"/>
        </w:rPr>
        <w:t>6</w:t>
      </w:r>
      <w:r>
        <w:rPr>
          <w:rFonts w:ascii="宋体" w:hAnsi="宋体"/>
          <w:sz w:val="22"/>
          <w:szCs w:val="21"/>
          <w:highlight w:val="none"/>
        </w:rPr>
        <w:t>）</w:t>
      </w:r>
      <w:r>
        <w:rPr>
          <w:rFonts w:hint="eastAsia" w:ascii="宋体" w:hAnsi="宋体"/>
          <w:sz w:val="22"/>
          <w:szCs w:val="21"/>
          <w:highlight w:val="none"/>
        </w:rPr>
        <w:t>采购人可提供低值易耗品；</w:t>
      </w:r>
    </w:p>
    <w:p>
      <w:pPr>
        <w:spacing w:line="360" w:lineRule="auto"/>
        <w:rPr>
          <w:rFonts w:ascii="宋体" w:hAnsi="宋体"/>
          <w:sz w:val="22"/>
          <w:szCs w:val="21"/>
          <w:highlight w:val="none"/>
        </w:rPr>
      </w:pPr>
      <w:r>
        <w:rPr>
          <w:rFonts w:ascii="宋体" w:hAnsi="宋体"/>
          <w:sz w:val="22"/>
          <w:szCs w:val="21"/>
          <w:highlight w:val="none"/>
        </w:rPr>
        <w:t>（</w:t>
      </w:r>
      <w:r>
        <w:rPr>
          <w:rFonts w:hint="eastAsia" w:ascii="宋体" w:hAnsi="宋体"/>
          <w:sz w:val="22"/>
          <w:szCs w:val="21"/>
          <w:highlight w:val="none"/>
        </w:rPr>
        <w:t>7</w:t>
      </w:r>
      <w:r>
        <w:rPr>
          <w:rFonts w:ascii="宋体" w:hAnsi="宋体"/>
          <w:sz w:val="22"/>
          <w:szCs w:val="21"/>
          <w:highlight w:val="none"/>
        </w:rPr>
        <w:t>）</w:t>
      </w:r>
      <w:r>
        <w:rPr>
          <w:rFonts w:hint="eastAsia" w:ascii="宋体" w:hAnsi="宋体"/>
          <w:sz w:val="22"/>
          <w:szCs w:val="21"/>
          <w:highlight w:val="none"/>
        </w:rPr>
        <w:t>采购人可提供客耗品，需明确客耗品名称及数量，如厕纸、洗手液、擦手纸等。</w:t>
      </w:r>
    </w:p>
    <w:p>
      <w:pPr>
        <w:spacing w:line="360" w:lineRule="auto"/>
        <w:rPr>
          <w:rFonts w:ascii="宋体" w:hAnsi="宋体"/>
          <w:b/>
          <w:bCs/>
          <w:spacing w:val="-1"/>
          <w:kern w:val="0"/>
          <w:sz w:val="22"/>
          <w:szCs w:val="21"/>
          <w:highlight w:val="none"/>
        </w:rPr>
      </w:pPr>
      <w:r>
        <w:rPr>
          <w:rFonts w:ascii="宋体" w:hAnsi="宋体" w:cs="Calibri"/>
          <w:b/>
          <w:bCs/>
          <w:spacing w:val="-1"/>
          <w:kern w:val="0"/>
          <w:sz w:val="22"/>
          <w:szCs w:val="21"/>
          <w:highlight w:val="none"/>
        </w:rPr>
        <w:t>2.</w:t>
      </w:r>
      <w:r>
        <w:rPr>
          <w:rFonts w:ascii="宋体" w:hAnsi="宋体"/>
          <w:b/>
          <w:bCs/>
          <w:spacing w:val="-1"/>
          <w:kern w:val="0"/>
          <w:sz w:val="22"/>
          <w:szCs w:val="21"/>
          <w:highlight w:val="none"/>
        </w:rPr>
        <w:t>物业服务范围</w:t>
      </w:r>
    </w:p>
    <w:p>
      <w:pPr>
        <w:spacing w:line="360" w:lineRule="auto"/>
        <w:rPr>
          <w:rFonts w:ascii="宋体" w:hAnsi="宋体" w:cs="楷体"/>
          <w:spacing w:val="-2"/>
          <w:sz w:val="22"/>
          <w:szCs w:val="21"/>
          <w:highlight w:val="none"/>
        </w:rPr>
      </w:pPr>
      <w:r>
        <w:rPr>
          <w:rFonts w:hint="eastAsia" w:ascii="宋体" w:hAnsi="宋体" w:cs="仿宋_GB2312"/>
          <w:kern w:val="0"/>
          <w:sz w:val="22"/>
          <w:szCs w:val="22"/>
          <w:highlight w:val="none"/>
          <w:lang w:eastAsia="zh-CN"/>
        </w:rPr>
        <w:t>中共浦北县纪律检查委员会</w:t>
      </w:r>
      <w:r>
        <w:rPr>
          <w:rFonts w:hint="eastAsia" w:ascii="宋体" w:hAnsi="宋体" w:cs="楷体"/>
          <w:spacing w:val="-2"/>
          <w:sz w:val="22"/>
          <w:szCs w:val="21"/>
          <w:highlight w:val="none"/>
        </w:rPr>
        <w:t>办公楼及大院。</w:t>
      </w:r>
    </w:p>
    <w:p>
      <w:pPr>
        <w:spacing w:line="360" w:lineRule="auto"/>
        <w:rPr>
          <w:rFonts w:ascii="宋体" w:hAnsi="宋体" w:cs="Microsoft JhengHei"/>
          <w:b/>
          <w:bCs/>
          <w:spacing w:val="-2"/>
          <w:kern w:val="0"/>
          <w:sz w:val="22"/>
          <w:szCs w:val="21"/>
          <w:highlight w:val="none"/>
        </w:rPr>
      </w:pPr>
      <w:r>
        <w:rPr>
          <w:rFonts w:ascii="宋体" w:hAnsi="宋体" w:cs="Microsoft JhengHei"/>
          <w:b/>
          <w:bCs/>
          <w:spacing w:val="-2"/>
          <w:kern w:val="0"/>
          <w:sz w:val="22"/>
          <w:szCs w:val="21"/>
          <w:highlight w:val="none"/>
        </w:rPr>
        <w:t>(</w:t>
      </w:r>
      <w:r>
        <w:rPr>
          <w:rFonts w:ascii="宋体" w:hAnsi="宋体" w:cs="Calibri"/>
          <w:b/>
          <w:bCs/>
          <w:spacing w:val="-2"/>
          <w:kern w:val="0"/>
          <w:sz w:val="22"/>
          <w:szCs w:val="21"/>
          <w:highlight w:val="none"/>
        </w:rPr>
        <w:t>1</w:t>
      </w:r>
      <w:r>
        <w:rPr>
          <w:rFonts w:ascii="宋体" w:hAnsi="宋体" w:cs="Microsoft JhengHei"/>
          <w:b/>
          <w:bCs/>
          <w:spacing w:val="-2"/>
          <w:kern w:val="0"/>
          <w:sz w:val="22"/>
          <w:szCs w:val="21"/>
          <w:highlight w:val="none"/>
        </w:rPr>
        <w:t>)物业管理(建筑物)</w:t>
      </w:r>
    </w:p>
    <w:tbl>
      <w:tblPr>
        <w:tblStyle w:val="36"/>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985"/>
        <w:gridCol w:w="4110"/>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256" w:type="dxa"/>
            <w:gridSpan w:val="2"/>
            <w:shd w:val="clear" w:color="auto" w:fill="auto"/>
            <w:vAlign w:val="center"/>
          </w:tcPr>
          <w:p>
            <w:pPr>
              <w:widowControl/>
              <w:spacing w:line="430" w:lineRule="exact"/>
              <w:jc w:val="center"/>
              <w:rPr>
                <w:rFonts w:ascii="宋体" w:hAnsi="宋体"/>
                <w:b/>
                <w:bCs/>
                <w:kern w:val="0"/>
                <w:sz w:val="22"/>
                <w:szCs w:val="22"/>
                <w:highlight w:val="none"/>
              </w:rPr>
            </w:pPr>
            <w:r>
              <w:rPr>
                <w:rFonts w:hint="eastAsia" w:ascii="宋体" w:hAnsi="宋体"/>
                <w:b/>
                <w:bCs/>
                <w:kern w:val="0"/>
                <w:sz w:val="22"/>
                <w:szCs w:val="22"/>
                <w:highlight w:val="none"/>
              </w:rPr>
              <w:t>名称</w:t>
            </w:r>
          </w:p>
        </w:tc>
        <w:tc>
          <w:tcPr>
            <w:tcW w:w="4110" w:type="dxa"/>
            <w:shd w:val="clear" w:color="auto" w:fill="auto"/>
            <w:vAlign w:val="center"/>
          </w:tcPr>
          <w:p>
            <w:pPr>
              <w:widowControl/>
              <w:spacing w:line="430" w:lineRule="exact"/>
              <w:jc w:val="center"/>
              <w:rPr>
                <w:rFonts w:ascii="宋体" w:hAnsi="宋体"/>
                <w:b/>
                <w:bCs/>
                <w:kern w:val="0"/>
                <w:sz w:val="22"/>
                <w:szCs w:val="22"/>
                <w:highlight w:val="none"/>
              </w:rPr>
            </w:pPr>
            <w:r>
              <w:rPr>
                <w:rFonts w:hint="eastAsia" w:ascii="宋体" w:hAnsi="宋体"/>
                <w:b/>
                <w:bCs/>
                <w:kern w:val="0"/>
                <w:sz w:val="22"/>
                <w:szCs w:val="22"/>
                <w:highlight w:val="none"/>
              </w:rPr>
              <w:t>明细</w:t>
            </w:r>
          </w:p>
        </w:tc>
        <w:tc>
          <w:tcPr>
            <w:tcW w:w="2268" w:type="dxa"/>
            <w:shd w:val="clear" w:color="auto" w:fill="auto"/>
            <w:vAlign w:val="center"/>
          </w:tcPr>
          <w:p>
            <w:pPr>
              <w:widowControl/>
              <w:spacing w:line="430" w:lineRule="exact"/>
              <w:jc w:val="left"/>
              <w:rPr>
                <w:rFonts w:ascii="宋体" w:hAnsi="宋体"/>
                <w:b/>
                <w:bCs/>
                <w:kern w:val="0"/>
                <w:sz w:val="22"/>
                <w:szCs w:val="22"/>
                <w:highlight w:val="none"/>
              </w:rPr>
            </w:pPr>
            <w:r>
              <w:rPr>
                <w:rFonts w:hint="eastAsia" w:ascii="宋体" w:hAnsi="宋体"/>
                <w:b/>
                <w:bCs/>
                <w:kern w:val="0"/>
                <w:sz w:val="22"/>
                <w:szCs w:val="22"/>
                <w:highlight w:val="none"/>
              </w:rPr>
              <w:t>服务内容及标准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3" w:hRule="atLeast"/>
          <w:jc w:val="center"/>
        </w:trPr>
        <w:tc>
          <w:tcPr>
            <w:tcW w:w="3256" w:type="dxa"/>
            <w:gridSpan w:val="2"/>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cs="仿宋_GB2312"/>
                <w:kern w:val="0"/>
                <w:sz w:val="21"/>
                <w:szCs w:val="21"/>
                <w:highlight w:val="none"/>
                <w:lang w:eastAsia="zh-CN"/>
              </w:rPr>
              <w:t>中共浦北县纪律检查委员会</w:t>
            </w:r>
            <w:r>
              <w:rPr>
                <w:rFonts w:hint="eastAsia" w:ascii="宋体" w:hAnsi="宋体" w:cs="楷体"/>
                <w:spacing w:val="-2"/>
                <w:sz w:val="21"/>
                <w:szCs w:val="21"/>
                <w:highlight w:val="none"/>
              </w:rPr>
              <w:t>办公楼</w:t>
            </w:r>
          </w:p>
        </w:tc>
        <w:tc>
          <w:tcPr>
            <w:tcW w:w="4110" w:type="dxa"/>
            <w:shd w:val="clear" w:color="auto" w:fill="auto"/>
            <w:vAlign w:val="center"/>
          </w:tcPr>
          <w:p>
            <w:pPr>
              <w:widowControl/>
              <w:spacing w:line="430" w:lineRule="exact"/>
              <w:jc w:val="left"/>
              <w:rPr>
                <w:rFonts w:ascii="宋体" w:hAnsi="宋体"/>
                <w:kern w:val="0"/>
                <w:sz w:val="21"/>
                <w:szCs w:val="21"/>
                <w:highlight w:val="none"/>
              </w:rPr>
            </w:pPr>
            <w:r>
              <w:rPr>
                <w:rFonts w:hint="eastAsia" w:ascii="宋体" w:hAnsi="宋体"/>
                <w:kern w:val="0"/>
                <w:sz w:val="21"/>
                <w:szCs w:val="21"/>
                <w:highlight w:val="none"/>
              </w:rPr>
              <w:t>中心综合楼：地上1栋5</w:t>
            </w:r>
            <w:r>
              <w:rPr>
                <w:rFonts w:ascii="宋体" w:hAnsi="宋体"/>
                <w:kern w:val="0"/>
                <w:sz w:val="21"/>
                <w:szCs w:val="21"/>
                <w:highlight w:val="none"/>
              </w:rPr>
              <w:t>层</w:t>
            </w:r>
            <w:r>
              <w:rPr>
                <w:rFonts w:hint="eastAsia" w:ascii="宋体" w:hAnsi="宋体"/>
                <w:kern w:val="0"/>
                <w:sz w:val="21"/>
                <w:szCs w:val="21"/>
                <w:highlight w:val="none"/>
              </w:rPr>
              <w:t>，建筑面积为6570.38平方米；</w:t>
            </w:r>
          </w:p>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食堂</w:t>
            </w:r>
            <w:r>
              <w:rPr>
                <w:rFonts w:ascii="宋体" w:hAnsi="宋体"/>
                <w:kern w:val="0"/>
                <w:sz w:val="21"/>
                <w:szCs w:val="21"/>
                <w:highlight w:val="none"/>
              </w:rPr>
              <w:t>：地上1栋</w:t>
            </w:r>
            <w:r>
              <w:rPr>
                <w:rFonts w:hint="eastAsia" w:ascii="宋体" w:hAnsi="宋体"/>
                <w:kern w:val="0"/>
                <w:sz w:val="21"/>
                <w:szCs w:val="21"/>
                <w:highlight w:val="none"/>
              </w:rPr>
              <w:t>2</w:t>
            </w:r>
            <w:r>
              <w:rPr>
                <w:rFonts w:ascii="宋体" w:hAnsi="宋体"/>
                <w:kern w:val="0"/>
                <w:sz w:val="21"/>
                <w:szCs w:val="21"/>
                <w:highlight w:val="none"/>
              </w:rPr>
              <w:t>层</w:t>
            </w:r>
            <w:r>
              <w:rPr>
                <w:rFonts w:hint="eastAsia" w:ascii="宋体" w:hAnsi="宋体"/>
                <w:kern w:val="0"/>
                <w:sz w:val="21"/>
                <w:szCs w:val="21"/>
                <w:highlight w:val="none"/>
              </w:rPr>
              <w:t>，建筑面积为638.72平方米。</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ascii="宋体" w:hAnsi="宋体"/>
                <w:color w:val="000000"/>
                <w:kern w:val="0"/>
                <w:sz w:val="21"/>
                <w:szCs w:val="21"/>
                <w:highlight w:val="none"/>
              </w:rPr>
              <w:t>见“</w:t>
            </w:r>
            <w:r>
              <w:rPr>
                <w:rFonts w:ascii="宋体" w:hAnsi="宋体"/>
                <w:bCs/>
                <w:color w:val="000000"/>
                <w:kern w:val="0"/>
                <w:sz w:val="21"/>
                <w:szCs w:val="21"/>
                <w:highlight w:val="none"/>
              </w:rPr>
              <w:t>3.物业管理服务内容及标准</w:t>
            </w:r>
            <w:r>
              <w:rPr>
                <w:rFonts w:hint="eastAsia" w:ascii="宋体" w:hAnsi="宋体"/>
                <w:color w:val="000000"/>
                <w:kern w:val="0"/>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71" w:type="dxa"/>
            <w:vMerge w:val="restart"/>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总面积</w:t>
            </w: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建筑面积(㎡)</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ascii="宋体" w:hAnsi="宋体" w:cs="Arial"/>
                <w:kern w:val="0"/>
                <w:sz w:val="21"/>
                <w:szCs w:val="21"/>
                <w:highlight w:val="none"/>
              </w:rPr>
              <w:t>7209.10</w:t>
            </w:r>
            <w:r>
              <w:rPr>
                <w:rFonts w:hint="eastAsia" w:ascii="宋体" w:hAnsi="宋体" w:cs="Arial"/>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w:t>
            </w:r>
            <w:r>
              <w:rPr>
                <w:rFonts w:ascii="宋体" w:hAnsi="宋体" w:cs="Calibri"/>
                <w:kern w:val="0"/>
                <w:sz w:val="21"/>
                <w:szCs w:val="21"/>
                <w:highlight w:val="none"/>
              </w:rPr>
              <w:t>3.</w:t>
            </w:r>
            <w:r>
              <w:rPr>
                <w:rFonts w:hint="eastAsia" w:ascii="宋体" w:hAnsi="宋体" w:cs="Calibri"/>
                <w:kern w:val="0"/>
                <w:sz w:val="21"/>
                <w:szCs w:val="21"/>
                <w:highlight w:val="none"/>
              </w:rPr>
              <w:t>4</w:t>
            </w:r>
            <w:r>
              <w:rPr>
                <w:rFonts w:hint="eastAsia" w:ascii="宋体" w:hAnsi="宋体"/>
                <w:kern w:val="0"/>
                <w:sz w:val="21"/>
                <w:szCs w:val="21"/>
                <w:highlight w:val="none"/>
              </w:rPr>
              <w:t>保安服务”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271" w:type="dxa"/>
            <w:vMerge w:val="continue"/>
            <w:shd w:val="clear" w:color="auto" w:fill="auto"/>
            <w:vAlign w:val="center"/>
          </w:tcPr>
          <w:p>
            <w:pPr>
              <w:widowControl/>
              <w:spacing w:line="430" w:lineRule="exact"/>
              <w:jc w:val="left"/>
              <w:rPr>
                <w:rFonts w:ascii="宋体" w:hAnsi="宋体"/>
                <w:color w:val="000000"/>
                <w:kern w:val="0"/>
                <w:sz w:val="21"/>
                <w:szCs w:val="21"/>
                <w:highlight w:val="none"/>
              </w:rPr>
            </w:pP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需保洁面积(㎡)</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地面面积</w:t>
            </w:r>
            <w:r>
              <w:rPr>
                <w:rFonts w:ascii="宋体" w:hAnsi="宋体" w:cs="Arial"/>
                <w:kern w:val="0"/>
                <w:sz w:val="21"/>
                <w:szCs w:val="21"/>
                <w:highlight w:val="none"/>
              </w:rPr>
              <w:t>6570.38</w:t>
            </w:r>
            <w:r>
              <w:rPr>
                <w:rFonts w:hint="eastAsia" w:ascii="宋体" w:hAnsi="宋体" w:cs="Arial"/>
                <w:kern w:val="0"/>
                <w:sz w:val="21"/>
                <w:szCs w:val="21"/>
                <w:highlight w:val="none"/>
              </w:rPr>
              <w:t>平方米，建筑面积约</w:t>
            </w:r>
            <w:r>
              <w:rPr>
                <w:rFonts w:ascii="宋体" w:hAnsi="宋体" w:cs="Arial"/>
                <w:kern w:val="0"/>
                <w:sz w:val="21"/>
                <w:szCs w:val="21"/>
                <w:highlight w:val="none"/>
              </w:rPr>
              <w:t xml:space="preserve">6570.38 </w:t>
            </w:r>
            <w:r>
              <w:rPr>
                <w:rFonts w:hint="eastAsia" w:ascii="宋体" w:hAnsi="宋体" w:cs="Arial"/>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门窗</w:t>
            </w:r>
          </w:p>
        </w:tc>
        <w:tc>
          <w:tcPr>
            <w:tcW w:w="1985"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门窗总数量(个)及总面积(㎡)</w:t>
            </w:r>
          </w:p>
        </w:tc>
        <w:tc>
          <w:tcPr>
            <w:tcW w:w="4110" w:type="dxa"/>
            <w:shd w:val="clear" w:color="auto" w:fill="auto"/>
            <w:vAlign w:val="center"/>
          </w:tcPr>
          <w:p>
            <w:pPr>
              <w:widowControl/>
              <w:spacing w:line="430" w:lineRule="exact"/>
              <w:rPr>
                <w:rFonts w:ascii="宋体" w:hAnsi="宋体" w:cs="Arial"/>
                <w:kern w:val="0"/>
                <w:sz w:val="21"/>
                <w:szCs w:val="21"/>
                <w:highlight w:val="none"/>
              </w:rPr>
            </w:pPr>
            <w:r>
              <w:rPr>
                <w:rFonts w:hint="eastAsia" w:ascii="宋体" w:hAnsi="宋体"/>
                <w:kern w:val="0"/>
                <w:sz w:val="21"/>
                <w:szCs w:val="21"/>
                <w:highlight w:val="none"/>
              </w:rPr>
              <w:t>（1）综合楼：普通门</w:t>
            </w:r>
            <w:r>
              <w:rPr>
                <w:rFonts w:ascii="宋体" w:hAnsi="宋体"/>
                <w:kern w:val="0"/>
                <w:sz w:val="21"/>
                <w:szCs w:val="21"/>
                <w:highlight w:val="none"/>
              </w:rPr>
              <w:t>213</w:t>
            </w:r>
            <w:r>
              <w:rPr>
                <w:rFonts w:hint="eastAsia" w:ascii="宋体" w:hAnsi="宋体"/>
                <w:kern w:val="0"/>
                <w:sz w:val="21"/>
                <w:szCs w:val="21"/>
                <w:highlight w:val="none"/>
              </w:rPr>
              <w:t>个，乙级防火门2</w:t>
            </w:r>
            <w:r>
              <w:rPr>
                <w:rFonts w:ascii="宋体" w:hAnsi="宋体"/>
                <w:kern w:val="0"/>
                <w:sz w:val="21"/>
                <w:szCs w:val="21"/>
                <w:highlight w:val="none"/>
              </w:rPr>
              <w:t>8个，丙级防火门</w:t>
            </w:r>
            <w:r>
              <w:rPr>
                <w:rFonts w:hint="eastAsia" w:ascii="宋体" w:hAnsi="宋体"/>
                <w:kern w:val="0"/>
                <w:sz w:val="21"/>
                <w:szCs w:val="21"/>
                <w:highlight w:val="none"/>
              </w:rPr>
              <w:t>1</w:t>
            </w:r>
            <w:r>
              <w:rPr>
                <w:rFonts w:ascii="宋体" w:hAnsi="宋体"/>
                <w:kern w:val="0"/>
                <w:sz w:val="21"/>
                <w:szCs w:val="21"/>
                <w:highlight w:val="none"/>
              </w:rPr>
              <w:t>8个；</w:t>
            </w:r>
            <w:r>
              <w:rPr>
                <w:rFonts w:hint="eastAsia" w:ascii="宋体" w:hAnsi="宋体"/>
                <w:kern w:val="0"/>
                <w:sz w:val="21"/>
                <w:szCs w:val="21"/>
                <w:highlight w:val="none"/>
              </w:rPr>
              <w:t>窗</w:t>
            </w:r>
            <w:r>
              <w:rPr>
                <w:rFonts w:ascii="宋体" w:hAnsi="宋体"/>
                <w:kern w:val="0"/>
                <w:sz w:val="21"/>
                <w:szCs w:val="21"/>
                <w:highlight w:val="none"/>
              </w:rPr>
              <w:t>191</w:t>
            </w:r>
            <w:r>
              <w:rPr>
                <w:rFonts w:hint="eastAsia" w:ascii="宋体" w:hAnsi="宋体"/>
                <w:kern w:val="0"/>
                <w:sz w:val="21"/>
                <w:szCs w:val="21"/>
                <w:highlight w:val="none"/>
              </w:rPr>
              <w:t>个</w:t>
            </w:r>
            <w:r>
              <w:rPr>
                <w:rFonts w:hint="eastAsia" w:ascii="宋体" w:hAnsi="宋体" w:cs="Arial"/>
                <w:kern w:val="0"/>
                <w:sz w:val="21"/>
                <w:szCs w:val="21"/>
                <w:highlight w:val="none"/>
              </w:rPr>
              <w:t>。</w:t>
            </w:r>
          </w:p>
          <w:p>
            <w:pPr>
              <w:widowControl/>
              <w:spacing w:line="430" w:lineRule="exact"/>
              <w:rPr>
                <w:rFonts w:ascii="宋体" w:hAnsi="宋体"/>
                <w:kern w:val="0"/>
                <w:sz w:val="21"/>
                <w:szCs w:val="21"/>
                <w:highlight w:val="none"/>
              </w:rPr>
            </w:pPr>
            <w:r>
              <w:rPr>
                <w:rFonts w:hint="eastAsia" w:ascii="宋体" w:hAnsi="宋体"/>
                <w:kern w:val="0"/>
                <w:sz w:val="21"/>
                <w:szCs w:val="21"/>
                <w:highlight w:val="none"/>
              </w:rPr>
              <w:t>（2）食堂：普通门1</w:t>
            </w:r>
            <w:r>
              <w:rPr>
                <w:rFonts w:ascii="宋体" w:hAnsi="宋体"/>
                <w:kern w:val="0"/>
                <w:sz w:val="21"/>
                <w:szCs w:val="21"/>
                <w:highlight w:val="none"/>
              </w:rPr>
              <w:t>0个，甲级防火门</w:t>
            </w:r>
            <w:r>
              <w:rPr>
                <w:rFonts w:hint="eastAsia" w:ascii="宋体" w:hAnsi="宋体"/>
                <w:kern w:val="0"/>
                <w:sz w:val="21"/>
                <w:szCs w:val="21"/>
                <w:highlight w:val="none"/>
              </w:rPr>
              <w:t>3个；普通窗3</w:t>
            </w:r>
            <w:r>
              <w:rPr>
                <w:rFonts w:ascii="宋体" w:hAnsi="宋体"/>
                <w:kern w:val="0"/>
                <w:sz w:val="21"/>
                <w:szCs w:val="21"/>
                <w:highlight w:val="none"/>
              </w:rPr>
              <w:t>0个；洞口</w:t>
            </w:r>
            <w:r>
              <w:rPr>
                <w:rFonts w:hint="eastAsia" w:ascii="宋体" w:hAnsi="宋体"/>
                <w:kern w:val="0"/>
                <w:sz w:val="21"/>
                <w:szCs w:val="21"/>
                <w:highlight w:val="none"/>
              </w:rPr>
              <w:t>4个；组合门窗2个。</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地面</w:t>
            </w:r>
          </w:p>
        </w:tc>
        <w:tc>
          <w:tcPr>
            <w:tcW w:w="1985" w:type="dxa"/>
            <w:shd w:val="clear" w:color="auto" w:fill="auto"/>
            <w:vAlign w:val="center"/>
          </w:tcPr>
          <w:p>
            <w:pPr>
              <w:pStyle w:val="152"/>
              <w:rPr>
                <w:rFonts w:hAnsi="宋体"/>
                <w:sz w:val="21"/>
                <w:szCs w:val="21"/>
                <w:highlight w:val="none"/>
              </w:rPr>
            </w:pPr>
            <w:r>
              <w:rPr>
                <w:rFonts w:hint="eastAsia" w:hAnsi="宋体"/>
                <w:sz w:val="21"/>
                <w:szCs w:val="21"/>
                <w:highlight w:val="none"/>
              </w:rPr>
              <w:t>地面各材质及总面积(㎡)</w:t>
            </w:r>
          </w:p>
        </w:tc>
        <w:tc>
          <w:tcPr>
            <w:tcW w:w="4110" w:type="dxa"/>
            <w:shd w:val="clear" w:color="auto" w:fill="auto"/>
            <w:vAlign w:val="center"/>
          </w:tcPr>
          <w:p>
            <w:pPr>
              <w:widowControl/>
              <w:spacing w:line="430" w:lineRule="exact"/>
              <w:rPr>
                <w:rFonts w:ascii="宋体" w:hAnsi="宋体"/>
                <w:kern w:val="0"/>
                <w:sz w:val="21"/>
                <w:szCs w:val="21"/>
                <w:highlight w:val="none"/>
              </w:rPr>
            </w:pPr>
            <w:r>
              <w:rPr>
                <w:rFonts w:hint="eastAsia" w:ascii="宋体" w:hAnsi="宋体"/>
                <w:kern w:val="0"/>
                <w:sz w:val="21"/>
                <w:szCs w:val="21"/>
                <w:highlight w:val="none"/>
              </w:rPr>
              <w:t>瓷砖总面积约为6</w:t>
            </w:r>
            <w:r>
              <w:rPr>
                <w:rFonts w:ascii="宋体" w:hAnsi="宋体"/>
                <w:kern w:val="0"/>
                <w:sz w:val="21"/>
                <w:szCs w:val="21"/>
                <w:highlight w:val="none"/>
              </w:rPr>
              <w:t>000.00</w:t>
            </w:r>
            <w:r>
              <w:rPr>
                <w:rFonts w:hint="eastAsia" w:ascii="宋体" w:hAnsi="宋体" w:cs="Arial"/>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kern w:val="0"/>
                <w:sz w:val="21"/>
                <w:szCs w:val="21"/>
                <w:highlight w:val="none"/>
              </w:rPr>
            </w:pPr>
            <w:r>
              <w:rPr>
                <w:rFonts w:hint="eastAsia" w:ascii="宋体" w:hAnsi="宋体"/>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外墙</w:t>
            </w:r>
          </w:p>
        </w:tc>
        <w:tc>
          <w:tcPr>
            <w:tcW w:w="1985" w:type="dxa"/>
            <w:shd w:val="clear" w:color="auto" w:fill="auto"/>
            <w:vAlign w:val="center"/>
          </w:tcPr>
          <w:p>
            <w:pPr>
              <w:pStyle w:val="152"/>
              <w:jc w:val="both"/>
              <w:rPr>
                <w:rFonts w:hAnsi="宋体"/>
                <w:sz w:val="21"/>
                <w:szCs w:val="21"/>
                <w:highlight w:val="none"/>
              </w:rPr>
            </w:pPr>
            <w:r>
              <w:rPr>
                <w:rFonts w:hint="eastAsia" w:hAnsi="宋体"/>
                <w:sz w:val="21"/>
                <w:szCs w:val="21"/>
                <w:highlight w:val="none"/>
              </w:rPr>
              <w:t>外墙各材质及总面积(㎡)</w:t>
            </w:r>
          </w:p>
        </w:tc>
        <w:tc>
          <w:tcPr>
            <w:tcW w:w="4110" w:type="dxa"/>
            <w:shd w:val="clear" w:color="auto" w:fill="auto"/>
            <w:vAlign w:val="center"/>
          </w:tcPr>
          <w:p>
            <w:pPr>
              <w:widowControl/>
              <w:spacing w:line="430" w:lineRule="exact"/>
              <w:rPr>
                <w:rFonts w:ascii="宋体" w:hAnsi="宋体"/>
                <w:kern w:val="0"/>
                <w:sz w:val="21"/>
                <w:szCs w:val="21"/>
                <w:highlight w:val="none"/>
              </w:rPr>
            </w:pPr>
            <w:r>
              <w:rPr>
                <w:rFonts w:hint="eastAsia" w:ascii="宋体" w:hAnsi="宋体"/>
                <w:kern w:val="0"/>
                <w:sz w:val="21"/>
                <w:szCs w:val="21"/>
                <w:highlight w:val="none"/>
              </w:rPr>
              <w:t>约5</w:t>
            </w:r>
            <w:r>
              <w:rPr>
                <w:rFonts w:ascii="宋体" w:hAnsi="宋体"/>
                <w:kern w:val="0"/>
                <w:sz w:val="21"/>
                <w:szCs w:val="21"/>
                <w:highlight w:val="none"/>
              </w:rPr>
              <w:t>600平方米</w:t>
            </w:r>
          </w:p>
        </w:tc>
        <w:tc>
          <w:tcPr>
            <w:tcW w:w="2268" w:type="dxa"/>
            <w:shd w:val="clear" w:color="auto" w:fill="auto"/>
            <w:vAlign w:val="center"/>
          </w:tcPr>
          <w:p>
            <w:pPr>
              <w:widowControl/>
              <w:spacing w:line="430" w:lineRule="exact"/>
              <w:jc w:val="left"/>
              <w:rPr>
                <w:rFonts w:ascii="宋体" w:hAnsi="宋体"/>
                <w:kern w:val="0"/>
                <w:sz w:val="21"/>
                <w:szCs w:val="21"/>
                <w:highlight w:val="none"/>
              </w:rPr>
            </w:pPr>
            <w:r>
              <w:rPr>
                <w:rFonts w:hint="eastAsia" w:ascii="宋体" w:hAnsi="宋体"/>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3" w:hRule="atLeast"/>
          <w:jc w:val="center"/>
        </w:trPr>
        <w:tc>
          <w:tcPr>
            <w:tcW w:w="1271" w:type="dxa"/>
            <w:vMerge w:val="restart"/>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会议室</w:t>
            </w: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室内设施说明</w:t>
            </w:r>
          </w:p>
        </w:tc>
        <w:tc>
          <w:tcPr>
            <w:tcW w:w="4110" w:type="dxa"/>
            <w:shd w:val="clear" w:color="auto" w:fill="auto"/>
            <w:vAlign w:val="center"/>
          </w:tcPr>
          <w:p>
            <w:pPr>
              <w:widowControl/>
              <w:spacing w:line="430" w:lineRule="exact"/>
              <w:ind w:left="660" w:hanging="630" w:hangingChars="300"/>
              <w:rPr>
                <w:rFonts w:ascii="宋体" w:hAnsi="宋体"/>
                <w:color w:val="000000"/>
                <w:kern w:val="0"/>
                <w:sz w:val="21"/>
                <w:szCs w:val="21"/>
                <w:highlight w:val="none"/>
              </w:rPr>
            </w:pPr>
            <w:r>
              <w:rPr>
                <w:rFonts w:hint="eastAsia" w:ascii="宋体" w:hAnsi="宋体"/>
                <w:kern w:val="0"/>
                <w:sz w:val="21"/>
                <w:szCs w:val="21"/>
                <w:highlight w:val="none"/>
              </w:rPr>
              <w:t>会议桌</w:t>
            </w:r>
            <w:r>
              <w:rPr>
                <w:rFonts w:ascii="宋体" w:hAnsi="宋体"/>
                <w:kern w:val="0"/>
                <w:sz w:val="21"/>
                <w:szCs w:val="21"/>
                <w:highlight w:val="none"/>
              </w:rPr>
              <w:t>2</w:t>
            </w:r>
            <w:r>
              <w:rPr>
                <w:rFonts w:hint="eastAsia" w:ascii="宋体" w:hAnsi="宋体"/>
                <w:kern w:val="0"/>
                <w:sz w:val="21"/>
                <w:szCs w:val="21"/>
                <w:highlight w:val="none"/>
              </w:rPr>
              <w:t>张、会议椅</w:t>
            </w:r>
            <w:r>
              <w:rPr>
                <w:rFonts w:ascii="宋体" w:hAnsi="宋体"/>
                <w:kern w:val="0"/>
                <w:sz w:val="21"/>
                <w:szCs w:val="21"/>
                <w:highlight w:val="none"/>
              </w:rPr>
              <w:t>40</w:t>
            </w:r>
            <w:r>
              <w:rPr>
                <w:rFonts w:hint="eastAsia" w:ascii="宋体" w:hAnsi="宋体"/>
                <w:kern w:val="0"/>
                <w:sz w:val="21"/>
                <w:szCs w:val="21"/>
                <w:highlight w:val="none"/>
              </w:rPr>
              <w:t>张。</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w:t>
            </w:r>
            <w:r>
              <w:rPr>
                <w:rFonts w:ascii="宋体" w:hAnsi="宋体" w:cs="Calibri"/>
                <w:kern w:val="0"/>
                <w:sz w:val="21"/>
                <w:szCs w:val="21"/>
                <w:highlight w:val="none"/>
              </w:rPr>
              <w:t xml:space="preserve"> “3.</w:t>
            </w:r>
            <w:r>
              <w:rPr>
                <w:rFonts w:hint="eastAsia" w:ascii="宋体" w:hAnsi="宋体" w:cs="Calibri"/>
                <w:kern w:val="0"/>
                <w:sz w:val="21"/>
                <w:szCs w:val="21"/>
                <w:highlight w:val="none"/>
              </w:rPr>
              <w:t>3</w:t>
            </w:r>
            <w:r>
              <w:rPr>
                <w:rFonts w:hint="eastAsia" w:ascii="宋体" w:hAnsi="宋体"/>
                <w:kern w:val="0"/>
                <w:sz w:val="21"/>
                <w:szCs w:val="21"/>
                <w:highlight w:val="none"/>
              </w:rPr>
              <w:t>保</w:t>
            </w:r>
            <w:r>
              <w:rPr>
                <w:rFonts w:ascii="宋体" w:hAnsi="宋体" w:cs="Calibri"/>
                <w:kern w:val="0"/>
                <w:sz w:val="21"/>
                <w:szCs w:val="21"/>
                <w:highlight w:val="none"/>
              </w:rPr>
              <w:t>洁服务”</w:t>
            </w:r>
            <w:r>
              <w:rPr>
                <w:rFonts w:ascii="宋体" w:hAnsi="宋体"/>
                <w:color w:val="000000"/>
                <w:kern w:val="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271" w:type="dxa"/>
            <w:vMerge w:val="continue"/>
            <w:shd w:val="clear" w:color="auto" w:fill="auto"/>
            <w:vAlign w:val="center"/>
          </w:tcPr>
          <w:p>
            <w:pPr>
              <w:widowControl/>
              <w:spacing w:line="430" w:lineRule="exact"/>
              <w:jc w:val="left"/>
              <w:rPr>
                <w:rFonts w:ascii="宋体" w:hAnsi="宋体"/>
                <w:color w:val="000000"/>
                <w:kern w:val="0"/>
                <w:sz w:val="21"/>
                <w:szCs w:val="21"/>
                <w:highlight w:val="none"/>
              </w:rPr>
            </w:pPr>
          </w:p>
        </w:tc>
        <w:tc>
          <w:tcPr>
            <w:tcW w:w="1985"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会议室数量(个)及总面积(㎡)</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会议室</w:t>
            </w:r>
            <w:r>
              <w:rPr>
                <w:rFonts w:ascii="宋体" w:hAnsi="宋体" w:cs="Arial"/>
                <w:kern w:val="0"/>
                <w:sz w:val="21"/>
                <w:szCs w:val="21"/>
                <w:highlight w:val="none"/>
              </w:rPr>
              <w:t>2</w:t>
            </w:r>
            <w:r>
              <w:rPr>
                <w:rFonts w:hint="eastAsia" w:ascii="宋体" w:hAnsi="宋体" w:cs="Arial"/>
                <w:kern w:val="0"/>
                <w:sz w:val="21"/>
                <w:szCs w:val="21"/>
                <w:highlight w:val="none"/>
              </w:rPr>
              <w:t>个，总面积约1</w:t>
            </w:r>
            <w:r>
              <w:rPr>
                <w:rFonts w:ascii="宋体" w:hAnsi="宋体" w:cs="Arial"/>
                <w:kern w:val="0"/>
                <w:sz w:val="21"/>
                <w:szCs w:val="21"/>
                <w:highlight w:val="none"/>
              </w:rPr>
              <w:t>50</w:t>
            </w:r>
            <w:r>
              <w:rPr>
                <w:rFonts w:hint="eastAsia" w:ascii="宋体" w:hAnsi="宋体" w:cs="Arial"/>
                <w:kern w:val="0"/>
                <w:sz w:val="21"/>
                <w:szCs w:val="21"/>
                <w:highlight w:val="none"/>
              </w:rPr>
              <w:t>平方米。</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见“3.2保洁服务”</w:t>
            </w:r>
            <w:r>
              <w:rPr>
                <w:rFonts w:ascii="宋体" w:hAnsi="宋体"/>
                <w:color w:val="000000"/>
                <w:kern w:val="0"/>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卫生间</w:t>
            </w:r>
          </w:p>
        </w:tc>
        <w:tc>
          <w:tcPr>
            <w:tcW w:w="1985"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卫生间数量(个)及总面积(㎡)</w:t>
            </w:r>
          </w:p>
        </w:tc>
        <w:tc>
          <w:tcPr>
            <w:tcW w:w="4110" w:type="dxa"/>
            <w:shd w:val="clear" w:color="auto" w:fill="auto"/>
            <w:vAlign w:val="center"/>
          </w:tcPr>
          <w:p>
            <w:pPr>
              <w:widowControl/>
              <w:spacing w:line="430" w:lineRule="exact"/>
              <w:rPr>
                <w:rFonts w:ascii="宋体" w:hAnsi="宋体" w:cs="Arial"/>
                <w:kern w:val="0"/>
                <w:sz w:val="21"/>
                <w:szCs w:val="21"/>
                <w:highlight w:val="none"/>
              </w:rPr>
            </w:pPr>
            <w:r>
              <w:rPr>
                <w:rFonts w:hint="eastAsia" w:ascii="宋体" w:hAnsi="宋体"/>
                <w:kern w:val="0"/>
                <w:sz w:val="21"/>
                <w:szCs w:val="21"/>
                <w:highlight w:val="none"/>
              </w:rPr>
              <w:t>1-5楼</w:t>
            </w:r>
            <w:r>
              <w:rPr>
                <w:rFonts w:hint="eastAsia" w:ascii="宋体" w:hAnsi="宋体" w:cs="Arial"/>
                <w:kern w:val="0"/>
                <w:sz w:val="21"/>
                <w:szCs w:val="21"/>
                <w:highlight w:val="none"/>
              </w:rPr>
              <w:t>卫生间数量</w:t>
            </w:r>
            <w:r>
              <w:rPr>
                <w:rFonts w:ascii="宋体" w:hAnsi="宋体" w:cs="Arial"/>
                <w:kern w:val="0"/>
                <w:sz w:val="21"/>
                <w:szCs w:val="21"/>
                <w:highlight w:val="none"/>
              </w:rPr>
              <w:t>9</w:t>
            </w:r>
            <w:r>
              <w:rPr>
                <w:rFonts w:hint="eastAsia" w:ascii="宋体" w:hAnsi="宋体" w:cs="Arial"/>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垃圾存放点</w:t>
            </w:r>
          </w:p>
        </w:tc>
        <w:tc>
          <w:tcPr>
            <w:tcW w:w="1985" w:type="dxa"/>
            <w:shd w:val="clear" w:color="auto" w:fill="auto"/>
            <w:vAlign w:val="center"/>
          </w:tcPr>
          <w:p>
            <w:pPr>
              <w:widowControl/>
              <w:rPr>
                <w:rFonts w:ascii="宋体" w:hAnsi="宋体"/>
                <w:color w:val="000000"/>
                <w:kern w:val="0"/>
                <w:sz w:val="21"/>
                <w:szCs w:val="21"/>
                <w:highlight w:val="none"/>
              </w:rPr>
            </w:pPr>
            <w:r>
              <w:rPr>
                <w:rFonts w:hint="eastAsia" w:ascii="宋体" w:hAnsi="宋体"/>
                <w:kern w:val="0"/>
                <w:sz w:val="21"/>
                <w:szCs w:val="21"/>
                <w:highlight w:val="none"/>
              </w:rPr>
              <w:t>各垃圾存放点位置、面积(㎡)及数量(个)</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垃圾存放点</w:t>
            </w:r>
            <w:r>
              <w:rPr>
                <w:rFonts w:ascii="宋体" w:hAnsi="宋体" w:cs="Arial"/>
                <w:kern w:val="0"/>
                <w:sz w:val="21"/>
                <w:szCs w:val="21"/>
                <w:highlight w:val="none"/>
              </w:rPr>
              <w:t>1</w:t>
            </w:r>
            <w:r>
              <w:rPr>
                <w:rFonts w:hint="eastAsia" w:ascii="宋体" w:hAnsi="宋体" w:cs="Arial"/>
                <w:kern w:val="0"/>
                <w:sz w:val="21"/>
                <w:szCs w:val="21"/>
                <w:highlight w:val="none"/>
              </w:rPr>
              <w:t>个。</w:t>
            </w:r>
          </w:p>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综合楼垃圾桶：小垃圾桶9</w:t>
            </w:r>
            <w:r>
              <w:rPr>
                <w:rFonts w:ascii="宋体" w:hAnsi="宋体" w:cs="Arial"/>
                <w:kern w:val="0"/>
                <w:sz w:val="21"/>
                <w:szCs w:val="21"/>
                <w:highlight w:val="none"/>
              </w:rPr>
              <w:t>6个，中垃圾桶</w:t>
            </w:r>
            <w:r>
              <w:rPr>
                <w:rFonts w:hint="eastAsia" w:ascii="宋体" w:hAnsi="宋体" w:cs="Arial"/>
                <w:kern w:val="0"/>
                <w:sz w:val="21"/>
                <w:szCs w:val="21"/>
                <w:highlight w:val="none"/>
              </w:rPr>
              <w:t>5个，大垃圾桶2个。</w:t>
            </w:r>
          </w:p>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饭堂垃圾桶：中垃圾桶2个。</w:t>
            </w:r>
          </w:p>
          <w:p>
            <w:pPr>
              <w:widowControl/>
              <w:spacing w:line="430" w:lineRule="exact"/>
              <w:jc w:val="left"/>
              <w:rPr>
                <w:rFonts w:ascii="宋体" w:hAnsi="宋体" w:cs="Arial"/>
                <w:kern w:val="0"/>
                <w:sz w:val="21"/>
                <w:szCs w:val="21"/>
                <w:highlight w:val="none"/>
              </w:rPr>
            </w:pPr>
            <w:r>
              <w:rPr>
                <w:rFonts w:ascii="宋体" w:hAnsi="宋体" w:cs="Arial"/>
                <w:kern w:val="0"/>
                <w:sz w:val="21"/>
                <w:szCs w:val="21"/>
                <w:highlight w:val="none"/>
              </w:rPr>
              <w:t>外围垃圾桶：大垃圾桶</w:t>
            </w:r>
            <w:r>
              <w:rPr>
                <w:rFonts w:hint="eastAsia" w:ascii="宋体" w:hAnsi="宋体" w:cs="Arial"/>
                <w:kern w:val="0"/>
                <w:sz w:val="21"/>
                <w:szCs w:val="21"/>
                <w:highlight w:val="none"/>
              </w:rPr>
              <w:t>2个。</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271"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车位数</w:t>
            </w: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地面车位数</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地面车位</w:t>
            </w:r>
            <w:r>
              <w:rPr>
                <w:rFonts w:ascii="宋体" w:hAnsi="宋体" w:cs="Arial"/>
                <w:kern w:val="0"/>
                <w:sz w:val="21"/>
                <w:szCs w:val="21"/>
                <w:highlight w:val="none"/>
              </w:rPr>
              <w:t>30</w:t>
            </w:r>
            <w:r>
              <w:rPr>
                <w:rFonts w:hint="eastAsia" w:ascii="宋体" w:hAnsi="宋体" w:cs="Arial"/>
                <w:kern w:val="0"/>
                <w:sz w:val="21"/>
                <w:szCs w:val="21"/>
                <w:highlight w:val="none"/>
              </w:rPr>
              <w:t>个，充电桩车位</w:t>
            </w:r>
            <w:r>
              <w:rPr>
                <w:rFonts w:ascii="宋体" w:hAnsi="宋体" w:cs="Arial"/>
                <w:kern w:val="0"/>
                <w:sz w:val="21"/>
                <w:szCs w:val="21"/>
                <w:highlight w:val="none"/>
              </w:rPr>
              <w:t>1</w:t>
            </w:r>
            <w:r>
              <w:rPr>
                <w:rFonts w:hint="eastAsia" w:ascii="宋体" w:hAnsi="宋体" w:cs="Arial"/>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见“3.4保安服务” 见“3.2保洁服务”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271" w:type="dxa"/>
            <w:vMerge w:val="restart"/>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车行</w:t>
            </w:r>
            <w:r>
              <w:rPr>
                <w:rFonts w:ascii="宋体" w:hAnsi="宋体" w:cs="Calibri"/>
                <w:kern w:val="0"/>
                <w:sz w:val="21"/>
                <w:szCs w:val="21"/>
                <w:highlight w:val="none"/>
              </w:rPr>
              <w:t>/</w:t>
            </w:r>
            <w:r>
              <w:rPr>
                <w:rFonts w:hint="eastAsia" w:ascii="宋体" w:hAnsi="宋体"/>
                <w:kern w:val="0"/>
                <w:sz w:val="21"/>
                <w:szCs w:val="21"/>
                <w:highlight w:val="none"/>
              </w:rPr>
              <w:t>人行</w:t>
            </w: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车行口</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车行口数量</w:t>
            </w:r>
            <w:r>
              <w:rPr>
                <w:rFonts w:ascii="宋体" w:hAnsi="宋体" w:cs="Arial"/>
                <w:kern w:val="0"/>
                <w:sz w:val="21"/>
                <w:szCs w:val="21"/>
                <w:highlight w:val="none"/>
              </w:rPr>
              <w:t>1</w:t>
            </w:r>
            <w:r>
              <w:rPr>
                <w:rFonts w:hint="eastAsia" w:ascii="宋体" w:hAnsi="宋体" w:cs="Arial"/>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 xml:space="preserve">见“3.4保安服务”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271" w:type="dxa"/>
            <w:vMerge w:val="continue"/>
            <w:shd w:val="clear" w:color="auto" w:fill="auto"/>
            <w:vAlign w:val="center"/>
          </w:tcPr>
          <w:p>
            <w:pPr>
              <w:widowControl/>
              <w:spacing w:line="430" w:lineRule="exact"/>
              <w:jc w:val="left"/>
              <w:rPr>
                <w:rFonts w:ascii="宋体" w:hAnsi="宋体" w:cs="Arial"/>
                <w:kern w:val="0"/>
                <w:sz w:val="21"/>
                <w:szCs w:val="21"/>
                <w:highlight w:val="none"/>
              </w:rPr>
            </w:pP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人行口</w:t>
            </w:r>
          </w:p>
        </w:tc>
        <w:tc>
          <w:tcPr>
            <w:tcW w:w="4110"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人行口数量</w:t>
            </w:r>
            <w:r>
              <w:rPr>
                <w:rFonts w:ascii="宋体" w:hAnsi="宋体" w:cs="Arial"/>
                <w:kern w:val="0"/>
                <w:sz w:val="21"/>
                <w:szCs w:val="21"/>
                <w:highlight w:val="none"/>
              </w:rPr>
              <w:t>1</w:t>
            </w:r>
            <w:r>
              <w:rPr>
                <w:rFonts w:hint="eastAsia" w:ascii="宋体" w:hAnsi="宋体" w:cs="Arial"/>
                <w:kern w:val="0"/>
                <w:sz w:val="21"/>
                <w:szCs w:val="21"/>
                <w:highlight w:val="none"/>
              </w:rPr>
              <w:t>个</w:t>
            </w:r>
          </w:p>
        </w:tc>
        <w:tc>
          <w:tcPr>
            <w:tcW w:w="2268" w:type="dxa"/>
            <w:shd w:val="clear" w:color="auto" w:fill="auto"/>
            <w:vAlign w:val="center"/>
          </w:tcPr>
          <w:p>
            <w:pPr>
              <w:widowControl/>
              <w:spacing w:line="430" w:lineRule="exact"/>
              <w:jc w:val="left"/>
              <w:rPr>
                <w:rFonts w:ascii="宋体" w:hAnsi="宋体"/>
                <w:color w:val="000000"/>
                <w:kern w:val="0"/>
                <w:sz w:val="21"/>
                <w:szCs w:val="21"/>
                <w:highlight w:val="none"/>
              </w:rPr>
            </w:pPr>
            <w:r>
              <w:rPr>
                <w:rFonts w:hint="eastAsia" w:ascii="宋体" w:hAnsi="宋体"/>
                <w:kern w:val="0"/>
                <w:sz w:val="21"/>
                <w:szCs w:val="21"/>
                <w:highlight w:val="none"/>
              </w:rPr>
              <w:t xml:space="preserve">见“3.4保安服务”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271" w:type="dxa"/>
            <w:vMerge w:val="restart"/>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设施设备</w:t>
            </w: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cs="Arial"/>
                <w:kern w:val="0"/>
                <w:sz w:val="21"/>
                <w:szCs w:val="21"/>
                <w:highlight w:val="none"/>
              </w:rPr>
              <w:t>电梯系统</w:t>
            </w:r>
          </w:p>
        </w:tc>
        <w:tc>
          <w:tcPr>
            <w:tcW w:w="4110" w:type="dxa"/>
            <w:shd w:val="clear" w:color="auto" w:fill="auto"/>
            <w:vAlign w:val="center"/>
          </w:tcPr>
          <w:p>
            <w:pPr>
              <w:widowControl/>
              <w:rPr>
                <w:rFonts w:ascii="宋体" w:hAnsi="宋体" w:cs="Arial"/>
                <w:kern w:val="0"/>
                <w:sz w:val="21"/>
                <w:szCs w:val="21"/>
                <w:highlight w:val="none"/>
              </w:rPr>
            </w:pPr>
            <w:r>
              <w:rPr>
                <w:rFonts w:hint="eastAsia" w:ascii="宋体" w:hAnsi="宋体" w:cs="Arial"/>
                <w:kern w:val="0"/>
                <w:sz w:val="21"/>
                <w:szCs w:val="21"/>
                <w:highlight w:val="none"/>
              </w:rPr>
              <w:t>客梯</w:t>
            </w:r>
            <w:r>
              <w:rPr>
                <w:rFonts w:ascii="宋体" w:hAnsi="宋体" w:cs="Arial"/>
                <w:kern w:val="0"/>
                <w:sz w:val="21"/>
                <w:szCs w:val="21"/>
                <w:highlight w:val="none"/>
              </w:rPr>
              <w:t>2台</w:t>
            </w:r>
          </w:p>
        </w:tc>
        <w:tc>
          <w:tcPr>
            <w:tcW w:w="2268" w:type="dxa"/>
            <w:shd w:val="clear" w:color="auto" w:fill="auto"/>
            <w:vAlign w:val="center"/>
          </w:tcPr>
          <w:p>
            <w:pPr>
              <w:widowControl/>
              <w:spacing w:line="430" w:lineRule="exact"/>
              <w:jc w:val="left"/>
              <w:rPr>
                <w:rFonts w:ascii="宋体" w:hAnsi="宋体"/>
                <w:kern w:val="0"/>
                <w:sz w:val="21"/>
                <w:szCs w:val="21"/>
                <w:highlight w:val="none"/>
              </w:rPr>
            </w:pPr>
            <w:r>
              <w:rPr>
                <w:rFonts w:hint="eastAsia" w:ascii="宋体" w:hAnsi="宋体"/>
                <w:kern w:val="0"/>
                <w:sz w:val="21"/>
                <w:szCs w:val="21"/>
                <w:highlight w:val="none"/>
              </w:rPr>
              <w:t>见“3.2保洁服务”6.4报价组成</w:t>
            </w:r>
          </w:p>
          <w:p>
            <w:pPr>
              <w:widowControl/>
              <w:spacing w:line="430" w:lineRule="exact"/>
              <w:jc w:val="left"/>
              <w:rPr>
                <w:rFonts w:ascii="宋体" w:hAnsi="宋体"/>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271" w:type="dxa"/>
            <w:vMerge w:val="continue"/>
            <w:shd w:val="clear" w:color="auto" w:fill="auto"/>
            <w:vAlign w:val="center"/>
          </w:tcPr>
          <w:p>
            <w:pPr>
              <w:widowControl/>
              <w:spacing w:line="430" w:lineRule="exact"/>
              <w:jc w:val="left"/>
              <w:rPr>
                <w:rFonts w:ascii="宋体" w:hAnsi="宋体" w:cs="Arial"/>
                <w:kern w:val="0"/>
                <w:sz w:val="21"/>
                <w:szCs w:val="21"/>
                <w:highlight w:val="none"/>
              </w:rPr>
            </w:pPr>
          </w:p>
        </w:tc>
        <w:tc>
          <w:tcPr>
            <w:tcW w:w="1985" w:type="dxa"/>
            <w:shd w:val="clear" w:color="auto" w:fill="auto"/>
            <w:vAlign w:val="center"/>
          </w:tcPr>
          <w:p>
            <w:pPr>
              <w:widowControl/>
              <w:spacing w:line="430" w:lineRule="exact"/>
              <w:jc w:val="left"/>
              <w:rPr>
                <w:rFonts w:ascii="宋体" w:hAnsi="宋体" w:cs="Arial"/>
                <w:kern w:val="0"/>
                <w:sz w:val="21"/>
                <w:szCs w:val="21"/>
                <w:highlight w:val="none"/>
              </w:rPr>
            </w:pPr>
            <w:r>
              <w:rPr>
                <w:rFonts w:hint="eastAsia" w:ascii="宋体" w:hAnsi="宋体"/>
                <w:sz w:val="21"/>
                <w:szCs w:val="21"/>
                <w:highlight w:val="none"/>
              </w:rPr>
              <w:t>空调系统</w:t>
            </w:r>
          </w:p>
        </w:tc>
        <w:tc>
          <w:tcPr>
            <w:tcW w:w="4110" w:type="dxa"/>
            <w:shd w:val="clear" w:color="auto" w:fill="auto"/>
            <w:vAlign w:val="center"/>
          </w:tcPr>
          <w:p>
            <w:pPr>
              <w:widowControl/>
              <w:rPr>
                <w:rFonts w:ascii="宋体" w:hAnsi="宋体"/>
                <w:sz w:val="21"/>
                <w:szCs w:val="21"/>
                <w:highlight w:val="none"/>
              </w:rPr>
            </w:pPr>
            <w:r>
              <w:rPr>
                <w:rFonts w:hint="eastAsia" w:ascii="宋体" w:hAnsi="宋体"/>
                <w:sz w:val="21"/>
                <w:szCs w:val="21"/>
                <w:highlight w:val="none"/>
              </w:rPr>
              <w:t>空气源中央空调</w:t>
            </w:r>
            <w:r>
              <w:rPr>
                <w:rFonts w:ascii="宋体" w:hAnsi="宋体"/>
                <w:sz w:val="21"/>
                <w:szCs w:val="21"/>
                <w:highlight w:val="none"/>
              </w:rPr>
              <w:t>5</w:t>
            </w:r>
            <w:r>
              <w:rPr>
                <w:rFonts w:hint="eastAsia" w:ascii="宋体" w:hAnsi="宋体"/>
                <w:sz w:val="21"/>
                <w:szCs w:val="21"/>
                <w:highlight w:val="none"/>
              </w:rPr>
              <w:t>组；</w:t>
            </w:r>
          </w:p>
          <w:p>
            <w:pPr>
              <w:widowControl/>
              <w:rPr>
                <w:rFonts w:ascii="宋体" w:hAnsi="宋体"/>
                <w:sz w:val="21"/>
                <w:szCs w:val="21"/>
                <w:highlight w:val="none"/>
              </w:rPr>
            </w:pPr>
            <w:r>
              <w:rPr>
                <w:rFonts w:hint="eastAsia" w:ascii="宋体" w:hAnsi="宋体"/>
                <w:sz w:val="21"/>
                <w:szCs w:val="21"/>
                <w:highlight w:val="none"/>
              </w:rPr>
              <w:t>立式空调</w:t>
            </w:r>
            <w:r>
              <w:rPr>
                <w:rFonts w:ascii="宋体" w:hAnsi="宋体"/>
                <w:sz w:val="21"/>
                <w:szCs w:val="21"/>
                <w:highlight w:val="none"/>
              </w:rPr>
              <w:t>14</w:t>
            </w:r>
            <w:r>
              <w:rPr>
                <w:rFonts w:hint="eastAsia" w:ascii="宋体" w:hAnsi="宋体"/>
                <w:sz w:val="21"/>
                <w:szCs w:val="21"/>
                <w:highlight w:val="none"/>
              </w:rPr>
              <w:t>台；</w:t>
            </w:r>
          </w:p>
          <w:p>
            <w:pPr>
              <w:widowControl/>
              <w:rPr>
                <w:rFonts w:ascii="宋体" w:hAnsi="宋体" w:cs="Arial"/>
                <w:kern w:val="0"/>
                <w:sz w:val="21"/>
                <w:szCs w:val="21"/>
                <w:highlight w:val="none"/>
              </w:rPr>
            </w:pPr>
            <w:r>
              <w:rPr>
                <w:rFonts w:hint="eastAsia" w:ascii="宋体" w:hAnsi="宋体"/>
                <w:sz w:val="21"/>
                <w:szCs w:val="21"/>
                <w:highlight w:val="none"/>
              </w:rPr>
              <w:t>壁挂式空调</w:t>
            </w:r>
            <w:r>
              <w:rPr>
                <w:rFonts w:ascii="宋体" w:hAnsi="宋体"/>
                <w:sz w:val="21"/>
                <w:szCs w:val="21"/>
                <w:highlight w:val="none"/>
              </w:rPr>
              <w:t>1</w:t>
            </w:r>
            <w:r>
              <w:rPr>
                <w:rFonts w:hint="eastAsia" w:ascii="宋体" w:hAnsi="宋体"/>
                <w:sz w:val="21"/>
                <w:szCs w:val="21"/>
                <w:highlight w:val="none"/>
              </w:rPr>
              <w:t>台。</w:t>
            </w:r>
          </w:p>
        </w:tc>
        <w:tc>
          <w:tcPr>
            <w:tcW w:w="2268" w:type="dxa"/>
            <w:shd w:val="clear" w:color="auto" w:fill="auto"/>
            <w:vAlign w:val="center"/>
          </w:tcPr>
          <w:p>
            <w:pPr>
              <w:widowControl/>
              <w:spacing w:line="430" w:lineRule="exact"/>
              <w:jc w:val="left"/>
              <w:rPr>
                <w:rFonts w:ascii="宋体" w:hAnsi="宋体"/>
                <w:kern w:val="0"/>
                <w:sz w:val="21"/>
                <w:szCs w:val="21"/>
                <w:highlight w:val="none"/>
              </w:rPr>
            </w:pPr>
            <w:r>
              <w:rPr>
                <w:rFonts w:hint="eastAsia" w:ascii="宋体" w:hAnsi="宋体"/>
                <w:kern w:val="0"/>
                <w:sz w:val="21"/>
                <w:szCs w:val="21"/>
                <w:highlight w:val="none"/>
              </w:rPr>
              <w:t>6.4报价组成</w:t>
            </w:r>
          </w:p>
          <w:p>
            <w:pPr>
              <w:widowControl/>
              <w:spacing w:line="430" w:lineRule="exact"/>
              <w:jc w:val="left"/>
              <w:rPr>
                <w:rFonts w:ascii="宋体" w:hAnsi="宋体"/>
                <w:kern w:val="0"/>
                <w:sz w:val="21"/>
                <w:szCs w:val="21"/>
                <w:highlight w:val="none"/>
              </w:rPr>
            </w:pPr>
          </w:p>
        </w:tc>
      </w:tr>
    </w:tbl>
    <w:p>
      <w:pPr>
        <w:rPr>
          <w:rFonts w:ascii="宋体" w:hAnsi="宋体"/>
          <w:szCs w:val="21"/>
          <w:highlight w:val="none"/>
        </w:rPr>
      </w:pPr>
    </w:p>
    <w:p>
      <w:pPr>
        <w:rPr>
          <w:rFonts w:ascii="宋体" w:hAnsi="宋体"/>
          <w:szCs w:val="21"/>
          <w:highlight w:val="none"/>
        </w:rPr>
      </w:pPr>
    </w:p>
    <w:p>
      <w:pPr>
        <w:rPr>
          <w:b/>
          <w:highlight w:val="none"/>
        </w:rPr>
      </w:pPr>
      <w:r>
        <w:rPr>
          <w:rFonts w:ascii="宋体" w:hAnsi="宋体"/>
          <w:b/>
          <w:szCs w:val="21"/>
          <w:highlight w:val="none"/>
        </w:rPr>
        <w:t>（</w:t>
      </w:r>
      <w:r>
        <w:rPr>
          <w:rFonts w:hint="eastAsia" w:ascii="宋体" w:hAnsi="宋体"/>
          <w:b/>
          <w:szCs w:val="21"/>
          <w:highlight w:val="none"/>
        </w:rPr>
        <w:t>2</w:t>
      </w:r>
      <w:r>
        <w:rPr>
          <w:rFonts w:ascii="宋体" w:hAnsi="宋体"/>
          <w:b/>
          <w:szCs w:val="21"/>
          <w:highlight w:val="none"/>
        </w:rPr>
        <w:t>）</w:t>
      </w:r>
      <w:r>
        <w:rPr>
          <w:rFonts w:hint="eastAsia"/>
          <w:b/>
          <w:highlight w:val="none"/>
        </w:rPr>
        <w:t>物业管理（室外）</w:t>
      </w:r>
    </w:p>
    <w:tbl>
      <w:tblPr>
        <w:tblStyle w:val="37"/>
        <w:tblW w:w="9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tcPr>
          <w:p>
            <w:pPr>
              <w:jc w:val="center"/>
              <w:rPr>
                <w:b/>
                <w:kern w:val="0"/>
                <w:sz w:val="22"/>
                <w:highlight w:val="none"/>
              </w:rPr>
            </w:pPr>
            <w:r>
              <w:rPr>
                <w:rFonts w:hint="eastAsia"/>
                <w:b/>
                <w:kern w:val="0"/>
                <w:sz w:val="22"/>
                <w:highlight w:val="none"/>
              </w:rPr>
              <w:t>名称</w:t>
            </w:r>
          </w:p>
        </w:tc>
        <w:tc>
          <w:tcPr>
            <w:tcW w:w="2841" w:type="dxa"/>
          </w:tcPr>
          <w:p>
            <w:pPr>
              <w:jc w:val="center"/>
              <w:rPr>
                <w:b/>
                <w:kern w:val="0"/>
                <w:sz w:val="22"/>
                <w:highlight w:val="none"/>
              </w:rPr>
            </w:pPr>
            <w:r>
              <w:rPr>
                <w:rFonts w:hint="eastAsia"/>
                <w:b/>
                <w:kern w:val="0"/>
                <w:sz w:val="22"/>
                <w:highlight w:val="none"/>
              </w:rPr>
              <w:t>明细</w:t>
            </w:r>
          </w:p>
        </w:tc>
        <w:tc>
          <w:tcPr>
            <w:tcW w:w="3820" w:type="dxa"/>
          </w:tcPr>
          <w:p>
            <w:pPr>
              <w:jc w:val="center"/>
              <w:rPr>
                <w:b/>
                <w:kern w:val="0"/>
                <w:sz w:val="22"/>
                <w:highlight w:val="none"/>
              </w:rPr>
            </w:pPr>
            <w:r>
              <w:rPr>
                <w:rFonts w:hint="eastAsia"/>
                <w:b/>
                <w:kern w:val="0"/>
                <w:sz w:val="22"/>
                <w:highlight w:val="none"/>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室外面积（㎡）</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1496.76㎡</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见“3.2保洁服务”“3.4保安服务”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绿化面积</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200㎡</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见“3.2保洁服务”“3.3绿化服务”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广场</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1296.76㎡</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见“3.2保洁服务”“3.4保安服务”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路灯、草坪、音箱</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20个</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消防栓</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3个</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“3.2保洁服务”“3.4保安服务”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垃圾箱</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2个</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见“3.2保洁服务”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室外配电箱</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1个</w:t>
            </w:r>
          </w:p>
        </w:tc>
        <w:tc>
          <w:tcPr>
            <w:tcW w:w="3820" w:type="dxa"/>
          </w:tcPr>
          <w:p>
            <w:pPr>
              <w:widowControl/>
              <w:spacing w:line="430" w:lineRule="exact"/>
              <w:jc w:val="left"/>
              <w:rPr>
                <w:rFonts w:ascii="宋体" w:hAnsi="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门前三包</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10㎡</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露台</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5㎡</w:t>
            </w:r>
          </w:p>
        </w:tc>
        <w:tc>
          <w:tcPr>
            <w:tcW w:w="3820" w:type="dxa"/>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“3.2保洁服务”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监控</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 xml:space="preserve">20个 </w:t>
            </w:r>
          </w:p>
        </w:tc>
        <w:tc>
          <w:tcPr>
            <w:tcW w:w="3820" w:type="dxa"/>
          </w:tcPr>
          <w:p>
            <w:pPr>
              <w:widowControl/>
              <w:spacing w:line="430" w:lineRule="exact"/>
              <w:jc w:val="left"/>
              <w:rPr>
                <w:rFonts w:ascii="宋体" w:hAnsi="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840"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指示牌、显示屏</w:t>
            </w:r>
          </w:p>
        </w:tc>
        <w:tc>
          <w:tcPr>
            <w:tcW w:w="2841" w:type="dxa"/>
            <w:vAlign w:val="center"/>
          </w:tcPr>
          <w:p>
            <w:pPr>
              <w:widowControl/>
              <w:spacing w:line="430" w:lineRule="exact"/>
              <w:jc w:val="left"/>
              <w:rPr>
                <w:rFonts w:ascii="宋体" w:hAnsi="宋体"/>
                <w:kern w:val="0"/>
                <w:sz w:val="22"/>
                <w:szCs w:val="21"/>
                <w:highlight w:val="none"/>
              </w:rPr>
            </w:pPr>
            <w:r>
              <w:rPr>
                <w:rFonts w:hint="eastAsia" w:ascii="宋体" w:hAnsi="宋体"/>
                <w:kern w:val="0"/>
                <w:sz w:val="22"/>
                <w:szCs w:val="21"/>
                <w:highlight w:val="none"/>
              </w:rPr>
              <w:t>0数量</w:t>
            </w:r>
          </w:p>
        </w:tc>
        <w:tc>
          <w:tcPr>
            <w:tcW w:w="3820" w:type="dxa"/>
          </w:tcPr>
          <w:p>
            <w:pPr>
              <w:widowControl/>
              <w:spacing w:line="430" w:lineRule="exact"/>
              <w:jc w:val="left"/>
              <w:rPr>
                <w:rFonts w:ascii="宋体" w:hAnsi="宋体"/>
                <w:kern w:val="0"/>
                <w:sz w:val="22"/>
                <w:szCs w:val="21"/>
                <w:highlight w:val="none"/>
              </w:rPr>
            </w:pPr>
          </w:p>
        </w:tc>
      </w:tr>
    </w:tbl>
    <w:p>
      <w:pPr>
        <w:rPr>
          <w:rFonts w:ascii="宋体" w:hAnsi="宋体"/>
          <w:szCs w:val="21"/>
          <w:highlight w:val="none"/>
        </w:rPr>
      </w:pPr>
    </w:p>
    <w:p>
      <w:pPr>
        <w:spacing w:line="360" w:lineRule="auto"/>
        <w:rPr>
          <w:rFonts w:ascii="宋体" w:hAnsi="宋体" w:cs="宋体"/>
          <w:b/>
          <w:bCs/>
          <w:sz w:val="22"/>
          <w:szCs w:val="21"/>
          <w:highlight w:val="none"/>
        </w:rPr>
      </w:pPr>
      <w:r>
        <w:rPr>
          <w:rFonts w:ascii="宋体" w:hAnsi="宋体"/>
          <w:b/>
          <w:bCs/>
          <w:sz w:val="22"/>
          <w:szCs w:val="21"/>
          <w:highlight w:val="none"/>
        </w:rPr>
        <w:t>3.</w:t>
      </w:r>
      <w:r>
        <w:rPr>
          <w:rFonts w:hint="eastAsia" w:ascii="宋体" w:hAnsi="宋体" w:cs="宋体"/>
          <w:b/>
          <w:bCs/>
          <w:sz w:val="22"/>
          <w:szCs w:val="21"/>
          <w:highlight w:val="none"/>
        </w:rPr>
        <w:t>物业管理服务内容及标准</w:t>
      </w:r>
    </w:p>
    <w:p>
      <w:pPr>
        <w:spacing w:line="360" w:lineRule="auto"/>
        <w:ind w:firstLine="432" w:firstLineChars="200"/>
        <w:jc w:val="left"/>
        <w:rPr>
          <w:rFonts w:ascii="宋体" w:hAnsi="宋体"/>
          <w:spacing w:val="-2"/>
          <w:kern w:val="0"/>
          <w:sz w:val="22"/>
          <w:szCs w:val="21"/>
          <w:highlight w:val="none"/>
        </w:rPr>
      </w:pPr>
      <w:r>
        <w:rPr>
          <w:rFonts w:ascii="宋体" w:hAnsi="宋体"/>
          <w:spacing w:val="-2"/>
          <w:kern w:val="0"/>
          <w:sz w:val="22"/>
          <w:szCs w:val="21"/>
          <w:highlight w:val="none"/>
        </w:rPr>
        <w:t>物业管理服务包括基本服务、</w:t>
      </w:r>
      <w:r>
        <w:rPr>
          <w:rFonts w:hint="eastAsia" w:ascii="宋体" w:hAnsi="宋体"/>
          <w:sz w:val="22"/>
          <w:szCs w:val="21"/>
          <w:highlight w:val="none"/>
        </w:rPr>
        <w:t>安全保卫服务、卫生保洁及绿化养护服务、食堂后勤服务</w:t>
      </w:r>
      <w:r>
        <w:rPr>
          <w:rFonts w:ascii="宋体" w:hAnsi="宋体"/>
          <w:spacing w:val="-2"/>
          <w:kern w:val="0"/>
          <w:sz w:val="22"/>
          <w:szCs w:val="21"/>
          <w:highlight w:val="none"/>
        </w:rPr>
        <w:t>等。</w:t>
      </w:r>
    </w:p>
    <w:p>
      <w:pPr>
        <w:spacing w:line="360" w:lineRule="auto"/>
        <w:ind w:firstLine="221" w:firstLineChars="100"/>
        <w:rPr>
          <w:rFonts w:ascii="宋体" w:hAnsi="宋体"/>
          <w:b/>
          <w:sz w:val="22"/>
          <w:highlight w:val="none"/>
        </w:rPr>
      </w:pPr>
      <w:r>
        <w:rPr>
          <w:rFonts w:hint="eastAsia" w:ascii="宋体" w:hAnsi="宋体"/>
          <w:b/>
          <w:sz w:val="22"/>
          <w:highlight w:val="none"/>
        </w:rPr>
        <w:t>3.1基本服务</w:t>
      </w:r>
    </w:p>
    <w:tbl>
      <w:tblPr>
        <w:tblStyle w:val="37"/>
        <w:tblW w:w="9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76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0" w:type="dxa"/>
            <w:vAlign w:val="center"/>
          </w:tcPr>
          <w:p>
            <w:pPr>
              <w:jc w:val="center"/>
              <w:rPr>
                <w:rFonts w:ascii="宋体" w:hAnsi="宋体"/>
                <w:b/>
                <w:kern w:val="0"/>
                <w:sz w:val="22"/>
                <w:szCs w:val="22"/>
                <w:highlight w:val="none"/>
              </w:rPr>
            </w:pPr>
            <w:r>
              <w:rPr>
                <w:rFonts w:hint="eastAsia" w:ascii="宋体" w:hAnsi="宋体"/>
                <w:b/>
                <w:kern w:val="0"/>
                <w:sz w:val="22"/>
                <w:szCs w:val="22"/>
                <w:highlight w:val="none"/>
              </w:rPr>
              <w:t>序号</w:t>
            </w:r>
          </w:p>
        </w:tc>
        <w:tc>
          <w:tcPr>
            <w:tcW w:w="1766" w:type="dxa"/>
            <w:vAlign w:val="center"/>
          </w:tcPr>
          <w:p>
            <w:pPr>
              <w:jc w:val="center"/>
              <w:rPr>
                <w:rFonts w:ascii="宋体" w:hAnsi="宋体"/>
                <w:b/>
                <w:kern w:val="0"/>
                <w:sz w:val="22"/>
                <w:szCs w:val="22"/>
                <w:highlight w:val="none"/>
              </w:rPr>
            </w:pPr>
            <w:r>
              <w:rPr>
                <w:rFonts w:hint="eastAsia" w:ascii="宋体" w:hAnsi="宋体"/>
                <w:b/>
                <w:kern w:val="0"/>
                <w:sz w:val="22"/>
                <w:szCs w:val="22"/>
                <w:highlight w:val="none"/>
              </w:rPr>
              <w:t>服务内容</w:t>
            </w:r>
          </w:p>
        </w:tc>
        <w:tc>
          <w:tcPr>
            <w:tcW w:w="6802" w:type="dxa"/>
            <w:vAlign w:val="center"/>
          </w:tcPr>
          <w:p>
            <w:pPr>
              <w:jc w:val="center"/>
              <w:rPr>
                <w:rFonts w:ascii="宋体" w:hAnsi="宋体"/>
                <w:b/>
                <w:kern w:val="0"/>
                <w:sz w:val="22"/>
                <w:szCs w:val="22"/>
                <w:highlight w:val="none"/>
              </w:rPr>
            </w:pPr>
            <w:r>
              <w:rPr>
                <w:rFonts w:hint="eastAsia" w:ascii="宋体" w:hAnsi="宋体"/>
                <w:b/>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1</w:t>
            </w:r>
          </w:p>
        </w:tc>
        <w:tc>
          <w:tcPr>
            <w:tcW w:w="1766" w:type="dxa"/>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目标与责任</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（1）结合采购人要求及物业服务实际情况，制定年度管理目标，明确责任分工，制定配套项目服务实施方案。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2</w:t>
            </w:r>
          </w:p>
        </w:tc>
        <w:tc>
          <w:tcPr>
            <w:tcW w:w="1766"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服务人员及要求</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（1）每季度至少开展1次岗位技能、职业素质、服务意识、绿色节能环保和消防安全生产等教育培训，并进行适当形式的考核。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服务人员的年龄、学历、工作经验及从业资格条件应当与所在岗位能力要求相匹配，到岗前应当经过必要的岗前培训已达到岗位能力要求，国家、行业规定应当取得职业资格证书或特种作业证书的，应当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4）如采购人认为服务人员不适应岗位要求或存在其他影响工作的，可要求供应商进行调换。如因供应商原因对服务人员进行调换，应当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3</w:t>
            </w:r>
          </w:p>
        </w:tc>
        <w:tc>
          <w:tcPr>
            <w:tcW w:w="1766"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保密和思想政治教育</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（1）建立保密管理制度。制度内容应当包括但不限于：①明确重点要害岗位保密职责。②对涉密工作岗位的保密要求等。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（2）根据采购人要求与涉密工作岗位的服务人员签订保密协议。保密协议应当向采购人报备。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jc w:val="center"/>
        </w:trPr>
        <w:tc>
          <w:tcPr>
            <w:tcW w:w="770"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4</w:t>
            </w:r>
          </w:p>
        </w:tc>
        <w:tc>
          <w:tcPr>
            <w:tcW w:w="1766"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档案管理</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（2）档案和记录齐全，包括但不限于：</w:t>
            </w:r>
          </w:p>
          <w:p>
            <w:pPr>
              <w:spacing w:line="360" w:lineRule="auto"/>
              <w:rPr>
                <w:rFonts w:ascii="宋体" w:hAnsi="宋体"/>
                <w:kern w:val="0"/>
                <w:sz w:val="21"/>
                <w:szCs w:val="21"/>
                <w:highlight w:val="none"/>
              </w:rPr>
            </w:pPr>
            <w:r>
              <w:rPr>
                <w:rFonts w:hint="eastAsia" w:ascii="宋体" w:hAnsi="宋体"/>
                <w:kern w:val="0"/>
                <w:sz w:val="21"/>
                <w:szCs w:val="21"/>
                <w:highlight w:val="none"/>
              </w:rPr>
              <w:t>①采购人建议与投诉等。教育培训和考核记录。保密、思想政治教育培训记录。</w:t>
            </w:r>
          </w:p>
          <w:p>
            <w:pPr>
              <w:spacing w:line="360" w:lineRule="auto"/>
              <w:rPr>
                <w:rFonts w:ascii="宋体" w:hAnsi="宋体"/>
                <w:kern w:val="0"/>
                <w:sz w:val="21"/>
                <w:szCs w:val="21"/>
                <w:highlight w:val="none"/>
              </w:rPr>
            </w:pPr>
            <w:r>
              <w:rPr>
                <w:rFonts w:hint="eastAsia" w:ascii="宋体" w:hAnsi="宋体"/>
                <w:kern w:val="0"/>
                <w:sz w:val="21"/>
                <w:szCs w:val="21"/>
                <w:highlight w:val="none"/>
              </w:rPr>
              <w:t>②保安服务：监控记录、突发事件演习与处置记录等。</w:t>
            </w:r>
          </w:p>
          <w:p>
            <w:pPr>
              <w:spacing w:line="360" w:lineRule="auto"/>
              <w:rPr>
                <w:rFonts w:ascii="宋体" w:hAnsi="宋体"/>
                <w:kern w:val="0"/>
                <w:sz w:val="21"/>
                <w:szCs w:val="21"/>
                <w:highlight w:val="none"/>
              </w:rPr>
            </w:pPr>
            <w:r>
              <w:rPr>
                <w:rFonts w:hint="eastAsia" w:ascii="宋体" w:hAnsi="宋体"/>
                <w:kern w:val="0"/>
                <w:sz w:val="21"/>
                <w:szCs w:val="21"/>
                <w:highlight w:val="none"/>
              </w:rPr>
              <w:t>③保洁服务：工作日志、清洁检查表、用品清单、客户反馈表等。</w:t>
            </w:r>
          </w:p>
          <w:p>
            <w:pPr>
              <w:spacing w:line="360" w:lineRule="auto"/>
              <w:rPr>
                <w:rFonts w:ascii="宋体" w:hAnsi="宋体"/>
                <w:kern w:val="0"/>
                <w:sz w:val="21"/>
                <w:szCs w:val="21"/>
                <w:highlight w:val="none"/>
              </w:rPr>
            </w:pPr>
            <w:r>
              <w:rPr>
                <w:rFonts w:hint="eastAsia" w:ascii="宋体" w:hAnsi="宋体"/>
                <w:kern w:val="0"/>
                <w:sz w:val="21"/>
                <w:szCs w:val="21"/>
                <w:highlight w:val="none"/>
              </w:rPr>
              <w:t>④绿化服务：绿化总平面图、清洁整改记录、消杀记录等。</w:t>
            </w:r>
          </w:p>
          <w:p>
            <w:pPr>
              <w:spacing w:line="360" w:lineRule="auto"/>
              <w:rPr>
                <w:rFonts w:ascii="宋体" w:hAnsi="宋体"/>
                <w:kern w:val="0"/>
                <w:sz w:val="21"/>
                <w:szCs w:val="21"/>
                <w:highlight w:val="none"/>
              </w:rPr>
            </w:pPr>
            <w:r>
              <w:rPr>
                <w:rFonts w:hint="eastAsia" w:ascii="宋体" w:hAnsi="宋体"/>
                <w:kern w:val="0"/>
                <w:sz w:val="21"/>
                <w:szCs w:val="21"/>
                <w:highlight w:val="none"/>
              </w:rPr>
              <w:t>⑤其他：服务接待记录、信报信息登记、大件物品进出登记等。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5</w:t>
            </w:r>
          </w:p>
        </w:tc>
        <w:tc>
          <w:tcPr>
            <w:tcW w:w="1766"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服务改进</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770"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6</w:t>
            </w:r>
          </w:p>
        </w:tc>
        <w:tc>
          <w:tcPr>
            <w:tcW w:w="1766" w:type="dxa"/>
            <w:vMerge w:val="restart"/>
            <w:vAlign w:val="center"/>
          </w:tcPr>
          <w:p>
            <w:pPr>
              <w:spacing w:line="360" w:lineRule="auto"/>
              <w:jc w:val="center"/>
              <w:rPr>
                <w:rFonts w:ascii="宋体" w:hAnsi="宋体"/>
                <w:kern w:val="0"/>
                <w:sz w:val="21"/>
                <w:szCs w:val="21"/>
                <w:highlight w:val="none"/>
              </w:rPr>
            </w:pPr>
            <w:r>
              <w:rPr>
                <w:rFonts w:ascii="宋体" w:hAnsi="宋体" w:cs="宋体"/>
                <w:kern w:val="0"/>
                <w:sz w:val="21"/>
                <w:szCs w:val="21"/>
                <w:highlight w:val="none"/>
              </w:rPr>
              <w:t>重大活动后勤 保障</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tcPr>
          <w:p>
            <w:pPr>
              <w:spacing w:line="360" w:lineRule="auto"/>
              <w:rPr>
                <w:rFonts w:ascii="宋体" w:hAnsi="宋体" w:cs="宋体"/>
                <w:kern w:val="0"/>
                <w:sz w:val="22"/>
                <w:szCs w:val="22"/>
                <w:highlight w:val="none"/>
              </w:rPr>
            </w:pPr>
          </w:p>
        </w:tc>
        <w:tc>
          <w:tcPr>
            <w:tcW w:w="1766" w:type="dxa"/>
            <w:vMerge w:val="continue"/>
          </w:tcPr>
          <w:p>
            <w:pPr>
              <w:spacing w:line="360" w:lineRule="auto"/>
              <w:rPr>
                <w:rFonts w:ascii="宋体" w:hAnsi="宋体" w:cs="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restart"/>
            <w:vAlign w:val="center"/>
          </w:tcPr>
          <w:p>
            <w:pPr>
              <w:spacing w:line="360" w:lineRule="auto"/>
              <w:jc w:val="center"/>
              <w:rPr>
                <w:rFonts w:ascii="宋体" w:hAnsi="宋体" w:cs="宋体"/>
                <w:kern w:val="0"/>
                <w:sz w:val="22"/>
                <w:szCs w:val="22"/>
                <w:highlight w:val="none"/>
              </w:rPr>
            </w:pPr>
            <w:r>
              <w:rPr>
                <w:rFonts w:hint="eastAsia" w:ascii="宋体" w:hAnsi="宋体" w:cs="宋体"/>
                <w:kern w:val="0"/>
                <w:sz w:val="22"/>
                <w:szCs w:val="22"/>
                <w:highlight w:val="none"/>
              </w:rPr>
              <w:t>7</w:t>
            </w:r>
          </w:p>
        </w:tc>
        <w:tc>
          <w:tcPr>
            <w:tcW w:w="1766" w:type="dxa"/>
            <w:vMerge w:val="restart"/>
            <w:vAlign w:val="center"/>
          </w:tcPr>
          <w:p>
            <w:pPr>
              <w:spacing w:line="360" w:lineRule="auto"/>
              <w:jc w:val="center"/>
              <w:rPr>
                <w:rFonts w:ascii="宋体" w:hAnsi="宋体" w:cs="宋体"/>
                <w:kern w:val="0"/>
                <w:sz w:val="21"/>
                <w:szCs w:val="21"/>
                <w:highlight w:val="none"/>
              </w:rPr>
            </w:pPr>
            <w:r>
              <w:rPr>
                <w:rFonts w:ascii="宋体" w:hAnsi="宋体" w:cs="宋体"/>
                <w:kern w:val="0"/>
                <w:sz w:val="21"/>
                <w:szCs w:val="21"/>
                <w:highlight w:val="none"/>
              </w:rPr>
              <w:t>应急保障预案</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（2）应急预案的建立。根据办公楼隐患排查的结果和实际情况，制定专项预案，包括但不限于：火情、火警紧急处理应急预案、紧急疏散应急预案、停水停电应急预案、</w:t>
            </w:r>
            <w:r>
              <w:rPr>
                <w:rFonts w:hint="eastAsia"/>
                <w:kern w:val="0"/>
                <w:sz w:val="21"/>
                <w:szCs w:val="21"/>
                <w:highlight w:val="none"/>
              </w:rPr>
              <w:t>有限空间救援应急预案、</w:t>
            </w:r>
            <w:r>
              <w:rPr>
                <w:rFonts w:hint="eastAsia" w:ascii="宋体" w:hAnsi="宋体"/>
                <w:kern w:val="0"/>
                <w:sz w:val="21"/>
                <w:szCs w:val="21"/>
                <w:highlight w:val="none"/>
              </w:rPr>
              <w:t>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770" w:type="dxa"/>
            <w:vMerge w:val="continue"/>
          </w:tcPr>
          <w:p>
            <w:pPr>
              <w:spacing w:line="360" w:lineRule="auto"/>
              <w:rPr>
                <w:rFonts w:ascii="宋体" w:hAnsi="宋体" w:cs="宋体"/>
                <w:kern w:val="0"/>
                <w:sz w:val="22"/>
                <w:szCs w:val="22"/>
                <w:highlight w:val="none"/>
              </w:rPr>
            </w:pPr>
          </w:p>
        </w:tc>
        <w:tc>
          <w:tcPr>
            <w:tcW w:w="1766" w:type="dxa"/>
            <w:vMerge w:val="continue"/>
          </w:tcPr>
          <w:p>
            <w:pPr>
              <w:spacing w:line="360" w:lineRule="auto"/>
              <w:rPr>
                <w:rFonts w:ascii="宋体" w:hAnsi="宋体" w:cs="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70" w:type="dxa"/>
            <w:vMerge w:val="continue"/>
          </w:tcPr>
          <w:p>
            <w:pPr>
              <w:spacing w:line="360" w:lineRule="auto"/>
              <w:rPr>
                <w:rFonts w:ascii="宋体" w:hAnsi="宋体" w:cs="宋体"/>
                <w:kern w:val="0"/>
                <w:sz w:val="22"/>
                <w:szCs w:val="22"/>
                <w:highlight w:val="none"/>
              </w:rPr>
            </w:pPr>
          </w:p>
        </w:tc>
        <w:tc>
          <w:tcPr>
            <w:tcW w:w="1766" w:type="dxa"/>
            <w:vMerge w:val="continue"/>
          </w:tcPr>
          <w:p>
            <w:pPr>
              <w:spacing w:line="360" w:lineRule="auto"/>
              <w:rPr>
                <w:rFonts w:ascii="宋体" w:hAnsi="宋体" w:cs="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（4）应急物资的管理。根据专项预案中的应对需要、必要的应急物资，建立清单或台账，并由专人定期对应急物资进行检查，如有应急物资不足，及时通知采购人购置齐全，确保能够随时正常使用。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restart"/>
            <w:vAlign w:val="center"/>
          </w:tcPr>
          <w:p>
            <w:pPr>
              <w:spacing w:line="360" w:lineRule="auto"/>
              <w:jc w:val="center"/>
              <w:rPr>
                <w:rFonts w:ascii="宋体" w:hAnsi="宋体" w:cs="宋体"/>
                <w:kern w:val="0"/>
                <w:sz w:val="22"/>
                <w:szCs w:val="22"/>
                <w:highlight w:val="none"/>
              </w:rPr>
            </w:pPr>
            <w:r>
              <w:rPr>
                <w:rFonts w:hint="eastAsia" w:ascii="宋体" w:hAnsi="宋体" w:cs="宋体"/>
                <w:kern w:val="0"/>
                <w:sz w:val="22"/>
                <w:szCs w:val="22"/>
                <w:highlight w:val="none"/>
              </w:rPr>
              <w:t>8</w:t>
            </w:r>
          </w:p>
        </w:tc>
        <w:tc>
          <w:tcPr>
            <w:tcW w:w="1766" w:type="dxa"/>
            <w:vMerge w:val="restart"/>
            <w:vAlign w:val="center"/>
          </w:tcPr>
          <w:p>
            <w:pPr>
              <w:spacing w:line="360" w:lineRule="auto"/>
              <w:jc w:val="center"/>
              <w:rPr>
                <w:rFonts w:ascii="宋体" w:hAnsi="宋体" w:cs="宋体"/>
                <w:kern w:val="0"/>
                <w:sz w:val="21"/>
                <w:szCs w:val="21"/>
                <w:highlight w:val="none"/>
              </w:rPr>
            </w:pPr>
            <w:r>
              <w:rPr>
                <w:rFonts w:ascii="宋体" w:hAnsi="宋体" w:cs="宋体"/>
                <w:kern w:val="0"/>
                <w:sz w:val="21"/>
                <w:szCs w:val="21"/>
                <w:highlight w:val="none"/>
              </w:rPr>
              <w:t>服务方案及工作制度</w:t>
            </w: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（1）制定工作制度，主要包括：人员录用制度、档案管理制度、岗位职责及操作规程等。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（2）制定项目实施方案，主要包括：交接方案、人员稳定性方案、保密方案等。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770" w:type="dxa"/>
            <w:vMerge w:val="continue"/>
            <w:vAlign w:val="center"/>
          </w:tcPr>
          <w:p>
            <w:pPr>
              <w:spacing w:line="360" w:lineRule="auto"/>
              <w:jc w:val="center"/>
              <w:rPr>
                <w:rFonts w:ascii="宋体" w:hAnsi="宋体" w:cs="宋体"/>
                <w:kern w:val="0"/>
                <w:sz w:val="22"/>
                <w:szCs w:val="22"/>
                <w:highlight w:val="none"/>
              </w:rPr>
            </w:pPr>
          </w:p>
        </w:tc>
        <w:tc>
          <w:tcPr>
            <w:tcW w:w="1766" w:type="dxa"/>
            <w:vMerge w:val="continue"/>
            <w:vAlign w:val="center"/>
          </w:tcPr>
          <w:p>
            <w:pPr>
              <w:spacing w:line="360" w:lineRule="auto"/>
              <w:jc w:val="center"/>
              <w:rPr>
                <w:rFonts w:ascii="宋体" w:hAnsi="宋体" w:cs="宋体"/>
                <w:kern w:val="0"/>
                <w:sz w:val="21"/>
                <w:szCs w:val="21"/>
                <w:highlight w:val="none"/>
              </w:rPr>
            </w:pPr>
          </w:p>
        </w:tc>
        <w:tc>
          <w:tcPr>
            <w:tcW w:w="6802"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（3）制定物业服务方案，</w:t>
            </w:r>
            <w:r>
              <w:rPr>
                <w:rFonts w:hint="eastAsia" w:ascii="宋体" w:hAnsi="宋体" w:cs="宋体"/>
                <w:bCs/>
                <w:color w:val="000000"/>
                <w:kern w:val="0"/>
                <w:sz w:val="21"/>
                <w:szCs w:val="21"/>
                <w:highlight w:val="none"/>
              </w:rPr>
              <w:t>主要包括：安全保卫服务方案、保洁服务方案、绿化服务方案及食堂后勤服务方案等。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70" w:type="dxa"/>
            <w:vMerge w:val="restart"/>
            <w:vAlign w:val="center"/>
          </w:tcPr>
          <w:p>
            <w:pPr>
              <w:spacing w:line="360" w:lineRule="auto"/>
              <w:jc w:val="center"/>
              <w:rPr>
                <w:rFonts w:ascii="宋体" w:hAnsi="宋体" w:cs="宋体"/>
                <w:kern w:val="0"/>
                <w:sz w:val="22"/>
                <w:szCs w:val="22"/>
                <w:highlight w:val="none"/>
              </w:rPr>
            </w:pPr>
            <w:r>
              <w:rPr>
                <w:rFonts w:hint="eastAsia" w:ascii="宋体" w:hAnsi="宋体" w:cs="宋体"/>
                <w:kern w:val="0"/>
                <w:sz w:val="22"/>
                <w:szCs w:val="22"/>
                <w:highlight w:val="none"/>
              </w:rPr>
              <w:t>9</w:t>
            </w:r>
          </w:p>
        </w:tc>
        <w:tc>
          <w:tcPr>
            <w:tcW w:w="1766"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信报服务</w:t>
            </w:r>
          </w:p>
        </w:tc>
        <w:tc>
          <w:tcPr>
            <w:tcW w:w="6802"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（1）对邮件快递和挂号信等进行正确分理、</w:t>
            </w:r>
            <w:r>
              <w:rPr>
                <w:rFonts w:hint="eastAsia" w:ascii="宋体" w:hAnsi="宋体" w:cs="宋体"/>
                <w:bCs/>
                <w:color w:val="000000"/>
                <w:kern w:val="0"/>
                <w:sz w:val="21"/>
                <w:szCs w:val="21"/>
                <w:highlight w:val="none"/>
              </w:rPr>
              <w:t>安全检查和特殊时期进行防疫卫生检查。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（2）及时投送或通知收件人领取。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70" w:type="dxa"/>
            <w:vMerge w:val="continue"/>
            <w:vAlign w:val="center"/>
          </w:tcPr>
          <w:p>
            <w:pPr>
              <w:spacing w:line="360" w:lineRule="auto"/>
              <w:jc w:val="center"/>
              <w:rPr>
                <w:rFonts w:ascii="宋体" w:hAnsi="宋体"/>
                <w:kern w:val="0"/>
                <w:sz w:val="22"/>
                <w:szCs w:val="22"/>
                <w:highlight w:val="none"/>
              </w:rPr>
            </w:pPr>
          </w:p>
        </w:tc>
        <w:tc>
          <w:tcPr>
            <w:tcW w:w="1766" w:type="dxa"/>
            <w:vMerge w:val="continue"/>
            <w:vAlign w:val="center"/>
          </w:tcPr>
          <w:p>
            <w:pPr>
              <w:spacing w:line="360" w:lineRule="auto"/>
              <w:jc w:val="center"/>
              <w:rPr>
                <w:rFonts w:ascii="宋体" w:hAnsi="宋体"/>
                <w:kern w:val="0"/>
                <w:sz w:val="21"/>
                <w:szCs w:val="21"/>
                <w:highlight w:val="none"/>
              </w:rPr>
            </w:pPr>
          </w:p>
        </w:tc>
        <w:tc>
          <w:tcPr>
            <w:tcW w:w="6802"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（3）大件物品出入向采购人报告，待采购人确认无误后放行。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70"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10</w:t>
            </w:r>
          </w:p>
        </w:tc>
        <w:tc>
          <w:tcPr>
            <w:tcW w:w="1766"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服务热线及紧急维修</w:t>
            </w:r>
          </w:p>
        </w:tc>
        <w:tc>
          <w:tcPr>
            <w:tcW w:w="6802"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0" w:type="dxa"/>
            <w:vMerge w:val="continue"/>
          </w:tcPr>
          <w:p>
            <w:pPr>
              <w:spacing w:line="360" w:lineRule="auto"/>
              <w:rPr>
                <w:rFonts w:ascii="宋体" w:hAnsi="宋体"/>
                <w:kern w:val="0"/>
                <w:sz w:val="22"/>
                <w:szCs w:val="22"/>
                <w:highlight w:val="none"/>
              </w:rPr>
            </w:pPr>
          </w:p>
        </w:tc>
        <w:tc>
          <w:tcPr>
            <w:tcW w:w="1766" w:type="dxa"/>
            <w:vMerge w:val="continue"/>
          </w:tcPr>
          <w:p>
            <w:pPr>
              <w:spacing w:line="360" w:lineRule="auto"/>
              <w:rPr>
                <w:rFonts w:ascii="宋体" w:hAnsi="宋体"/>
                <w:kern w:val="0"/>
                <w:sz w:val="21"/>
                <w:szCs w:val="21"/>
                <w:highlight w:val="none"/>
              </w:rPr>
            </w:pPr>
          </w:p>
        </w:tc>
        <w:tc>
          <w:tcPr>
            <w:tcW w:w="6802"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（2）紧急维修应当15分钟内到达现场，不间断维修直至修复。</w:t>
            </w:r>
          </w:p>
        </w:tc>
      </w:tr>
    </w:tbl>
    <w:p>
      <w:pPr>
        <w:spacing w:line="360" w:lineRule="auto"/>
        <w:rPr>
          <w:rFonts w:ascii="宋体" w:hAnsi="宋体"/>
          <w:b/>
          <w:szCs w:val="21"/>
          <w:highlight w:val="none"/>
        </w:rPr>
      </w:pPr>
    </w:p>
    <w:p>
      <w:pPr>
        <w:spacing w:line="360" w:lineRule="auto"/>
        <w:ind w:firstLine="221" w:firstLineChars="100"/>
        <w:rPr>
          <w:rFonts w:ascii="宋体" w:hAnsi="宋体"/>
          <w:b/>
          <w:sz w:val="22"/>
          <w:szCs w:val="21"/>
          <w:highlight w:val="none"/>
        </w:rPr>
      </w:pPr>
      <w:r>
        <w:rPr>
          <w:rFonts w:hint="eastAsia" w:ascii="宋体" w:hAnsi="宋体"/>
          <w:b/>
          <w:sz w:val="22"/>
          <w:szCs w:val="21"/>
          <w:highlight w:val="none"/>
        </w:rPr>
        <w:t>3</w:t>
      </w:r>
      <w:r>
        <w:rPr>
          <w:rFonts w:ascii="宋体" w:hAnsi="宋体"/>
          <w:b/>
          <w:sz w:val="22"/>
          <w:szCs w:val="21"/>
          <w:highlight w:val="none"/>
        </w:rPr>
        <w:t>.2</w:t>
      </w:r>
      <w:r>
        <w:rPr>
          <w:rFonts w:hint="eastAsia" w:ascii="宋体" w:hAnsi="宋体"/>
          <w:b/>
          <w:sz w:val="22"/>
          <w:szCs w:val="21"/>
          <w:highlight w:val="none"/>
        </w:rPr>
        <w:t>保洁服务</w:t>
      </w:r>
    </w:p>
    <w:tbl>
      <w:tblPr>
        <w:tblStyle w:val="37"/>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930"/>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51"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序号</w:t>
            </w:r>
          </w:p>
        </w:tc>
        <w:tc>
          <w:tcPr>
            <w:tcW w:w="1930"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服务内容</w:t>
            </w:r>
          </w:p>
        </w:tc>
        <w:tc>
          <w:tcPr>
            <w:tcW w:w="6237"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1"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1</w:t>
            </w:r>
          </w:p>
        </w:tc>
        <w:tc>
          <w:tcPr>
            <w:tcW w:w="1930"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基本要求</w:t>
            </w: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（3）作业时采取安全防护措施，防止对作业人员或他人造成伤害。相关耗材的环保、安全性等应当符合国家相关规定要求。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（4）进入保密区域时，有采购人相关人员全程在场。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2</w:t>
            </w:r>
          </w:p>
        </w:tc>
        <w:tc>
          <w:tcPr>
            <w:tcW w:w="1930" w:type="dxa"/>
            <w:vMerge w:val="restart"/>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办公用房区域保洁</w:t>
            </w: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（1）大厅、楼内公共通道：</w:t>
            </w:r>
          </w:p>
          <w:p>
            <w:pPr>
              <w:spacing w:line="360" w:lineRule="auto"/>
              <w:rPr>
                <w:rFonts w:ascii="宋体" w:hAnsi="宋体"/>
                <w:kern w:val="0"/>
                <w:sz w:val="21"/>
                <w:szCs w:val="21"/>
                <w:highlight w:val="none"/>
              </w:rPr>
            </w:pPr>
            <w:r>
              <w:rPr>
                <w:rFonts w:hint="eastAsia" w:ascii="宋体" w:hAnsi="宋体"/>
                <w:kern w:val="0"/>
                <w:sz w:val="21"/>
                <w:szCs w:val="21"/>
                <w:highlight w:val="none"/>
              </w:rPr>
              <w:t>①公共通道保持干净，无异味、无杂物、无积水，每日至少开展1次清洁作业。</w:t>
            </w:r>
          </w:p>
          <w:p>
            <w:pPr>
              <w:spacing w:line="360" w:lineRule="auto"/>
              <w:rPr>
                <w:rFonts w:ascii="宋体" w:hAnsi="宋体"/>
                <w:kern w:val="0"/>
                <w:sz w:val="21"/>
                <w:szCs w:val="21"/>
                <w:highlight w:val="none"/>
              </w:rPr>
            </w:pPr>
            <w:r>
              <w:rPr>
                <w:rFonts w:hint="eastAsia" w:ascii="宋体" w:hAnsi="宋体"/>
                <w:kern w:val="0"/>
                <w:sz w:val="21"/>
                <w:szCs w:val="21"/>
                <w:highlight w:val="none"/>
              </w:rPr>
              <w:t>②门窗玻璃干净无尘，透光性好，每周至少开展1次清洁作业。</w:t>
            </w:r>
          </w:p>
          <w:p>
            <w:pPr>
              <w:spacing w:line="360" w:lineRule="auto"/>
              <w:rPr>
                <w:rFonts w:ascii="宋体" w:hAnsi="宋体"/>
                <w:kern w:val="0"/>
                <w:sz w:val="21"/>
                <w:szCs w:val="21"/>
                <w:highlight w:val="none"/>
              </w:rPr>
            </w:pPr>
            <w:r>
              <w:rPr>
                <w:rFonts w:hint="eastAsia" w:ascii="宋体" w:hAnsi="宋体"/>
                <w:kern w:val="0"/>
                <w:sz w:val="21"/>
                <w:szCs w:val="21"/>
                <w:highlight w:val="none"/>
              </w:rPr>
              <w:t>③指示牌干净，无污渍，每日至少开展1次清洁作业。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（2）电器、消防等设施设备：</w:t>
            </w:r>
          </w:p>
          <w:p>
            <w:pPr>
              <w:spacing w:line="360" w:lineRule="auto"/>
              <w:rPr>
                <w:rFonts w:ascii="宋体" w:hAnsi="宋体"/>
                <w:kern w:val="0"/>
                <w:sz w:val="21"/>
                <w:szCs w:val="21"/>
                <w:highlight w:val="none"/>
              </w:rPr>
            </w:pPr>
            <w:r>
              <w:rPr>
                <w:rFonts w:hint="eastAsia" w:ascii="宋体" w:hAnsi="宋体"/>
                <w:kern w:val="0"/>
                <w:sz w:val="21"/>
                <w:szCs w:val="21"/>
                <w:highlight w:val="none"/>
              </w:rPr>
              <w:t>①配电箱、设备机房、会议室音视频设备、消防栓及开关插座等保持表面干净，无尘无污 迹，每月至少开展1次清洁作业。</w:t>
            </w:r>
          </w:p>
          <w:p>
            <w:pPr>
              <w:spacing w:line="360" w:lineRule="auto"/>
              <w:rPr>
                <w:rFonts w:ascii="宋体" w:hAnsi="宋体"/>
                <w:kern w:val="0"/>
                <w:sz w:val="21"/>
                <w:szCs w:val="21"/>
                <w:highlight w:val="none"/>
              </w:rPr>
            </w:pPr>
            <w:r>
              <w:rPr>
                <w:rFonts w:hint="eastAsia" w:ascii="宋体" w:hAnsi="宋体"/>
                <w:kern w:val="0"/>
                <w:sz w:val="21"/>
                <w:szCs w:val="21"/>
                <w:highlight w:val="none"/>
              </w:rPr>
              <w:t>②监控摄像头、门禁系统等表面光亮，无尘、无斑点，每月至少开展1次清洁作业。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（4）作业工具间：</w:t>
            </w:r>
          </w:p>
          <w:p>
            <w:pPr>
              <w:spacing w:line="360" w:lineRule="auto"/>
              <w:rPr>
                <w:rFonts w:ascii="宋体" w:hAnsi="宋体"/>
                <w:kern w:val="0"/>
                <w:sz w:val="21"/>
                <w:szCs w:val="21"/>
                <w:highlight w:val="none"/>
              </w:rPr>
            </w:pPr>
            <w:r>
              <w:rPr>
                <w:rFonts w:hint="eastAsia" w:ascii="宋体" w:hAnsi="宋体"/>
                <w:kern w:val="0"/>
                <w:sz w:val="21"/>
                <w:szCs w:val="21"/>
                <w:highlight w:val="none"/>
              </w:rPr>
              <w:t>①保持干净，无异味、无杂物、无积水，每日至少开展1次清洁作业。</w:t>
            </w:r>
          </w:p>
          <w:p>
            <w:pPr>
              <w:spacing w:line="360" w:lineRule="auto"/>
              <w:rPr>
                <w:rFonts w:ascii="宋体" w:hAnsi="宋体"/>
                <w:kern w:val="0"/>
                <w:sz w:val="21"/>
                <w:szCs w:val="21"/>
                <w:highlight w:val="none"/>
              </w:rPr>
            </w:pPr>
            <w:r>
              <w:rPr>
                <w:rFonts w:hint="eastAsia" w:ascii="宋体" w:hAnsi="宋体"/>
                <w:kern w:val="0"/>
                <w:sz w:val="21"/>
                <w:szCs w:val="21"/>
                <w:highlight w:val="none"/>
              </w:rPr>
              <w:t>②作业工具摆放整齐有序，表面干净无渍，每日消毒。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（5）公共卫生间：</w:t>
            </w:r>
          </w:p>
          <w:p>
            <w:pPr>
              <w:spacing w:line="360" w:lineRule="auto"/>
              <w:rPr>
                <w:rFonts w:ascii="宋体" w:hAnsi="宋体"/>
                <w:kern w:val="0"/>
                <w:sz w:val="21"/>
                <w:szCs w:val="21"/>
                <w:highlight w:val="none"/>
              </w:rPr>
            </w:pPr>
            <w:r>
              <w:rPr>
                <w:rFonts w:hint="eastAsia" w:ascii="宋体" w:hAnsi="宋体"/>
                <w:kern w:val="0"/>
                <w:sz w:val="21"/>
                <w:szCs w:val="21"/>
                <w:highlight w:val="none"/>
              </w:rPr>
              <w:t>①保持干净，无异味，垃圾无溢出，每日至少开展1次清洁作业。</w:t>
            </w:r>
          </w:p>
          <w:p>
            <w:pPr>
              <w:spacing w:line="360" w:lineRule="auto"/>
              <w:rPr>
                <w:rFonts w:ascii="宋体" w:hAnsi="宋体"/>
                <w:kern w:val="0"/>
                <w:sz w:val="21"/>
                <w:szCs w:val="21"/>
                <w:highlight w:val="none"/>
              </w:rPr>
            </w:pPr>
            <w:r>
              <w:rPr>
                <w:rFonts w:hint="eastAsia" w:ascii="宋体" w:hAnsi="宋体"/>
                <w:kern w:val="0"/>
                <w:sz w:val="21"/>
                <w:szCs w:val="21"/>
                <w:highlight w:val="none"/>
              </w:rPr>
              <w:t>②及时补充厕纸等必要用品。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（6）平台、屋顶、天沟保持干净，有杂物及时清扫，每月至少开展 1 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（7）地面、内墙做好养护工作，每季度开展1次清洁作业。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1"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3</w:t>
            </w:r>
          </w:p>
        </w:tc>
        <w:tc>
          <w:tcPr>
            <w:tcW w:w="1930"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公共场地区域保洁</w:t>
            </w: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（1）每日清扫道路地面、停车场等公共区域2次，保持干净、无杂物、无积水。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（2）强降雨、强风、冰雹等恶劣天气时及时清扫积水、树叶，并采取安全防护措施。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 w:hRule="atLeast"/>
          <w:jc w:val="center"/>
        </w:trPr>
        <w:tc>
          <w:tcPr>
            <w:tcW w:w="951" w:type="dxa"/>
            <w:vMerge w:val="continue"/>
            <w:vAlign w:val="center"/>
          </w:tcPr>
          <w:p>
            <w:pPr>
              <w:spacing w:line="360" w:lineRule="auto"/>
              <w:jc w:val="center"/>
              <w:rPr>
                <w:rFonts w:ascii="宋体" w:hAnsi="宋体"/>
                <w:kern w:val="0"/>
                <w:sz w:val="22"/>
                <w:szCs w:val="22"/>
                <w:highlight w:val="none"/>
              </w:rPr>
            </w:pPr>
          </w:p>
        </w:tc>
        <w:tc>
          <w:tcPr>
            <w:tcW w:w="1930" w:type="dxa"/>
            <w:vMerge w:val="continue"/>
            <w:vAlign w:val="center"/>
          </w:tcPr>
          <w:p>
            <w:pPr>
              <w:spacing w:line="360" w:lineRule="auto"/>
              <w:jc w:val="center"/>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（6）办公区外立面定期清洗、2米以上外窗玻璃擦拭，每年至少开展1次清洗。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951"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4</w:t>
            </w:r>
          </w:p>
        </w:tc>
        <w:tc>
          <w:tcPr>
            <w:tcW w:w="1930"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垃圾处理</w:t>
            </w: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（1）在指定位置摆放分类垃圾桶，并在显著处张贴垃圾分类标识。分类垃圾桶和垃圾分类标识根据所在城市的要求设置。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（3）垃圾中转房保持整洁，无明显异味，每日至少开展1次清洁作业。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（6）建立垃圾清运台账，交由规范的渠道回收处理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（7）做好垃圾分类管理的宣传工作，督促并引导全员参与垃圾分类投放。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51"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5</w:t>
            </w:r>
          </w:p>
        </w:tc>
        <w:tc>
          <w:tcPr>
            <w:tcW w:w="1930"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卫生消毒</w:t>
            </w: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（1）办公用房区域、公共场所区域和周围环境预防性卫生消毒，消毒后及时通风，每周至少开展1次作业。电梯轿厢内每日清洁并消毒1次。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（2）采取综合措施消灭老鼠、蟑螂，控制室内外蚊虫孳生，达到基本无蝇，每季度至少开展1次作业。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1" w:type="dxa"/>
            <w:vMerge w:val="continue"/>
          </w:tcPr>
          <w:p>
            <w:pPr>
              <w:spacing w:line="360" w:lineRule="auto"/>
              <w:rPr>
                <w:rFonts w:ascii="宋体" w:hAnsi="宋体"/>
                <w:kern w:val="0"/>
                <w:sz w:val="22"/>
                <w:szCs w:val="22"/>
                <w:highlight w:val="none"/>
              </w:rPr>
            </w:pPr>
          </w:p>
        </w:tc>
        <w:tc>
          <w:tcPr>
            <w:tcW w:w="1930" w:type="dxa"/>
            <w:vMerge w:val="continue"/>
          </w:tcPr>
          <w:p>
            <w:pPr>
              <w:spacing w:line="360" w:lineRule="auto"/>
              <w:rPr>
                <w:rFonts w:ascii="宋体" w:hAnsi="宋体"/>
                <w:kern w:val="0"/>
                <w:sz w:val="21"/>
                <w:szCs w:val="21"/>
                <w:highlight w:val="none"/>
              </w:rPr>
            </w:pPr>
          </w:p>
        </w:tc>
        <w:tc>
          <w:tcPr>
            <w:tcW w:w="6237"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（3）发生公共卫生事件时，邀请专业单位开展消毒、检测等工作。</w:t>
            </w:r>
          </w:p>
        </w:tc>
      </w:tr>
    </w:tbl>
    <w:p>
      <w:pPr>
        <w:spacing w:line="360" w:lineRule="auto"/>
        <w:ind w:firstLine="221" w:firstLineChars="100"/>
        <w:rPr>
          <w:rFonts w:ascii="宋体" w:hAnsi="宋体"/>
          <w:b/>
          <w:sz w:val="22"/>
          <w:szCs w:val="21"/>
          <w:highlight w:val="none"/>
        </w:rPr>
      </w:pPr>
      <w:r>
        <w:rPr>
          <w:rFonts w:hint="eastAsia" w:ascii="宋体" w:hAnsi="宋体"/>
          <w:b/>
          <w:sz w:val="22"/>
          <w:szCs w:val="21"/>
          <w:highlight w:val="none"/>
        </w:rPr>
        <w:t>3</w:t>
      </w:r>
      <w:r>
        <w:rPr>
          <w:rFonts w:ascii="宋体" w:hAnsi="宋体"/>
          <w:b/>
          <w:sz w:val="22"/>
          <w:szCs w:val="21"/>
          <w:highlight w:val="none"/>
        </w:rPr>
        <w:t>.3</w:t>
      </w:r>
      <w:r>
        <w:rPr>
          <w:rFonts w:hint="eastAsia" w:ascii="宋体" w:hAnsi="宋体"/>
          <w:b/>
          <w:sz w:val="22"/>
          <w:szCs w:val="21"/>
          <w:highlight w:val="none"/>
        </w:rPr>
        <w:t>绿化服务</w:t>
      </w:r>
    </w:p>
    <w:tbl>
      <w:tblPr>
        <w:tblStyle w:val="37"/>
        <w:tblpPr w:leftFromText="180" w:rightFromText="180" w:vertAnchor="text" w:horzAnchor="page" w:tblpX="1237" w:tblpY="48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1765"/>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 w:type="dxa"/>
          </w:tcPr>
          <w:p>
            <w:pPr>
              <w:spacing w:line="360" w:lineRule="auto"/>
              <w:jc w:val="center"/>
              <w:rPr>
                <w:b/>
                <w:kern w:val="0"/>
                <w:sz w:val="22"/>
                <w:szCs w:val="22"/>
                <w:highlight w:val="none"/>
              </w:rPr>
            </w:pPr>
            <w:r>
              <w:rPr>
                <w:rFonts w:hint="eastAsia"/>
                <w:b/>
                <w:kern w:val="0"/>
                <w:sz w:val="22"/>
                <w:szCs w:val="22"/>
                <w:highlight w:val="none"/>
              </w:rPr>
              <w:t>序号</w:t>
            </w:r>
          </w:p>
        </w:tc>
        <w:tc>
          <w:tcPr>
            <w:tcW w:w="1765" w:type="dxa"/>
          </w:tcPr>
          <w:p>
            <w:pPr>
              <w:spacing w:line="360" w:lineRule="auto"/>
              <w:jc w:val="center"/>
              <w:rPr>
                <w:b/>
                <w:kern w:val="0"/>
                <w:sz w:val="22"/>
                <w:szCs w:val="22"/>
                <w:highlight w:val="none"/>
              </w:rPr>
            </w:pPr>
            <w:r>
              <w:rPr>
                <w:rFonts w:hint="eastAsia"/>
                <w:b/>
                <w:kern w:val="0"/>
                <w:sz w:val="22"/>
                <w:szCs w:val="22"/>
                <w:highlight w:val="none"/>
              </w:rPr>
              <w:t>服务内容</w:t>
            </w:r>
          </w:p>
        </w:tc>
        <w:tc>
          <w:tcPr>
            <w:tcW w:w="7229" w:type="dxa"/>
          </w:tcPr>
          <w:p>
            <w:pPr>
              <w:spacing w:line="360" w:lineRule="auto"/>
              <w:jc w:val="center"/>
              <w:rPr>
                <w:b/>
                <w:kern w:val="0"/>
                <w:sz w:val="22"/>
                <w:szCs w:val="22"/>
                <w:highlight w:val="none"/>
              </w:rPr>
            </w:pPr>
            <w:r>
              <w:rPr>
                <w:rFonts w:hint="eastAsia"/>
                <w:b/>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81" w:type="dxa"/>
            <w:vMerge w:val="restart"/>
            <w:vAlign w:val="center"/>
          </w:tcPr>
          <w:p>
            <w:pPr>
              <w:spacing w:line="360" w:lineRule="auto"/>
              <w:jc w:val="center"/>
              <w:rPr>
                <w:kern w:val="0"/>
                <w:sz w:val="22"/>
                <w:szCs w:val="22"/>
                <w:highlight w:val="none"/>
              </w:rPr>
            </w:pPr>
            <w:r>
              <w:rPr>
                <w:rFonts w:hint="eastAsia"/>
                <w:kern w:val="0"/>
                <w:sz w:val="22"/>
                <w:szCs w:val="22"/>
                <w:highlight w:val="none"/>
              </w:rPr>
              <w:t>1</w:t>
            </w:r>
          </w:p>
        </w:tc>
        <w:tc>
          <w:tcPr>
            <w:tcW w:w="1765" w:type="dxa"/>
            <w:vMerge w:val="restart"/>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基本要求</w:t>
            </w: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（1）制定绿化服务的工作制度及工作计划，并按照执行。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81" w:type="dxa"/>
            <w:vMerge w:val="continue"/>
            <w:vAlign w:val="center"/>
          </w:tcPr>
          <w:p>
            <w:pPr>
              <w:spacing w:line="360" w:lineRule="auto"/>
              <w:jc w:val="center"/>
              <w:rPr>
                <w:kern w:val="0"/>
                <w:sz w:val="22"/>
                <w:szCs w:val="22"/>
                <w:highlight w:val="none"/>
              </w:rPr>
            </w:pPr>
          </w:p>
        </w:tc>
        <w:tc>
          <w:tcPr>
            <w:tcW w:w="1765" w:type="dxa"/>
            <w:vMerge w:val="continue"/>
            <w:vAlign w:val="center"/>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81" w:type="dxa"/>
            <w:vMerge w:val="continue"/>
            <w:vAlign w:val="center"/>
          </w:tcPr>
          <w:p>
            <w:pPr>
              <w:spacing w:line="360" w:lineRule="auto"/>
              <w:jc w:val="center"/>
              <w:rPr>
                <w:kern w:val="0"/>
                <w:sz w:val="22"/>
                <w:szCs w:val="22"/>
                <w:highlight w:val="none"/>
              </w:rPr>
            </w:pPr>
          </w:p>
        </w:tc>
        <w:tc>
          <w:tcPr>
            <w:tcW w:w="1765" w:type="dxa"/>
            <w:vMerge w:val="continue"/>
            <w:vAlign w:val="center"/>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1" w:type="dxa"/>
            <w:vMerge w:val="continue"/>
            <w:vAlign w:val="center"/>
          </w:tcPr>
          <w:p>
            <w:pPr>
              <w:spacing w:line="360" w:lineRule="auto"/>
              <w:jc w:val="center"/>
              <w:rPr>
                <w:kern w:val="0"/>
                <w:sz w:val="22"/>
                <w:szCs w:val="22"/>
                <w:highlight w:val="none"/>
              </w:rPr>
            </w:pPr>
          </w:p>
        </w:tc>
        <w:tc>
          <w:tcPr>
            <w:tcW w:w="1765" w:type="dxa"/>
            <w:vMerge w:val="continue"/>
            <w:vAlign w:val="center"/>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（4）相关耗材的环保、安全性应当符合规定要求。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restart"/>
            <w:vAlign w:val="center"/>
          </w:tcPr>
          <w:p>
            <w:pPr>
              <w:spacing w:line="360" w:lineRule="auto"/>
              <w:jc w:val="center"/>
              <w:rPr>
                <w:kern w:val="0"/>
                <w:sz w:val="22"/>
                <w:szCs w:val="22"/>
                <w:highlight w:val="none"/>
              </w:rPr>
            </w:pPr>
            <w:r>
              <w:rPr>
                <w:rFonts w:hint="eastAsia" w:ascii="宋体" w:hAnsi="宋体"/>
                <w:kern w:val="0"/>
                <w:sz w:val="22"/>
                <w:szCs w:val="22"/>
                <w:highlight w:val="none"/>
              </w:rPr>
              <w:t>2</w:t>
            </w:r>
          </w:p>
        </w:tc>
        <w:tc>
          <w:tcPr>
            <w:tcW w:w="1765" w:type="dxa"/>
            <w:vMerge w:val="restart"/>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室外绿化养护</w:t>
            </w: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（2）根据生长情况修剪绿地，绿地内无枯草、无杂物，无干枯坏死和病虫侵害，基本无裸露土地。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（3）定期修剪树木、花卉等，灌乔木生长正常、造型美观自然、花枝新鲜，无枯叶、无病 虫、无死树缺株。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（4）绿篱生长造型正常，颜色正常，修剪及时，基本无死株和干死株，有虫株率在10%以下。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（6）根据病虫害发生规律实施综合治理，通常在病虫率高时，以药剂杀死病虫，以确保植物良好生长。产生垃圾的主要区域和路段做到日产日清。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（7）雨雪、冰雹、强风等恶劣天气来临前，专人巡查，对绿植做好预防措施，排除安全隐患。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81" w:type="dxa"/>
            <w:vMerge w:val="continue"/>
          </w:tcPr>
          <w:p>
            <w:pPr>
              <w:spacing w:line="360" w:lineRule="auto"/>
              <w:rPr>
                <w:kern w:val="0"/>
                <w:sz w:val="22"/>
                <w:szCs w:val="22"/>
                <w:highlight w:val="none"/>
              </w:rPr>
            </w:pPr>
          </w:p>
        </w:tc>
        <w:tc>
          <w:tcPr>
            <w:tcW w:w="1765" w:type="dxa"/>
            <w:vMerge w:val="continue"/>
          </w:tcPr>
          <w:p>
            <w:pPr>
              <w:spacing w:line="360" w:lineRule="auto"/>
              <w:rPr>
                <w:rFonts w:ascii="宋体" w:hAnsi="宋体"/>
                <w:kern w:val="0"/>
                <w:sz w:val="21"/>
                <w:szCs w:val="21"/>
                <w:highlight w:val="none"/>
              </w:rPr>
            </w:pPr>
          </w:p>
        </w:tc>
        <w:tc>
          <w:tcPr>
            <w:tcW w:w="722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（8）恶劣天气后，及时清除倒树断枝，疏通道路，尽快恢复原状。</w:t>
            </w:r>
          </w:p>
        </w:tc>
      </w:tr>
    </w:tbl>
    <w:p>
      <w:pPr>
        <w:spacing w:line="360" w:lineRule="auto"/>
        <w:rPr>
          <w:rFonts w:ascii="宋体" w:hAnsi="宋体"/>
          <w:b/>
          <w:szCs w:val="21"/>
          <w:highlight w:val="none"/>
        </w:rPr>
      </w:pPr>
    </w:p>
    <w:p>
      <w:pPr>
        <w:spacing w:line="360" w:lineRule="auto"/>
        <w:ind w:firstLine="221" w:firstLineChars="100"/>
        <w:rPr>
          <w:rFonts w:ascii="宋体" w:hAnsi="宋体"/>
          <w:b/>
          <w:sz w:val="22"/>
          <w:szCs w:val="21"/>
          <w:highlight w:val="none"/>
        </w:rPr>
      </w:pPr>
      <w:r>
        <w:rPr>
          <w:rFonts w:hint="eastAsia" w:ascii="宋体" w:hAnsi="宋体"/>
          <w:b/>
          <w:sz w:val="22"/>
          <w:szCs w:val="21"/>
          <w:highlight w:val="none"/>
        </w:rPr>
        <w:t>3</w:t>
      </w:r>
      <w:r>
        <w:rPr>
          <w:rFonts w:ascii="宋体" w:hAnsi="宋体"/>
          <w:b/>
          <w:sz w:val="22"/>
          <w:szCs w:val="21"/>
          <w:highlight w:val="none"/>
        </w:rPr>
        <w:t>.4</w:t>
      </w:r>
      <w:r>
        <w:rPr>
          <w:rFonts w:hint="eastAsia" w:ascii="宋体" w:hAnsi="宋体"/>
          <w:b/>
          <w:sz w:val="22"/>
          <w:szCs w:val="21"/>
          <w:highlight w:val="none"/>
        </w:rPr>
        <w:t>保安服务</w:t>
      </w:r>
    </w:p>
    <w:tbl>
      <w:tblPr>
        <w:tblStyle w:val="37"/>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6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序号</w:t>
            </w:r>
          </w:p>
        </w:tc>
        <w:tc>
          <w:tcPr>
            <w:tcW w:w="1701"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服务内容</w:t>
            </w:r>
          </w:p>
        </w:tc>
        <w:tc>
          <w:tcPr>
            <w:tcW w:w="6956"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1</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基本要求</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（1）建立保安服务相关制度，并按照执行。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2</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出入管理</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（1）办公楼（区）主出入口应当实行24小时值班制。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（5）排查可疑人员，对于不出示证件、不按规定登记、不听劝阻而强行闯入者，及时劝离，必要时通知公安机关进行处理。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（6）配合相关部门积极疏导上访人员，有效疏导如出入口人群集聚、车辆拥堵、货物堵塞道路等情况。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（7）对物品进出实行安检、登记、电话确认等分类管理措施。大宗 物品进出会同接收单位收件人审检，严防违禁品（包括毒品、军火弹药、管制刀具、易燃易爆品等）、限带品（包括动物、任何未经授权的专业摄影设备、无人机等）进入。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提供现场接待服务。</w:t>
            </w:r>
          </w:p>
          <w:p>
            <w:pPr>
              <w:spacing w:line="360" w:lineRule="auto"/>
              <w:rPr>
                <w:rFonts w:ascii="宋体" w:hAnsi="宋体"/>
                <w:kern w:val="0"/>
                <w:sz w:val="21"/>
                <w:szCs w:val="21"/>
                <w:highlight w:val="none"/>
              </w:rPr>
            </w:pPr>
            <w:r>
              <w:rPr>
                <w:rFonts w:hint="eastAsia" w:ascii="宋体" w:hAnsi="宋体"/>
                <w:kern w:val="0"/>
                <w:sz w:val="21"/>
                <w:szCs w:val="21"/>
                <w:highlight w:val="none"/>
              </w:rPr>
              <w:t>①做好来访人员、车辆进出证件登记，及时通报。</w:t>
            </w:r>
          </w:p>
          <w:p>
            <w:pPr>
              <w:spacing w:line="360" w:lineRule="auto"/>
              <w:rPr>
                <w:rFonts w:ascii="宋体" w:hAnsi="宋体"/>
                <w:kern w:val="0"/>
                <w:sz w:val="21"/>
                <w:szCs w:val="21"/>
                <w:highlight w:val="none"/>
              </w:rPr>
            </w:pPr>
            <w:r>
              <w:rPr>
                <w:rFonts w:hint="eastAsia" w:ascii="宋体" w:hAnsi="宋体"/>
                <w:kern w:val="0"/>
                <w:sz w:val="21"/>
                <w:szCs w:val="21"/>
                <w:highlight w:val="none"/>
              </w:rPr>
              <w:t>②严禁无关人员、可疑人员和危险物品进入办公楼（区）内。</w:t>
            </w:r>
          </w:p>
          <w:p>
            <w:pPr>
              <w:spacing w:line="360" w:lineRule="auto"/>
              <w:rPr>
                <w:rFonts w:ascii="宋体" w:hAnsi="宋体"/>
                <w:kern w:val="0"/>
                <w:sz w:val="21"/>
                <w:szCs w:val="21"/>
                <w:highlight w:val="none"/>
              </w:rPr>
            </w:pPr>
            <w:r>
              <w:rPr>
                <w:rFonts w:hint="eastAsia" w:ascii="宋体" w:hAnsi="宋体"/>
                <w:kern w:val="0"/>
                <w:sz w:val="21"/>
                <w:szCs w:val="21"/>
                <w:highlight w:val="none"/>
              </w:rPr>
              <w:t>③物品摆放整齐有序、分类放置。</w:t>
            </w:r>
          </w:p>
          <w:p>
            <w:pPr>
              <w:spacing w:line="360" w:lineRule="auto"/>
              <w:rPr>
                <w:rFonts w:ascii="宋体" w:hAnsi="宋体"/>
                <w:kern w:val="0"/>
                <w:sz w:val="21"/>
                <w:szCs w:val="21"/>
                <w:highlight w:val="none"/>
              </w:rPr>
            </w:pPr>
            <w:r>
              <w:rPr>
                <w:rFonts w:hint="eastAsia" w:ascii="宋体" w:hAnsi="宋体"/>
                <w:kern w:val="0"/>
                <w:sz w:val="21"/>
                <w:szCs w:val="21"/>
                <w:highlight w:val="none"/>
              </w:rPr>
              <w:t>④现场办理等待时间不超过5分钟，等待较长时间应当及时沟通。</w:t>
            </w:r>
          </w:p>
          <w:p>
            <w:pPr>
              <w:spacing w:line="360" w:lineRule="auto"/>
              <w:rPr>
                <w:rFonts w:ascii="宋体" w:hAnsi="宋体"/>
                <w:kern w:val="0"/>
                <w:sz w:val="21"/>
                <w:szCs w:val="21"/>
                <w:highlight w:val="none"/>
              </w:rPr>
            </w:pPr>
            <w:r>
              <w:rPr>
                <w:rFonts w:hint="eastAsia" w:ascii="宋体" w:hAnsi="宋体"/>
                <w:kern w:val="0"/>
                <w:sz w:val="21"/>
                <w:szCs w:val="21"/>
                <w:highlight w:val="none"/>
              </w:rPr>
              <w:t>⑤对来访人员咨询、建议、求助等事项，及时处理或答复，处理和答复率100%。</w:t>
            </w:r>
          </w:p>
          <w:p>
            <w:pPr>
              <w:spacing w:line="360" w:lineRule="auto"/>
              <w:rPr>
                <w:rFonts w:ascii="宋体" w:hAnsi="宋体"/>
                <w:kern w:val="0"/>
                <w:sz w:val="21"/>
                <w:szCs w:val="21"/>
                <w:highlight w:val="none"/>
              </w:rPr>
            </w:pPr>
            <w:r>
              <w:rPr>
                <w:rFonts w:hint="eastAsia" w:ascii="宋体" w:hAnsi="宋体"/>
                <w:kern w:val="0"/>
                <w:sz w:val="21"/>
                <w:szCs w:val="21"/>
                <w:highlight w:val="none"/>
              </w:rPr>
              <w:t>⑥接待服务工作时间应当覆盖采购人工作时间（上班时间为—8：00-18：00）。</w:t>
            </w:r>
          </w:p>
          <w:p>
            <w:pPr>
              <w:spacing w:line="360" w:lineRule="auto"/>
              <w:rPr>
                <w:rFonts w:ascii="宋体" w:hAnsi="宋体"/>
                <w:kern w:val="0"/>
                <w:sz w:val="21"/>
                <w:szCs w:val="21"/>
                <w:highlight w:val="none"/>
              </w:rPr>
            </w:pPr>
            <w:r>
              <w:rPr>
                <w:rFonts w:hint="eastAsia" w:ascii="宋体" w:hAnsi="宋体"/>
                <w:kern w:val="0"/>
                <w:sz w:val="21"/>
                <w:szCs w:val="21"/>
                <w:highlight w:val="none"/>
              </w:rPr>
              <w:t>⑦与被访人进行核实确认；告知被访人的办公 室门牌号；告知访客注意事项（根据实际需要填写注意事项）。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3</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值班巡查</w:t>
            </w: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（2）制定巡查路线，按照指定时间和路线执行，加强重点区域、重点部位及装修区域的巡查。</w:t>
            </w:r>
            <w:r>
              <w:rPr>
                <w:rFonts w:hint="eastAsia" w:ascii="宋体" w:hAnsi="宋体" w:cs="宋体"/>
                <w:color w:val="000000"/>
                <w:kern w:val="0"/>
                <w:sz w:val="21"/>
                <w:szCs w:val="21"/>
                <w:highlight w:val="none"/>
              </w:rPr>
              <w:t>对重点区域、重点部位每1-2小时巡查1次，做好巡查记录备查。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4</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监控值守</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（1）监控室环境卫生符合系统设备运行要求，定期进行检查和打扫，确保系统功能正常。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（4）值班期间遵守操作规程和保密制度，做 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（5）监控记录保持完整，保存时间不应少于90天。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（6）无关人员进入监控室或查阅监控记录， 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5</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车辆停放</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（5）发现车辆异常情况及时通知车主，并做好登记；发生交通事故、自然灾害等意外事故时 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6</w:t>
            </w:r>
          </w:p>
        </w:tc>
        <w:tc>
          <w:tcPr>
            <w:tcW w:w="1701" w:type="dxa"/>
            <w:vMerge w:val="restart"/>
            <w:vAlign w:val="center"/>
          </w:tcPr>
          <w:p>
            <w:pPr>
              <w:spacing w:line="360" w:lineRule="auto"/>
              <w:jc w:val="center"/>
              <w:rPr>
                <w:rFonts w:hint="eastAsia" w:ascii="宋体" w:hAnsi="宋体" w:eastAsia="宋体"/>
                <w:kern w:val="0"/>
                <w:sz w:val="21"/>
                <w:szCs w:val="21"/>
                <w:highlight w:val="none"/>
                <w:lang w:eastAsia="zh-CN"/>
              </w:rPr>
            </w:pPr>
            <w:r>
              <w:rPr>
                <w:rFonts w:hint="eastAsia" w:ascii="宋体" w:hAnsi="宋体"/>
                <w:kern w:val="0"/>
                <w:sz w:val="21"/>
                <w:szCs w:val="21"/>
                <w:highlight w:val="none"/>
              </w:rPr>
              <w:t>消防安全管理</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w:t>
            </w:r>
            <w:r>
              <w:rPr>
                <w:rFonts w:ascii="宋体" w:hAnsi="宋体"/>
                <w:kern w:val="0"/>
                <w:sz w:val="21"/>
                <w:szCs w:val="21"/>
                <w:highlight w:val="none"/>
              </w:rPr>
              <w:t>2</w:t>
            </w:r>
            <w:r>
              <w:rPr>
                <w:rFonts w:hint="eastAsia" w:ascii="宋体" w:hAnsi="宋体"/>
                <w:kern w:val="0"/>
                <w:sz w:val="21"/>
                <w:szCs w:val="21"/>
                <w:highlight w:val="none"/>
              </w:rPr>
              <w:t>）消火栓、应急照明、应急物资、消防及人员逃生通道、消防车通道可随时正常使用。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w:t>
            </w:r>
            <w:r>
              <w:rPr>
                <w:rFonts w:ascii="宋体" w:hAnsi="宋体"/>
                <w:kern w:val="0"/>
                <w:sz w:val="21"/>
                <w:szCs w:val="21"/>
                <w:highlight w:val="none"/>
              </w:rPr>
              <w:t>3</w:t>
            </w:r>
            <w:r>
              <w:rPr>
                <w:rFonts w:hint="eastAsia" w:ascii="宋体" w:hAnsi="宋体"/>
                <w:kern w:val="0"/>
                <w:sz w:val="21"/>
                <w:szCs w:val="21"/>
                <w:highlight w:val="none"/>
              </w:rPr>
              <w:t>）易燃易爆品设专区专人管理，做好相关记录。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46" w:type="dxa"/>
            <w:vMerge w:val="continue"/>
            <w:vAlign w:val="center"/>
          </w:tcPr>
          <w:p>
            <w:pPr>
              <w:spacing w:line="360" w:lineRule="auto"/>
              <w:jc w:val="center"/>
              <w:rPr>
                <w:rFonts w:ascii="宋体" w:hAnsi="宋体"/>
                <w:kern w:val="0"/>
                <w:sz w:val="22"/>
                <w:szCs w:val="22"/>
                <w:highlight w:val="none"/>
              </w:rPr>
            </w:pPr>
          </w:p>
        </w:tc>
        <w:tc>
          <w:tcPr>
            <w:tcW w:w="1701" w:type="dxa"/>
            <w:vMerge w:val="continue"/>
            <w:vAlign w:val="center"/>
          </w:tcPr>
          <w:p>
            <w:pPr>
              <w:spacing w:line="360" w:lineRule="auto"/>
              <w:jc w:val="center"/>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w:t>
            </w:r>
            <w:r>
              <w:rPr>
                <w:rFonts w:ascii="宋体" w:hAnsi="宋体"/>
                <w:kern w:val="0"/>
                <w:sz w:val="21"/>
                <w:szCs w:val="21"/>
                <w:highlight w:val="none"/>
              </w:rPr>
              <w:t>4</w:t>
            </w:r>
            <w:r>
              <w:rPr>
                <w:rFonts w:hint="eastAsia" w:ascii="宋体" w:hAnsi="宋体"/>
                <w:kern w:val="0"/>
                <w:sz w:val="21"/>
                <w:szCs w:val="21"/>
                <w:highlight w:val="none"/>
              </w:rPr>
              <w:t>）定期组织消防安全宣传，每半年至少开展1次消防演练。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hint="eastAsia" w:ascii="宋体" w:hAnsi="宋体"/>
                <w:kern w:val="0"/>
                <w:sz w:val="22"/>
                <w:szCs w:val="22"/>
                <w:highlight w:val="none"/>
              </w:rPr>
              <w:t>7</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突发事件处理</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（1）制定突发事件安全责任书，明确突发事件责任人及应承担的安全责任。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846" w:type="dxa"/>
            <w:vMerge w:val="restart"/>
            <w:vAlign w:val="center"/>
          </w:tcPr>
          <w:p>
            <w:pPr>
              <w:spacing w:line="360" w:lineRule="auto"/>
              <w:jc w:val="center"/>
              <w:rPr>
                <w:rFonts w:ascii="宋体" w:hAnsi="宋体"/>
                <w:kern w:val="0"/>
                <w:sz w:val="22"/>
                <w:szCs w:val="22"/>
                <w:highlight w:val="none"/>
              </w:rPr>
            </w:pPr>
            <w:r>
              <w:rPr>
                <w:rFonts w:ascii="宋体" w:hAnsi="宋体"/>
                <w:kern w:val="0"/>
                <w:sz w:val="22"/>
                <w:szCs w:val="22"/>
                <w:highlight w:val="none"/>
              </w:rPr>
              <w:t>8</w:t>
            </w:r>
          </w:p>
        </w:tc>
        <w:tc>
          <w:tcPr>
            <w:tcW w:w="1701" w:type="dxa"/>
            <w:vMerge w:val="restart"/>
            <w:vAlign w:val="center"/>
          </w:tcPr>
          <w:p>
            <w:pPr>
              <w:spacing w:line="360" w:lineRule="auto"/>
              <w:jc w:val="center"/>
              <w:rPr>
                <w:rFonts w:ascii="宋体" w:hAnsi="宋体"/>
                <w:kern w:val="0"/>
                <w:sz w:val="21"/>
                <w:szCs w:val="21"/>
                <w:highlight w:val="none"/>
              </w:rPr>
            </w:pPr>
            <w:r>
              <w:rPr>
                <w:rFonts w:hint="eastAsia" w:ascii="宋体" w:hAnsi="宋体"/>
                <w:kern w:val="0"/>
                <w:sz w:val="21"/>
                <w:szCs w:val="21"/>
                <w:highlight w:val="none"/>
              </w:rPr>
              <w:t>大型活动秩序</w:t>
            </w: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（2）应当保障通道、出入口、停车场等区域畅通。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46" w:type="dxa"/>
            <w:vMerge w:val="continue"/>
          </w:tcPr>
          <w:p>
            <w:pPr>
              <w:spacing w:line="360" w:lineRule="auto"/>
              <w:rPr>
                <w:rFonts w:ascii="宋体" w:hAnsi="宋体"/>
                <w:kern w:val="0"/>
                <w:sz w:val="22"/>
                <w:szCs w:val="22"/>
                <w:highlight w:val="none"/>
              </w:rPr>
            </w:pPr>
          </w:p>
        </w:tc>
        <w:tc>
          <w:tcPr>
            <w:tcW w:w="1701" w:type="dxa"/>
            <w:vMerge w:val="continue"/>
          </w:tcPr>
          <w:p>
            <w:pPr>
              <w:spacing w:line="360" w:lineRule="auto"/>
              <w:rPr>
                <w:rFonts w:ascii="宋体" w:hAnsi="宋体"/>
                <w:kern w:val="0"/>
                <w:sz w:val="21"/>
                <w:szCs w:val="21"/>
                <w:highlight w:val="none"/>
              </w:rPr>
            </w:pPr>
          </w:p>
        </w:tc>
        <w:tc>
          <w:tcPr>
            <w:tcW w:w="6956"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（3）活动举办过程中，做好现场秩序的维护和突发事故的处置工作，确保活动正常进行。</w:t>
            </w:r>
          </w:p>
        </w:tc>
      </w:tr>
    </w:tbl>
    <w:p>
      <w:pPr>
        <w:spacing w:line="360" w:lineRule="auto"/>
        <w:rPr>
          <w:rFonts w:ascii="宋体" w:hAnsi="宋体"/>
          <w:b/>
          <w:szCs w:val="21"/>
          <w:highlight w:val="none"/>
        </w:rPr>
      </w:pPr>
    </w:p>
    <w:p>
      <w:pPr>
        <w:spacing w:line="360" w:lineRule="auto"/>
        <w:ind w:firstLine="442" w:firstLineChars="200"/>
        <w:rPr>
          <w:b/>
          <w:sz w:val="22"/>
          <w:highlight w:val="none"/>
        </w:rPr>
      </w:pPr>
      <w:r>
        <w:rPr>
          <w:rFonts w:hint="eastAsia" w:ascii="宋体" w:hAnsi="宋体"/>
          <w:b/>
          <w:sz w:val="22"/>
          <w:szCs w:val="21"/>
          <w:highlight w:val="none"/>
        </w:rPr>
        <w:t>3</w:t>
      </w:r>
      <w:r>
        <w:rPr>
          <w:rFonts w:ascii="宋体" w:hAnsi="宋体"/>
          <w:b/>
          <w:sz w:val="22"/>
          <w:szCs w:val="21"/>
          <w:highlight w:val="none"/>
        </w:rPr>
        <w:t>.5</w:t>
      </w:r>
      <w:r>
        <w:rPr>
          <w:rFonts w:hint="eastAsia"/>
          <w:b/>
          <w:sz w:val="22"/>
          <w:highlight w:val="none"/>
        </w:rPr>
        <w:t>食堂服务</w:t>
      </w:r>
    </w:p>
    <w:tbl>
      <w:tblPr>
        <w:tblStyle w:val="37"/>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843"/>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4"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序号</w:t>
            </w:r>
          </w:p>
        </w:tc>
        <w:tc>
          <w:tcPr>
            <w:tcW w:w="1843"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服务内容</w:t>
            </w:r>
          </w:p>
        </w:tc>
        <w:tc>
          <w:tcPr>
            <w:tcW w:w="6643"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4" w:type="dxa"/>
            <w:vMerge w:val="restart"/>
            <w:vAlign w:val="center"/>
          </w:tcPr>
          <w:p>
            <w:pPr>
              <w:spacing w:line="360" w:lineRule="auto"/>
              <w:rPr>
                <w:rFonts w:ascii="宋体" w:hAnsi="宋体"/>
                <w:kern w:val="0"/>
                <w:sz w:val="22"/>
                <w:szCs w:val="22"/>
                <w:highlight w:val="none"/>
              </w:rPr>
            </w:pPr>
            <w:r>
              <w:rPr>
                <w:rFonts w:hint="eastAsia" w:ascii="宋体" w:hAnsi="宋体"/>
                <w:kern w:val="0"/>
                <w:sz w:val="22"/>
                <w:szCs w:val="22"/>
                <w:highlight w:val="none"/>
              </w:rPr>
              <w:t>1</w:t>
            </w:r>
          </w:p>
        </w:tc>
        <w:tc>
          <w:tcPr>
            <w:tcW w:w="1843" w:type="dxa"/>
            <w:vMerge w:val="restart"/>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食堂食物加工</w:t>
            </w: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（1）必须确保食物的质量，把住进货渠道及进货质量关，严禁购进变质变霉的食物，保证放心肉的卫生，做到食品卫生内部以及环境卫生，经得起上级部门检查并达到合格。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（2）严格执行各项食堂管理制度，严格按食堂操作规程及卫生管理制度实施。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restart"/>
            <w:vAlign w:val="center"/>
          </w:tcPr>
          <w:p>
            <w:pPr>
              <w:spacing w:line="360" w:lineRule="auto"/>
              <w:rPr>
                <w:rFonts w:ascii="宋体" w:hAnsi="宋体"/>
                <w:kern w:val="0"/>
                <w:sz w:val="22"/>
                <w:szCs w:val="22"/>
                <w:highlight w:val="none"/>
              </w:rPr>
            </w:pPr>
            <w:r>
              <w:rPr>
                <w:rFonts w:hint="eastAsia" w:ascii="宋体" w:hAnsi="宋体"/>
                <w:kern w:val="0"/>
                <w:sz w:val="22"/>
                <w:szCs w:val="22"/>
                <w:highlight w:val="none"/>
              </w:rPr>
              <w:t>2</w:t>
            </w:r>
          </w:p>
        </w:tc>
        <w:tc>
          <w:tcPr>
            <w:tcW w:w="1843" w:type="dxa"/>
            <w:vMerge w:val="restart"/>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工作纪律</w:t>
            </w: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（1）食堂工作人员必须遵守采购人工作纪律及保密纪律要求，厉行节约，严禁餐饮浪费。遵守食堂各项规章制度及考勤制度，在服务期限内须服从、执行采购人提出的管理要求并配合做好各项相关工作。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（2）食堂工作人员每年需要进行一次体检，工作时按要求着装及消毒。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3）采购人员工遭受因食物不洁、烹饪未达标准等原因所引起的腹泻、中毒或因食堂工作人员未采取合理措施造成的地面湿滑、火灾、爆炸等原因引起的伤害所产生的费用，由成交人和食堂工作人员分清责任并承担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（4）成交人提供劳动管理服务，采购人负责如物品采购、农药残留检测及留样、财务收支等其他一切管理工作。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（5）采购人提供食堂所需的炉灶、桌椅、蒸饭设备、碗筷、冰柜、保洁柜等现有设备设施，并承担食堂的水电费用。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（6）食堂工作人员因不服从采购人管理，造成人员违反工作纪律、人员意外伤害等责任事故，一切责任由成交人承担。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（7）食堂厨师</w:t>
            </w:r>
          </w:p>
          <w:p>
            <w:pPr>
              <w:spacing w:line="360" w:lineRule="auto"/>
              <w:rPr>
                <w:rFonts w:ascii="宋体" w:hAnsi="宋体"/>
                <w:kern w:val="0"/>
                <w:sz w:val="21"/>
                <w:szCs w:val="21"/>
                <w:highlight w:val="none"/>
              </w:rPr>
            </w:pPr>
            <w:r>
              <w:rPr>
                <w:rFonts w:hint="eastAsia" w:ascii="宋体" w:hAnsi="宋体"/>
                <w:kern w:val="0"/>
                <w:sz w:val="21"/>
                <w:szCs w:val="21"/>
                <w:highlight w:val="none"/>
              </w:rPr>
              <w:t>①负责食堂饭菜制作工作，严格把关菜品质量，根据季节合理安排食谱，确保按时供餐；</w:t>
            </w:r>
          </w:p>
          <w:p>
            <w:pPr>
              <w:spacing w:line="360" w:lineRule="auto"/>
              <w:rPr>
                <w:rFonts w:ascii="宋体" w:hAnsi="宋体"/>
                <w:kern w:val="0"/>
                <w:sz w:val="21"/>
                <w:szCs w:val="21"/>
                <w:highlight w:val="none"/>
              </w:rPr>
            </w:pPr>
            <w:r>
              <w:rPr>
                <w:rFonts w:hint="eastAsia" w:ascii="宋体" w:hAnsi="宋体"/>
                <w:kern w:val="0"/>
                <w:sz w:val="21"/>
                <w:szCs w:val="21"/>
                <w:highlight w:val="none"/>
              </w:rPr>
              <w:t>②认真负责，严格执行《食品卫生法》，抓好食品卫生质量，做好食品卫生、厨具卫生，防止出现食物变质和食物中毒；</w:t>
            </w:r>
          </w:p>
          <w:p>
            <w:pPr>
              <w:spacing w:line="360" w:lineRule="auto"/>
              <w:rPr>
                <w:rFonts w:ascii="宋体" w:hAnsi="宋体"/>
                <w:kern w:val="0"/>
                <w:sz w:val="21"/>
                <w:szCs w:val="21"/>
                <w:highlight w:val="none"/>
              </w:rPr>
            </w:pPr>
            <w:r>
              <w:rPr>
                <w:rFonts w:hint="eastAsia" w:ascii="宋体" w:hAnsi="宋体"/>
                <w:kern w:val="0"/>
                <w:sz w:val="21"/>
                <w:szCs w:val="21"/>
                <w:highlight w:val="none"/>
              </w:rPr>
              <w:t>③须着干净、整洁工作服，戴口罩上岗，严禁吸烟等不卫生行为；</w:t>
            </w:r>
          </w:p>
          <w:p>
            <w:pPr>
              <w:spacing w:line="360" w:lineRule="auto"/>
              <w:rPr>
                <w:rFonts w:ascii="宋体" w:hAnsi="宋体"/>
                <w:kern w:val="0"/>
                <w:sz w:val="21"/>
                <w:szCs w:val="21"/>
                <w:highlight w:val="none"/>
              </w:rPr>
            </w:pPr>
            <w:r>
              <w:rPr>
                <w:rFonts w:hint="eastAsia" w:ascii="宋体" w:hAnsi="宋体"/>
                <w:kern w:val="0"/>
                <w:sz w:val="21"/>
                <w:szCs w:val="21"/>
                <w:highlight w:val="none"/>
              </w:rPr>
              <w:t>④做好厨房消防安全工作，完成采购人交办的其他工作任务。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704" w:type="dxa"/>
            <w:vMerge w:val="continue"/>
            <w:vAlign w:val="center"/>
          </w:tcPr>
          <w:p>
            <w:pPr>
              <w:spacing w:line="360" w:lineRule="auto"/>
              <w:rPr>
                <w:rFonts w:ascii="宋体" w:hAnsi="宋体"/>
                <w:kern w:val="0"/>
                <w:sz w:val="22"/>
                <w:szCs w:val="22"/>
                <w:highlight w:val="none"/>
              </w:rPr>
            </w:pPr>
          </w:p>
        </w:tc>
        <w:tc>
          <w:tcPr>
            <w:tcW w:w="1843" w:type="dxa"/>
            <w:vMerge w:val="continue"/>
            <w:vAlign w:val="center"/>
          </w:tcPr>
          <w:p>
            <w:pPr>
              <w:spacing w:line="360" w:lineRule="auto"/>
              <w:rPr>
                <w:rFonts w:ascii="宋体" w:hAnsi="宋体"/>
                <w:kern w:val="0"/>
                <w:sz w:val="21"/>
                <w:szCs w:val="21"/>
                <w:highlight w:val="none"/>
              </w:rPr>
            </w:pPr>
          </w:p>
        </w:tc>
        <w:tc>
          <w:tcPr>
            <w:tcW w:w="664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（8）食堂厨工</w:t>
            </w:r>
          </w:p>
          <w:p>
            <w:pPr>
              <w:spacing w:line="360" w:lineRule="auto"/>
              <w:rPr>
                <w:rFonts w:ascii="宋体" w:hAnsi="宋体"/>
                <w:kern w:val="0"/>
                <w:sz w:val="21"/>
                <w:szCs w:val="21"/>
                <w:highlight w:val="none"/>
              </w:rPr>
            </w:pPr>
            <w:r>
              <w:rPr>
                <w:rFonts w:hint="eastAsia" w:ascii="宋体" w:hAnsi="宋体"/>
                <w:kern w:val="0"/>
                <w:sz w:val="21"/>
                <w:szCs w:val="21"/>
                <w:highlight w:val="none"/>
              </w:rPr>
              <w:t>①清洗各种食材，并按照厨师要求做好打酱、切菜、备货等工作，协助做好食品制作加工。</w:t>
            </w:r>
          </w:p>
          <w:p>
            <w:pPr>
              <w:spacing w:line="360" w:lineRule="auto"/>
              <w:rPr>
                <w:rFonts w:ascii="宋体" w:hAnsi="宋体"/>
                <w:kern w:val="0"/>
                <w:sz w:val="21"/>
                <w:szCs w:val="21"/>
                <w:highlight w:val="none"/>
              </w:rPr>
            </w:pPr>
            <w:r>
              <w:rPr>
                <w:rFonts w:hint="eastAsia" w:ascii="宋体" w:hAnsi="宋体"/>
                <w:kern w:val="0"/>
                <w:sz w:val="21"/>
                <w:szCs w:val="21"/>
                <w:highlight w:val="none"/>
              </w:rPr>
              <w:t>②开餐前提前到达分餐区域做好准备工作，保证相关人员正常用餐。餐后及时收回碗筷、菜碟等餐具并及时清洗消毒，定点分类存放。做好厨房和餐厅清洁工作，保持食堂内整洁干净。餐具、灶具必须经过“一洗，二刷、三冲、四消毒、五保洁”。</w:t>
            </w:r>
          </w:p>
          <w:p>
            <w:pPr>
              <w:spacing w:line="360" w:lineRule="auto"/>
              <w:rPr>
                <w:rFonts w:ascii="宋体" w:hAnsi="宋体"/>
                <w:kern w:val="0"/>
                <w:sz w:val="21"/>
                <w:szCs w:val="21"/>
                <w:highlight w:val="none"/>
              </w:rPr>
            </w:pPr>
            <w:r>
              <w:rPr>
                <w:rFonts w:hint="eastAsia" w:ascii="宋体" w:hAnsi="宋体"/>
                <w:kern w:val="0"/>
                <w:sz w:val="21"/>
                <w:szCs w:val="21"/>
                <w:highlight w:val="none"/>
              </w:rPr>
              <w:t>③负责食堂整体建筑的清洁卫生，包括餐厅的餐桌、餐椅、餐具等摆放整齐，保证餐厅、地面、门窗、天花板、厨房间的所有设施无油烟污渍及污垢杂物。</w:t>
            </w:r>
          </w:p>
        </w:tc>
      </w:tr>
    </w:tbl>
    <w:p>
      <w:pPr>
        <w:spacing w:line="360" w:lineRule="auto"/>
        <w:rPr>
          <w:rFonts w:ascii="宋体" w:hAnsi="宋体"/>
          <w:b/>
          <w:szCs w:val="21"/>
          <w:highlight w:val="none"/>
        </w:rPr>
      </w:pPr>
    </w:p>
    <w:p>
      <w:pPr>
        <w:spacing w:line="360" w:lineRule="auto"/>
        <w:rPr>
          <w:rFonts w:ascii="宋体" w:hAnsi="宋体"/>
          <w:b/>
          <w:sz w:val="22"/>
          <w:highlight w:val="none"/>
        </w:rPr>
      </w:pPr>
      <w:r>
        <w:rPr>
          <w:rFonts w:hint="eastAsia" w:ascii="宋体" w:hAnsi="宋体"/>
          <w:b/>
          <w:sz w:val="22"/>
          <w:highlight w:val="none"/>
        </w:rPr>
        <w:t>4.供应商履行合同所需设备</w:t>
      </w:r>
    </w:p>
    <w:p>
      <w:pPr>
        <w:spacing w:line="360" w:lineRule="auto"/>
        <w:rPr>
          <w:sz w:val="22"/>
          <w:highlight w:val="none"/>
        </w:rPr>
      </w:pPr>
      <w:r>
        <w:rPr>
          <w:rFonts w:hint="eastAsia"/>
          <w:sz w:val="22"/>
          <w:highlight w:val="none"/>
        </w:rPr>
        <w:t>（投标人根据项目实际需求配备，并在投标文件中出具相关承诺函</w:t>
      </w:r>
      <w:r>
        <w:rPr>
          <w:rFonts w:hint="eastAsia"/>
          <w:sz w:val="22"/>
          <w:highlight w:val="none"/>
          <w:lang w:eastAsia="zh-CN"/>
        </w:rPr>
        <w:t>（格式自拟）</w:t>
      </w:r>
      <w:r>
        <w:rPr>
          <w:rFonts w:hint="eastAsia"/>
          <w:sz w:val="22"/>
          <w:highlight w:val="none"/>
        </w:rPr>
        <w:t>。）</w:t>
      </w:r>
    </w:p>
    <w:tbl>
      <w:tblPr>
        <w:tblStyle w:val="3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1239"/>
        <w:gridCol w:w="4583"/>
        <w:gridCol w:w="927"/>
        <w:gridCol w:w="2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476" w:type="dxa"/>
            <w:vAlign w:val="center"/>
          </w:tcPr>
          <w:p>
            <w:pPr>
              <w:spacing w:line="360" w:lineRule="auto"/>
              <w:jc w:val="center"/>
              <w:rPr>
                <w:rFonts w:ascii="宋体" w:hAnsi="宋体"/>
                <w:b/>
                <w:kern w:val="0"/>
                <w:sz w:val="22"/>
                <w:highlight w:val="none"/>
              </w:rPr>
            </w:pPr>
            <w:r>
              <w:rPr>
                <w:rFonts w:hint="eastAsia" w:ascii="宋体" w:hAnsi="宋体"/>
                <w:b/>
                <w:kern w:val="0"/>
                <w:sz w:val="22"/>
                <w:highlight w:val="none"/>
              </w:rPr>
              <w:t>序号</w:t>
            </w:r>
          </w:p>
        </w:tc>
        <w:tc>
          <w:tcPr>
            <w:tcW w:w="1239" w:type="dxa"/>
            <w:vAlign w:val="center"/>
          </w:tcPr>
          <w:p>
            <w:pPr>
              <w:spacing w:line="360" w:lineRule="auto"/>
              <w:jc w:val="center"/>
              <w:rPr>
                <w:rFonts w:ascii="宋体" w:hAnsi="宋体"/>
                <w:b/>
                <w:kern w:val="0"/>
                <w:sz w:val="22"/>
                <w:highlight w:val="none"/>
              </w:rPr>
            </w:pPr>
            <w:r>
              <w:rPr>
                <w:rFonts w:hint="eastAsia" w:ascii="宋体" w:hAnsi="宋体"/>
                <w:b/>
                <w:kern w:val="0"/>
                <w:sz w:val="22"/>
                <w:highlight w:val="none"/>
              </w:rPr>
              <w:t>用途</w:t>
            </w:r>
          </w:p>
        </w:tc>
        <w:tc>
          <w:tcPr>
            <w:tcW w:w="4583" w:type="dxa"/>
            <w:vAlign w:val="center"/>
          </w:tcPr>
          <w:p>
            <w:pPr>
              <w:spacing w:line="360" w:lineRule="auto"/>
              <w:jc w:val="center"/>
              <w:rPr>
                <w:rFonts w:ascii="宋体" w:hAnsi="宋体"/>
                <w:b/>
                <w:kern w:val="0"/>
                <w:sz w:val="22"/>
                <w:highlight w:val="none"/>
              </w:rPr>
            </w:pPr>
            <w:r>
              <w:rPr>
                <w:rFonts w:hint="eastAsia" w:ascii="宋体" w:hAnsi="宋体"/>
                <w:b/>
                <w:kern w:val="0"/>
                <w:sz w:val="22"/>
                <w:highlight w:val="none"/>
              </w:rPr>
              <w:t>设备名称</w:t>
            </w:r>
          </w:p>
        </w:tc>
        <w:tc>
          <w:tcPr>
            <w:tcW w:w="927" w:type="dxa"/>
            <w:vAlign w:val="center"/>
          </w:tcPr>
          <w:p>
            <w:pPr>
              <w:spacing w:line="360" w:lineRule="auto"/>
              <w:jc w:val="center"/>
              <w:rPr>
                <w:rFonts w:ascii="宋体" w:hAnsi="宋体"/>
                <w:b/>
                <w:kern w:val="0"/>
                <w:sz w:val="22"/>
                <w:highlight w:val="none"/>
              </w:rPr>
            </w:pPr>
            <w:r>
              <w:rPr>
                <w:rFonts w:hint="eastAsia" w:ascii="宋体" w:hAnsi="宋体"/>
                <w:b/>
                <w:kern w:val="0"/>
                <w:sz w:val="22"/>
                <w:highlight w:val="none"/>
              </w:rPr>
              <w:t>数量</w:t>
            </w:r>
          </w:p>
        </w:tc>
        <w:tc>
          <w:tcPr>
            <w:tcW w:w="2165" w:type="dxa"/>
            <w:vAlign w:val="center"/>
          </w:tcPr>
          <w:p>
            <w:pPr>
              <w:spacing w:line="360" w:lineRule="auto"/>
              <w:jc w:val="center"/>
              <w:rPr>
                <w:rFonts w:ascii="宋体" w:hAnsi="宋体"/>
                <w:b/>
                <w:kern w:val="0"/>
                <w:sz w:val="22"/>
                <w:highlight w:val="none"/>
              </w:rPr>
            </w:pPr>
            <w:r>
              <w:rPr>
                <w:rFonts w:hint="eastAsia" w:ascii="宋体" w:hAnsi="宋体"/>
                <w:b/>
                <w:kern w:val="0"/>
                <w:sz w:val="22"/>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ascii="宋体" w:hAnsi="宋体"/>
                <w:kern w:val="0"/>
                <w:sz w:val="22"/>
                <w:szCs w:val="21"/>
                <w:highlight w:val="none"/>
              </w:rPr>
            </w:pPr>
            <w:r>
              <w:rPr>
                <w:rFonts w:hint="eastAsia" w:ascii="宋体" w:hAnsi="宋体"/>
                <w:kern w:val="0"/>
                <w:sz w:val="22"/>
                <w:szCs w:val="21"/>
                <w:highlight w:val="none"/>
              </w:rPr>
              <w:t>1</w:t>
            </w:r>
          </w:p>
        </w:tc>
        <w:tc>
          <w:tcPr>
            <w:tcW w:w="123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基本服务</w:t>
            </w:r>
          </w:p>
        </w:tc>
        <w:tc>
          <w:tcPr>
            <w:tcW w:w="4583" w:type="dxa"/>
          </w:tcPr>
          <w:p>
            <w:pPr>
              <w:spacing w:line="360" w:lineRule="auto"/>
              <w:rPr>
                <w:rFonts w:ascii="宋体" w:hAnsi="宋体"/>
                <w:kern w:val="0"/>
                <w:sz w:val="21"/>
                <w:szCs w:val="21"/>
                <w:highlight w:val="none"/>
              </w:rPr>
            </w:pPr>
          </w:p>
        </w:tc>
        <w:tc>
          <w:tcPr>
            <w:tcW w:w="927" w:type="dxa"/>
          </w:tcPr>
          <w:p>
            <w:pPr>
              <w:spacing w:line="360" w:lineRule="auto"/>
              <w:rPr>
                <w:rFonts w:ascii="宋体" w:hAnsi="宋体"/>
                <w:kern w:val="0"/>
                <w:sz w:val="21"/>
                <w:szCs w:val="21"/>
                <w:highlight w:val="none"/>
              </w:rPr>
            </w:pPr>
          </w:p>
        </w:tc>
        <w:tc>
          <w:tcPr>
            <w:tcW w:w="2165" w:type="dxa"/>
          </w:tcPr>
          <w:p>
            <w:pPr>
              <w:spacing w:line="360" w:lineRule="auto"/>
              <w:rPr>
                <w:rFonts w:ascii="宋体" w:hAnsi="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ascii="宋体" w:hAnsi="宋体"/>
                <w:kern w:val="0"/>
                <w:sz w:val="22"/>
                <w:szCs w:val="21"/>
                <w:highlight w:val="none"/>
              </w:rPr>
            </w:pPr>
            <w:r>
              <w:rPr>
                <w:rFonts w:hint="eastAsia" w:ascii="宋体" w:hAnsi="宋体"/>
                <w:kern w:val="0"/>
                <w:sz w:val="22"/>
                <w:szCs w:val="21"/>
                <w:highlight w:val="none"/>
              </w:rPr>
              <w:t>2</w:t>
            </w:r>
          </w:p>
        </w:tc>
        <w:tc>
          <w:tcPr>
            <w:tcW w:w="123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保洁服务</w:t>
            </w:r>
          </w:p>
        </w:tc>
        <w:tc>
          <w:tcPr>
            <w:tcW w:w="458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磁砖地板清洁机，扫把，拖把等保洁劳保用品用具</w:t>
            </w:r>
          </w:p>
        </w:tc>
        <w:tc>
          <w:tcPr>
            <w:tcW w:w="927"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按需</w:t>
            </w:r>
          </w:p>
        </w:tc>
        <w:tc>
          <w:tcPr>
            <w:tcW w:w="2165" w:type="dxa"/>
          </w:tcPr>
          <w:p>
            <w:pPr>
              <w:spacing w:line="360" w:lineRule="auto"/>
              <w:rPr>
                <w:rFonts w:ascii="宋体" w:hAnsi="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ascii="宋体" w:hAnsi="宋体"/>
                <w:kern w:val="0"/>
                <w:sz w:val="22"/>
                <w:szCs w:val="21"/>
                <w:highlight w:val="none"/>
              </w:rPr>
            </w:pPr>
            <w:r>
              <w:rPr>
                <w:rFonts w:hint="eastAsia" w:ascii="宋体" w:hAnsi="宋体"/>
                <w:kern w:val="0"/>
                <w:sz w:val="22"/>
                <w:szCs w:val="21"/>
                <w:highlight w:val="none"/>
              </w:rPr>
              <w:t>3</w:t>
            </w:r>
          </w:p>
        </w:tc>
        <w:tc>
          <w:tcPr>
            <w:tcW w:w="123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绿化服务</w:t>
            </w:r>
          </w:p>
        </w:tc>
        <w:tc>
          <w:tcPr>
            <w:tcW w:w="458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修枝手剪刀，油剪刀，水管，打草机</w:t>
            </w:r>
          </w:p>
        </w:tc>
        <w:tc>
          <w:tcPr>
            <w:tcW w:w="927"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按需</w:t>
            </w:r>
          </w:p>
        </w:tc>
        <w:tc>
          <w:tcPr>
            <w:tcW w:w="2165" w:type="dxa"/>
          </w:tcPr>
          <w:p>
            <w:pPr>
              <w:spacing w:line="360" w:lineRule="auto"/>
              <w:rPr>
                <w:rFonts w:ascii="宋体" w:hAnsi="宋体"/>
                <w:kern w:val="0"/>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Align w:val="center"/>
          </w:tcPr>
          <w:p>
            <w:pPr>
              <w:spacing w:line="360" w:lineRule="auto"/>
              <w:rPr>
                <w:rFonts w:ascii="宋体" w:hAnsi="宋体"/>
                <w:kern w:val="0"/>
                <w:sz w:val="22"/>
                <w:szCs w:val="21"/>
                <w:highlight w:val="none"/>
              </w:rPr>
            </w:pPr>
            <w:r>
              <w:rPr>
                <w:rFonts w:hint="eastAsia" w:ascii="宋体" w:hAnsi="宋体"/>
                <w:kern w:val="0"/>
                <w:sz w:val="22"/>
                <w:szCs w:val="21"/>
                <w:highlight w:val="none"/>
              </w:rPr>
              <w:t>4</w:t>
            </w:r>
          </w:p>
        </w:tc>
        <w:tc>
          <w:tcPr>
            <w:tcW w:w="1239" w:type="dxa"/>
            <w:vAlign w:val="center"/>
          </w:tcPr>
          <w:p>
            <w:pPr>
              <w:spacing w:line="360" w:lineRule="auto"/>
              <w:rPr>
                <w:rFonts w:ascii="宋体" w:hAnsi="宋体"/>
                <w:kern w:val="0"/>
                <w:sz w:val="21"/>
                <w:szCs w:val="21"/>
                <w:highlight w:val="none"/>
              </w:rPr>
            </w:pPr>
            <w:r>
              <w:rPr>
                <w:rFonts w:hint="eastAsia" w:ascii="宋体" w:hAnsi="宋体"/>
                <w:kern w:val="0"/>
                <w:sz w:val="21"/>
                <w:szCs w:val="21"/>
                <w:highlight w:val="none"/>
              </w:rPr>
              <w:t>保安服务</w:t>
            </w:r>
          </w:p>
        </w:tc>
        <w:tc>
          <w:tcPr>
            <w:tcW w:w="4583"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手电、警棍、防暴装备、对讲机等</w:t>
            </w:r>
          </w:p>
        </w:tc>
        <w:tc>
          <w:tcPr>
            <w:tcW w:w="927" w:type="dxa"/>
          </w:tcPr>
          <w:p>
            <w:pPr>
              <w:spacing w:line="360" w:lineRule="auto"/>
              <w:rPr>
                <w:rFonts w:ascii="宋体" w:hAnsi="宋体"/>
                <w:kern w:val="0"/>
                <w:sz w:val="21"/>
                <w:szCs w:val="21"/>
                <w:highlight w:val="none"/>
              </w:rPr>
            </w:pPr>
            <w:r>
              <w:rPr>
                <w:rFonts w:hint="eastAsia" w:ascii="宋体" w:hAnsi="宋体"/>
                <w:kern w:val="0"/>
                <w:sz w:val="21"/>
                <w:szCs w:val="21"/>
                <w:highlight w:val="none"/>
              </w:rPr>
              <w:t>按需</w:t>
            </w:r>
          </w:p>
        </w:tc>
        <w:tc>
          <w:tcPr>
            <w:tcW w:w="2165" w:type="dxa"/>
          </w:tcPr>
          <w:p>
            <w:pPr>
              <w:spacing w:line="360" w:lineRule="auto"/>
              <w:rPr>
                <w:rFonts w:ascii="宋体" w:hAnsi="宋体"/>
                <w:kern w:val="0"/>
                <w:sz w:val="22"/>
                <w:szCs w:val="21"/>
                <w:highlight w:val="none"/>
              </w:rPr>
            </w:pPr>
          </w:p>
        </w:tc>
      </w:tr>
    </w:tbl>
    <w:p>
      <w:pPr>
        <w:spacing w:line="360" w:lineRule="auto"/>
        <w:rPr>
          <w:rFonts w:hint="eastAsia"/>
          <w:highlight w:val="none"/>
        </w:rPr>
      </w:pPr>
    </w:p>
    <w:p>
      <w:pPr>
        <w:spacing w:line="360" w:lineRule="auto"/>
        <w:ind w:firstLine="221" w:firstLineChars="100"/>
        <w:rPr>
          <w:b/>
          <w:sz w:val="22"/>
          <w:highlight w:val="none"/>
        </w:rPr>
      </w:pPr>
      <w:r>
        <w:rPr>
          <w:rFonts w:hint="eastAsia" w:ascii="宋体" w:hAnsi="宋体"/>
          <w:b/>
          <w:sz w:val="22"/>
          <w:szCs w:val="21"/>
          <w:highlight w:val="none"/>
        </w:rPr>
        <w:t>5</w:t>
      </w:r>
      <w:r>
        <w:rPr>
          <w:rFonts w:ascii="宋体" w:hAnsi="宋体"/>
          <w:b/>
          <w:sz w:val="22"/>
          <w:szCs w:val="21"/>
          <w:highlight w:val="none"/>
        </w:rPr>
        <w:t>.</w:t>
      </w:r>
      <w:r>
        <w:rPr>
          <w:rFonts w:hint="eastAsia"/>
          <w:b/>
          <w:sz w:val="22"/>
          <w:highlight w:val="none"/>
        </w:rPr>
        <w:t>物业管理服务人员需求</w:t>
      </w:r>
    </w:p>
    <w:tbl>
      <w:tblPr>
        <w:tblStyle w:val="37"/>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134"/>
        <w:gridCol w:w="992"/>
        <w:gridCol w:w="1134"/>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部门职能</w:t>
            </w:r>
          </w:p>
        </w:tc>
        <w:tc>
          <w:tcPr>
            <w:tcW w:w="1134"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岗位</w:t>
            </w:r>
          </w:p>
        </w:tc>
        <w:tc>
          <w:tcPr>
            <w:tcW w:w="992"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同时在岗人数</w:t>
            </w:r>
          </w:p>
        </w:tc>
        <w:tc>
          <w:tcPr>
            <w:tcW w:w="1134"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岗位所需总人数</w:t>
            </w:r>
          </w:p>
        </w:tc>
        <w:tc>
          <w:tcPr>
            <w:tcW w:w="4592" w:type="dxa"/>
            <w:vAlign w:val="center"/>
          </w:tcPr>
          <w:p>
            <w:pPr>
              <w:spacing w:line="360" w:lineRule="auto"/>
              <w:jc w:val="center"/>
              <w:rPr>
                <w:rFonts w:ascii="宋体" w:hAnsi="宋体"/>
                <w:b/>
                <w:kern w:val="0"/>
                <w:sz w:val="22"/>
                <w:szCs w:val="22"/>
                <w:highlight w:val="none"/>
              </w:rPr>
            </w:pPr>
            <w:r>
              <w:rPr>
                <w:rFonts w:hint="eastAsia" w:ascii="宋体" w:hAnsi="宋体"/>
                <w:b/>
                <w:kern w:val="0"/>
                <w:sz w:val="22"/>
                <w:szCs w:val="22"/>
                <w:highlight w:val="none"/>
              </w:rPr>
              <w:t>人员要求及岗位要求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271"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基本服务</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项目主管</w:t>
            </w:r>
          </w:p>
        </w:tc>
        <w:tc>
          <w:tcPr>
            <w:tcW w:w="992"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（1）上班时间：8：00-12:00，15：00-18:00；</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（2）年龄50岁以下，大专及以上学历；</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（3）有安全生产培训经验及2年以上物业管理工作经验，有较高政治思想素质，要具备专业管理知识、良好的服务意识、较强的责任心、原则性、工作协调和沟通能力；</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熟悉保安、保洁、绿化、食堂后勤服务整体流程，具备安全生产及消防安全知识，可对整个项目物业员工进行安全生产及消防安全常识进行培训，监督指导保安班长对保安人员的日常业务技能及应急能力培训；</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（5）能根据采购人的要求独立全面负责本项目的物业管理服务工作。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71"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保安服务</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保安班长</w:t>
            </w:r>
          </w:p>
        </w:tc>
        <w:tc>
          <w:tcPr>
            <w:tcW w:w="992"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（1）年龄50岁以下，高中及以上学历，要求五官端正，身体健康；</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（2）持有保安员证及</w:t>
            </w:r>
            <w:r>
              <w:rPr>
                <w:rFonts w:hint="eastAsia" w:ascii="宋体" w:hAnsi="宋体" w:eastAsia="宋体" w:cs="宋体"/>
                <w:kern w:val="0"/>
                <w:sz w:val="21"/>
                <w:szCs w:val="21"/>
                <w:highlight w:val="none"/>
                <w:lang w:val="en-US" w:eastAsia="zh-CN"/>
              </w:rPr>
              <w:t>五</w:t>
            </w:r>
            <w:r>
              <w:rPr>
                <w:rFonts w:hint="eastAsia" w:ascii="宋体" w:hAnsi="宋体" w:eastAsia="宋体" w:cs="宋体"/>
                <w:kern w:val="0"/>
                <w:sz w:val="21"/>
                <w:szCs w:val="21"/>
                <w:highlight w:val="none"/>
              </w:rPr>
              <w:t>级/</w:t>
            </w:r>
            <w:r>
              <w:rPr>
                <w:rFonts w:hint="eastAsia" w:ascii="宋体" w:hAnsi="宋体" w:eastAsia="宋体" w:cs="宋体"/>
                <w:kern w:val="0"/>
                <w:sz w:val="21"/>
                <w:szCs w:val="21"/>
                <w:highlight w:val="none"/>
                <w:lang w:val="en-US" w:eastAsia="zh-CN"/>
              </w:rPr>
              <w:t>初</w:t>
            </w:r>
            <w:r>
              <w:rPr>
                <w:rFonts w:hint="eastAsia" w:ascii="宋体" w:hAnsi="宋体" w:eastAsia="宋体" w:cs="宋体"/>
                <w:kern w:val="0"/>
                <w:sz w:val="21"/>
                <w:szCs w:val="21"/>
                <w:highlight w:val="none"/>
              </w:rPr>
              <w:t>级工及以上等级消防设施操作员职业资格证；</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有较高的政治素质、品行好、作风正派、沟通协调能力强，熟悉物业管理及保安服务法律法规，有较高政治思想素质，相关物业或保安管理经验，具有良好的服务意识、较强的责任心、原则性、工作协调和沟通能力，能够胜任保安队长的工作；</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（4）掌握一定的应急救护知识及消防安全知识，熟练使用各类消防器材，日常服务过程中能对整个保安队伍进行消防安全、特种设备如电梯困人救援、反恐防暴及基础军体培训；</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（5）复退(转业)军人或有从警经验的人员优先考虑。</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（6）掌握急救操作，能实施CPR（心肺复苏术）</w:t>
            </w:r>
            <w:r>
              <w:rPr>
                <w:rFonts w:hint="eastAsia" w:ascii="宋体" w:hAnsi="宋体" w:eastAsia="宋体" w:cs="宋体"/>
                <w:kern w:val="0"/>
                <w:sz w:val="21"/>
                <w:szCs w:val="21"/>
                <w:highlight w:val="none"/>
                <w:lang w:eastAsia="zh-CN"/>
              </w:rPr>
              <w:t>的</w:t>
            </w:r>
            <w:r>
              <w:rPr>
                <w:rFonts w:hint="eastAsia" w:ascii="宋体" w:hAnsi="宋体" w:eastAsia="宋体" w:cs="宋体"/>
                <w:kern w:val="0"/>
                <w:sz w:val="21"/>
                <w:szCs w:val="21"/>
                <w:highlight w:val="none"/>
                <w:lang w:val="en-US" w:eastAsia="zh-CN"/>
              </w:rPr>
              <w:t>优先考虑</w:t>
            </w:r>
            <w:r>
              <w:rPr>
                <w:rFonts w:hint="eastAsia" w:ascii="宋体" w:hAnsi="宋体" w:eastAsia="宋体" w:cs="宋体"/>
                <w:kern w:val="0"/>
                <w:sz w:val="21"/>
                <w:szCs w:val="21"/>
                <w:highlight w:val="none"/>
              </w:rPr>
              <w:t>。</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（7）上班时间：8：00-12:00   14：30-18:00（根据项目情况、员工休息调配）。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71" w:type="dxa"/>
            <w:vMerge w:val="restart"/>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保洁绿化服务</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保洁绿化班长</w:t>
            </w:r>
          </w:p>
        </w:tc>
        <w:tc>
          <w:tcPr>
            <w:tcW w:w="992"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（1）上班时间：8：00-12:00   14：00-18:00；</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（2）高中及以上学历，持有绿化相关专业证书</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园林类职称</w:t>
            </w:r>
            <w:r>
              <w:rPr>
                <w:rFonts w:hint="eastAsia" w:ascii="宋体" w:hAnsi="宋体" w:eastAsia="宋体" w:cs="宋体"/>
                <w:sz w:val="21"/>
                <w:szCs w:val="21"/>
                <w:highlight w:val="none"/>
                <w:lang w:eastAsia="zh-CN"/>
              </w:rPr>
              <w:t>的</w:t>
            </w:r>
            <w:r>
              <w:rPr>
                <w:rFonts w:hint="eastAsia" w:ascii="宋体" w:hAnsi="宋体" w:eastAsia="宋体" w:cs="宋体"/>
                <w:sz w:val="21"/>
                <w:szCs w:val="21"/>
                <w:highlight w:val="none"/>
                <w:lang w:val="en-US" w:eastAsia="zh-CN"/>
              </w:rPr>
              <w:t>优先考虑</w:t>
            </w:r>
            <w:r>
              <w:rPr>
                <w:rFonts w:hint="eastAsia" w:ascii="宋体" w:hAnsi="宋体" w:eastAsia="宋体" w:cs="宋体"/>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71" w:type="dxa"/>
            <w:vMerge w:val="continue"/>
            <w:vAlign w:val="center"/>
          </w:tcPr>
          <w:p>
            <w:pPr>
              <w:spacing w:line="360" w:lineRule="auto"/>
              <w:rPr>
                <w:rFonts w:hint="eastAsia" w:ascii="宋体" w:hAnsi="宋体" w:eastAsia="宋体" w:cs="宋体"/>
                <w:kern w:val="0"/>
                <w:sz w:val="21"/>
                <w:szCs w:val="21"/>
                <w:highlight w:val="none"/>
              </w:rPr>
            </w:pP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保洁员</w:t>
            </w:r>
          </w:p>
        </w:tc>
        <w:tc>
          <w:tcPr>
            <w:tcW w:w="992"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（1）上班时间：7：30-11:30   14：00-18:00；</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（2）55岁以下，初中或以上学历，组织纪律观念强，任劳任怨，工作认真细致。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 w:hRule="atLeast"/>
          <w:jc w:val="center"/>
        </w:trPr>
        <w:tc>
          <w:tcPr>
            <w:tcW w:w="1271" w:type="dxa"/>
            <w:vMerge w:val="restart"/>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食堂服务</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主厨</w:t>
            </w:r>
          </w:p>
        </w:tc>
        <w:tc>
          <w:tcPr>
            <w:tcW w:w="992" w:type="dxa"/>
            <w:vAlign w:val="center"/>
          </w:tcPr>
          <w:p>
            <w:p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2</w:t>
            </w:r>
          </w:p>
        </w:tc>
        <w:tc>
          <w:tcPr>
            <w:tcW w:w="1134" w:type="dxa"/>
            <w:vAlign w:val="center"/>
          </w:tcPr>
          <w:p>
            <w:pPr>
              <w:spacing w:line="360" w:lineRule="auto"/>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2</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上班时间：6:00-至完成工作（根据现场工作调配时间）；</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年龄20（含）至55岁以下，政治思想好、品行端正，工作责任心强，热爱本职工作，能吃苦耐劳，有健康证，有1年以上厨房炊事相关工作经验，无违法犯罪记录。在同等条件下，成交人应优先考虑延用本单位正在聘用的厨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71" w:type="dxa"/>
            <w:vMerge w:val="continue"/>
          </w:tcPr>
          <w:p>
            <w:pPr>
              <w:spacing w:line="360" w:lineRule="auto"/>
              <w:rPr>
                <w:rFonts w:hint="eastAsia" w:ascii="宋体" w:hAnsi="宋体" w:eastAsia="宋体" w:cs="宋体"/>
                <w:kern w:val="0"/>
                <w:sz w:val="21"/>
                <w:szCs w:val="21"/>
                <w:highlight w:val="none"/>
              </w:rPr>
            </w:pP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帮厨</w:t>
            </w:r>
          </w:p>
        </w:tc>
        <w:tc>
          <w:tcPr>
            <w:tcW w:w="992"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上班时间：7:00--至完成工作（根据现场工作调配时间）；</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人员要求身体健康，政治可靠，品德良好，年龄20（含）至55周岁以下，有健康证，有较强的责任心，无违法犯罪记录。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jc w:val="center"/>
        </w:trPr>
        <w:tc>
          <w:tcPr>
            <w:tcW w:w="1271"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合计</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服务人员数</w:t>
            </w:r>
          </w:p>
        </w:tc>
        <w:tc>
          <w:tcPr>
            <w:tcW w:w="992"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1134"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4592" w:type="dxa"/>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（1）供应商拟投入项目服务人员的相关证件，供应商</w:t>
            </w:r>
            <w:r>
              <w:rPr>
                <w:rFonts w:hint="eastAsia" w:ascii="宋体" w:hAnsi="宋体" w:eastAsia="宋体" w:cs="宋体"/>
                <w:kern w:val="0"/>
                <w:sz w:val="21"/>
                <w:szCs w:val="21"/>
                <w:highlight w:val="none"/>
                <w:lang w:val="en-US" w:eastAsia="zh-CN"/>
              </w:rPr>
              <w:t>需</w:t>
            </w:r>
            <w:r>
              <w:rPr>
                <w:rFonts w:hint="eastAsia" w:ascii="宋体" w:hAnsi="宋体" w:eastAsia="宋体" w:cs="宋体"/>
                <w:kern w:val="0"/>
                <w:sz w:val="21"/>
                <w:szCs w:val="21"/>
                <w:highlight w:val="none"/>
              </w:rPr>
              <w:t>在投标文件中出具承诺函</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格式自拟</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（2）人员上岗前必须提供相关证书核查。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71"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人员整体素质条件</w:t>
            </w:r>
          </w:p>
        </w:tc>
        <w:tc>
          <w:tcPr>
            <w:tcW w:w="7852" w:type="dxa"/>
            <w:gridSpan w:val="4"/>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（1）身体健康，能吃苦耐劳，具备良好的综合素质，上岗前必须经过岗位培训，岗中持续培训，具备一定沟通能力，文明礼貌，责任心强，没有违法犯罪记录或者因严重违反劳动法受到处理等情况。</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★（2）上岗时</w:t>
            </w:r>
            <w:r>
              <w:rPr>
                <w:rFonts w:hint="eastAsia" w:ascii="宋体" w:hAnsi="宋体" w:eastAsia="宋体" w:cs="宋体"/>
                <w:b/>
                <w:bCs/>
                <w:kern w:val="0"/>
                <w:sz w:val="21"/>
                <w:szCs w:val="21"/>
                <w:highlight w:val="none"/>
              </w:rPr>
              <w:t>必须</w:t>
            </w:r>
            <w:r>
              <w:rPr>
                <w:rFonts w:hint="eastAsia" w:ascii="宋体" w:hAnsi="宋体" w:eastAsia="宋体" w:cs="宋体"/>
                <w:kern w:val="0"/>
                <w:sz w:val="21"/>
                <w:szCs w:val="21"/>
                <w:highlight w:val="none"/>
              </w:rPr>
              <w:t>提供所有人员的健康证明。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71" w:type="dxa"/>
            <w:vAlign w:val="center"/>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人员安置规划要求</w:t>
            </w:r>
          </w:p>
        </w:tc>
        <w:tc>
          <w:tcPr>
            <w:tcW w:w="7852" w:type="dxa"/>
            <w:gridSpan w:val="4"/>
          </w:tcPr>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（1）成交人需与录用人员签订劳动合同。个人自愿离职的，根据《劳动法》有关规定，解除劳动关系。</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每季度至少开展1次对服务人员进行保密、思想政治教育的培训，提高服务人员保密意识和思想政治意识。新入职员工应当接受保密、思想政治教育培训，进行必要的人员经历审查，合格后签订保密协议方可上岗。严格遵守安全与保密管理规定，所有服务人员不得通过信息、微信、微博、抖音、电话等方式泄露我单位相关工作、业务信息，未经批准不得录制、拍照、拍摄、调取监控视频信息，杜绝发生各种失密泄密事件。</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成交人人员必须足额配置，如有调整需经过采购人同意方可调整。如成交人未按采购人要求配备配齐相关工作人员（因员工提出辞职后导致的缺员，人员补员期为15天），或是因缺员影响物业管理工作的，采购人有权按所缺人员的数量及相关费用标准从物业管理费中扣除。员工补充期内不能影响采购方正常工作。</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（4）成交人必须按照《劳动合同法》的规定与员工签订劳动合同并依据国家、广西和项目所在地有关最低工资标准的规定要求以及缴纳各种社会保险的规定要求向员工支付工资和缴纳社保及其他保险。</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（5）成交人须在合同签订之后10个工作日内办理好物业交接手续。</w:t>
            </w:r>
          </w:p>
        </w:tc>
      </w:tr>
    </w:tbl>
    <w:p>
      <w:pPr>
        <w:spacing w:line="360" w:lineRule="auto"/>
        <w:rPr>
          <w:rFonts w:hint="eastAsia" w:ascii="宋体" w:hAnsi="宋体" w:eastAsia="宋体" w:cs="宋体"/>
          <w:kern w:val="0"/>
          <w:sz w:val="21"/>
          <w:szCs w:val="21"/>
          <w:highlight w:val="none"/>
        </w:rPr>
      </w:pPr>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6.商务要求</w:t>
      </w:r>
      <w:bookmarkStart w:id="60" w:name="_Toc26810"/>
    </w:p>
    <w:p>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6.1服务期限</w:t>
      </w:r>
      <w:bookmarkEnd w:id="60"/>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自签订合同之日起壹年。</w:t>
      </w:r>
    </w:p>
    <w:p>
      <w:pPr>
        <w:spacing w:line="360" w:lineRule="auto"/>
        <w:rPr>
          <w:rFonts w:hint="eastAsia" w:ascii="宋体" w:hAnsi="宋体" w:eastAsia="宋体" w:cs="宋体"/>
          <w:b/>
          <w:bCs/>
          <w:sz w:val="21"/>
          <w:szCs w:val="21"/>
          <w:highlight w:val="none"/>
        </w:rPr>
      </w:pPr>
      <w:bookmarkStart w:id="61" w:name="_Toc2065"/>
      <w:r>
        <w:rPr>
          <w:rFonts w:hint="eastAsia" w:ascii="宋体" w:hAnsi="宋体" w:eastAsia="宋体" w:cs="宋体"/>
          <w:b/>
          <w:bCs/>
          <w:sz w:val="21"/>
          <w:szCs w:val="21"/>
          <w:highlight w:val="none"/>
        </w:rPr>
        <w:t>6.2付款方式</w:t>
      </w:r>
      <w:bookmarkEnd w:id="61"/>
      <w:bookmarkStart w:id="62" w:name="_Toc16267"/>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（1）本项目无预付款，成交人所提交的服务成本经采购人和接受物业服务单位书面验收合格后，按月支付费用（成交金额/12）。</w:t>
      </w:r>
    </w:p>
    <w:p>
      <w:pPr>
        <w:spacing w:line="360" w:lineRule="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（2）成交人在申请支付合同款项时须向采购人提交金额有效合法的增值税普通发票。</w:t>
      </w:r>
    </w:p>
    <w:p>
      <w:pPr>
        <w:pStyle w:val="19"/>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6.3</w:t>
      </w:r>
      <w:bookmarkEnd w:id="62"/>
      <w:bookmarkStart w:id="63" w:name="_Toc1291"/>
      <w:r>
        <w:rPr>
          <w:rFonts w:hint="eastAsia" w:ascii="宋体" w:hAnsi="宋体" w:eastAsia="宋体" w:cs="宋体"/>
          <w:b/>
          <w:bCs/>
          <w:sz w:val="21"/>
          <w:szCs w:val="21"/>
          <w:highlight w:val="none"/>
        </w:rPr>
        <w:t>验收标准与要求</w:t>
      </w:r>
      <w:bookmarkEnd w:id="63"/>
    </w:p>
    <w:p>
      <w:pPr>
        <w:pStyle w:val="19"/>
        <w:spacing w:line="36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按照采购文件要求、投标文件承诺以及合同条款进行验收。</w:t>
      </w:r>
    </w:p>
    <w:p>
      <w:pPr>
        <w:spacing w:line="360" w:lineRule="auto"/>
        <w:rPr>
          <w:rFonts w:hint="eastAsia" w:ascii="宋体" w:hAnsi="宋体" w:eastAsia="宋体" w:cs="宋体"/>
          <w:b/>
          <w:bCs/>
          <w:sz w:val="21"/>
          <w:szCs w:val="21"/>
          <w:highlight w:val="none"/>
        </w:rPr>
      </w:pPr>
      <w:bookmarkStart w:id="64" w:name="_Toc18953"/>
      <w:r>
        <w:rPr>
          <w:rFonts w:hint="eastAsia" w:ascii="宋体" w:hAnsi="宋体" w:eastAsia="宋体" w:cs="宋体"/>
          <w:b/>
          <w:bCs/>
          <w:sz w:val="21"/>
          <w:szCs w:val="21"/>
          <w:highlight w:val="none"/>
        </w:rPr>
        <w:t>6.4报价组成</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供应商报价是履行本项目合同的最终价格，应包括以下所列项目全部费用及所发生的一切成本费用的总和。</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1.报价必须含以下部分：</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（1）服务价格；竞标人根据采购文件所提供的资料及现场勘查综合考虑，在响应文件中作出明确报价。</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（2）各项费用应包括：</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①管理、服务人员的工资和按规定提取的福利费、社保费、服装费等。</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②节假日加班，8小时外值班、加班费用。</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③物业服务单位的办公费、固定资产折旧费、利润。</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④培训、技术支持、售后服务、项目交接期属于成交人应支付的费用。</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⑤各种税费。</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2.报价不含以下部分，说明如下：电梯、中央空调、变压设备、消防设备、安防监控设备的维保及防雷检测等工作应另行聘请专业单位负责，费用由采购人（或另接受</w:t>
      </w:r>
      <w:r>
        <w:rPr>
          <w:rFonts w:hint="eastAsia" w:ascii="宋体" w:hAnsi="宋体" w:eastAsia="宋体" w:cs="宋体"/>
          <w:sz w:val="21"/>
          <w:szCs w:val="21"/>
          <w:highlight w:val="none"/>
          <w:lang w:val="en-US" w:eastAsia="zh-CN"/>
        </w:rPr>
        <w:t>外</w:t>
      </w:r>
      <w:r>
        <w:rPr>
          <w:rFonts w:hint="eastAsia" w:ascii="宋体" w:hAnsi="宋体" w:eastAsia="宋体" w:cs="宋体"/>
          <w:sz w:val="21"/>
          <w:szCs w:val="21"/>
          <w:highlight w:val="none"/>
        </w:rPr>
        <w:t>服务单位）承担，成交人做好设备的日常管理和巡检，发现问题及时联系专业单位进行处理并做好相关配合工作，故以下项目由采购人（或另接受物业服务单位）另行支付，成交人配合完成：</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①办公楼外墙清洗费等清洗费；</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②城市生活垃圾处理费；</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③公共设施设备的日常维修、材料费、大修、中修及更新改造费用；维修所产生的相关费用及零配件。</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④电梯维保费等；</w:t>
      </w:r>
    </w:p>
    <w:p>
      <w:pPr>
        <w:spacing w:line="360" w:lineRule="auto"/>
        <w:ind w:firstLine="420" w:firstLineChars="200"/>
        <w:rPr>
          <w:rFonts w:hint="eastAsia" w:ascii="宋体" w:hAnsi="宋体" w:eastAsia="宋体" w:cs="宋体"/>
          <w:b/>
          <w:bCs/>
          <w:sz w:val="21"/>
          <w:szCs w:val="21"/>
          <w:highlight w:val="none"/>
        </w:rPr>
      </w:pPr>
      <w:r>
        <w:rPr>
          <w:rFonts w:hint="eastAsia" w:ascii="宋体" w:hAnsi="宋体" w:eastAsia="宋体" w:cs="宋体"/>
          <w:sz w:val="21"/>
          <w:szCs w:val="21"/>
          <w:highlight w:val="none"/>
        </w:rPr>
        <w:t>⑤各楼层垃圾桶、垃圾袋、卫生间的厕纸、擦手纸、洗手液、消毒液等物品。</w:t>
      </w:r>
    </w:p>
    <w:p>
      <w:pPr>
        <w:spacing w:line="360" w:lineRule="auto"/>
        <w:rPr>
          <w:rFonts w:hint="eastAsia" w:ascii="宋体" w:hAnsi="宋体" w:eastAsia="宋体" w:cs="宋体"/>
          <w:b/>
          <w:bCs/>
          <w:sz w:val="21"/>
          <w:szCs w:val="21"/>
          <w:highlight w:val="none"/>
        </w:rPr>
      </w:pPr>
      <w:r>
        <w:rPr>
          <w:rFonts w:hint="eastAsia" w:ascii="宋体" w:hAnsi="宋体" w:eastAsia="宋体" w:cs="宋体"/>
          <w:b/>
          <w:bCs/>
          <w:strike w:val="0"/>
          <w:dstrike w:val="0"/>
          <w:sz w:val="21"/>
          <w:szCs w:val="21"/>
          <w:highlight w:val="none"/>
        </w:rPr>
        <w:t>6.5</w:t>
      </w:r>
      <w:bookmarkEnd w:id="64"/>
      <w:r>
        <w:rPr>
          <w:rFonts w:hint="eastAsia" w:ascii="宋体" w:hAnsi="宋体" w:eastAsia="宋体" w:cs="宋体"/>
          <w:b/>
          <w:bCs/>
          <w:sz w:val="21"/>
          <w:szCs w:val="21"/>
          <w:highlight w:val="none"/>
        </w:rPr>
        <w:t>其他要求：</w:t>
      </w:r>
    </w:p>
    <w:p>
      <w:pPr>
        <w:spacing w:line="360" w:lineRule="auto"/>
        <w:ind w:right="412" w:rightChars="196"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一）投标人必须根据《劳动合同法》合法用工，给每位服务人员购买社会保险，采购人不再支付相关需要费用。采购人与服务人员不发生任何劳动和雇佣关系，服务人员由投标人自行管理，并遵守国家相关劳动法律法规，涉及劳务纠纷和劳动事故全部由投标人承担责任。</w:t>
      </w:r>
    </w:p>
    <w:p>
      <w:pPr>
        <w:spacing w:line="360" w:lineRule="auto"/>
        <w:ind w:right="412" w:rightChars="196"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（二）服务团队员工服装款式风格</w:t>
      </w:r>
      <w:r>
        <w:rPr>
          <w:rFonts w:hint="eastAsia" w:ascii="宋体" w:hAnsi="宋体" w:eastAsia="宋体" w:cs="宋体"/>
          <w:b/>
          <w:bCs/>
          <w:sz w:val="21"/>
          <w:szCs w:val="21"/>
          <w:highlight w:val="none"/>
        </w:rPr>
        <w:t>须</w:t>
      </w:r>
      <w:r>
        <w:rPr>
          <w:rFonts w:hint="eastAsia" w:ascii="宋体" w:hAnsi="宋体" w:eastAsia="宋体" w:cs="宋体"/>
          <w:sz w:val="21"/>
          <w:szCs w:val="21"/>
          <w:highlight w:val="none"/>
        </w:rPr>
        <w:t>报经采购人确认同意。</w:t>
      </w:r>
    </w:p>
    <w:p>
      <w:pPr>
        <w:spacing w:line="360" w:lineRule="auto"/>
        <w:ind w:right="412" w:rightChars="196"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（三）服务人员的工资每年应有的福利费、奖金、加班费等均由投标人负责。工资水平应不低于当地最低工资标准。</w:t>
      </w:r>
    </w:p>
    <w:p>
      <w:pPr>
        <w:spacing w:line="360" w:lineRule="auto"/>
        <w:ind w:right="84" w:rightChars="40"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（四）根据采购人提供的工作岗位要求，由投标人制订的《岗位说明书》《岗位流程》《岗位服务标准》《岗位服务控制程序》《安全管理制度》《人员编制表》等相关规章制度</w:t>
      </w:r>
      <w:r>
        <w:rPr>
          <w:rFonts w:hint="eastAsia" w:ascii="宋体" w:hAnsi="宋体" w:eastAsia="宋体" w:cs="宋体"/>
          <w:b/>
          <w:bCs/>
          <w:sz w:val="21"/>
          <w:szCs w:val="21"/>
          <w:highlight w:val="none"/>
          <w:lang w:val="en-US" w:eastAsia="zh-CN"/>
        </w:rPr>
        <w:t>需</w:t>
      </w:r>
      <w:r>
        <w:rPr>
          <w:rFonts w:hint="eastAsia" w:ascii="宋体" w:hAnsi="宋体" w:eastAsia="宋体" w:cs="宋体"/>
          <w:sz w:val="21"/>
          <w:szCs w:val="21"/>
          <w:highlight w:val="none"/>
        </w:rPr>
        <w:t>在投标书中具体体现，并提供相应的岗位培训制度。</w:t>
      </w:r>
    </w:p>
    <w:p>
      <w:pPr>
        <w:spacing w:line="360" w:lineRule="auto"/>
        <w:ind w:right="84" w:rightChars="40"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（五）具有管理规章制度、档案建立方案、日常管理服务方案、应急预案、服务承诺及质量保证措施、人员配置方案的优先考虑；</w:t>
      </w:r>
    </w:p>
    <w:p>
      <w:pPr>
        <w:spacing w:line="360" w:lineRule="auto"/>
        <w:ind w:right="84" w:rightChars="40" w:firstLine="210" w:firstLine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六）成交供应商须在提供餐饮服务前30个工作日内在相关行业主管部门办理含食品经营许可证等合法经营手续。（采购人可配合提供符合办证需要的合法硬件条件如场地等，若要完善硬件条件，则不列入30个工作日内）</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七</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本项目为一年多采项目，采购人根据使用效果等情况可以与成交人续签合同（</w:t>
      </w:r>
      <w:r>
        <w:rPr>
          <w:rFonts w:hint="eastAsia" w:ascii="宋体" w:hAnsi="宋体" w:eastAsia="宋体" w:cs="宋体"/>
          <w:sz w:val="21"/>
          <w:szCs w:val="21"/>
          <w:highlight w:val="none"/>
        </w:rPr>
        <w:t>本项目合同期满前30日，采购人根据使用效果</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验收考核情况</w:t>
      </w:r>
      <w:r>
        <w:rPr>
          <w:rFonts w:hint="eastAsia" w:ascii="宋体" w:hAnsi="宋体" w:eastAsia="宋体" w:cs="宋体"/>
          <w:sz w:val="21"/>
          <w:szCs w:val="21"/>
          <w:highlight w:val="none"/>
          <w:lang w:eastAsia="zh-CN"/>
        </w:rPr>
        <w:t>、月度服务考核标准表</w:t>
      </w:r>
      <w:r>
        <w:rPr>
          <w:rFonts w:hint="eastAsia" w:ascii="宋体" w:hAnsi="宋体" w:eastAsia="宋体" w:cs="宋体"/>
          <w:sz w:val="21"/>
          <w:szCs w:val="21"/>
          <w:highlight w:val="none"/>
          <w:lang w:val="en-US" w:eastAsia="zh-CN"/>
        </w:rPr>
        <w:t>且12个月考核总平均得分≥99分，细则详见附件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可以与成交人续签合同</w:t>
      </w:r>
      <w:r>
        <w:rPr>
          <w:rFonts w:hint="eastAsia" w:ascii="宋体" w:hAnsi="宋体" w:eastAsia="宋体" w:cs="宋体"/>
          <w:sz w:val="21"/>
          <w:szCs w:val="21"/>
          <w:highlight w:val="none"/>
          <w:lang w:val="en-US" w:eastAsia="zh-CN"/>
        </w:rPr>
        <w:t>1年</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w:t>
      </w:r>
    </w:p>
    <w:p>
      <w:pPr>
        <w:spacing w:line="360" w:lineRule="auto"/>
        <w:ind w:firstLine="420" w:firstLineChars="200"/>
        <w:rPr>
          <w:rFonts w:hint="eastAsia"/>
          <w:sz w:val="22"/>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八</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供应商在采购活动中提供任何虚假材料，以及响应服务所涉及内容不如实说明，其成交无效，并报监管部门查处。</w:t>
      </w:r>
    </w:p>
    <w:p>
      <w:pPr>
        <w:rPr>
          <w:rFonts w:hint="eastAsia"/>
          <w:sz w:val="22"/>
          <w:highlight w:val="none"/>
        </w:rPr>
      </w:pPr>
      <w:r>
        <w:rPr>
          <w:rFonts w:hint="eastAsia"/>
          <w:sz w:val="22"/>
          <w:highlight w:val="none"/>
        </w:rPr>
        <w:br w:type="page"/>
      </w:r>
    </w:p>
    <w:p>
      <w:pPr>
        <w:pStyle w:val="2"/>
      </w:pPr>
    </w:p>
    <w:p>
      <w:pPr>
        <w:jc w:val="both"/>
        <w:rPr>
          <w:rFonts w:hint="default" w:ascii="宋体" w:hAnsi="宋体" w:cs="宋体"/>
          <w:b/>
          <w:bCs/>
          <w:sz w:val="21"/>
          <w:szCs w:val="21"/>
          <w:lang w:val="en-US" w:eastAsia="zh-CN"/>
        </w:rPr>
      </w:pPr>
      <w:r>
        <w:rPr>
          <w:rFonts w:hint="eastAsia" w:ascii="宋体" w:hAnsi="宋体" w:cs="宋体"/>
          <w:b/>
          <w:bCs/>
          <w:sz w:val="21"/>
          <w:szCs w:val="21"/>
          <w:lang w:val="en-US" w:eastAsia="zh-CN"/>
        </w:rPr>
        <w:t>附：</w:t>
      </w:r>
    </w:p>
    <w:p>
      <w:pPr>
        <w:shd w:val="clear"/>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月底服务考核标准表</w:t>
      </w:r>
    </w:p>
    <w:tbl>
      <w:tblPr>
        <w:tblStyle w:val="36"/>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463"/>
        <w:gridCol w:w="1111"/>
        <w:gridCol w:w="2900"/>
        <w:gridCol w:w="2358"/>
        <w:gridCol w:w="579"/>
        <w:gridCol w:w="579"/>
        <w:gridCol w:w="579"/>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22" w:hRule="atLeast"/>
          <w:jc w:val="center"/>
        </w:trPr>
        <w:tc>
          <w:tcPr>
            <w:tcW w:w="463" w:type="dxa"/>
            <w:shd w:val="clear" w:color="auto" w:fill="FFFFFF"/>
            <w:vAlign w:val="center"/>
          </w:tcPr>
          <w:p>
            <w:pPr>
              <w:widowControl/>
              <w:shd w:val="clear"/>
              <w:spacing w:line="260" w:lineRule="exact"/>
              <w:jc w:val="center"/>
              <w:rPr>
                <w:rFonts w:ascii="宋体" w:hAnsi="宋体" w:cs="宋体"/>
                <w:b/>
                <w:bCs/>
                <w:color w:val="000000"/>
                <w:kern w:val="0"/>
                <w:szCs w:val="21"/>
              </w:rPr>
            </w:pPr>
          </w:p>
          <w:p>
            <w:pPr>
              <w:widowControl/>
              <w:shd w:val="clear"/>
              <w:spacing w:line="260" w:lineRule="exact"/>
              <w:jc w:val="center"/>
              <w:rPr>
                <w:rFonts w:ascii="宋体" w:hAnsi="宋体" w:cs="宋体"/>
                <w:b/>
                <w:bCs/>
                <w:color w:val="000000"/>
                <w:szCs w:val="21"/>
              </w:rPr>
            </w:pPr>
            <w:r>
              <w:rPr>
                <w:rFonts w:hint="eastAsia" w:ascii="宋体" w:hAnsi="宋体" w:cs="宋体"/>
                <w:b/>
                <w:bCs/>
                <w:color w:val="000000"/>
                <w:kern w:val="0"/>
                <w:szCs w:val="21"/>
              </w:rPr>
              <w:t>序</w:t>
            </w:r>
            <w:r>
              <w:rPr>
                <w:rFonts w:hint="eastAsia" w:ascii="宋体" w:hAnsi="宋体" w:cs="宋体"/>
                <w:b/>
                <w:bCs/>
                <w:color w:val="000000"/>
                <w:kern w:val="0"/>
                <w:szCs w:val="21"/>
              </w:rPr>
              <w:br w:type="textWrapping"/>
            </w:r>
            <w:r>
              <w:rPr>
                <w:rFonts w:hint="eastAsia" w:ascii="宋体" w:hAnsi="宋体" w:cs="宋体"/>
                <w:b/>
                <w:bCs/>
                <w:color w:val="000000"/>
                <w:kern w:val="0"/>
                <w:szCs w:val="21"/>
              </w:rPr>
              <w:t>号</w:t>
            </w:r>
          </w:p>
        </w:tc>
        <w:tc>
          <w:tcPr>
            <w:tcW w:w="1111" w:type="dxa"/>
            <w:shd w:val="clear" w:color="auto" w:fill="FFFFFF"/>
            <w:vAlign w:val="center"/>
          </w:tcPr>
          <w:p>
            <w:pPr>
              <w:widowControl/>
              <w:shd w:val="clear"/>
              <w:spacing w:line="260" w:lineRule="exact"/>
              <w:jc w:val="center"/>
              <w:rPr>
                <w:rFonts w:ascii="宋体" w:hAnsi="宋体" w:cs="宋体"/>
                <w:b/>
                <w:bCs/>
                <w:color w:val="000000"/>
                <w:szCs w:val="21"/>
              </w:rPr>
            </w:pPr>
            <w:r>
              <w:rPr>
                <w:rFonts w:hint="eastAsia" w:ascii="宋体" w:hAnsi="宋体" w:cs="宋体"/>
                <w:b/>
                <w:bCs/>
                <w:color w:val="000000"/>
                <w:kern w:val="0"/>
                <w:szCs w:val="21"/>
              </w:rPr>
              <w:t>一级</w:t>
            </w:r>
            <w:r>
              <w:rPr>
                <w:rFonts w:hint="eastAsia" w:ascii="宋体" w:hAnsi="宋体" w:cs="宋体"/>
                <w:b/>
                <w:bCs/>
                <w:color w:val="000000"/>
                <w:kern w:val="0"/>
                <w:szCs w:val="21"/>
              </w:rPr>
              <w:br w:type="textWrapping"/>
            </w:r>
            <w:r>
              <w:rPr>
                <w:rFonts w:hint="eastAsia" w:ascii="宋体" w:hAnsi="宋体" w:cs="宋体"/>
                <w:b/>
                <w:bCs/>
                <w:color w:val="000000"/>
                <w:kern w:val="0"/>
                <w:szCs w:val="21"/>
              </w:rPr>
              <w:t>指标</w:t>
            </w:r>
          </w:p>
        </w:tc>
        <w:tc>
          <w:tcPr>
            <w:tcW w:w="2900" w:type="dxa"/>
            <w:shd w:val="clear" w:color="auto" w:fill="FFFFFF"/>
            <w:vAlign w:val="center"/>
          </w:tcPr>
          <w:p>
            <w:pPr>
              <w:widowControl/>
              <w:shd w:val="clear"/>
              <w:spacing w:line="260" w:lineRule="exact"/>
              <w:jc w:val="center"/>
              <w:rPr>
                <w:rFonts w:ascii="宋体" w:hAnsi="宋体" w:cs="宋体"/>
                <w:b/>
                <w:bCs/>
                <w:color w:val="000000"/>
                <w:szCs w:val="21"/>
              </w:rPr>
            </w:pPr>
            <w:r>
              <w:rPr>
                <w:rFonts w:hint="eastAsia" w:ascii="宋体" w:hAnsi="宋体" w:cs="宋体"/>
                <w:b/>
                <w:bCs/>
                <w:color w:val="000000"/>
                <w:kern w:val="0"/>
                <w:szCs w:val="21"/>
              </w:rPr>
              <w:t>二级指标</w:t>
            </w:r>
          </w:p>
        </w:tc>
        <w:tc>
          <w:tcPr>
            <w:tcW w:w="2358" w:type="dxa"/>
            <w:shd w:val="clear" w:color="auto" w:fill="FFFFFF"/>
            <w:vAlign w:val="center"/>
          </w:tcPr>
          <w:p>
            <w:pPr>
              <w:widowControl/>
              <w:shd w:val="clear"/>
              <w:spacing w:line="260" w:lineRule="exact"/>
              <w:jc w:val="center"/>
              <w:rPr>
                <w:rFonts w:ascii="宋体" w:hAnsi="宋体" w:cs="宋体"/>
                <w:b/>
                <w:bCs/>
                <w:color w:val="000000"/>
                <w:szCs w:val="21"/>
              </w:rPr>
            </w:pPr>
            <w:r>
              <w:rPr>
                <w:rFonts w:hint="eastAsia" w:ascii="宋体" w:hAnsi="宋体" w:cs="宋体"/>
                <w:b/>
                <w:bCs/>
                <w:color w:val="000000"/>
                <w:kern w:val="0"/>
                <w:szCs w:val="21"/>
              </w:rPr>
              <w:t>评分细则</w:t>
            </w:r>
          </w:p>
        </w:tc>
        <w:tc>
          <w:tcPr>
            <w:tcW w:w="579" w:type="dxa"/>
            <w:shd w:val="clear" w:color="auto" w:fill="FFFFFF"/>
            <w:vAlign w:val="center"/>
          </w:tcPr>
          <w:p>
            <w:pPr>
              <w:widowControl/>
              <w:shd w:val="clear"/>
              <w:spacing w:line="260" w:lineRule="exact"/>
              <w:jc w:val="center"/>
              <w:rPr>
                <w:rFonts w:ascii="宋体" w:hAnsi="宋体" w:cs="宋体"/>
                <w:b/>
                <w:bCs/>
                <w:color w:val="000000"/>
                <w:szCs w:val="21"/>
              </w:rPr>
            </w:pPr>
            <w:r>
              <w:rPr>
                <w:rFonts w:hint="eastAsia" w:ascii="宋体" w:hAnsi="宋体" w:cs="宋体"/>
                <w:b/>
                <w:bCs/>
                <w:color w:val="000000"/>
                <w:kern w:val="0"/>
                <w:szCs w:val="21"/>
              </w:rPr>
              <w:t>权值</w:t>
            </w:r>
          </w:p>
        </w:tc>
        <w:tc>
          <w:tcPr>
            <w:tcW w:w="579" w:type="dxa"/>
            <w:shd w:val="clear" w:color="auto" w:fill="FFFFFF"/>
            <w:vAlign w:val="center"/>
          </w:tcPr>
          <w:p>
            <w:pPr>
              <w:widowControl/>
              <w:shd w:val="clear"/>
              <w:spacing w:line="260" w:lineRule="exact"/>
              <w:jc w:val="center"/>
              <w:rPr>
                <w:rFonts w:ascii="宋体" w:hAnsi="宋体" w:cs="宋体"/>
                <w:b/>
                <w:bCs/>
                <w:color w:val="000000"/>
                <w:kern w:val="0"/>
                <w:szCs w:val="21"/>
              </w:rPr>
            </w:pPr>
            <w:r>
              <w:rPr>
                <w:rFonts w:hint="eastAsia" w:ascii="宋体" w:hAnsi="宋体" w:cs="宋体"/>
                <w:b/>
                <w:bCs/>
                <w:color w:val="000000"/>
                <w:kern w:val="0"/>
                <w:szCs w:val="21"/>
              </w:rPr>
              <w:t>自评分</w:t>
            </w:r>
          </w:p>
        </w:tc>
        <w:tc>
          <w:tcPr>
            <w:tcW w:w="579" w:type="dxa"/>
            <w:shd w:val="clear" w:color="auto" w:fill="FFFFFF"/>
            <w:vAlign w:val="center"/>
          </w:tcPr>
          <w:p>
            <w:pPr>
              <w:widowControl/>
              <w:shd w:val="clear"/>
              <w:spacing w:line="260" w:lineRule="exact"/>
              <w:jc w:val="center"/>
              <w:rPr>
                <w:rFonts w:ascii="宋体" w:hAnsi="宋体" w:cs="宋体"/>
                <w:b/>
                <w:bCs/>
                <w:color w:val="000000"/>
                <w:kern w:val="0"/>
                <w:szCs w:val="21"/>
              </w:rPr>
            </w:pPr>
            <w:r>
              <w:rPr>
                <w:rFonts w:hint="eastAsia" w:ascii="宋体" w:hAnsi="宋体" w:cs="宋体"/>
                <w:b/>
                <w:bCs/>
                <w:color w:val="000000"/>
                <w:kern w:val="0"/>
                <w:szCs w:val="21"/>
              </w:rPr>
              <w:t>考核分</w:t>
            </w:r>
          </w:p>
        </w:tc>
        <w:tc>
          <w:tcPr>
            <w:tcW w:w="1207" w:type="dxa"/>
            <w:shd w:val="clear" w:color="auto" w:fill="FFFFFF"/>
            <w:vAlign w:val="center"/>
          </w:tcPr>
          <w:p>
            <w:pPr>
              <w:widowControl/>
              <w:shd w:val="clear"/>
              <w:spacing w:line="260" w:lineRule="exact"/>
              <w:jc w:val="center"/>
              <w:rPr>
                <w:rFonts w:ascii="宋体" w:hAnsi="宋体" w:cs="宋体"/>
                <w:b/>
                <w:bCs/>
                <w:color w:val="000000"/>
                <w:kern w:val="0"/>
                <w:szCs w:val="21"/>
              </w:rPr>
            </w:pPr>
            <w:r>
              <w:rPr>
                <w:rFonts w:hint="eastAsia" w:ascii="宋体" w:hAnsi="宋体" w:cs="宋体"/>
                <w:b/>
                <w:bCs/>
                <w:color w:val="000000"/>
                <w:kern w:val="0"/>
                <w:szCs w:val="21"/>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915" w:hRule="atLeast"/>
          <w:jc w:val="center"/>
        </w:trPr>
        <w:tc>
          <w:tcPr>
            <w:tcW w:w="463" w:type="dxa"/>
            <w:vMerge w:val="restart"/>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一</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000000"/>
                <w:szCs w:val="21"/>
              </w:rPr>
            </w:pPr>
            <w:r>
              <w:rPr>
                <w:rFonts w:hint="eastAsia" w:ascii="宋体" w:hAnsi="宋体" w:cs="宋体"/>
                <w:color w:val="000000"/>
                <w:kern w:val="0"/>
                <w:szCs w:val="21"/>
              </w:rPr>
              <w:t>人员配备情况（1</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1.总人员配备总数为</w:t>
            </w:r>
            <w:r>
              <w:rPr>
                <w:rFonts w:hint="eastAsia" w:ascii="宋体" w:hAnsi="宋体" w:cs="宋体"/>
                <w:color w:val="000000"/>
                <w:kern w:val="0"/>
                <w:szCs w:val="21"/>
                <w:lang w:val="en-US" w:eastAsia="zh-CN"/>
              </w:rPr>
              <w:t>8</w:t>
            </w:r>
            <w:r>
              <w:rPr>
                <w:rFonts w:hint="eastAsia" w:ascii="宋体" w:hAnsi="宋体" w:cs="宋体"/>
                <w:color w:val="000000"/>
                <w:kern w:val="0"/>
                <w:szCs w:val="21"/>
              </w:rPr>
              <w:t>人。其中，</w:t>
            </w:r>
            <w:r>
              <w:rPr>
                <w:rFonts w:hint="eastAsia" w:ascii="宋体" w:hAnsi="宋体" w:cs="宋体"/>
                <w:szCs w:val="21"/>
              </w:rPr>
              <w:t>项目主管1人、保安人员</w:t>
            </w:r>
            <w:r>
              <w:rPr>
                <w:rFonts w:ascii="宋体" w:hAnsi="宋体" w:cs="宋体"/>
                <w:szCs w:val="21"/>
              </w:rPr>
              <w:t>1</w:t>
            </w:r>
            <w:r>
              <w:rPr>
                <w:rFonts w:hint="eastAsia" w:ascii="宋体" w:hAnsi="宋体" w:cs="宋体"/>
                <w:szCs w:val="21"/>
              </w:rPr>
              <w:t>人、保洁绿化人员</w:t>
            </w:r>
            <w:r>
              <w:rPr>
                <w:rFonts w:hint="eastAsia" w:ascii="宋体" w:hAnsi="宋体" w:cs="宋体"/>
                <w:szCs w:val="21"/>
                <w:lang w:val="en-US" w:eastAsia="zh-CN"/>
              </w:rPr>
              <w:t>2</w:t>
            </w:r>
            <w:r>
              <w:rPr>
                <w:rFonts w:hint="eastAsia" w:ascii="宋体" w:hAnsi="宋体" w:cs="宋体"/>
                <w:szCs w:val="21"/>
              </w:rPr>
              <w:t>人、食堂厨师</w:t>
            </w:r>
            <w:r>
              <w:rPr>
                <w:rFonts w:hint="eastAsia" w:ascii="宋体" w:hAnsi="宋体" w:cs="宋体"/>
                <w:szCs w:val="21"/>
                <w:lang w:val="en-US" w:eastAsia="zh-CN"/>
              </w:rPr>
              <w:t>2</w:t>
            </w:r>
            <w:r>
              <w:rPr>
                <w:rFonts w:hint="eastAsia" w:ascii="宋体" w:hAnsi="宋体" w:cs="宋体"/>
                <w:szCs w:val="21"/>
              </w:rPr>
              <w:t>人、食堂厨工</w:t>
            </w:r>
            <w:r>
              <w:rPr>
                <w:rFonts w:hint="eastAsia" w:ascii="宋体" w:hAnsi="宋体" w:cs="宋体"/>
                <w:szCs w:val="21"/>
                <w:lang w:val="en-US" w:eastAsia="zh-CN"/>
              </w:rPr>
              <w:t>2</w:t>
            </w:r>
            <w:r>
              <w:rPr>
                <w:rFonts w:hint="eastAsia" w:ascii="宋体" w:hAnsi="宋体" w:cs="宋体"/>
                <w:szCs w:val="21"/>
              </w:rPr>
              <w:t>人。</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成交人未按采购人要求配备配齐相关工作人员（因员工提出辞职后导致的缺员，人员补员期为15天），或是因缺员影响物业管理工作的，每少1人扣1分。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szCs w:val="21"/>
              </w:rPr>
              <w:t>5</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2.管理人员在职在位，认真履行职责，加强物业管理</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管理人员无故不在岗，不请假离开工作岗位1天以上每次扣0.5分。</w:t>
            </w:r>
          </w:p>
        </w:tc>
        <w:tc>
          <w:tcPr>
            <w:tcW w:w="579" w:type="dxa"/>
            <w:shd w:val="clear" w:color="auto" w:fill="FFFFFF"/>
            <w:vAlign w:val="center"/>
          </w:tcPr>
          <w:p>
            <w:pPr>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5</w:t>
            </w:r>
          </w:p>
        </w:tc>
        <w:tc>
          <w:tcPr>
            <w:tcW w:w="579" w:type="dxa"/>
            <w:shd w:val="clear" w:color="auto" w:fill="FFFFFF"/>
            <w:vAlign w:val="center"/>
          </w:tcPr>
          <w:p>
            <w:pPr>
              <w:shd w:val="clear"/>
              <w:spacing w:line="260" w:lineRule="exact"/>
              <w:jc w:val="center"/>
              <w:rPr>
                <w:rFonts w:ascii="宋体" w:hAnsi="宋体" w:cs="宋体"/>
                <w:color w:val="000000"/>
                <w:szCs w:val="21"/>
              </w:rPr>
            </w:pPr>
          </w:p>
        </w:tc>
        <w:tc>
          <w:tcPr>
            <w:tcW w:w="579" w:type="dxa"/>
            <w:shd w:val="clear" w:color="auto" w:fill="FFFFFF"/>
            <w:vAlign w:val="center"/>
          </w:tcPr>
          <w:p>
            <w:pPr>
              <w:shd w:val="clear"/>
              <w:spacing w:line="260" w:lineRule="exact"/>
              <w:jc w:val="center"/>
              <w:rPr>
                <w:rFonts w:ascii="宋体" w:hAnsi="宋体" w:cs="宋体"/>
                <w:color w:val="000000"/>
                <w:szCs w:val="21"/>
              </w:rPr>
            </w:pPr>
          </w:p>
        </w:tc>
        <w:tc>
          <w:tcPr>
            <w:tcW w:w="1207" w:type="dxa"/>
            <w:shd w:val="clear" w:color="auto" w:fill="FFFFFF"/>
            <w:vAlign w:val="center"/>
          </w:tcPr>
          <w:p>
            <w:pPr>
              <w:shd w:val="clear"/>
              <w:spacing w:line="26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3.每月按时足额发放员工工资。</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不按时发放员工工资的，每月扣2分。</w:t>
            </w:r>
          </w:p>
        </w:tc>
        <w:tc>
          <w:tcPr>
            <w:tcW w:w="579" w:type="dxa"/>
            <w:shd w:val="clear" w:color="auto" w:fill="FFFFFF"/>
            <w:vAlign w:val="center"/>
          </w:tcPr>
          <w:p>
            <w:pPr>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5</w:t>
            </w:r>
          </w:p>
        </w:tc>
        <w:tc>
          <w:tcPr>
            <w:tcW w:w="579" w:type="dxa"/>
            <w:shd w:val="clear" w:color="auto" w:fill="FFFFFF"/>
            <w:vAlign w:val="center"/>
          </w:tcPr>
          <w:p>
            <w:pPr>
              <w:shd w:val="clear"/>
              <w:spacing w:line="260" w:lineRule="exact"/>
              <w:jc w:val="center"/>
              <w:rPr>
                <w:rFonts w:ascii="宋体" w:hAnsi="宋体" w:cs="宋体"/>
                <w:color w:val="000000"/>
                <w:szCs w:val="21"/>
              </w:rPr>
            </w:pPr>
          </w:p>
        </w:tc>
        <w:tc>
          <w:tcPr>
            <w:tcW w:w="579" w:type="dxa"/>
            <w:shd w:val="clear" w:color="auto" w:fill="FFFFFF"/>
            <w:vAlign w:val="center"/>
          </w:tcPr>
          <w:p>
            <w:pPr>
              <w:shd w:val="clear"/>
              <w:spacing w:line="260" w:lineRule="exact"/>
              <w:jc w:val="center"/>
              <w:rPr>
                <w:rFonts w:ascii="宋体" w:hAnsi="宋体" w:cs="宋体"/>
                <w:color w:val="000000"/>
                <w:szCs w:val="21"/>
              </w:rPr>
            </w:pPr>
          </w:p>
        </w:tc>
        <w:tc>
          <w:tcPr>
            <w:tcW w:w="1207" w:type="dxa"/>
            <w:shd w:val="clear" w:color="auto" w:fill="FFFFFF"/>
            <w:vAlign w:val="center"/>
          </w:tcPr>
          <w:p>
            <w:pPr>
              <w:shd w:val="clear"/>
              <w:spacing w:line="260" w:lineRule="exact"/>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463" w:type="dxa"/>
            <w:vMerge w:val="restart"/>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二</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000000"/>
                <w:szCs w:val="21"/>
              </w:rPr>
            </w:pPr>
            <w:r>
              <w:rPr>
                <w:rFonts w:hint="eastAsia" w:ascii="宋体" w:hAnsi="宋体" w:cs="宋体"/>
                <w:color w:val="000000"/>
                <w:kern w:val="0"/>
                <w:szCs w:val="21"/>
              </w:rPr>
              <w:t>安全保卫（15分）</w:t>
            </w: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1.保安人员的年龄结构、学历等综合素质符合要求</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违者每人次扣0.1分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3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2.保安人员要着保安制服，要服从命令、听从指挥、精神饱满、仪表整洁、文明服务、礼貌待人</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违者每人次扣0.1分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3.建立岗位值班记录本，记录各种情况，对外来人员进行检查登记。每月最后1天报告当月的值班人员岗位安排表及值班情况</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缺项扣0.5分，发现没有登记进入办公楼每人每次扣0.1分，如没登记进入办公楼的外来人员，且造成重大影响扣2分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4.巡逻岗每天按规定进行巡更，并及时采集当天数据，定期或不定期进行检查</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不按要求落实，缺乏记录，未及时巡逻每次扣0.1分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szCs w:val="21"/>
              </w:rPr>
              <w:t>5</w:t>
            </w:r>
            <w:r>
              <w:rPr>
                <w:rFonts w:hint="eastAsia" w:ascii="宋体" w:hAnsi="宋体" w:cs="宋体"/>
                <w:color w:val="000000"/>
                <w:kern w:val="0"/>
                <w:szCs w:val="21"/>
              </w:rPr>
              <w:t>.</w:t>
            </w:r>
            <w:r>
              <w:rPr>
                <w:rFonts w:hint="eastAsia" w:ascii="宋体" w:hAnsi="宋体" w:cs="宋体"/>
                <w:color w:val="000000"/>
                <w:szCs w:val="21"/>
              </w:rPr>
              <w:t>对运出院内的大件、大量物品有登记，经采购人同意后放行并记录</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违者每次扣0.5分，如因工作失误，造成重大影响扣1分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0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6.出现紧急情况，需第一时间报基地管理中心分管领导，确保对突发事情进行有效管控</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报告不及时或处置不当的每次扣0.1分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4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7.值班人员失职，导致发生偷盗和火灾，造成人员伤亡和财产损失的</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出现该情况扣2分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8.每月进行保安和消防培训，保存培训方案等相关资料，半年度进行一次突发事件的应急演练</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无培训方案扣0.2分，1个月内没有安排培训扣0.3分，无演练操作扣0.5分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9" w:hRule="atLeast"/>
          <w:jc w:val="center"/>
        </w:trPr>
        <w:tc>
          <w:tcPr>
            <w:tcW w:w="463" w:type="dxa"/>
            <w:vMerge w:val="restart"/>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三</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000000"/>
                <w:szCs w:val="21"/>
              </w:rPr>
            </w:pPr>
            <w:r>
              <w:rPr>
                <w:rFonts w:hint="eastAsia" w:ascii="宋体" w:hAnsi="宋体" w:cs="宋体"/>
                <w:color w:val="000000"/>
                <w:kern w:val="0"/>
                <w:szCs w:val="21"/>
              </w:rPr>
              <w:t>车辆管理（1</w:t>
            </w:r>
            <w:r>
              <w:rPr>
                <w:rFonts w:hint="eastAsia" w:ascii="宋体" w:hAnsi="宋体" w:cs="宋体"/>
                <w:color w:val="000000"/>
                <w:kern w:val="0"/>
                <w:szCs w:val="21"/>
                <w:lang w:val="en-US" w:eastAsia="zh-CN"/>
              </w:rPr>
              <w:t>5</w:t>
            </w:r>
            <w:r>
              <w:rPr>
                <w:rFonts w:hint="eastAsia" w:ascii="宋体" w:hAnsi="宋体" w:cs="宋体"/>
                <w:color w:val="000000"/>
                <w:kern w:val="0"/>
                <w:szCs w:val="21"/>
              </w:rPr>
              <w:t>分）</w:t>
            </w: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1.保证区域内道路交通畅通，车辆停放整齐有序，交通设施完好，对区域内违规停放车辆要及时上前劝阻。</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违者每次扣0.1分，发现问题不及时报告的每次扣0.1分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2.重点位置保安人员要维护交通秩序，引导车辆行驶，停放在停车位内</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违者每次扣0.1分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3.加强地下室及车库巡逻，发现可疑人员要及时询问、处理、报告</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未及时询问、处理、报告的每次扣0.1分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0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4.发现车辆漏油、漏水、门窗未关等应重点看管，通知车主并及时上报</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未及时处理每次扣0.1分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5.安排好重大活动车辆的停放</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未按要求执行每次扣0.2分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6.受到服务对象有效意见投诉，经查属实的</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每出现一次投诉扣0.2分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02" w:hRule="atLeast"/>
          <w:jc w:val="center"/>
        </w:trPr>
        <w:tc>
          <w:tcPr>
            <w:tcW w:w="463" w:type="dxa"/>
            <w:vMerge w:val="restart"/>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四</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000000"/>
                <w:szCs w:val="21"/>
              </w:rPr>
            </w:pPr>
            <w:r>
              <w:rPr>
                <w:rFonts w:hint="eastAsia" w:ascii="宋体" w:hAnsi="宋体" w:cs="宋体"/>
                <w:color w:val="000000"/>
                <w:kern w:val="0"/>
                <w:szCs w:val="21"/>
              </w:rPr>
              <w:t>卫生保洁（15分）</w:t>
            </w: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1.办公楼卫生间玻璃镜面、洗手台面和地面无积水、无明显污渍、无杂物、无异味，地面无脚印</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未达要求，每处每次扣0.2分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82"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2.卫生间（含楼栋和室外景观中的卫生间）墙面瓷砖、门窗无灰尘；大、小便池内无污物，卫生间其他设施完好</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未达到要求的每处每次扣0.2分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3.保洁区域内无瓜果壳、烟头、纸屑、痰迹等杂物；地面无积水、无污渍，如发现应及时清扫</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未及时清扫的，每处每次扣0.2分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4.天花板、天棚、灯罩、烟感器、风口、指示灯无灰尘和蜘蛛网</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如未清扫每处每次扣0.2分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5.垃圾箱外表无污迹、黏附物，并及时清理垃圾箱周围散落垃圾和积水、污渍</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发现一次每处扣0.2分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6.雨、污水管井的井底无沉淀物，水流畅通，井盖上无锈迹。盖板无污渍，牢固平稳，并按计划进行清理，确保畅通</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未达标的每次扣0.2分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1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7.天面、平台、地漏完好无堵塞，无积水；明沟、暗沟排水畅通，无垃圾，无溢流</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未达到要求每处每次扣0.4分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8.垃圾箱的垃圾应及时转运、清理</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未及时处理每次扣0.2分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7"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9.水箱及时清洗换水、确保干净清澈，水面无浮萍、垃圾、杂物等</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如未及时清理，每次扣0.2分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10.楼道、楼梯扶手每天清扫、擦拭1次。室外标示、宣传栏等每星期擦拭1次。电梯轿厢内无手印、灰尘、污迹，干净光亮、无异味，地毯干净无污迹。</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未按规定进行每次每处扣0.2分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11.每月对保洁人员进行培训，保存培训方案等相关资料</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无培训方案扣1分，每月少于1次培训扣0.15分</w:t>
            </w:r>
          </w:p>
        </w:tc>
        <w:tc>
          <w:tcPr>
            <w:tcW w:w="579" w:type="dxa"/>
            <w:shd w:val="clear" w:color="auto" w:fill="FFFFFF"/>
            <w:vAlign w:val="center"/>
          </w:tcPr>
          <w:p>
            <w:pPr>
              <w:widowControl/>
              <w:shd w:val="clear"/>
              <w:spacing w:line="260" w:lineRule="exact"/>
              <w:jc w:val="center"/>
              <w:rPr>
                <w:rFonts w:ascii="宋体" w:hAnsi="宋体" w:cs="宋体"/>
                <w:color w:val="000000"/>
                <w:szCs w:val="21"/>
              </w:rPr>
            </w:pPr>
            <w:r>
              <w:rPr>
                <w:rFonts w:hint="eastAsia" w:ascii="宋体" w:hAnsi="宋体" w:cs="宋体"/>
                <w:color w:val="000000"/>
                <w:kern w:val="0"/>
                <w:szCs w:val="21"/>
              </w:rPr>
              <w:t>1</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40" w:hRule="atLeast"/>
          <w:jc w:val="center"/>
        </w:trPr>
        <w:tc>
          <w:tcPr>
            <w:tcW w:w="463" w:type="dxa"/>
            <w:vMerge w:val="restart"/>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五</w:t>
            </w:r>
          </w:p>
        </w:tc>
        <w:tc>
          <w:tcPr>
            <w:tcW w:w="1111" w:type="dxa"/>
            <w:vMerge w:val="restart"/>
            <w:shd w:val="clear" w:color="auto" w:fill="FFFFFF"/>
            <w:textDirection w:val="tbRlV"/>
            <w:vAlign w:val="center"/>
          </w:tcPr>
          <w:p>
            <w:pPr>
              <w:widowControl/>
              <w:shd w:val="clear"/>
              <w:spacing w:line="260" w:lineRule="exact"/>
              <w:ind w:left="113" w:right="113"/>
              <w:jc w:val="center"/>
              <w:rPr>
                <w:rFonts w:ascii="宋体" w:hAnsi="宋体" w:cs="宋体"/>
                <w:color w:val="000000"/>
                <w:szCs w:val="21"/>
              </w:rPr>
            </w:pPr>
            <w:r>
              <w:rPr>
                <w:rFonts w:hint="eastAsia" w:ascii="宋体" w:hAnsi="宋体" w:cs="宋体"/>
                <w:color w:val="000000"/>
                <w:kern w:val="0"/>
                <w:szCs w:val="21"/>
              </w:rPr>
              <w:t>绿化维护（</w:t>
            </w:r>
            <w:r>
              <w:rPr>
                <w:rFonts w:hint="eastAsia" w:ascii="宋体" w:hAnsi="宋体" w:cs="宋体"/>
                <w:color w:val="000000"/>
                <w:kern w:val="0"/>
                <w:szCs w:val="21"/>
                <w:lang w:val="en-US" w:eastAsia="zh-CN"/>
              </w:rPr>
              <w:t>2</w:t>
            </w:r>
            <w:r>
              <w:rPr>
                <w:rFonts w:hint="eastAsia" w:ascii="宋体" w:hAnsi="宋体" w:cs="宋体"/>
                <w:color w:val="000000"/>
                <w:kern w:val="0"/>
                <w:szCs w:val="21"/>
              </w:rPr>
              <w:t>0分）</w:t>
            </w: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1.绿地保持卫生整洁，枯死树枝和草皮及时清理处置</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检查发现不合格，每1处扣0.2分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1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2.绿地杂草清除，主要场所和重要路段周围的绿化必须保持整齐美观，</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清除不及时，监督不到位，每1次扣0.2分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0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3.及时对花草树木及绿地的除虫防病</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工作不及时，发现有虫或病死树木，每次扣0.5分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38"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4.出现枯死草地及灌木要及时还绿，不要露黄</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处置不及时，每次扣0.2分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7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5.合理安排时间，对院内的花草树木和绿地进行浇水施肥，使全区域的环境更美化。</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工作不及时，每次扣0.2分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53"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6.对造型树木和绿蓠的及时修剪</w:t>
            </w:r>
          </w:p>
        </w:tc>
        <w:tc>
          <w:tcPr>
            <w:tcW w:w="2358" w:type="dxa"/>
            <w:shd w:val="clear" w:color="auto" w:fill="FFFFFF"/>
            <w:vAlign w:val="center"/>
          </w:tcPr>
          <w:p>
            <w:pPr>
              <w:widowControl/>
              <w:shd w:val="clear"/>
              <w:spacing w:line="260" w:lineRule="exact"/>
              <w:rPr>
                <w:rFonts w:ascii="宋体" w:hAnsi="宋体" w:cs="宋体"/>
                <w:color w:val="000000"/>
                <w:szCs w:val="21"/>
              </w:rPr>
            </w:pPr>
            <w:r>
              <w:rPr>
                <w:rFonts w:hint="eastAsia" w:ascii="宋体" w:hAnsi="宋体" w:cs="宋体"/>
                <w:color w:val="000000"/>
                <w:kern w:val="0"/>
                <w:szCs w:val="21"/>
              </w:rPr>
              <w:t>不及时修剪，每次扣0.2分</w:t>
            </w:r>
          </w:p>
        </w:tc>
        <w:tc>
          <w:tcPr>
            <w:tcW w:w="579" w:type="dxa"/>
            <w:shd w:val="clear" w:color="auto" w:fill="FFFFFF"/>
            <w:vAlign w:val="center"/>
          </w:tcPr>
          <w:p>
            <w:pPr>
              <w:widowControl/>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kern w:val="0"/>
                <w:szCs w:val="21"/>
                <w:lang w:val="en-US" w:eastAsia="zh-CN"/>
              </w:rPr>
              <w:t>4</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restart"/>
            <w:shd w:val="clear" w:color="auto" w:fill="FFFFFF"/>
            <w:vAlign w:val="center"/>
          </w:tcPr>
          <w:p>
            <w:pPr>
              <w:shd w:val="clear"/>
              <w:spacing w:line="260" w:lineRule="exact"/>
              <w:jc w:val="center"/>
              <w:rPr>
                <w:rFonts w:hint="eastAsia" w:ascii="宋体" w:hAnsi="宋体" w:eastAsia="宋体" w:cs="宋体"/>
                <w:color w:val="000000"/>
                <w:szCs w:val="21"/>
                <w:lang w:eastAsia="zh-CN"/>
              </w:rPr>
            </w:pPr>
            <w:r>
              <w:rPr>
                <w:rFonts w:hint="eastAsia" w:ascii="宋体" w:hAnsi="宋体" w:cs="宋体"/>
                <w:color w:val="000000"/>
                <w:szCs w:val="21"/>
                <w:lang w:val="en-US" w:eastAsia="zh-CN"/>
              </w:rPr>
              <w:t>六</w:t>
            </w:r>
          </w:p>
        </w:tc>
        <w:tc>
          <w:tcPr>
            <w:tcW w:w="1111" w:type="dxa"/>
            <w:vMerge w:val="restart"/>
            <w:shd w:val="clear" w:color="auto" w:fill="FFFFFF"/>
            <w:textDirection w:val="tbLrV"/>
            <w:vAlign w:val="center"/>
          </w:tcPr>
          <w:p>
            <w:pPr>
              <w:shd w:val="clear"/>
              <w:spacing w:line="260" w:lineRule="exact"/>
              <w:ind w:left="113" w:right="113"/>
              <w:jc w:val="center"/>
              <w:rPr>
                <w:rFonts w:ascii="宋体" w:hAnsi="宋体" w:cs="宋体"/>
                <w:color w:val="000000"/>
                <w:szCs w:val="21"/>
              </w:rPr>
            </w:pPr>
            <w:r>
              <w:rPr>
                <w:rFonts w:hint="eastAsia" w:ascii="宋体" w:hAnsi="宋体" w:cs="宋体"/>
                <w:color w:val="000000"/>
                <w:szCs w:val="21"/>
              </w:rPr>
              <w:t>餐饮服务（20分）</w:t>
            </w: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1.员工需持健康证上岗，并公示。</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缺1人扣1分</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2.统一着装，佩戴围裙、一次性手套、口罩、帽子，做好日常个人卫生。</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违反此规定每人次扣0.2分</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3.建立厨房设备耗损及消毒次数、时间等情况的记录</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记录少1天扣0.2分</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4.对食堂内外卫生进行清扫，及时清理垃圾。</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发现违反此规定1次扣0.1分</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9"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5.对设备和厨具等负责保管和养护，遇设备故障及时上报</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因不妥善保管厨具导致损坏1次扣1分，不及时报告故障1次扣0.2分</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35" w:hRule="atLeast"/>
          <w:jc w:val="center"/>
        </w:trPr>
        <w:tc>
          <w:tcPr>
            <w:tcW w:w="463" w:type="dxa"/>
            <w:vMerge w:val="continue"/>
            <w:shd w:val="clear" w:color="auto" w:fill="FFFFFF"/>
            <w:vAlign w:val="center"/>
          </w:tcPr>
          <w:p>
            <w:pPr>
              <w:shd w:val="clear"/>
              <w:spacing w:line="260" w:lineRule="exact"/>
              <w:jc w:val="center"/>
              <w:rPr>
                <w:rFonts w:ascii="宋体" w:hAnsi="宋体" w:cs="宋体"/>
                <w:color w:val="000000"/>
                <w:szCs w:val="21"/>
              </w:rPr>
            </w:pPr>
          </w:p>
        </w:tc>
        <w:tc>
          <w:tcPr>
            <w:tcW w:w="1111" w:type="dxa"/>
            <w:vMerge w:val="continue"/>
            <w:shd w:val="clear" w:color="auto" w:fill="FFFFFF"/>
            <w:vAlign w:val="center"/>
          </w:tcPr>
          <w:p>
            <w:pPr>
              <w:shd w:val="clear"/>
              <w:spacing w:line="260" w:lineRule="exact"/>
              <w:rPr>
                <w:rFonts w:ascii="宋体" w:hAnsi="宋体" w:cs="宋体"/>
                <w:color w:val="000000"/>
                <w:szCs w:val="21"/>
              </w:rPr>
            </w:pPr>
          </w:p>
        </w:tc>
        <w:tc>
          <w:tcPr>
            <w:tcW w:w="2900"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6.进行节约能源的管理，不得发生长明灯、长流水等浪费行为</w:t>
            </w:r>
          </w:p>
        </w:tc>
        <w:tc>
          <w:tcPr>
            <w:tcW w:w="2358" w:type="dxa"/>
            <w:shd w:val="clear" w:color="auto" w:fill="FFFFFF"/>
            <w:vAlign w:val="center"/>
          </w:tcPr>
          <w:p>
            <w:pPr>
              <w:widowControl/>
              <w:shd w:val="clear"/>
              <w:spacing w:line="260" w:lineRule="exact"/>
              <w:rPr>
                <w:rFonts w:ascii="宋体" w:hAnsi="宋体" w:cs="宋体"/>
                <w:color w:val="000000"/>
                <w:kern w:val="0"/>
                <w:szCs w:val="21"/>
              </w:rPr>
            </w:pPr>
            <w:r>
              <w:rPr>
                <w:rFonts w:hint="eastAsia" w:ascii="宋体" w:hAnsi="宋体" w:cs="宋体"/>
                <w:color w:val="000000"/>
                <w:kern w:val="0"/>
                <w:szCs w:val="21"/>
              </w:rPr>
              <w:t>发现违反此规定1次扣0.1分</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7" w:hRule="atLeast"/>
          <w:jc w:val="center"/>
        </w:trPr>
        <w:tc>
          <w:tcPr>
            <w:tcW w:w="6832" w:type="dxa"/>
            <w:gridSpan w:val="4"/>
            <w:shd w:val="clear" w:color="auto" w:fill="FFFFFF"/>
            <w:vAlign w:val="center"/>
          </w:tcPr>
          <w:p>
            <w:pPr>
              <w:widowControl/>
              <w:shd w:val="clear"/>
              <w:spacing w:line="260" w:lineRule="exact"/>
              <w:jc w:val="center"/>
              <w:rPr>
                <w:rFonts w:ascii="宋体" w:hAnsi="宋体" w:cs="宋体"/>
                <w:color w:val="000000"/>
                <w:kern w:val="0"/>
                <w:szCs w:val="21"/>
              </w:rPr>
            </w:pPr>
            <w:r>
              <w:rPr>
                <w:rFonts w:hint="eastAsia" w:ascii="宋体" w:hAnsi="宋体" w:cs="宋体"/>
                <w:color w:val="000000"/>
                <w:kern w:val="0"/>
                <w:szCs w:val="21"/>
              </w:rPr>
              <w:t>合计</w:t>
            </w: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579" w:type="dxa"/>
            <w:shd w:val="clear" w:color="auto" w:fill="FFFFFF"/>
            <w:vAlign w:val="center"/>
          </w:tcPr>
          <w:p>
            <w:pPr>
              <w:widowControl/>
              <w:shd w:val="clear"/>
              <w:spacing w:line="260" w:lineRule="exact"/>
              <w:jc w:val="center"/>
              <w:rPr>
                <w:rFonts w:ascii="宋体" w:hAnsi="宋体" w:cs="宋体"/>
                <w:color w:val="000000"/>
                <w:kern w:val="0"/>
                <w:szCs w:val="21"/>
              </w:rPr>
            </w:pPr>
          </w:p>
        </w:tc>
        <w:tc>
          <w:tcPr>
            <w:tcW w:w="1207" w:type="dxa"/>
            <w:shd w:val="clear" w:color="auto" w:fill="FFFFFF"/>
            <w:vAlign w:val="center"/>
          </w:tcPr>
          <w:p>
            <w:pPr>
              <w:widowControl/>
              <w:shd w:val="clear"/>
              <w:spacing w:line="260" w:lineRule="exact"/>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54" w:hRule="atLeast"/>
          <w:jc w:val="center"/>
        </w:trPr>
        <w:tc>
          <w:tcPr>
            <w:tcW w:w="9776" w:type="dxa"/>
            <w:gridSpan w:val="8"/>
            <w:shd w:val="clear" w:color="auto" w:fill="FFFFFF"/>
            <w:vAlign w:val="center"/>
          </w:tcPr>
          <w:p>
            <w:pPr>
              <w:pStyle w:val="3"/>
              <w:shd w:val="clear"/>
              <w:autoSpaceDE w:val="0"/>
              <w:spacing w:line="260" w:lineRule="exact"/>
              <w:ind w:firstLine="211" w:firstLineChars="100"/>
              <w:jc w:val="both"/>
              <w:rPr>
                <w:sz w:val="21"/>
                <w:szCs w:val="21"/>
              </w:rPr>
            </w:pPr>
            <w:r>
              <w:rPr>
                <w:rFonts w:hint="eastAsia"/>
                <w:sz w:val="21"/>
                <w:szCs w:val="21"/>
              </w:rPr>
              <w:t xml:space="preserve">采购单位（盖章）：    </w:t>
            </w:r>
            <w:r>
              <w:rPr>
                <w:rFonts w:hint="eastAsia"/>
                <w:sz w:val="21"/>
                <w:szCs w:val="21"/>
                <w:lang w:val="en-US" w:eastAsia="zh-CN"/>
              </w:rPr>
              <w:t xml:space="preserve">       </w:t>
            </w:r>
            <w:r>
              <w:rPr>
                <w:rFonts w:hint="eastAsia"/>
                <w:sz w:val="21"/>
                <w:szCs w:val="21"/>
              </w:rPr>
              <w:t>供应商（盖章）：</w:t>
            </w:r>
          </w:p>
          <w:p>
            <w:pPr>
              <w:shd w:val="clear"/>
              <w:ind w:firstLine="632" w:firstLineChars="300"/>
              <w:rPr>
                <w:rFonts w:ascii="宋体" w:hAnsi="宋体"/>
                <w:b/>
                <w:bCs/>
                <w:szCs w:val="21"/>
              </w:rPr>
            </w:pPr>
            <w:r>
              <w:rPr>
                <w:rFonts w:hint="eastAsia" w:ascii="宋体" w:hAnsi="宋体"/>
                <w:b/>
                <w:bCs/>
              </w:rPr>
              <w:t xml:space="preserve"> </w:t>
            </w:r>
          </w:p>
          <w:p>
            <w:pPr>
              <w:shd w:val="clear"/>
              <w:ind w:firstLine="632" w:firstLineChars="300"/>
              <w:rPr>
                <w:rFonts w:ascii="Times New Roman" w:hAnsi="Times New Roman"/>
                <w:b/>
                <w:bCs/>
                <w:sz w:val="24"/>
              </w:rPr>
            </w:pPr>
            <w:r>
              <w:rPr>
                <w:rFonts w:hint="eastAsia" w:ascii="宋体" w:hAnsi="宋体"/>
                <w:b/>
                <w:bCs/>
              </w:rPr>
              <w:t>202</w:t>
            </w:r>
            <w:r>
              <w:rPr>
                <w:rFonts w:hint="eastAsia" w:ascii="宋体" w:hAnsi="宋体"/>
                <w:b/>
                <w:bCs/>
                <w:lang w:val="en-US" w:eastAsia="zh-CN"/>
              </w:rPr>
              <w:t>5</w:t>
            </w:r>
            <w:r>
              <w:rPr>
                <w:rFonts w:hint="eastAsia" w:ascii="宋体" w:hAnsi="宋体"/>
                <w:b/>
                <w:bCs/>
              </w:rPr>
              <w:t>年    月    日                                   202</w:t>
            </w:r>
            <w:r>
              <w:rPr>
                <w:rFonts w:hint="eastAsia" w:ascii="宋体" w:hAnsi="宋体"/>
                <w:b/>
                <w:bCs/>
                <w:lang w:val="en-US" w:eastAsia="zh-CN"/>
              </w:rPr>
              <w:t>5</w:t>
            </w:r>
            <w:r>
              <w:rPr>
                <w:rFonts w:hint="eastAsia" w:ascii="宋体" w:hAnsi="宋体"/>
                <w:b/>
                <w:bCs/>
              </w:rPr>
              <w:t>年    月    日</w:t>
            </w:r>
          </w:p>
          <w:p>
            <w:pPr>
              <w:pStyle w:val="3"/>
              <w:shd w:val="clear"/>
              <w:spacing w:line="260" w:lineRule="exact"/>
              <w:jc w:val="both"/>
              <w:rPr>
                <w:rFonts w:cs="宋体"/>
                <w:b w:val="0"/>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081" w:hRule="atLeast"/>
          <w:jc w:val="center"/>
        </w:trPr>
        <w:tc>
          <w:tcPr>
            <w:tcW w:w="9776" w:type="dxa"/>
            <w:gridSpan w:val="8"/>
            <w:shd w:val="clear" w:color="auto" w:fill="FFFFFF"/>
            <w:vAlign w:val="center"/>
          </w:tcPr>
          <w:p>
            <w:pPr>
              <w:pStyle w:val="3"/>
              <w:shd w:val="clear"/>
              <w:spacing w:line="260" w:lineRule="exact"/>
              <w:jc w:val="both"/>
              <w:rPr>
                <w:rFonts w:cs="宋体"/>
                <w:b w:val="0"/>
                <w:bCs w:val="0"/>
                <w:sz w:val="21"/>
                <w:szCs w:val="21"/>
              </w:rPr>
            </w:pPr>
            <w:r>
              <w:rPr>
                <w:rFonts w:hint="eastAsia" w:cs="宋体"/>
                <w:b w:val="0"/>
                <w:bCs w:val="0"/>
                <w:sz w:val="21"/>
                <w:szCs w:val="21"/>
              </w:rPr>
              <w:t>备注：</w:t>
            </w:r>
          </w:p>
          <w:p>
            <w:pPr>
              <w:pStyle w:val="3"/>
              <w:shd w:val="clear"/>
              <w:spacing w:line="260" w:lineRule="exact"/>
              <w:ind w:firstLine="420" w:firstLineChars="200"/>
              <w:jc w:val="both"/>
              <w:rPr>
                <w:rFonts w:cs="宋体"/>
                <w:b w:val="0"/>
                <w:bCs w:val="0"/>
                <w:sz w:val="21"/>
                <w:szCs w:val="21"/>
              </w:rPr>
            </w:pPr>
            <w:r>
              <w:rPr>
                <w:rFonts w:hint="eastAsia" w:cs="宋体"/>
                <w:b w:val="0"/>
                <w:bCs w:val="0"/>
                <w:sz w:val="21"/>
                <w:szCs w:val="21"/>
              </w:rPr>
              <w:t>1.本考核表为月度考核表，每月考核一次，年度再复核一次，表格由八个部分组成，总分100分；扣分极限为该项权值分。</w:t>
            </w:r>
          </w:p>
          <w:p>
            <w:pPr>
              <w:pStyle w:val="3"/>
              <w:shd w:val="clear"/>
              <w:spacing w:line="260" w:lineRule="exact"/>
              <w:jc w:val="both"/>
              <w:rPr>
                <w:rFonts w:cs="宋体"/>
                <w:b w:val="0"/>
                <w:bCs w:val="0"/>
                <w:kern w:val="2"/>
                <w:sz w:val="21"/>
                <w:szCs w:val="21"/>
              </w:rPr>
            </w:pPr>
            <w:r>
              <w:rPr>
                <w:rFonts w:hint="eastAsia" w:cs="宋体"/>
                <w:b w:val="0"/>
                <w:bCs w:val="0"/>
                <w:kern w:val="2"/>
                <w:sz w:val="21"/>
                <w:szCs w:val="21"/>
              </w:rPr>
              <w:t>2.考核成绩90-100分，配备的人数达到要求，该月按合同支付足额的管理费用；考核成绩90-85分</w:t>
            </w:r>
            <w:r>
              <w:rPr>
                <w:rFonts w:hint="eastAsia" w:cs="宋体"/>
                <w:kern w:val="2"/>
                <w:sz w:val="21"/>
                <w:szCs w:val="21"/>
              </w:rPr>
              <w:t>（不含90分）</w:t>
            </w:r>
            <w:r>
              <w:rPr>
                <w:rFonts w:hint="eastAsia" w:cs="宋体"/>
                <w:b w:val="0"/>
                <w:bCs w:val="0"/>
                <w:kern w:val="2"/>
                <w:sz w:val="21"/>
                <w:szCs w:val="21"/>
              </w:rPr>
              <w:t>，扣除管理费用总额的1%；考核成绩85-80分，扣除管理费用总额的2%；考核成绩低于80分，则扣除管理费用总额的5%；</w:t>
            </w:r>
          </w:p>
          <w:p>
            <w:pPr>
              <w:pStyle w:val="3"/>
              <w:shd w:val="clear"/>
              <w:spacing w:line="260" w:lineRule="exact"/>
              <w:ind w:firstLine="420" w:firstLineChars="200"/>
              <w:jc w:val="both"/>
              <w:rPr>
                <w:rFonts w:cs="宋体"/>
                <w:sz w:val="21"/>
                <w:szCs w:val="21"/>
              </w:rPr>
            </w:pPr>
            <w:r>
              <w:rPr>
                <w:rFonts w:hint="eastAsia" w:cs="宋体"/>
                <w:b w:val="0"/>
                <w:bCs w:val="0"/>
                <w:kern w:val="2"/>
                <w:sz w:val="21"/>
                <w:szCs w:val="21"/>
              </w:rPr>
              <w:t>3.考核成绩低于70分，则讨论是否终止服务合同。</w:t>
            </w:r>
          </w:p>
        </w:tc>
      </w:tr>
    </w:tbl>
    <w:p>
      <w:pPr>
        <w:shd w:val="clear"/>
        <w:spacing w:line="240" w:lineRule="atLeast"/>
      </w:pPr>
    </w:p>
    <w:p>
      <w:pPr>
        <w:shd w:val="clear"/>
        <w:spacing w:line="440" w:lineRule="exact"/>
        <w:jc w:val="left"/>
        <w:rPr>
          <w:rFonts w:hint="eastAsia" w:ascii="宋体" w:hAnsi="宋体" w:cs="宋体"/>
          <w:color w:val="auto"/>
          <w:kern w:val="0"/>
          <w:szCs w:val="21"/>
          <w:highlight w:val="none"/>
        </w:rPr>
      </w:pPr>
    </w:p>
    <w:p>
      <w:pPr>
        <w:shd w:val="clear"/>
        <w:rPr>
          <w:rFonts w:hint="eastAsia"/>
          <w:color w:val="auto"/>
          <w:highlight w:val="none"/>
        </w:rPr>
      </w:pPr>
      <w:r>
        <w:rPr>
          <w:rFonts w:ascii="宋体" w:hAnsi="宋体"/>
          <w:color w:val="auto"/>
          <w:szCs w:val="21"/>
          <w:highlight w:val="none"/>
        </w:rPr>
        <w:br w:type="page"/>
      </w: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pStyle w:val="13"/>
        <w:rPr>
          <w:rFonts w:hint="eastAsia"/>
          <w:color w:val="auto"/>
          <w:highlight w:val="none"/>
        </w:rPr>
      </w:pPr>
    </w:p>
    <w:p>
      <w:pPr>
        <w:rPr>
          <w:rFonts w:hint="eastAsia"/>
          <w:color w:val="auto"/>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3"/>
        <w:spacing w:line="400" w:lineRule="exact"/>
        <w:rPr>
          <w:rFonts w:hint="eastAsia" w:ascii="方正小标宋简体" w:eastAsia="方正小标宋简体"/>
          <w:color w:val="auto"/>
          <w:highlight w:val="none"/>
        </w:rPr>
      </w:pPr>
      <w:bookmarkStart w:id="65" w:name="_Toc92355025"/>
    </w:p>
    <w:p>
      <w:pPr>
        <w:pStyle w:val="3"/>
        <w:spacing w:line="400" w:lineRule="exact"/>
        <w:rPr>
          <w:rFonts w:hint="eastAsia" w:ascii="Arial Unicode MS" w:hAnsi="Times New Roman" w:eastAsia="Arial Unicode MS" w:cs="Times New Roman"/>
          <w:color w:val="auto"/>
          <w:highlight w:val="none"/>
        </w:rPr>
      </w:pPr>
      <w:r>
        <w:rPr>
          <w:rFonts w:hint="eastAsia" w:ascii="Arial Unicode MS" w:hAnsi="Times New Roman" w:eastAsia="Arial Unicode MS" w:cs="Times New Roman"/>
          <w:color w:val="auto"/>
          <w:highlight w:val="none"/>
        </w:rPr>
        <w:t>第三章  供应商须知</w:t>
      </w:r>
      <w:bookmarkEnd w:id="58"/>
      <w:bookmarkEnd w:id="59"/>
      <w:bookmarkEnd w:id="65"/>
    </w:p>
    <w:p>
      <w:pPr>
        <w:jc w:val="center"/>
        <w:rPr>
          <w:rFonts w:hint="eastAsia" w:ascii="仿宋_GB2312" w:hAnsi="宋体" w:eastAsia="仿宋_GB2312"/>
          <w:b/>
          <w:color w:val="auto"/>
          <w:sz w:val="32"/>
          <w:szCs w:val="32"/>
          <w:highlight w:val="none"/>
        </w:rPr>
      </w:pPr>
      <w:bookmarkStart w:id="66" w:name="_Toc350325671"/>
      <w:bookmarkStart w:id="67" w:name="_Toc357157408"/>
      <w:bookmarkStart w:id="68" w:name="_Toc354479499"/>
      <w:bookmarkStart w:id="69" w:name="_Toc358477281"/>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6"/>
        <w:tblW w:w="9351" w:type="dxa"/>
        <w:jc w:val="center"/>
        <w:tblLayout w:type="fixed"/>
        <w:tblCellMar>
          <w:top w:w="0" w:type="dxa"/>
          <w:left w:w="108" w:type="dxa"/>
          <w:bottom w:w="0" w:type="dxa"/>
          <w:right w:w="108" w:type="dxa"/>
        </w:tblCellMar>
      </w:tblPr>
      <w:tblGrid>
        <w:gridCol w:w="704"/>
        <w:gridCol w:w="8647"/>
      </w:tblGrid>
      <w:tr>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3"/>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3"/>
                <w:rFonts w:hint="eastAsia" w:ascii="宋体" w:hAnsi="宋体" w:cs="宋体"/>
                <w:color w:val="auto"/>
                <w:kern w:val="0"/>
                <w:szCs w:val="21"/>
                <w:highlight w:val="none"/>
                <w:u w:val="none"/>
              </w:rPr>
              <w:t>项目名称：</w:t>
            </w:r>
            <w:r>
              <w:rPr>
                <w:rStyle w:val="43"/>
                <w:rFonts w:hint="eastAsia" w:ascii="宋体" w:hAnsi="宋体" w:cs="宋体"/>
                <w:color w:val="auto"/>
                <w:kern w:val="0"/>
                <w:szCs w:val="21"/>
                <w:highlight w:val="none"/>
                <w:u w:val="none"/>
                <w:lang w:eastAsia="zh-CN"/>
              </w:rPr>
              <w:t>中共浦北县纪律检查委员会物业服务</w:t>
            </w:r>
          </w:p>
          <w:p>
            <w:pPr>
              <w:widowControl/>
              <w:spacing w:line="440" w:lineRule="exact"/>
              <w:rPr>
                <w:rFonts w:hint="eastAsia" w:ascii="宋体" w:hAnsi="宋体"/>
                <w:color w:val="auto"/>
                <w:szCs w:val="21"/>
                <w:highlight w:val="none"/>
              </w:rPr>
            </w:pPr>
            <w:r>
              <w:rPr>
                <w:rStyle w:val="43"/>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color w:val="auto"/>
                <w:highlight w:val="none"/>
                <w:lang w:eastAsia="zh-CN"/>
              </w:rPr>
              <w:t>QZZC2025-C3-220201-QZSZ</w:t>
            </w:r>
          </w:p>
        </w:tc>
      </w:tr>
      <w:tr>
        <w:tblPrEx>
          <w:tblCellMar>
            <w:top w:w="0" w:type="dxa"/>
            <w:left w:w="108" w:type="dxa"/>
            <w:bottom w:w="0" w:type="dxa"/>
            <w:right w:w="108" w:type="dxa"/>
          </w:tblCellMar>
        </w:tblPrEx>
        <w:trPr>
          <w:trHeight w:val="26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3"/>
                <w:rFonts w:hint="eastAsia" w:ascii="宋体" w:hAnsi="宋体"/>
                <w:color w:val="auto"/>
                <w:szCs w:val="21"/>
                <w:highlight w:val="none"/>
                <w:u w:val="none"/>
              </w:rPr>
            </w:pPr>
            <w:r>
              <w:rPr>
                <w:rStyle w:val="43"/>
                <w:rFonts w:ascii="宋体" w:hAnsi="宋体"/>
                <w:color w:val="auto"/>
                <w:szCs w:val="21"/>
                <w:highlight w:val="none"/>
                <w:u w:val="none"/>
              </w:rPr>
              <w:fldChar w:fldCharType="begin"/>
            </w:r>
            <w:r>
              <w:rPr>
                <w:rStyle w:val="43"/>
                <w:rFonts w:ascii="宋体" w:hAnsi="宋体"/>
                <w:color w:val="auto"/>
                <w:szCs w:val="21"/>
                <w:highlight w:val="none"/>
                <w:u w:val="none"/>
              </w:rPr>
              <w:instrText xml:space="preserve"> </w:instrText>
            </w:r>
            <w:r>
              <w:rPr>
                <w:rStyle w:val="43"/>
                <w:rFonts w:hint="eastAsia" w:ascii="宋体" w:hAnsi="宋体"/>
                <w:color w:val="auto"/>
                <w:szCs w:val="21"/>
                <w:highlight w:val="none"/>
                <w:u w:val="none"/>
              </w:rPr>
              <w:instrText xml:space="preserve">HYPERLINK </w:instrText>
            </w:r>
            <w:r>
              <w:rPr>
                <w:rStyle w:val="43"/>
                <w:rFonts w:ascii="宋体" w:hAnsi="宋体"/>
                <w:color w:val="auto"/>
                <w:szCs w:val="21"/>
                <w:highlight w:val="none"/>
                <w:u w:val="none"/>
              </w:rPr>
              <w:instrText xml:space="preserve"> \l "_一、总_则" </w:instrText>
            </w:r>
            <w:r>
              <w:rPr>
                <w:rStyle w:val="43"/>
                <w:rFonts w:ascii="宋体" w:hAnsi="宋体"/>
                <w:color w:val="auto"/>
                <w:szCs w:val="21"/>
                <w:highlight w:val="none"/>
                <w:u w:val="none"/>
              </w:rPr>
              <w:fldChar w:fldCharType="separate"/>
            </w:r>
            <w:r>
              <w:rPr>
                <w:rStyle w:val="43"/>
                <w:rFonts w:hint="eastAsia" w:ascii="宋体" w:hAnsi="宋体"/>
                <w:color w:val="auto"/>
                <w:szCs w:val="21"/>
                <w:highlight w:val="none"/>
                <w:u w:val="none"/>
              </w:rPr>
              <w:t>供应商资格：</w:t>
            </w:r>
          </w:p>
          <w:p>
            <w:pPr>
              <w:spacing w:line="440" w:lineRule="exact"/>
              <w:rPr>
                <w:rStyle w:val="43"/>
                <w:rFonts w:hint="eastAsia" w:ascii="宋体" w:hAnsi="宋体"/>
                <w:color w:val="auto"/>
                <w:szCs w:val="21"/>
                <w:highlight w:val="none"/>
                <w:u w:val="none"/>
              </w:rPr>
            </w:pPr>
            <w:r>
              <w:rPr>
                <w:rStyle w:val="43"/>
                <w:rFonts w:hint="eastAsia" w:ascii="宋体" w:hAnsi="宋体"/>
                <w:color w:val="auto"/>
                <w:szCs w:val="21"/>
                <w:highlight w:val="none"/>
                <w:u w:val="none"/>
              </w:rPr>
              <w:t>1.满足《中华人民共和国政府采购法》第二十二条规定</w:t>
            </w:r>
          </w:p>
          <w:p>
            <w:pPr>
              <w:spacing w:line="440" w:lineRule="exact"/>
              <w:rPr>
                <w:rStyle w:val="43"/>
                <w:rFonts w:hint="eastAsia" w:ascii="宋体" w:hAnsi="宋体"/>
                <w:color w:val="auto"/>
                <w:szCs w:val="21"/>
                <w:highlight w:val="none"/>
                <w:u w:val="none"/>
              </w:rPr>
            </w:pPr>
            <w:r>
              <w:rPr>
                <w:rStyle w:val="43"/>
                <w:rFonts w:hint="eastAsia" w:ascii="宋体" w:hAnsi="宋体"/>
                <w:color w:val="auto"/>
                <w:szCs w:val="21"/>
                <w:highlight w:val="none"/>
                <w:u w:val="none"/>
              </w:rPr>
              <w:t>2.落实政府采购政策需满足的资格要求：</w:t>
            </w:r>
            <w:bookmarkStart w:id="70" w:name="_Hlk112310731"/>
            <w:r>
              <w:rPr>
                <w:rStyle w:val="43"/>
                <w:rFonts w:hint="eastAsia" w:ascii="宋体" w:hAnsi="宋体"/>
                <w:color w:val="auto"/>
                <w:szCs w:val="21"/>
                <w:highlight w:val="none"/>
                <w:u w:val="none"/>
              </w:rPr>
              <w:t>服务全部由符合政策要求的中小企业承接</w:t>
            </w:r>
            <w:bookmarkEnd w:id="70"/>
          </w:p>
          <w:p>
            <w:pPr>
              <w:spacing w:line="440" w:lineRule="exact"/>
              <w:rPr>
                <w:rFonts w:hint="eastAsia" w:ascii="宋体" w:hAnsi="宋体"/>
                <w:color w:val="auto"/>
                <w:szCs w:val="21"/>
                <w:highlight w:val="none"/>
              </w:rPr>
            </w:pPr>
            <w:r>
              <w:rPr>
                <w:rStyle w:val="43"/>
                <w:rFonts w:hint="eastAsia" w:ascii="宋体" w:hAnsi="宋体"/>
                <w:color w:val="auto"/>
                <w:szCs w:val="21"/>
                <w:highlight w:val="none"/>
                <w:u w:val="none"/>
              </w:rPr>
              <w:t>3.本项目的特定资格要求：</w:t>
            </w:r>
            <w:r>
              <w:rPr>
                <w:rStyle w:val="43"/>
                <w:rFonts w:hint="eastAsia" w:ascii="宋体" w:hAnsi="宋体"/>
                <w:color w:val="auto"/>
                <w:szCs w:val="21"/>
                <w:highlight w:val="none"/>
                <w:u w:val="none"/>
                <w:lang w:val="en-US" w:eastAsia="zh-CN"/>
              </w:rPr>
              <w:t>无</w:t>
            </w:r>
            <w:r>
              <w:rPr>
                <w:rStyle w:val="43"/>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3"/>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3"/>
                <w:rFonts w:hint="eastAsia" w:ascii="宋体" w:hAnsi="宋体" w:cs="宋体"/>
                <w:color w:val="auto"/>
                <w:kern w:val="0"/>
                <w:szCs w:val="21"/>
                <w:highlight w:val="none"/>
                <w:u w:val="none"/>
              </w:rPr>
              <w:fldChar w:fldCharType="end"/>
            </w:r>
          </w:p>
        </w:tc>
      </w:tr>
      <w:tr>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3"/>
                <w:rFonts w:hint="eastAsia" w:ascii="宋体" w:hAnsi="宋体" w:cs="宋体"/>
                <w:color w:val="auto"/>
                <w:kern w:val="0"/>
                <w:szCs w:val="21"/>
                <w:highlight w:val="none"/>
                <w:u w:val="none"/>
              </w:rPr>
              <w:t>响应文件提交截止时间及开启时间：</w:t>
            </w:r>
            <w:r>
              <w:rPr>
                <w:rStyle w:val="43"/>
                <w:rFonts w:hint="eastAsia" w:ascii="宋体" w:hAnsi="宋体"/>
                <w:color w:val="auto"/>
                <w:szCs w:val="21"/>
                <w:highlight w:val="none"/>
                <w:u w:val="none"/>
              </w:rPr>
              <w:t>202</w:t>
            </w:r>
            <w:r>
              <w:rPr>
                <w:rStyle w:val="43"/>
                <w:rFonts w:hint="eastAsia" w:ascii="宋体" w:hAnsi="宋体"/>
                <w:color w:val="auto"/>
                <w:szCs w:val="21"/>
                <w:highlight w:val="none"/>
                <w:u w:val="none"/>
                <w:lang w:val="en-US" w:eastAsia="zh-CN"/>
              </w:rPr>
              <w:t>5</w:t>
            </w:r>
            <w:r>
              <w:rPr>
                <w:rStyle w:val="43"/>
                <w:rFonts w:hint="eastAsia" w:ascii="宋体" w:hAnsi="宋体"/>
                <w:color w:val="auto"/>
                <w:szCs w:val="21"/>
                <w:highlight w:val="none"/>
                <w:u w:val="none"/>
              </w:rPr>
              <w:t>年</w:t>
            </w:r>
            <w:r>
              <w:rPr>
                <w:rStyle w:val="43"/>
                <w:rFonts w:hint="eastAsia" w:ascii="宋体" w:hAnsi="宋体"/>
                <w:color w:val="auto"/>
                <w:szCs w:val="21"/>
                <w:highlight w:val="none"/>
                <w:u w:val="none"/>
                <w:lang w:val="en-US" w:eastAsia="zh-CN"/>
              </w:rPr>
              <w:t>9月28日9</w:t>
            </w:r>
            <w:r>
              <w:rPr>
                <w:rStyle w:val="43"/>
                <w:rFonts w:hint="eastAsia" w:ascii="宋体" w:hAnsi="宋体"/>
                <w:color w:val="auto"/>
                <w:szCs w:val="21"/>
                <w:highlight w:val="none"/>
                <w:u w:val="none"/>
              </w:rPr>
              <w:t>时</w:t>
            </w:r>
            <w:r>
              <w:rPr>
                <w:rStyle w:val="43"/>
                <w:rFonts w:hint="eastAsia" w:ascii="宋体" w:hAnsi="宋体"/>
                <w:color w:val="auto"/>
                <w:szCs w:val="21"/>
                <w:highlight w:val="none"/>
                <w:u w:val="none"/>
                <w:lang w:val="en-US" w:eastAsia="zh-CN"/>
              </w:rPr>
              <w:t>3</w:t>
            </w:r>
            <w:r>
              <w:rPr>
                <w:rStyle w:val="43"/>
                <w:rFonts w:hint="eastAsia" w:ascii="宋体" w:hAnsi="宋体"/>
                <w:color w:val="auto"/>
                <w:szCs w:val="21"/>
                <w:highlight w:val="none"/>
                <w:u w:val="none"/>
              </w:rPr>
              <w:t>0分。</w:t>
            </w:r>
          </w:p>
          <w:p>
            <w:pPr>
              <w:widowControl/>
              <w:spacing w:line="440" w:lineRule="exact"/>
              <w:rPr>
                <w:color w:val="auto"/>
                <w:highlight w:val="none"/>
              </w:rPr>
            </w:pPr>
            <w:r>
              <w:rPr>
                <w:rStyle w:val="43"/>
                <w:rFonts w:hint="eastAsia"/>
                <w:b/>
                <w:color w:val="auto"/>
                <w:szCs w:val="21"/>
                <w:highlight w:val="none"/>
                <w:u w:val="none"/>
              </w:rPr>
              <w:t>注意事项：</w:t>
            </w:r>
            <w:r>
              <w:rPr>
                <w:rStyle w:val="43"/>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3"/>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3"/>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3"/>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3"/>
                <w:rFonts w:hint="eastAsia" w:ascii="宋体" w:hAnsi="宋体" w:cs="宋体"/>
                <w:color w:val="auto"/>
                <w:kern w:val="0"/>
                <w:szCs w:val="21"/>
                <w:highlight w:val="none"/>
                <w:u w:val="none"/>
              </w:rPr>
              <w:t>评定方法：</w:t>
            </w:r>
            <w:r>
              <w:rPr>
                <w:rStyle w:val="43"/>
                <w:rFonts w:hint="eastAsia"/>
                <w:color w:val="auto"/>
                <w:highlight w:val="none"/>
                <w:u w:val="none"/>
              </w:rPr>
              <w:t>详见第四章《评定标准及推荐原则》。</w:t>
            </w:r>
            <w:r>
              <w:rPr>
                <w:rStyle w:val="43"/>
                <w:rFonts w:hint="eastAsia"/>
                <w:color w:val="auto"/>
                <w:highlight w:val="none"/>
                <w:u w:val="none"/>
              </w:rPr>
              <w:fldChar w:fldCharType="end"/>
            </w:r>
          </w:p>
        </w:tc>
      </w:tr>
      <w:tr>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3"/>
                <w:rFonts w:hint="eastAsia" w:ascii="宋体" w:hAnsi="宋体" w:cs="宋体"/>
                <w:color w:val="auto"/>
                <w:kern w:val="0"/>
                <w:szCs w:val="21"/>
                <w:highlight w:val="none"/>
                <w:u w:val="none"/>
              </w:rPr>
              <w:t>代理服务费：</w:t>
            </w:r>
            <w:bookmarkStart w:id="71" w:name="OLE_LINK16"/>
            <w:r>
              <w:rPr>
                <w:rStyle w:val="43"/>
                <w:rFonts w:hint="eastAsia" w:ascii="宋体" w:hAnsi="宋体" w:cs="宋体"/>
                <w:color w:val="auto"/>
                <w:kern w:val="0"/>
                <w:szCs w:val="21"/>
                <w:highlight w:val="none"/>
                <w:u w:val="none"/>
              </w:rPr>
              <w:t>按钦州市物价局“钦市价费〔2013﹞4号”文件，以差额定率累进法计算。成交供应商须按成交金额缴纳相应的代理服务费。</w:t>
            </w:r>
            <w:bookmarkEnd w:id="71"/>
            <w:r>
              <w:rPr>
                <w:rStyle w:val="43"/>
                <w:rFonts w:hint="eastAsia" w:ascii="宋体" w:hAnsi="宋体" w:cs="宋体"/>
                <w:color w:val="auto"/>
                <w:kern w:val="0"/>
                <w:szCs w:val="21"/>
                <w:highlight w:val="none"/>
                <w:u w:val="none"/>
              </w:rPr>
              <w:fldChar w:fldCharType="end"/>
            </w:r>
          </w:p>
        </w:tc>
      </w:tr>
    </w:tbl>
    <w:p>
      <w:pPr>
        <w:rPr>
          <w:color w:val="auto"/>
          <w:highlight w:val="none"/>
        </w:rPr>
      </w:pPr>
      <w:bookmarkStart w:id="72"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72"/>
    </w:p>
    <w:p>
      <w:pPr>
        <w:pStyle w:val="4"/>
        <w:spacing w:line="420" w:lineRule="exact"/>
        <w:rPr>
          <w:color w:val="auto"/>
          <w:highlight w:val="none"/>
        </w:rPr>
      </w:pPr>
      <w:bookmarkStart w:id="73" w:name="_一、总_则"/>
      <w:bookmarkEnd w:id="73"/>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中共浦北县纪律检查委员会物业服务</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QZZC2025-C3-220201-QZSZ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color w:val="auto"/>
          <w:highlight w:val="none"/>
        </w:rPr>
      </w:pPr>
      <w:r>
        <w:rPr>
          <w:rFonts w:hint="eastAsia"/>
          <w:color w:val="auto"/>
          <w:highlight w:val="none"/>
        </w:rPr>
        <w:t>2.落实政府采购政策需满足的资格要求：服务全部由符合政策要求的中小企业承接</w:t>
      </w:r>
    </w:p>
    <w:p>
      <w:pPr>
        <w:spacing w:line="406" w:lineRule="exact"/>
        <w:ind w:firstLine="420" w:firstLineChars="200"/>
        <w:rPr>
          <w:color w:val="auto"/>
          <w:highlight w:val="none"/>
        </w:rPr>
      </w:pPr>
      <w:r>
        <w:rPr>
          <w:rFonts w:hint="eastAsia"/>
          <w:color w:val="auto"/>
          <w:highlight w:val="none"/>
        </w:rPr>
        <w:t>3.本项目的特定资格要求：供应商应具有有效期内的食品经营许可证</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74" w:name="_Toc352700410"/>
      <w:bookmarkStart w:id="75" w:name="_Toc254970671"/>
      <w:bookmarkStart w:id="76" w:name="_Toc353785281"/>
      <w:bookmarkStart w:id="77" w:name="_Toc254970530"/>
      <w:r>
        <w:rPr>
          <w:rFonts w:hint="eastAsia"/>
          <w:b/>
          <w:bCs/>
          <w:color w:val="auto"/>
          <w:highlight w:val="none"/>
        </w:rPr>
        <w:t>（五）代理委托</w:t>
      </w:r>
      <w:bookmarkEnd w:id="74"/>
      <w:bookmarkEnd w:id="75"/>
      <w:bookmarkEnd w:id="76"/>
      <w:bookmarkEnd w:id="77"/>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78" w:name="_Toc254970672"/>
      <w:bookmarkStart w:id="79" w:name="_Toc254970531"/>
      <w:bookmarkStart w:id="80" w:name="_Toc353785282"/>
      <w:bookmarkStart w:id="81" w:name="_Toc352700411"/>
      <w:r>
        <w:rPr>
          <w:rFonts w:hint="eastAsia"/>
          <w:b/>
          <w:bCs/>
          <w:color w:val="auto"/>
          <w:highlight w:val="none"/>
        </w:rPr>
        <w:t>（六）磋商费用</w:t>
      </w:r>
      <w:bookmarkEnd w:id="78"/>
      <w:bookmarkEnd w:id="79"/>
      <w:bookmarkEnd w:id="80"/>
      <w:bookmarkEnd w:id="81"/>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82" w:name="_Toc352700413"/>
      <w:bookmarkStart w:id="83" w:name="_Toc353785283"/>
      <w:r>
        <w:rPr>
          <w:rFonts w:hint="eastAsia"/>
          <w:b/>
          <w:bCs/>
          <w:color w:val="auto"/>
          <w:highlight w:val="none"/>
        </w:rPr>
        <w:t>（七）转包与分包</w:t>
      </w:r>
      <w:bookmarkEnd w:id="82"/>
      <w:bookmarkEnd w:id="83"/>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84" w:name="_Toc353785284"/>
      <w:bookmarkStart w:id="85" w:name="_Toc352700414"/>
      <w:bookmarkStart w:id="86" w:name="_Toc254970532"/>
      <w:bookmarkStart w:id="87" w:name="_Toc254970673"/>
      <w:r>
        <w:rPr>
          <w:rFonts w:hint="eastAsia"/>
          <w:b/>
          <w:bCs/>
          <w:color w:val="auto"/>
          <w:highlight w:val="none"/>
        </w:rPr>
        <w:t>（八）特别说明</w:t>
      </w:r>
      <w:bookmarkEnd w:id="84"/>
      <w:bookmarkEnd w:id="85"/>
      <w:bookmarkEnd w:id="86"/>
      <w:bookmarkEnd w:id="87"/>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3"/>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spacing w:line="406" w:lineRule="exact"/>
        <w:ind w:firstLine="211" w:firstLineChars="100"/>
        <w:rPr>
          <w:b/>
          <w:bCs/>
          <w:color w:val="auto"/>
          <w:highlight w:val="none"/>
        </w:rPr>
      </w:pPr>
      <w:bookmarkStart w:id="88" w:name="_Toc254970674"/>
      <w:bookmarkStart w:id="89" w:name="_Toc352700415"/>
      <w:bookmarkStart w:id="90" w:name="_Toc254970533"/>
      <w:bookmarkStart w:id="91" w:name="_Toc353785285"/>
      <w:r>
        <w:rPr>
          <w:rFonts w:hint="eastAsia"/>
          <w:b/>
          <w:bCs/>
          <w:color w:val="auto"/>
          <w:highlight w:val="none"/>
        </w:rPr>
        <w:t>（九）询问、质疑和投诉</w:t>
      </w:r>
      <w:bookmarkEnd w:id="88"/>
      <w:bookmarkEnd w:id="89"/>
      <w:bookmarkEnd w:id="90"/>
      <w:bookmarkEnd w:id="91"/>
    </w:p>
    <w:p>
      <w:pPr>
        <w:pStyle w:val="23"/>
        <w:snapToGrid w:val="0"/>
        <w:spacing w:line="406" w:lineRule="exact"/>
        <w:ind w:firstLine="420"/>
        <w:rPr>
          <w:rFonts w:hint="eastAsia" w:hAnsi="宋体"/>
          <w:color w:val="auto"/>
          <w:highlight w:val="none"/>
        </w:rPr>
      </w:pPr>
      <w:r>
        <w:rPr>
          <w:rFonts w:hint="eastAsia" w:hAnsi="宋体"/>
          <w:color w:val="auto"/>
          <w:highlight w:val="none"/>
        </w:rPr>
        <w:t>1.投标人对政府采购活动事项有疑问的，可以向采购人提出询问，采购人</w:t>
      </w:r>
      <w:r>
        <w:rPr>
          <w:rFonts w:hint="eastAsia" w:hAnsi="宋体"/>
          <w:color w:val="auto"/>
          <w:highlight w:val="none"/>
          <w:lang w:val="en-US" w:eastAsia="zh-CN"/>
        </w:rPr>
        <w:t>应</w:t>
      </w:r>
      <w:r>
        <w:rPr>
          <w:rFonts w:hint="eastAsia" w:hAnsi="宋体"/>
          <w:color w:val="auto"/>
          <w:highlight w:val="none"/>
        </w:rPr>
        <w:t>当在3个工作日内对投标人依法提出的询问作出答复，但答复的内容不得涉及商业秘密。</w:t>
      </w:r>
    </w:p>
    <w:p>
      <w:pPr>
        <w:pStyle w:val="23"/>
        <w:snapToGrid w:val="0"/>
        <w:spacing w:line="406" w:lineRule="exact"/>
        <w:ind w:firstLine="420"/>
        <w:rPr>
          <w:rFonts w:hint="eastAsia" w:hAnsi="宋体"/>
          <w:color w:val="auto"/>
          <w:highlight w:val="none"/>
        </w:rPr>
      </w:pPr>
      <w:r>
        <w:rPr>
          <w:rFonts w:hint="eastAsia" w:hAnsi="宋体"/>
          <w:color w:val="auto"/>
          <w:highlight w:val="none"/>
        </w:rPr>
        <w:t>2.投标人认为招标文件、招标过程或中标结果使自己的合法权益受到损害的，可以在知道或者应知其权益受到损害之日起7个工作日内，以书面形式（政采云平台）向采购人提出质疑。投标人必须在法定质疑期内一次性提出针对同一采购程序环节的质疑。投标人应知其权益受到损害之日，是指：</w:t>
      </w:r>
    </w:p>
    <w:p>
      <w:pPr>
        <w:pStyle w:val="23"/>
        <w:snapToGrid w:val="0"/>
        <w:spacing w:line="406" w:lineRule="exact"/>
        <w:ind w:firstLine="420"/>
        <w:rPr>
          <w:rFonts w:hint="eastAsia" w:hAnsi="宋体"/>
          <w:color w:val="auto"/>
          <w:highlight w:val="none"/>
        </w:rPr>
      </w:pPr>
      <w:r>
        <w:rPr>
          <w:rFonts w:hint="eastAsia" w:hAnsi="宋体"/>
          <w:color w:val="auto"/>
          <w:highlight w:val="none"/>
        </w:rPr>
        <w:t>(1)对招标文件提出质疑的，为获取招标文件之日；</w:t>
      </w:r>
    </w:p>
    <w:p>
      <w:pPr>
        <w:pStyle w:val="23"/>
        <w:snapToGrid w:val="0"/>
        <w:spacing w:line="406" w:lineRule="exact"/>
        <w:ind w:firstLine="420"/>
        <w:rPr>
          <w:rFonts w:hint="eastAsia" w:hAnsi="宋体"/>
          <w:color w:val="auto"/>
          <w:highlight w:val="none"/>
        </w:rPr>
      </w:pPr>
      <w:r>
        <w:rPr>
          <w:rFonts w:hint="eastAsia" w:hAnsi="宋体"/>
          <w:color w:val="auto"/>
          <w:highlight w:val="none"/>
        </w:rPr>
        <w:t>(2)对招标过程提出质疑的，为各采购程序环节结束之日；</w:t>
      </w:r>
    </w:p>
    <w:p>
      <w:pPr>
        <w:pStyle w:val="23"/>
        <w:snapToGrid w:val="0"/>
        <w:spacing w:line="406" w:lineRule="exact"/>
        <w:ind w:firstLine="420"/>
        <w:rPr>
          <w:rFonts w:hint="eastAsia" w:hAnsi="宋体"/>
          <w:color w:val="auto"/>
          <w:highlight w:val="none"/>
        </w:rPr>
      </w:pPr>
      <w:r>
        <w:rPr>
          <w:rFonts w:hint="eastAsia" w:hAnsi="宋体"/>
          <w:color w:val="auto"/>
          <w:highlight w:val="none"/>
        </w:rPr>
        <w:t xml:space="preserve">  (3)对中标结果提出质疑的，为中标结果公告期限届满之日。</w:t>
      </w:r>
    </w:p>
    <w:p>
      <w:pPr>
        <w:pStyle w:val="23"/>
        <w:snapToGrid w:val="0"/>
        <w:spacing w:line="406" w:lineRule="exact"/>
        <w:ind w:firstLine="420"/>
        <w:rPr>
          <w:rFonts w:hint="eastAsia" w:hAnsi="宋体"/>
          <w:color w:val="auto"/>
          <w:highlight w:val="none"/>
        </w:rPr>
      </w:pPr>
      <w:r>
        <w:rPr>
          <w:rFonts w:hint="eastAsia" w:hAnsi="宋体"/>
          <w:color w:val="auto"/>
          <w:highlight w:val="none"/>
        </w:rPr>
        <w:t>3.投标人对采购人质疑答复不满意或者采购人未在规定时间内作出答复的，可以在答复期满后十五个工作日内向同级采购监管部门投诉。</w:t>
      </w:r>
    </w:p>
    <w:p>
      <w:pPr>
        <w:pStyle w:val="23"/>
        <w:snapToGrid w:val="0"/>
        <w:spacing w:line="410" w:lineRule="exact"/>
        <w:ind w:firstLine="420"/>
        <w:rPr>
          <w:rFonts w:hint="eastAsia" w:ascii="黑体" w:hAnsi="黑体" w:eastAsia="黑体" w:cs="黑体"/>
          <w:bCs/>
        </w:rPr>
      </w:pPr>
      <w:r>
        <w:rPr>
          <w:rFonts w:hint="eastAsia" w:ascii="黑体" w:hAnsi="黑体" w:eastAsia="黑体" w:cs="黑体"/>
          <w:bCs/>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pPr>
        <w:pStyle w:val="23"/>
        <w:snapToGrid w:val="0"/>
        <w:spacing w:line="406" w:lineRule="exact"/>
        <w:ind w:firstLine="420"/>
        <w:rPr>
          <w:rFonts w:hint="eastAsia" w:hAnsi="宋体"/>
          <w:color w:val="auto"/>
          <w:highlight w:val="none"/>
          <w:lang w:val="en-US" w:eastAsia="zh-CN"/>
        </w:rPr>
      </w:pPr>
      <w:r>
        <w:rPr>
          <w:rFonts w:hint="eastAsia" w:hAnsi="宋体"/>
          <w:color w:val="auto"/>
          <w:highlight w:val="none"/>
        </w:rPr>
        <w:t>质疑部门联系方式</w:t>
      </w:r>
      <w:r>
        <w:rPr>
          <w:rFonts w:hint="eastAsia" w:hAnsi="宋体"/>
          <w:color w:val="auto"/>
          <w:highlight w:val="none"/>
          <w:lang w:eastAsia="zh-CN"/>
        </w:rPr>
        <w:t>：</w:t>
      </w:r>
      <w:r>
        <w:rPr>
          <w:rFonts w:hint="eastAsia" w:hAnsi="宋体"/>
          <w:color w:val="auto"/>
          <w:highlight w:val="none"/>
        </w:rPr>
        <w:t>中国共产党浦北县纪律检查委员会      0777-8212244</w:t>
      </w:r>
    </w:p>
    <w:p>
      <w:pPr>
        <w:pStyle w:val="23"/>
        <w:snapToGrid w:val="0"/>
        <w:spacing w:line="406" w:lineRule="exact"/>
        <w:ind w:firstLine="420"/>
        <w:rPr>
          <w:rFonts w:hint="eastAsia" w:hAnsi="宋体"/>
          <w:color w:val="auto"/>
          <w:highlight w:val="none"/>
        </w:rPr>
      </w:pPr>
      <w:r>
        <w:rPr>
          <w:rFonts w:hint="eastAsia" w:hAnsi="宋体"/>
          <w:color w:val="auto"/>
          <w:highlight w:val="none"/>
        </w:rPr>
        <w:t>采购监管部门联系方式：浦北县财政局      0777-8314622</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3"/>
          <w:rFonts w:hint="eastAsia" w:hAnsi="宋体"/>
          <w:color w:val="auto"/>
          <w:highlight w:val="none"/>
          <w:u w:val="none"/>
        </w:rPr>
        <w:t>广西政府采购网</w:t>
      </w:r>
      <w:r>
        <w:rPr>
          <w:rStyle w:val="43"/>
          <w:rFonts w:hint="eastAsia" w:hAnsi="宋体"/>
          <w:color w:val="auto"/>
          <w:highlight w:val="none"/>
          <w:u w:val="none"/>
        </w:rPr>
        <w:fldChar w:fldCharType="end"/>
      </w:r>
      <w:r>
        <w:rPr>
          <w:rFonts w:hint="eastAsia" w:hAnsi="宋体"/>
          <w:color w:val="auto"/>
          <w:highlight w:val="none"/>
        </w:rPr>
        <w:t>。</w:t>
      </w:r>
    </w:p>
    <w:p>
      <w:pPr>
        <w:pStyle w:val="4"/>
        <w:spacing w:line="406" w:lineRule="exact"/>
        <w:rPr>
          <w:color w:val="auto"/>
          <w:highlight w:val="none"/>
        </w:rPr>
      </w:pPr>
      <w:bookmarkStart w:id="92" w:name="_Toc353785286"/>
      <w:bookmarkStart w:id="93" w:name="_Toc352700416"/>
      <w:r>
        <w:rPr>
          <w:rFonts w:hint="eastAsia"/>
          <w:color w:val="auto"/>
          <w:highlight w:val="none"/>
        </w:rPr>
        <w:t>二、竞争性磋商采购文件</w:t>
      </w:r>
      <w:bookmarkEnd w:id="92"/>
      <w:bookmarkEnd w:id="93"/>
    </w:p>
    <w:p>
      <w:pPr>
        <w:spacing w:line="406" w:lineRule="exact"/>
        <w:ind w:firstLine="211" w:firstLineChars="100"/>
        <w:rPr>
          <w:b/>
          <w:bCs/>
          <w:color w:val="auto"/>
          <w:highlight w:val="none"/>
        </w:rPr>
      </w:pPr>
      <w:bookmarkStart w:id="94" w:name="_Toc353785287"/>
      <w:bookmarkStart w:id="95" w:name="_Toc352700417"/>
      <w:r>
        <w:rPr>
          <w:rFonts w:hint="eastAsia"/>
          <w:b/>
          <w:bCs/>
          <w:color w:val="auto"/>
          <w:highlight w:val="none"/>
        </w:rPr>
        <w:t>（一）竞争性磋商采购文件的组成</w:t>
      </w:r>
      <w:bookmarkEnd w:id="94"/>
      <w:bookmarkEnd w:id="95"/>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3"/>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96" w:name="_Toc352700419"/>
      <w:bookmarkStart w:id="97" w:name="_Toc353785289"/>
      <w:r>
        <w:rPr>
          <w:rFonts w:hint="eastAsia"/>
          <w:b/>
          <w:bCs/>
          <w:color w:val="auto"/>
          <w:highlight w:val="none"/>
        </w:rPr>
        <w:t>（二）竞争性磋商采购文件的澄清与修改</w:t>
      </w:r>
      <w:bookmarkEnd w:id="96"/>
      <w:bookmarkEnd w:id="97"/>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3"/>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4"/>
        <w:spacing w:line="406" w:lineRule="exact"/>
        <w:rPr>
          <w:color w:val="auto"/>
          <w:highlight w:val="none"/>
        </w:rPr>
      </w:pPr>
      <w:bookmarkStart w:id="98" w:name="_三、响应文件"/>
      <w:bookmarkEnd w:id="98"/>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99"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00"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00"/>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101" w:name="_Hlk108683109"/>
      <w:r>
        <w:rPr>
          <w:rFonts w:hint="eastAsia" w:hAnsi="宋体"/>
          <w:color w:val="auto"/>
          <w:spacing w:val="-4"/>
          <w:highlight w:val="none"/>
        </w:rPr>
        <w:t>(格式见第六章)</w:t>
      </w:r>
      <w:bookmarkEnd w:id="101"/>
    </w:p>
    <w:p>
      <w:pPr>
        <w:tabs>
          <w:tab w:val="left" w:pos="3870"/>
          <w:tab w:val="left" w:pos="4085"/>
        </w:tabs>
        <w:snapToGrid w:val="0"/>
        <w:spacing w:line="406" w:lineRule="exact"/>
        <w:ind w:firstLine="420"/>
        <w:rPr>
          <w:rFonts w:hint="eastAsia" w:ascii="宋体" w:hAnsi="宋体" w:cs="宋体"/>
          <w:bCs/>
          <w:color w:val="auto"/>
          <w:kern w:val="0"/>
          <w:szCs w:val="21"/>
          <w:highlight w:val="none"/>
        </w:rPr>
      </w:pPr>
      <w:bookmarkStart w:id="102"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p>
    <w:bookmarkEnd w:id="102"/>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firstLineChars="200"/>
        <w:rPr>
          <w:rFonts w:ascii="宋体" w:hAnsi="宋体"/>
          <w:color w:val="auto"/>
          <w:szCs w:val="21"/>
          <w:highlight w:val="none"/>
        </w:rPr>
      </w:pPr>
      <w:r>
        <w:rPr>
          <w:rFonts w:hint="eastAsia" w:ascii="宋体" w:hAnsi="宋体"/>
          <w:b/>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ascii="宋体" w:hAnsi="宋体"/>
          <w:color w:val="auto"/>
          <w:highlight w:val="none"/>
        </w:rPr>
        <w:t>商务</w:t>
      </w:r>
      <w:r>
        <w:rPr>
          <w:rFonts w:hint="eastAsia" w:ascii="宋体" w:hAnsi="宋体"/>
          <w:color w:val="auto"/>
          <w:highlight w:val="none"/>
          <w:lang w:val="en-US" w:eastAsia="zh-CN"/>
        </w:rPr>
        <w:t>技术</w:t>
      </w:r>
      <w:r>
        <w:rPr>
          <w:rFonts w:ascii="宋体" w:hAnsi="宋体"/>
          <w:color w:val="auto"/>
          <w:highlight w:val="none"/>
        </w:rPr>
        <w:t>响应表(格式见第六章)</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《项目需求》中要求必须提供的材料</w:t>
      </w:r>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103"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103"/>
      <w:r>
        <w:rPr>
          <w:rFonts w:hint="eastAsia" w:ascii="宋体" w:hAnsi="宋体"/>
          <w:bCs/>
          <w:color w:val="auto"/>
          <w:szCs w:val="21"/>
          <w:highlight w:val="none"/>
        </w:rPr>
        <w:t>(格式见第六章)。</w:t>
      </w:r>
    </w:p>
    <w:bookmarkEnd w:id="99"/>
    <w:p>
      <w:pPr>
        <w:snapToGrid w:val="0"/>
        <w:spacing w:line="406" w:lineRule="exact"/>
        <w:ind w:firstLine="422"/>
        <w:rPr>
          <w:rFonts w:hint="eastAsia" w:ascii="宋体" w:hAnsi="宋体"/>
          <w:color w:val="auto"/>
          <w:szCs w:val="21"/>
          <w:highlight w:val="none"/>
        </w:rPr>
      </w:pPr>
      <w:r>
        <w:rPr>
          <w:rFonts w:hint="eastAsia" w:ascii="宋体" w:hAnsi="宋体"/>
          <w:b/>
          <w:bCs/>
          <w:color w:val="auto"/>
          <w:sz w:val="24"/>
          <w:szCs w:val="24"/>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104" w:name="_Hlk90906323"/>
      <w:r>
        <w:rPr>
          <w:rFonts w:hint="eastAsia" w:ascii="宋体" w:hAnsi="宋体"/>
          <w:color w:val="auto"/>
          <w:szCs w:val="21"/>
          <w:highlight w:val="none"/>
        </w:rPr>
        <w:t>②</w:t>
      </w:r>
      <w:bookmarkStart w:id="105"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105"/>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106" w:name="_Toc254970537"/>
      <w:bookmarkStart w:id="107" w:name="_Toc353785292"/>
      <w:bookmarkStart w:id="108" w:name="_Toc254970678"/>
      <w:bookmarkStart w:id="109" w:name="_Toc352700422"/>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104"/>
    <w:p>
      <w:pPr>
        <w:spacing w:line="406" w:lineRule="exact"/>
        <w:ind w:firstLine="211" w:firstLineChars="100"/>
        <w:rPr>
          <w:color w:val="auto"/>
          <w:highlight w:val="none"/>
        </w:rPr>
      </w:pPr>
      <w:r>
        <w:rPr>
          <w:rFonts w:hint="eastAsia"/>
          <w:b/>
          <w:bCs/>
          <w:color w:val="auto"/>
          <w:highlight w:val="none"/>
        </w:rPr>
        <w:t>（四）响应文件的语言及计量</w:t>
      </w:r>
      <w:bookmarkEnd w:id="106"/>
      <w:bookmarkEnd w:id="107"/>
      <w:bookmarkEnd w:id="108"/>
      <w:bookmarkEnd w:id="109"/>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06" w:lineRule="exact"/>
        <w:ind w:firstLine="211" w:firstLineChars="100"/>
        <w:rPr>
          <w:rFonts w:hint="eastAsia" w:ascii="宋体" w:hAnsi="宋体" w:eastAsia="宋体"/>
          <w:color w:val="auto"/>
          <w:sz w:val="21"/>
          <w:szCs w:val="21"/>
          <w:highlight w:val="none"/>
        </w:rPr>
      </w:pPr>
      <w:bookmarkStart w:id="110" w:name="_（五）报价"/>
      <w:bookmarkEnd w:id="110"/>
      <w:bookmarkStart w:id="111" w:name="_Toc352700423"/>
      <w:bookmarkStart w:id="112" w:name="_Toc353785293"/>
      <w:bookmarkStart w:id="113" w:name="_Toc254970538"/>
      <w:bookmarkStart w:id="114" w:name="_Toc254970679"/>
      <w:r>
        <w:rPr>
          <w:rFonts w:hint="eastAsia" w:ascii="宋体" w:hAnsi="宋体" w:eastAsia="宋体"/>
          <w:color w:val="auto"/>
          <w:sz w:val="21"/>
          <w:szCs w:val="21"/>
          <w:highlight w:val="none"/>
        </w:rPr>
        <w:t>（五）报价</w:t>
      </w:r>
      <w:bookmarkEnd w:id="111"/>
      <w:bookmarkEnd w:id="112"/>
      <w:bookmarkEnd w:id="113"/>
      <w:bookmarkEnd w:id="114"/>
    </w:p>
    <w:p>
      <w:pPr>
        <w:pStyle w:val="23"/>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3"/>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4"/>
        <w:spacing w:before="0" w:after="0" w:line="406" w:lineRule="exact"/>
        <w:ind w:firstLine="211" w:firstLineChars="100"/>
        <w:rPr>
          <w:rFonts w:hint="eastAsia" w:ascii="宋体" w:hAnsi="宋体" w:eastAsia="宋体"/>
          <w:color w:val="auto"/>
          <w:sz w:val="21"/>
          <w:szCs w:val="21"/>
          <w:highlight w:val="none"/>
        </w:rPr>
      </w:pPr>
      <w:bookmarkStart w:id="115" w:name="_（六）磋商保证金"/>
      <w:bookmarkEnd w:id="115"/>
      <w:bookmarkStart w:id="116" w:name="_Toc254970541"/>
      <w:bookmarkStart w:id="117" w:name="_Toc254970682"/>
      <w:bookmarkStart w:id="118" w:name="_Toc353785295"/>
      <w:bookmarkStart w:id="119" w:name="_Toc352700425"/>
      <w:r>
        <w:rPr>
          <w:rFonts w:hint="eastAsia" w:ascii="宋体" w:hAnsi="宋体" w:eastAsia="宋体"/>
          <w:color w:val="auto"/>
          <w:sz w:val="21"/>
          <w:szCs w:val="21"/>
          <w:highlight w:val="none"/>
        </w:rPr>
        <w:t>（六）磋商保证金</w:t>
      </w:r>
      <w:bookmarkEnd w:id="116"/>
      <w:bookmarkEnd w:id="117"/>
      <w:bookmarkEnd w:id="118"/>
      <w:bookmarkEnd w:id="119"/>
    </w:p>
    <w:p>
      <w:pPr>
        <w:snapToGrid w:val="0"/>
        <w:spacing w:line="406" w:lineRule="exact"/>
        <w:ind w:firstLine="420" w:firstLineChars="200"/>
        <w:rPr>
          <w:color w:val="auto"/>
          <w:highlight w:val="none"/>
        </w:rPr>
      </w:pPr>
      <w:bookmarkStart w:id="120" w:name="_Toc352700426"/>
      <w:bookmarkStart w:id="121" w:name="_Toc353785296"/>
      <w:bookmarkStart w:id="122" w:name="_Toc254970542"/>
      <w:bookmarkStart w:id="123" w:name="_Toc254970683"/>
      <w:r>
        <w:rPr>
          <w:rFonts w:hint="eastAsia" w:ascii="宋体" w:hAnsi="宋体"/>
          <w:color w:val="auto"/>
          <w:szCs w:val="21"/>
          <w:highlight w:val="none"/>
        </w:rPr>
        <w:t>本项目免收磋商保证金。</w:t>
      </w:r>
    </w:p>
    <w:bookmarkEnd w:id="120"/>
    <w:bookmarkEnd w:id="121"/>
    <w:bookmarkEnd w:id="122"/>
    <w:bookmarkEnd w:id="123"/>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24" w:name="_Hlk91772691"/>
      <w:r>
        <w:rPr>
          <w:rFonts w:hint="eastAsia" w:ascii="宋体" w:hAnsi="宋体"/>
          <w:color w:val="auto"/>
          <w:szCs w:val="21"/>
          <w:highlight w:val="none"/>
        </w:rPr>
        <w:t>政府采购云平台</w:t>
      </w:r>
      <w:bookmarkEnd w:id="124"/>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4"/>
        <w:spacing w:line="406" w:lineRule="exact"/>
        <w:rPr>
          <w:color w:val="auto"/>
          <w:highlight w:val="none"/>
        </w:rPr>
      </w:pPr>
      <w:bookmarkStart w:id="125" w:name="_四、响应文件开启"/>
      <w:bookmarkEnd w:id="125"/>
      <w:r>
        <w:rPr>
          <w:rFonts w:hint="eastAsia"/>
          <w:color w:val="auto"/>
          <w:highlight w:val="none"/>
        </w:rPr>
        <w:t>四、</w:t>
      </w:r>
      <w:bookmarkStart w:id="126" w:name="_Toc352700430"/>
      <w:bookmarkStart w:id="127" w:name="_Toc353785300"/>
      <w:r>
        <w:rPr>
          <w:rFonts w:hint="eastAsia"/>
          <w:color w:val="auto"/>
          <w:highlight w:val="none"/>
        </w:rPr>
        <w:t>响应文件开启</w:t>
      </w:r>
    </w:p>
    <w:bookmarkEnd w:id="126"/>
    <w:bookmarkEnd w:id="127"/>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28" w:name="_Hlk90300735"/>
      <w:r>
        <w:rPr>
          <w:rFonts w:hint="eastAsia"/>
          <w:color w:val="auto"/>
          <w:highlight w:val="none"/>
        </w:rPr>
        <w:t>政采云远程开标大厅</w:t>
      </w:r>
      <w:bookmarkEnd w:id="128"/>
      <w:r>
        <w:rPr>
          <w:rFonts w:hint="eastAsia"/>
          <w:color w:val="auto"/>
          <w:highlight w:val="none"/>
        </w:rPr>
        <w:t>进行响应文件开启，供应商法定代表人或委托代理人须按时登录</w:t>
      </w:r>
      <w:bookmarkStart w:id="129" w:name="_Hlk90300780"/>
      <w:r>
        <w:rPr>
          <w:rFonts w:hint="eastAsia"/>
          <w:color w:val="auto"/>
          <w:highlight w:val="none"/>
        </w:rPr>
        <w:t>政采云远程开标大厅</w:t>
      </w:r>
      <w:bookmarkEnd w:id="129"/>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30" w:name="_Toc353785301"/>
      <w:bookmarkStart w:id="131" w:name="_Toc35270043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30"/>
      <w:bookmarkEnd w:id="131"/>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06" w:lineRule="exact"/>
        <w:rPr>
          <w:rFonts w:hint="eastAsia" w:ascii="宋体" w:hAnsi="宋体"/>
          <w:color w:val="auto"/>
          <w:szCs w:val="21"/>
          <w:highlight w:val="none"/>
        </w:rPr>
      </w:pPr>
      <w:bookmarkStart w:id="132" w:name="_五、评审与磋商"/>
      <w:bookmarkEnd w:id="132"/>
      <w:bookmarkStart w:id="133" w:name="_Toc352700432"/>
      <w:bookmarkStart w:id="134" w:name="_Toc254970686"/>
      <w:bookmarkStart w:id="135" w:name="_Toc353785302"/>
      <w:bookmarkStart w:id="136" w:name="_Toc254970545"/>
      <w:r>
        <w:rPr>
          <w:rFonts w:hint="eastAsia"/>
          <w:color w:val="auto"/>
          <w:highlight w:val="none"/>
        </w:rPr>
        <w:t>五、</w:t>
      </w:r>
      <w:bookmarkEnd w:id="133"/>
      <w:bookmarkEnd w:id="134"/>
      <w:bookmarkEnd w:id="135"/>
      <w:bookmarkEnd w:id="136"/>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37" w:name="_Toc353785303"/>
      <w:bookmarkStart w:id="138" w:name="_Toc35270043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37"/>
      <w:bookmarkEnd w:id="138"/>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3"/>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3"/>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3"/>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3"/>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3"/>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39" w:name="_Hlk101270484"/>
      <w:r>
        <w:rPr>
          <w:rFonts w:hint="eastAsia"/>
          <w:color w:val="auto"/>
          <w:highlight w:val="none"/>
        </w:rPr>
        <w:t>市场竞争不充分的科研项目，以及需要扶持的科技成果转化项目</w:t>
      </w:r>
      <w:bookmarkEnd w:id="139"/>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3"/>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40" w:name="_Hlk92462362"/>
      <w:r>
        <w:rPr>
          <w:rFonts w:hint="eastAsia" w:hAnsi="宋体"/>
          <w:bCs/>
          <w:color w:val="auto"/>
          <w:highlight w:val="none"/>
        </w:rPr>
        <w:t>澄清、说明或者更正</w:t>
      </w:r>
      <w:bookmarkEnd w:id="140"/>
      <w:r>
        <w:rPr>
          <w:rFonts w:hint="eastAsia" w:hAnsi="宋体"/>
          <w:bCs/>
          <w:color w:val="auto"/>
          <w:highlight w:val="none"/>
        </w:rPr>
        <w:t>。供应商的澄清、说明或者更正不得超出响应文件的范围或者改变响应文件的实质性内容。</w:t>
      </w:r>
    </w:p>
    <w:p>
      <w:pPr>
        <w:pStyle w:val="23"/>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3"/>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3"/>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3"/>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3"/>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3"/>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3"/>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4"/>
        <w:spacing w:line="406" w:lineRule="exact"/>
        <w:rPr>
          <w:color w:val="auto"/>
          <w:highlight w:val="none"/>
        </w:rPr>
      </w:pPr>
      <w:r>
        <w:rPr>
          <w:rFonts w:hint="eastAsia"/>
          <w:color w:val="auto"/>
          <w:highlight w:val="none"/>
        </w:rPr>
        <w:t>六、确定成交供应商</w:t>
      </w:r>
    </w:p>
    <w:p>
      <w:pPr>
        <w:pStyle w:val="23"/>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3"/>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4"/>
        <w:spacing w:line="406" w:lineRule="exact"/>
        <w:rPr>
          <w:color w:val="auto"/>
          <w:highlight w:val="none"/>
        </w:rPr>
      </w:pPr>
      <w:r>
        <w:rPr>
          <w:rFonts w:hint="eastAsia"/>
          <w:color w:val="auto"/>
          <w:highlight w:val="none"/>
        </w:rPr>
        <w:t>七、结果公告</w:t>
      </w:r>
    </w:p>
    <w:p>
      <w:pPr>
        <w:pStyle w:val="23"/>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4"/>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41"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41"/>
    <w:p>
      <w:pPr>
        <w:pStyle w:val="4"/>
        <w:spacing w:line="406" w:lineRule="exact"/>
        <w:rPr>
          <w:color w:val="auto"/>
          <w:highlight w:val="none"/>
        </w:rPr>
      </w:pPr>
      <w:bookmarkStart w:id="142" w:name="_十、其他事项"/>
      <w:bookmarkEnd w:id="142"/>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43" w:name="_Hlk94168058"/>
      <w:r>
        <w:rPr>
          <w:rFonts w:hint="eastAsia" w:hAnsi="宋体"/>
          <w:color w:val="auto"/>
          <w:highlight w:val="none"/>
        </w:rPr>
        <w:t>（一）</w:t>
      </w:r>
      <w:bookmarkEnd w:id="143"/>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tbl>
      <w:tblPr>
        <w:tblStyle w:val="36"/>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3"/>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3"/>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3"/>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44"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w:t>
      </w:r>
      <w:r>
        <w:rPr>
          <w:rFonts w:hint="eastAsia"/>
          <w:color w:val="auto"/>
          <w:highlight w:val="none"/>
        </w:rPr>
        <w:t>陈启梅</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44"/>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3"/>
        <w:spacing w:line="400" w:lineRule="exact"/>
        <w:rPr>
          <w:rFonts w:hint="eastAsia" w:ascii="方正小标宋_GBK" w:hAnsi="宋体" w:eastAsia="方正小标宋_GBK"/>
          <w:color w:val="auto"/>
          <w:highlight w:val="none"/>
        </w:rPr>
      </w:pPr>
      <w:bookmarkStart w:id="145" w:name="_第四章__评定标准及推荐原则"/>
      <w:bookmarkEnd w:id="145"/>
      <w:bookmarkStart w:id="146" w:name="_Toc92355026"/>
      <w:r>
        <w:rPr>
          <w:rFonts w:hint="eastAsia" w:ascii="方正小标宋_GBK" w:hAnsi="宋体" w:eastAsia="方正小标宋_GBK"/>
          <w:color w:val="auto"/>
          <w:highlight w:val="none"/>
        </w:rPr>
        <w:t>第四章  评定标准及推荐原则</w:t>
      </w:r>
      <w:bookmarkEnd w:id="146"/>
    </w:p>
    <w:p>
      <w:pPr>
        <w:pStyle w:val="23"/>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3"/>
        <w:spacing w:line="500" w:lineRule="exact"/>
        <w:jc w:val="center"/>
        <w:rPr>
          <w:rFonts w:hint="eastAsia" w:hAnsi="宋体"/>
          <w:b/>
          <w:bCs/>
          <w:color w:val="auto"/>
          <w:sz w:val="44"/>
          <w:szCs w:val="44"/>
          <w:highlight w:val="none"/>
        </w:rPr>
      </w:pPr>
      <w:bookmarkStart w:id="147" w:name="_Hlk92463826"/>
      <w:r>
        <w:rPr>
          <w:rFonts w:hint="eastAsia" w:hAnsi="宋体"/>
          <w:b/>
          <w:bCs/>
          <w:color w:val="auto"/>
          <w:sz w:val="44"/>
          <w:szCs w:val="44"/>
          <w:highlight w:val="none"/>
        </w:rPr>
        <w:t>评定标准及推荐原则</w:t>
      </w:r>
    </w:p>
    <w:bookmarkEnd w:id="147"/>
    <w:p>
      <w:pPr>
        <w:rPr>
          <w:color w:val="auto"/>
          <w:highlight w:val="none"/>
        </w:rPr>
      </w:pPr>
    </w:p>
    <w:p>
      <w:pPr>
        <w:pStyle w:val="23"/>
        <w:spacing w:line="460" w:lineRule="exact"/>
        <w:rPr>
          <w:rFonts w:hint="eastAsia" w:hAnsi="宋体"/>
          <w:b/>
          <w:bCs/>
          <w:color w:val="auto"/>
          <w:highlight w:val="none"/>
        </w:rPr>
      </w:pPr>
      <w:r>
        <w:rPr>
          <w:rFonts w:hint="eastAsia" w:hAnsi="宋体"/>
          <w:b/>
          <w:bCs/>
          <w:color w:val="auto"/>
          <w:highlight w:val="none"/>
        </w:rPr>
        <w:t>一、评审原则</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3"/>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48" w:name="_Hlk89353643"/>
      <w:r>
        <w:rPr>
          <w:rFonts w:hint="eastAsia" w:hAnsi="宋体"/>
          <w:bCs/>
          <w:color w:val="auto"/>
          <w:highlight w:val="none"/>
        </w:rPr>
        <w:t>由采购人代表和评审专家共3人以上单数组成，其中评审专家人数不得少于磋商小组成员总数的2/3。</w:t>
      </w:r>
      <w:bookmarkEnd w:id="148"/>
    </w:p>
    <w:p>
      <w:pPr>
        <w:pStyle w:val="23"/>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3"/>
        <w:spacing w:line="460" w:lineRule="exact"/>
        <w:rPr>
          <w:rFonts w:hint="eastAsia" w:hAnsi="宋体"/>
          <w:b/>
          <w:bCs/>
          <w:color w:val="auto"/>
          <w:highlight w:val="none"/>
        </w:rPr>
      </w:pPr>
      <w:r>
        <w:rPr>
          <w:rFonts w:hint="eastAsia" w:hAnsi="宋体"/>
          <w:b/>
          <w:bCs/>
          <w:color w:val="auto"/>
          <w:highlight w:val="none"/>
        </w:rPr>
        <w:t>二、评分细则</w:t>
      </w:r>
    </w:p>
    <w:p>
      <w:pPr>
        <w:pStyle w:val="23"/>
        <w:spacing w:line="460" w:lineRule="exact"/>
        <w:ind w:firstLine="420" w:firstLineChars="200"/>
        <w:jc w:val="left"/>
        <w:rPr>
          <w:rFonts w:hAnsi="宋体"/>
          <w:b/>
          <w:bCs/>
          <w:highlight w:val="none"/>
        </w:rPr>
      </w:pPr>
      <w:r>
        <w:rPr>
          <w:rFonts w:hint="eastAsia" w:hAnsi="宋体"/>
          <w:highlight w:val="none"/>
        </w:rPr>
        <w:t>综合评分法：对满足招标文件全部实质性要求的投标人投标文件</w:t>
      </w:r>
      <w:r>
        <w:rPr>
          <w:rFonts w:hAnsi="宋体" w:cs="Arial"/>
          <w:highlight w:val="none"/>
        </w:rPr>
        <w:t>按照评审因素的量化指标评审</w:t>
      </w:r>
      <w:r>
        <w:rPr>
          <w:rFonts w:hint="eastAsia" w:hAnsi="宋体" w:cs="Arial"/>
          <w:highlight w:val="none"/>
        </w:rPr>
        <w:t>并汇总(</w:t>
      </w:r>
      <w:r>
        <w:rPr>
          <w:rFonts w:hint="eastAsia" w:hAnsi="宋体"/>
          <w:highlight w:val="none"/>
        </w:rPr>
        <w:t>四舍五入取至百分位)。</w:t>
      </w:r>
    </w:p>
    <w:p>
      <w:pPr>
        <w:spacing w:line="360" w:lineRule="auto"/>
        <w:ind w:firstLine="426" w:firstLineChars="202"/>
        <w:rPr>
          <w:rFonts w:ascii="宋体" w:hAnsi="宋体" w:cs="宋体"/>
          <w:b/>
          <w:szCs w:val="21"/>
          <w:highlight w:val="none"/>
        </w:rPr>
      </w:pPr>
      <w:r>
        <w:rPr>
          <w:rFonts w:hint="eastAsia" w:ascii="宋体" w:hAnsi="宋体" w:cs="宋体"/>
          <w:b/>
          <w:szCs w:val="21"/>
          <w:highlight w:val="none"/>
        </w:rPr>
        <w:t>（一）价格分……………………………………………………………………</w:t>
      </w:r>
      <w:r>
        <w:rPr>
          <w:rFonts w:hint="eastAsia" w:ascii="宋体" w:hAnsi="宋体" w:cs="宋体"/>
          <w:b/>
          <w:szCs w:val="21"/>
          <w:highlight w:val="none"/>
          <w:lang w:val="en-US" w:eastAsia="zh-CN"/>
        </w:rPr>
        <w:t>20</w:t>
      </w:r>
      <w:r>
        <w:rPr>
          <w:rFonts w:hint="eastAsia" w:ascii="宋体" w:hAnsi="宋体" w:cs="宋体"/>
          <w:b/>
          <w:szCs w:val="21"/>
          <w:highlight w:val="none"/>
        </w:rPr>
        <w:t>分</w:t>
      </w:r>
    </w:p>
    <w:p>
      <w:pPr>
        <w:spacing w:line="360" w:lineRule="auto"/>
        <w:ind w:firstLine="420" w:firstLineChars="200"/>
        <w:jc w:val="left"/>
        <w:rPr>
          <w:rFonts w:ascii="宋体" w:hAnsi="宋体"/>
          <w:highlight w:val="none"/>
        </w:rPr>
      </w:pPr>
      <w:r>
        <w:rPr>
          <w:rFonts w:ascii="宋体" w:hAnsi="宋体" w:cs="Courier New"/>
          <w:szCs w:val="21"/>
          <w:highlight w:val="none"/>
        </w:rPr>
        <w:t>满足磋商文件要求且最后报价最低的供应商的价格为磋商基准价，其价格分为满分</w:t>
      </w:r>
      <w:r>
        <w:rPr>
          <w:rFonts w:hint="eastAsia" w:ascii="宋体" w:hAnsi="宋体" w:cs="Courier New"/>
          <w:szCs w:val="21"/>
          <w:highlight w:val="none"/>
          <w:lang w:val="en-US" w:eastAsia="zh-CN"/>
        </w:rPr>
        <w:t>20</w:t>
      </w:r>
      <w:r>
        <w:rPr>
          <w:rFonts w:hint="eastAsia" w:ascii="宋体" w:hAnsi="宋体" w:cs="Courier New"/>
          <w:szCs w:val="21"/>
          <w:highlight w:val="none"/>
        </w:rPr>
        <w:t>分</w:t>
      </w:r>
      <w:r>
        <w:rPr>
          <w:rFonts w:ascii="宋体" w:hAnsi="宋体" w:cs="Courier New"/>
          <w:szCs w:val="21"/>
          <w:highlight w:val="none"/>
        </w:rPr>
        <w:t>。其他供应商的价格分统一按照下列公式计算：</w:t>
      </w:r>
    </w:p>
    <w:p>
      <w:pPr>
        <w:spacing w:line="360" w:lineRule="auto"/>
        <w:ind w:firstLine="420" w:firstLineChars="200"/>
        <w:jc w:val="left"/>
        <w:rPr>
          <w:rFonts w:ascii="宋体" w:hAnsi="宋体" w:cs="Courier New"/>
          <w:szCs w:val="21"/>
          <w:highlight w:val="none"/>
        </w:rPr>
      </w:pPr>
      <w:r>
        <w:rPr>
          <w:rFonts w:ascii="宋体" w:hAnsi="宋体" w:cs="Courier New"/>
          <w:szCs w:val="21"/>
          <w:highlight w:val="none"/>
        </w:rPr>
        <w:t>磋商报价得分=（磋商基准价/最后磋商报价）×</w:t>
      </w:r>
      <w:r>
        <w:rPr>
          <w:rFonts w:hint="eastAsia" w:ascii="宋体" w:hAnsi="宋体" w:cs="Courier New"/>
          <w:szCs w:val="21"/>
          <w:highlight w:val="none"/>
          <w:lang w:val="en-US" w:eastAsia="zh-CN"/>
        </w:rPr>
        <w:t>20</w:t>
      </w:r>
      <w:r>
        <w:rPr>
          <w:rFonts w:hint="eastAsia" w:ascii="宋体" w:hAnsi="宋体" w:cs="Courier New"/>
          <w:szCs w:val="21"/>
          <w:highlight w:val="none"/>
        </w:rPr>
        <w:t>分</w:t>
      </w:r>
    </w:p>
    <w:p>
      <w:pPr>
        <w:spacing w:line="360" w:lineRule="auto"/>
        <w:ind w:firstLine="422" w:firstLineChars="200"/>
        <w:jc w:val="left"/>
        <w:rPr>
          <w:rFonts w:ascii="宋体" w:hAnsi="宋体" w:cs="宋体"/>
          <w:b/>
          <w:szCs w:val="21"/>
          <w:highlight w:val="none"/>
        </w:rPr>
      </w:pPr>
      <w:r>
        <w:rPr>
          <w:rFonts w:hint="eastAsia" w:ascii="宋体" w:hAnsi="宋体" w:cs="宋体"/>
          <w:b/>
          <w:szCs w:val="21"/>
          <w:highlight w:val="none"/>
        </w:rPr>
        <w:t>（二）技术分……………………………………………………………………（</w:t>
      </w:r>
      <w:r>
        <w:rPr>
          <w:rFonts w:hint="eastAsia" w:ascii="宋体" w:hAnsi="宋体" w:cs="宋体"/>
          <w:b/>
          <w:szCs w:val="21"/>
          <w:highlight w:val="none"/>
          <w:lang w:val="en-US" w:eastAsia="zh-CN"/>
        </w:rPr>
        <w:t>71</w:t>
      </w:r>
      <w:r>
        <w:rPr>
          <w:rFonts w:hint="eastAsia" w:ascii="宋体" w:hAnsi="宋体" w:cs="宋体"/>
          <w:b/>
          <w:szCs w:val="21"/>
          <w:highlight w:val="none"/>
        </w:rPr>
        <w:t>分）</w:t>
      </w:r>
    </w:p>
    <w:p>
      <w:pPr>
        <w:spacing w:line="360" w:lineRule="auto"/>
        <w:ind w:firstLine="420"/>
        <w:rPr>
          <w:rFonts w:ascii="宋体" w:hAnsi="宋体"/>
          <w:b/>
          <w:highlight w:val="none"/>
        </w:rPr>
      </w:pPr>
      <w:r>
        <w:rPr>
          <w:rFonts w:hint="eastAsia" w:ascii="宋体" w:hAnsi="宋体"/>
          <w:b/>
          <w:highlight w:val="none"/>
        </w:rPr>
        <w:t>1.</w:t>
      </w:r>
      <w:bookmarkStart w:id="149" w:name="OLE_LINK19"/>
      <w:r>
        <w:rPr>
          <w:rFonts w:hint="eastAsia" w:ascii="宋体" w:hAnsi="宋体"/>
          <w:b/>
          <w:highlight w:val="none"/>
        </w:rPr>
        <w:t>管理规章制度及档案建立分（1</w:t>
      </w:r>
      <w:r>
        <w:rPr>
          <w:rFonts w:hint="eastAsia" w:ascii="宋体" w:hAnsi="宋体"/>
          <w:b/>
          <w:highlight w:val="none"/>
          <w:lang w:val="en-US" w:eastAsia="zh-CN"/>
        </w:rPr>
        <w:t>2</w:t>
      </w:r>
      <w:r>
        <w:rPr>
          <w:rFonts w:hint="eastAsia" w:ascii="宋体" w:hAnsi="宋体"/>
          <w:b/>
          <w:highlight w:val="none"/>
        </w:rPr>
        <w:t>分）</w:t>
      </w:r>
      <w:bookmarkEnd w:id="149"/>
    </w:p>
    <w:p>
      <w:pPr>
        <w:spacing w:line="360" w:lineRule="auto"/>
        <w:ind w:firstLine="420"/>
        <w:rPr>
          <w:rFonts w:ascii="宋体" w:hAnsi="宋体"/>
          <w:b/>
          <w:highlight w:val="none"/>
        </w:rPr>
      </w:pPr>
      <w:r>
        <w:rPr>
          <w:rFonts w:hint="eastAsia" w:ascii="宋体" w:hAnsi="宋体"/>
          <w:b/>
          <w:highlight w:val="none"/>
          <w:lang w:val="en-US" w:eastAsia="zh-CN"/>
        </w:rPr>
        <w:t>1.1</w:t>
      </w:r>
      <w:bookmarkStart w:id="150" w:name="OLE_LINK20"/>
      <w:r>
        <w:rPr>
          <w:rFonts w:hint="eastAsia" w:ascii="宋体" w:hAnsi="宋体"/>
          <w:b/>
          <w:highlight w:val="none"/>
        </w:rPr>
        <w:t>管理规章制度（</w:t>
      </w:r>
      <w:r>
        <w:rPr>
          <w:rFonts w:hint="eastAsia" w:ascii="宋体" w:hAnsi="宋体"/>
          <w:b/>
          <w:highlight w:val="none"/>
          <w:lang w:val="en-US" w:eastAsia="zh-CN"/>
        </w:rPr>
        <w:t>7</w:t>
      </w:r>
      <w:r>
        <w:rPr>
          <w:rFonts w:hint="eastAsia" w:ascii="宋体" w:hAnsi="宋体"/>
          <w:b/>
          <w:highlight w:val="none"/>
        </w:rPr>
        <w:t>分）</w:t>
      </w:r>
      <w:bookmarkEnd w:id="150"/>
    </w:p>
    <w:p>
      <w:pPr>
        <w:spacing w:line="400" w:lineRule="exact"/>
        <w:ind w:firstLine="420" w:firstLineChars="200"/>
        <w:rPr>
          <w:rFonts w:hint="eastAsia" w:ascii="宋体" w:hAnsi="宋体"/>
          <w:highlight w:val="none"/>
        </w:rPr>
      </w:pPr>
      <w:r>
        <w:rPr>
          <w:rFonts w:hint="eastAsia" w:ascii="宋体" w:hAnsi="宋体"/>
          <w:highlight w:val="none"/>
          <w:lang w:val="en-US" w:eastAsia="zh-CN"/>
        </w:rPr>
        <w:t>1.1.1</w:t>
      </w:r>
      <w:r>
        <w:rPr>
          <w:rFonts w:hint="eastAsia" w:ascii="宋体" w:hAnsi="宋体"/>
          <w:highlight w:val="none"/>
        </w:rPr>
        <w:t>有相关的规章管理制度，得</w:t>
      </w:r>
      <w:r>
        <w:rPr>
          <w:rFonts w:hint="eastAsia" w:ascii="宋体" w:hAnsi="宋体"/>
          <w:highlight w:val="none"/>
          <w:lang w:val="en-US" w:eastAsia="zh-CN"/>
        </w:rPr>
        <w:t>1</w:t>
      </w:r>
      <w:r>
        <w:rPr>
          <w:rFonts w:hint="eastAsia" w:ascii="宋体" w:hAnsi="宋体"/>
          <w:highlight w:val="none"/>
        </w:rPr>
        <w:t>分。</w:t>
      </w:r>
    </w:p>
    <w:p>
      <w:pPr>
        <w:spacing w:line="400" w:lineRule="exact"/>
        <w:ind w:firstLine="420" w:firstLineChars="200"/>
        <w:rPr>
          <w:rFonts w:hint="default" w:eastAsia="宋体"/>
          <w:highlight w:val="none"/>
          <w:lang w:val="en-US" w:eastAsia="zh-CN"/>
        </w:rPr>
      </w:pPr>
      <w:r>
        <w:rPr>
          <w:rFonts w:hint="eastAsia" w:ascii="宋体" w:hAnsi="宋体"/>
          <w:highlight w:val="none"/>
          <w:lang w:val="en-US" w:eastAsia="zh-CN"/>
        </w:rPr>
        <w:t>1.1.2</w:t>
      </w:r>
      <w:r>
        <w:rPr>
          <w:rFonts w:hint="eastAsia" w:ascii="宋体" w:hAnsi="宋体"/>
          <w:highlight w:val="none"/>
        </w:rPr>
        <w:t>规章管理制度包含①内部岗位责任制、②管理运作制度及标准、③管理人员考核公众制度、④投诉与回访管理制度、⑤保密管理制度、⑥管理人员考核等内容满足项目服务需求，</w:t>
      </w:r>
      <w:r>
        <w:rPr>
          <w:rFonts w:hint="eastAsia" w:ascii="宋体" w:hAnsi="宋体"/>
          <w:highlight w:val="none"/>
          <w:lang w:val="en-US" w:eastAsia="zh-CN"/>
        </w:rPr>
        <w:t>每有一项</w:t>
      </w:r>
      <w:r>
        <w:rPr>
          <w:rFonts w:hint="eastAsia" w:ascii="宋体" w:hAnsi="宋体"/>
          <w:highlight w:val="none"/>
        </w:rPr>
        <w:t>得</w:t>
      </w:r>
      <w:r>
        <w:rPr>
          <w:rFonts w:hint="eastAsia" w:ascii="宋体" w:hAnsi="宋体"/>
          <w:highlight w:val="none"/>
          <w:lang w:val="en-US" w:eastAsia="zh-CN"/>
        </w:rPr>
        <w:t>1</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满分6分</w:t>
      </w:r>
      <w:r>
        <w:rPr>
          <w:rFonts w:hint="eastAsia" w:ascii="宋体" w:hAnsi="宋体"/>
          <w:highlight w:val="none"/>
        </w:rPr>
        <w:t>。</w:t>
      </w:r>
    </w:p>
    <w:p>
      <w:pPr>
        <w:spacing w:line="360" w:lineRule="auto"/>
        <w:ind w:firstLine="420"/>
        <w:rPr>
          <w:rFonts w:ascii="宋体" w:hAnsi="宋体"/>
          <w:b/>
          <w:highlight w:val="none"/>
        </w:rPr>
      </w:pPr>
      <w:r>
        <w:rPr>
          <w:rFonts w:hint="eastAsia" w:ascii="宋体" w:hAnsi="宋体"/>
          <w:b/>
          <w:highlight w:val="none"/>
          <w:lang w:val="en-US" w:eastAsia="zh-CN"/>
        </w:rPr>
        <w:t>1.2</w:t>
      </w:r>
      <w:r>
        <w:rPr>
          <w:rFonts w:hint="eastAsia" w:ascii="宋体" w:hAnsi="宋体"/>
          <w:b/>
          <w:highlight w:val="none"/>
        </w:rPr>
        <w:t>档案建立与管理（</w:t>
      </w:r>
      <w:r>
        <w:rPr>
          <w:rFonts w:hint="eastAsia" w:ascii="宋体" w:hAnsi="宋体"/>
          <w:b/>
          <w:highlight w:val="none"/>
          <w:lang w:val="en-US" w:eastAsia="zh-CN"/>
        </w:rPr>
        <w:t>5</w:t>
      </w:r>
      <w:r>
        <w:rPr>
          <w:rFonts w:hint="eastAsia" w:ascii="宋体" w:hAnsi="宋体"/>
          <w:b/>
          <w:highlight w:val="none"/>
        </w:rPr>
        <w:t>分）</w:t>
      </w:r>
    </w:p>
    <w:p>
      <w:pPr>
        <w:spacing w:line="360" w:lineRule="auto"/>
        <w:ind w:firstLine="420" w:firstLineChars="200"/>
        <w:rPr>
          <w:rFonts w:ascii="宋体" w:hAnsi="宋体" w:cs="宋体"/>
          <w:highlight w:val="none"/>
        </w:rPr>
      </w:pPr>
      <w:r>
        <w:rPr>
          <w:rFonts w:hint="eastAsia" w:ascii="宋体" w:hAnsi="宋体"/>
          <w:highlight w:val="none"/>
          <w:lang w:val="en-US" w:eastAsia="zh-CN"/>
        </w:rPr>
        <w:t>1.2.1</w:t>
      </w:r>
      <w:r>
        <w:rPr>
          <w:rFonts w:hint="eastAsia" w:ascii="宋体" w:hAnsi="宋体" w:cs="宋体"/>
          <w:highlight w:val="none"/>
        </w:rPr>
        <w:t>建立有相关的档案管理制度，得1分。</w:t>
      </w:r>
    </w:p>
    <w:p>
      <w:pPr>
        <w:spacing w:line="360" w:lineRule="auto"/>
        <w:ind w:firstLine="420" w:firstLineChars="200"/>
        <w:rPr>
          <w:rFonts w:hint="eastAsia"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1.2.2</w:t>
      </w:r>
      <w:r>
        <w:rPr>
          <w:rFonts w:hint="eastAsia" w:ascii="宋体" w:hAnsi="宋体"/>
          <w:highlight w:val="none"/>
        </w:rPr>
        <w:t>档案的建立、归档，要求①分类规范,档案管理制度完善,档案的建立能密切配合管理工作</w:t>
      </w:r>
      <w:r>
        <w:rPr>
          <w:rFonts w:hint="eastAsia" w:ascii="宋体" w:hAnsi="宋体" w:cs="宋体"/>
          <w:highlight w:val="none"/>
        </w:rPr>
        <w:t>，满足项目服务需求。②</w:t>
      </w:r>
      <w:r>
        <w:rPr>
          <w:rFonts w:hint="eastAsia" w:ascii="宋体" w:hAnsi="宋体"/>
          <w:highlight w:val="none"/>
        </w:rPr>
        <w:t>有投诉与回访记录、安保工作记录、其他管理服务活动记录等的案例，</w:t>
      </w:r>
      <w:r>
        <w:rPr>
          <w:rFonts w:hint="eastAsia" w:ascii="宋体" w:hAnsi="宋体"/>
          <w:highlight w:val="none"/>
          <w:lang w:val="en-US" w:eastAsia="zh-CN"/>
        </w:rPr>
        <w:t>每有一项</w:t>
      </w:r>
      <w:r>
        <w:rPr>
          <w:rFonts w:hint="eastAsia" w:ascii="宋体" w:hAnsi="宋体" w:cs="宋体"/>
          <w:highlight w:val="none"/>
        </w:rPr>
        <w:t>得</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eastAsia="宋体" w:cs="Times New Roman"/>
          <w:kern w:val="2"/>
          <w:sz w:val="21"/>
          <w:szCs w:val="24"/>
          <w:highlight w:val="none"/>
          <w:lang w:val="en-US" w:eastAsia="zh-CN" w:bidi="ar-SA"/>
        </w:rPr>
        <w:t>满分4分</w:t>
      </w:r>
      <w:r>
        <w:rPr>
          <w:rFonts w:hint="eastAsia" w:ascii="宋体" w:hAnsi="宋体" w:cs="Times New Roman"/>
          <w:kern w:val="2"/>
          <w:sz w:val="21"/>
          <w:szCs w:val="24"/>
          <w:highlight w:val="none"/>
          <w:lang w:val="en-US" w:eastAsia="zh-CN" w:bidi="ar-SA"/>
        </w:rPr>
        <w:t>。</w:t>
      </w:r>
    </w:p>
    <w:p>
      <w:pPr>
        <w:spacing w:line="360" w:lineRule="auto"/>
        <w:ind w:firstLine="422" w:firstLineChars="200"/>
        <w:rPr>
          <w:rFonts w:ascii="宋体" w:hAnsi="宋体"/>
          <w:b/>
          <w:highlight w:val="none"/>
        </w:rPr>
      </w:pPr>
      <w:r>
        <w:rPr>
          <w:rFonts w:hint="eastAsia" w:ascii="宋体" w:hAnsi="宋体"/>
          <w:b/>
          <w:highlight w:val="none"/>
        </w:rPr>
        <w:t>2.</w:t>
      </w:r>
      <w:bookmarkStart w:id="151" w:name="OLE_LINK21"/>
      <w:r>
        <w:rPr>
          <w:rFonts w:hint="eastAsia" w:ascii="宋体" w:hAnsi="宋体"/>
          <w:b/>
          <w:highlight w:val="none"/>
        </w:rPr>
        <w:t>日常管理服务方案（</w:t>
      </w:r>
      <w:r>
        <w:rPr>
          <w:rFonts w:hint="eastAsia" w:ascii="宋体" w:hAnsi="宋体"/>
          <w:b/>
          <w:highlight w:val="none"/>
          <w:lang w:val="en-US" w:eastAsia="zh-CN"/>
        </w:rPr>
        <w:t>22</w:t>
      </w:r>
      <w:r>
        <w:rPr>
          <w:rFonts w:hint="eastAsia" w:ascii="宋体" w:hAnsi="宋体"/>
          <w:b/>
          <w:highlight w:val="none"/>
        </w:rPr>
        <w:t>分）</w:t>
      </w:r>
      <w:bookmarkEnd w:id="151"/>
    </w:p>
    <w:p>
      <w:pPr>
        <w:spacing w:line="360" w:lineRule="auto"/>
        <w:ind w:firstLine="420" w:firstLineChars="200"/>
        <w:rPr>
          <w:rFonts w:hint="eastAsia" w:ascii="宋体" w:hAnsi="宋体" w:eastAsia="宋体"/>
          <w:highlight w:val="none"/>
          <w:lang w:eastAsia="zh-CN"/>
        </w:rPr>
      </w:pPr>
      <w:r>
        <w:rPr>
          <w:rFonts w:hint="eastAsia" w:ascii="宋体" w:hAnsi="宋体"/>
          <w:highlight w:val="none"/>
          <w:lang w:val="en-US" w:eastAsia="zh-CN"/>
        </w:rPr>
        <w:t>2.1</w:t>
      </w:r>
      <w:bookmarkStart w:id="152" w:name="OLE_LINK22"/>
      <w:r>
        <w:rPr>
          <w:rFonts w:hint="eastAsia" w:ascii="宋体" w:hAnsi="宋体"/>
          <w:highlight w:val="none"/>
        </w:rPr>
        <w:t>安全保卫服务方案</w:t>
      </w:r>
      <w:r>
        <w:rPr>
          <w:rFonts w:hint="eastAsia" w:ascii="宋体" w:hAnsi="宋体"/>
          <w:highlight w:val="none"/>
          <w:lang w:eastAsia="zh-CN"/>
        </w:rPr>
        <w:t>（</w:t>
      </w:r>
      <w:r>
        <w:rPr>
          <w:rFonts w:hint="eastAsia" w:ascii="宋体" w:hAnsi="宋体"/>
          <w:highlight w:val="none"/>
          <w:lang w:val="en-US" w:eastAsia="zh-CN"/>
        </w:rPr>
        <w:t>5分</w:t>
      </w:r>
      <w:r>
        <w:rPr>
          <w:rFonts w:hint="eastAsia" w:ascii="宋体" w:hAnsi="宋体"/>
          <w:highlight w:val="none"/>
          <w:lang w:eastAsia="zh-CN"/>
        </w:rPr>
        <w:t>）</w:t>
      </w:r>
      <w:bookmarkEnd w:id="152"/>
    </w:p>
    <w:p>
      <w:pPr>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2.1.1有</w:t>
      </w:r>
      <w:r>
        <w:rPr>
          <w:rFonts w:hint="eastAsia" w:ascii="宋体" w:hAnsi="宋体"/>
          <w:highlight w:val="none"/>
        </w:rPr>
        <w:t>安全保卫服务方案内容满足项目服务需求</w:t>
      </w:r>
      <w:r>
        <w:rPr>
          <w:rFonts w:hint="eastAsia" w:ascii="宋体" w:hAnsi="宋体"/>
          <w:highlight w:val="none"/>
          <w:lang w:eastAsia="zh-CN"/>
        </w:rPr>
        <w:t>的</w:t>
      </w:r>
      <w:r>
        <w:rPr>
          <w:rFonts w:hint="eastAsia" w:ascii="宋体" w:hAnsi="宋体"/>
          <w:highlight w:val="none"/>
          <w:lang w:val="en-US" w:eastAsia="zh-CN"/>
        </w:rPr>
        <w:t>得1分；</w:t>
      </w:r>
    </w:p>
    <w:p>
      <w:pPr>
        <w:spacing w:line="360" w:lineRule="auto"/>
        <w:ind w:firstLine="420" w:firstLineChars="200"/>
        <w:rPr>
          <w:rFonts w:hint="default" w:ascii="宋体" w:hAnsi="宋体" w:eastAsia="宋体"/>
          <w:highlight w:val="none"/>
          <w:lang w:val="en-US" w:eastAsia="zh-CN"/>
        </w:rPr>
      </w:pPr>
      <w:r>
        <w:rPr>
          <w:rFonts w:hint="eastAsia" w:ascii="宋体" w:hAnsi="宋体"/>
          <w:highlight w:val="none"/>
          <w:lang w:val="en-US" w:eastAsia="zh-CN"/>
        </w:rPr>
        <w:t>2.1.2安全保卫服务方案包含</w:t>
      </w:r>
      <w:bookmarkStart w:id="153" w:name="OLE_LINK7"/>
      <w:r>
        <w:rPr>
          <w:rFonts w:hint="eastAsia" w:ascii="宋体" w:hAnsi="宋体"/>
          <w:highlight w:val="none"/>
          <w:lang w:val="en-US" w:eastAsia="zh-CN"/>
        </w:rPr>
        <w:t>①</w:t>
      </w:r>
      <w:bookmarkEnd w:id="153"/>
      <w:r>
        <w:rPr>
          <w:rFonts w:hint="eastAsia" w:ascii="宋体" w:hAnsi="宋体"/>
          <w:highlight w:val="none"/>
          <w:lang w:val="en-US" w:eastAsia="zh-CN"/>
        </w:rPr>
        <w:t>服务区域内安全保卫、②治安处置、③突发事件、</w:t>
      </w:r>
      <w:r>
        <w:rPr>
          <w:rFonts w:hint="eastAsia" w:ascii="宋体" w:hAnsi="宋体"/>
          <w:highlight w:val="none"/>
        </w:rPr>
        <w:t>④</w:t>
      </w:r>
      <w:r>
        <w:rPr>
          <w:rFonts w:hint="eastAsia" w:ascii="宋体" w:hAnsi="宋体"/>
          <w:highlight w:val="none"/>
          <w:lang w:val="en-US" w:eastAsia="zh-CN"/>
        </w:rPr>
        <w:t>消防安全等，</w:t>
      </w:r>
      <w:bookmarkStart w:id="154" w:name="OLE_LINK8"/>
      <w:r>
        <w:rPr>
          <w:rFonts w:hint="eastAsia" w:ascii="宋体" w:hAnsi="宋体"/>
          <w:highlight w:val="none"/>
          <w:lang w:val="en-US" w:eastAsia="zh-CN"/>
        </w:rPr>
        <w:t>每有一项得1分。该项满分4分；</w:t>
      </w:r>
      <w:bookmarkEnd w:id="154"/>
    </w:p>
    <w:p>
      <w:pPr>
        <w:spacing w:line="360" w:lineRule="auto"/>
        <w:ind w:firstLine="420" w:firstLineChars="200"/>
        <w:rPr>
          <w:rFonts w:hint="eastAsia" w:ascii="宋体" w:hAnsi="宋体" w:eastAsia="宋体"/>
          <w:highlight w:val="none"/>
          <w:lang w:val="en-US" w:eastAsia="zh-CN"/>
        </w:rPr>
      </w:pPr>
      <w:r>
        <w:rPr>
          <w:rFonts w:hint="eastAsia" w:ascii="宋体" w:hAnsi="宋体"/>
          <w:highlight w:val="none"/>
          <w:lang w:val="en-US" w:eastAsia="zh-CN"/>
        </w:rPr>
        <w:t>2.2</w:t>
      </w:r>
      <w:bookmarkStart w:id="155" w:name="OLE_LINK23"/>
      <w:r>
        <w:rPr>
          <w:rFonts w:hint="eastAsia" w:ascii="宋体" w:hAnsi="宋体"/>
          <w:highlight w:val="none"/>
        </w:rPr>
        <w:t>卫生保洁服务方案</w:t>
      </w:r>
      <w:r>
        <w:rPr>
          <w:rFonts w:hint="eastAsia" w:ascii="宋体" w:hAnsi="宋体"/>
          <w:highlight w:val="none"/>
          <w:lang w:eastAsia="zh-CN"/>
        </w:rPr>
        <w:t>（</w:t>
      </w:r>
      <w:r>
        <w:rPr>
          <w:rFonts w:hint="eastAsia" w:ascii="宋体" w:hAnsi="宋体"/>
          <w:highlight w:val="none"/>
          <w:lang w:val="en-US" w:eastAsia="zh-CN"/>
        </w:rPr>
        <w:t>3分</w:t>
      </w:r>
      <w:r>
        <w:rPr>
          <w:rFonts w:hint="eastAsia" w:ascii="宋体" w:hAnsi="宋体"/>
          <w:highlight w:val="none"/>
          <w:lang w:eastAsia="zh-CN"/>
        </w:rPr>
        <w:t>）</w:t>
      </w:r>
      <w:bookmarkEnd w:id="155"/>
    </w:p>
    <w:p>
      <w:pPr>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2.2.1有</w:t>
      </w:r>
      <w:r>
        <w:rPr>
          <w:rFonts w:hint="eastAsia" w:ascii="宋体" w:hAnsi="宋体"/>
          <w:highlight w:val="none"/>
        </w:rPr>
        <w:t>卫生保洁服务方案内容满足项目服务需求</w:t>
      </w:r>
      <w:r>
        <w:rPr>
          <w:rFonts w:hint="eastAsia" w:ascii="宋体" w:hAnsi="宋体"/>
          <w:highlight w:val="none"/>
          <w:lang w:eastAsia="zh-CN"/>
        </w:rPr>
        <w:t>的</w:t>
      </w:r>
      <w:r>
        <w:rPr>
          <w:rFonts w:hint="eastAsia" w:ascii="宋体" w:hAnsi="宋体"/>
          <w:highlight w:val="none"/>
          <w:lang w:val="en-US" w:eastAsia="zh-CN"/>
        </w:rPr>
        <w:t>得1分；</w:t>
      </w:r>
    </w:p>
    <w:p>
      <w:pPr>
        <w:spacing w:line="360" w:lineRule="auto"/>
        <w:ind w:firstLine="420" w:firstLineChars="200"/>
        <w:rPr>
          <w:rFonts w:hint="default" w:ascii="宋体" w:hAnsi="宋体" w:eastAsia="宋体"/>
          <w:highlight w:val="none"/>
          <w:lang w:val="en-US" w:eastAsia="zh-CN"/>
        </w:rPr>
      </w:pPr>
      <w:r>
        <w:rPr>
          <w:rFonts w:hint="eastAsia" w:ascii="宋体" w:hAnsi="宋体"/>
          <w:highlight w:val="none"/>
          <w:lang w:val="en-US" w:eastAsia="zh-CN"/>
        </w:rPr>
        <w:t>2.2.2卫生保洁服务方案包含①项目室外公共区域保洁、②室内公共区域清洁等方案，每有一项得1分。该项满分2分；</w:t>
      </w:r>
    </w:p>
    <w:p>
      <w:pPr>
        <w:spacing w:line="360" w:lineRule="auto"/>
        <w:ind w:firstLine="420" w:firstLineChars="200"/>
        <w:rPr>
          <w:rFonts w:ascii="宋体" w:hAnsi="宋体"/>
          <w:highlight w:val="none"/>
        </w:rPr>
      </w:pPr>
      <w:r>
        <w:rPr>
          <w:rFonts w:hint="eastAsia" w:ascii="宋体" w:hAnsi="宋体"/>
          <w:highlight w:val="none"/>
          <w:lang w:val="en-US" w:eastAsia="zh-CN"/>
        </w:rPr>
        <w:t>2.3</w:t>
      </w:r>
      <w:bookmarkStart w:id="156" w:name="OLE_LINK24"/>
      <w:r>
        <w:rPr>
          <w:rFonts w:hint="eastAsia" w:ascii="宋体" w:hAnsi="宋体"/>
          <w:highlight w:val="none"/>
          <w:lang w:val="en-US" w:eastAsia="zh-CN"/>
        </w:rPr>
        <w:t>有①</w:t>
      </w:r>
      <w:r>
        <w:rPr>
          <w:rFonts w:hint="eastAsia" w:ascii="宋体" w:hAnsi="宋体"/>
          <w:highlight w:val="none"/>
        </w:rPr>
        <w:t>绿化养护服务方案、②食堂后勤服务方案等内容满足项目服务需求，每有一项得1分。该项满分</w:t>
      </w:r>
      <w:r>
        <w:rPr>
          <w:rFonts w:hint="eastAsia" w:ascii="宋体" w:hAnsi="宋体"/>
          <w:highlight w:val="none"/>
          <w:lang w:val="en-US" w:eastAsia="zh-CN"/>
        </w:rPr>
        <w:t>2</w:t>
      </w:r>
      <w:r>
        <w:rPr>
          <w:rFonts w:hint="eastAsia" w:ascii="宋体" w:hAnsi="宋体"/>
          <w:highlight w:val="none"/>
        </w:rPr>
        <w:t>分；</w:t>
      </w:r>
    </w:p>
    <w:bookmarkEnd w:id="156"/>
    <w:p>
      <w:pPr>
        <w:spacing w:line="360" w:lineRule="auto"/>
        <w:ind w:firstLine="420" w:firstLineChars="200"/>
        <w:rPr>
          <w:rFonts w:hint="eastAsia" w:ascii="宋体" w:hAnsi="宋体" w:eastAsia="宋体"/>
          <w:highlight w:val="none"/>
          <w:lang w:val="en-US" w:eastAsia="zh-CN"/>
        </w:rPr>
      </w:pPr>
      <w:r>
        <w:rPr>
          <w:rFonts w:hint="eastAsia" w:ascii="宋体" w:hAnsi="宋体"/>
          <w:highlight w:val="none"/>
          <w:lang w:val="en-US" w:eastAsia="zh-CN"/>
        </w:rPr>
        <w:t>2.4</w:t>
      </w:r>
      <w:bookmarkStart w:id="157" w:name="OLE_LINK25"/>
      <w:r>
        <w:rPr>
          <w:rFonts w:hint="eastAsia" w:ascii="宋体" w:hAnsi="宋体"/>
          <w:highlight w:val="none"/>
        </w:rPr>
        <w:t>管理方式</w:t>
      </w:r>
      <w:r>
        <w:rPr>
          <w:rFonts w:hint="eastAsia" w:ascii="宋体" w:hAnsi="宋体"/>
          <w:highlight w:val="none"/>
          <w:lang w:eastAsia="zh-CN"/>
        </w:rPr>
        <w:t>（</w:t>
      </w:r>
      <w:r>
        <w:rPr>
          <w:rFonts w:hint="eastAsia" w:ascii="宋体" w:hAnsi="宋体"/>
          <w:highlight w:val="none"/>
          <w:lang w:val="en-US" w:eastAsia="zh-CN"/>
        </w:rPr>
        <w:t>7分</w:t>
      </w:r>
      <w:r>
        <w:rPr>
          <w:rFonts w:hint="eastAsia" w:ascii="宋体" w:hAnsi="宋体"/>
          <w:highlight w:val="none"/>
          <w:lang w:eastAsia="zh-CN"/>
        </w:rPr>
        <w:t>）</w:t>
      </w:r>
      <w:bookmarkEnd w:id="157"/>
    </w:p>
    <w:p>
      <w:pPr>
        <w:spacing w:line="360" w:lineRule="auto"/>
        <w:ind w:firstLine="420" w:firstLineChars="200"/>
        <w:rPr>
          <w:rFonts w:hint="eastAsia" w:ascii="宋体" w:hAnsi="宋体"/>
          <w:highlight w:val="none"/>
          <w:lang w:val="en-US" w:eastAsia="zh-CN"/>
        </w:rPr>
      </w:pPr>
      <w:r>
        <w:rPr>
          <w:rFonts w:hint="eastAsia" w:ascii="宋体" w:hAnsi="宋体"/>
          <w:highlight w:val="none"/>
          <w:lang w:val="en-US" w:eastAsia="zh-CN"/>
        </w:rPr>
        <w:t>2.4.1有</w:t>
      </w:r>
      <w:r>
        <w:rPr>
          <w:rFonts w:hint="eastAsia" w:ascii="宋体" w:hAnsi="宋体"/>
          <w:highlight w:val="none"/>
        </w:rPr>
        <w:t>拟采取的管理方式</w:t>
      </w:r>
      <w:r>
        <w:rPr>
          <w:rFonts w:hint="eastAsia" w:ascii="宋体" w:hAnsi="宋体"/>
          <w:highlight w:val="none"/>
          <w:lang w:val="en-US" w:eastAsia="zh-CN"/>
        </w:rPr>
        <w:t>且满足项目服务需求，得1分；</w:t>
      </w:r>
    </w:p>
    <w:p>
      <w:pPr>
        <w:spacing w:line="360" w:lineRule="auto"/>
        <w:ind w:firstLine="420" w:firstLineChars="200"/>
        <w:rPr>
          <w:rFonts w:hint="eastAsia" w:ascii="宋体" w:hAnsi="宋体" w:eastAsia="宋体"/>
          <w:highlight w:val="none"/>
          <w:lang w:eastAsia="zh-CN"/>
        </w:rPr>
      </w:pPr>
      <w:r>
        <w:rPr>
          <w:rFonts w:hint="eastAsia" w:ascii="宋体" w:hAnsi="宋体"/>
          <w:highlight w:val="none"/>
          <w:lang w:val="en-US" w:eastAsia="zh-CN"/>
        </w:rPr>
        <w:t>2.4.2</w:t>
      </w:r>
      <w:bookmarkStart w:id="158" w:name="OLE_LINK26"/>
      <w:r>
        <w:rPr>
          <w:rFonts w:hint="eastAsia" w:ascii="宋体" w:hAnsi="宋体"/>
          <w:highlight w:val="none"/>
        </w:rPr>
        <w:t>拟采取的管理方式包括：①内部管理构架、②管理运作机制、③激励机制、④监督机制、⑤自我约束机制、⑥信息反馈处理机制</w:t>
      </w:r>
      <w:r>
        <w:rPr>
          <w:rFonts w:hint="eastAsia" w:ascii="宋体" w:hAnsi="宋体"/>
          <w:highlight w:val="none"/>
          <w:lang w:eastAsia="zh-CN"/>
        </w:rPr>
        <w:t>；每有一项得</w:t>
      </w:r>
      <w:r>
        <w:rPr>
          <w:rFonts w:hint="eastAsia" w:ascii="宋体" w:hAnsi="宋体"/>
          <w:highlight w:val="none"/>
          <w:lang w:val="en-US" w:eastAsia="zh-CN"/>
        </w:rPr>
        <w:t>1</w:t>
      </w:r>
      <w:r>
        <w:rPr>
          <w:rFonts w:hint="eastAsia" w:ascii="宋体" w:hAnsi="宋体"/>
          <w:highlight w:val="none"/>
          <w:lang w:eastAsia="zh-CN"/>
        </w:rPr>
        <w:t>分。该项满分</w:t>
      </w:r>
      <w:r>
        <w:rPr>
          <w:rFonts w:hint="eastAsia" w:ascii="宋体" w:hAnsi="宋体"/>
          <w:highlight w:val="none"/>
          <w:lang w:val="en-US" w:eastAsia="zh-CN"/>
        </w:rPr>
        <w:t>6</w:t>
      </w:r>
      <w:r>
        <w:rPr>
          <w:rFonts w:hint="eastAsia" w:ascii="宋体" w:hAnsi="宋体"/>
          <w:highlight w:val="none"/>
          <w:lang w:eastAsia="zh-CN"/>
        </w:rPr>
        <w:t>分；</w:t>
      </w:r>
      <w:bookmarkEnd w:id="158"/>
    </w:p>
    <w:p>
      <w:pPr>
        <w:spacing w:line="360" w:lineRule="auto"/>
        <w:ind w:firstLine="420" w:firstLineChars="200"/>
        <w:rPr>
          <w:rFonts w:hint="eastAsia" w:ascii="宋体" w:hAnsi="宋体" w:eastAsia="宋体"/>
          <w:highlight w:val="none"/>
          <w:lang w:val="en-US" w:eastAsia="zh-CN"/>
        </w:rPr>
      </w:pPr>
      <w:r>
        <w:rPr>
          <w:rFonts w:hint="eastAsia" w:ascii="宋体" w:hAnsi="宋体"/>
          <w:highlight w:val="none"/>
          <w:lang w:val="en-US" w:eastAsia="zh-CN"/>
        </w:rPr>
        <w:t>2.5</w:t>
      </w:r>
      <w:r>
        <w:rPr>
          <w:rFonts w:hint="eastAsia" w:ascii="宋体" w:hAnsi="宋体"/>
          <w:highlight w:val="none"/>
        </w:rPr>
        <w:t>工作计划</w:t>
      </w:r>
      <w:r>
        <w:rPr>
          <w:rFonts w:hint="eastAsia" w:ascii="宋体" w:hAnsi="宋体"/>
          <w:highlight w:val="none"/>
          <w:lang w:eastAsia="zh-CN"/>
        </w:rPr>
        <w:t>（</w:t>
      </w:r>
      <w:r>
        <w:rPr>
          <w:rFonts w:hint="eastAsia" w:ascii="宋体" w:hAnsi="宋体"/>
          <w:highlight w:val="none"/>
          <w:lang w:val="en-US" w:eastAsia="zh-CN"/>
        </w:rPr>
        <w:t>3分</w:t>
      </w:r>
      <w:r>
        <w:rPr>
          <w:rFonts w:hint="eastAsia" w:ascii="宋体" w:hAnsi="宋体"/>
          <w:highlight w:val="none"/>
          <w:lang w:eastAsia="zh-CN"/>
        </w:rPr>
        <w:t>）</w:t>
      </w:r>
    </w:p>
    <w:p>
      <w:pPr>
        <w:spacing w:line="360" w:lineRule="auto"/>
        <w:ind w:firstLine="420" w:firstLineChars="200"/>
        <w:rPr>
          <w:rFonts w:hint="eastAsia" w:ascii="宋体" w:hAnsi="宋体"/>
          <w:highlight w:val="none"/>
          <w:lang w:eastAsia="zh-CN"/>
        </w:rPr>
      </w:pPr>
      <w:r>
        <w:rPr>
          <w:rFonts w:hint="eastAsia" w:ascii="宋体" w:hAnsi="宋体"/>
          <w:highlight w:val="none"/>
          <w:lang w:val="en-US" w:eastAsia="zh-CN"/>
        </w:rPr>
        <w:t>2.5.1有</w:t>
      </w:r>
      <w:r>
        <w:rPr>
          <w:rFonts w:hint="eastAsia" w:ascii="宋体" w:hAnsi="宋体"/>
          <w:highlight w:val="none"/>
        </w:rPr>
        <w:t>工作计划</w:t>
      </w:r>
      <w:r>
        <w:rPr>
          <w:rFonts w:hint="eastAsia" w:ascii="宋体" w:hAnsi="宋体"/>
          <w:highlight w:val="none"/>
          <w:lang w:val="en-US" w:eastAsia="zh-CN"/>
        </w:rPr>
        <w:t>且</w:t>
      </w:r>
      <w:r>
        <w:rPr>
          <w:rFonts w:hint="eastAsia" w:ascii="宋体" w:hAnsi="宋体"/>
          <w:highlight w:val="none"/>
        </w:rPr>
        <w:t>满足项目服务需求，得1分</w:t>
      </w:r>
      <w:r>
        <w:rPr>
          <w:rFonts w:hint="eastAsia" w:ascii="宋体" w:hAnsi="宋体"/>
          <w:highlight w:val="none"/>
          <w:lang w:eastAsia="zh-CN"/>
        </w:rPr>
        <w:t>；</w:t>
      </w:r>
    </w:p>
    <w:p>
      <w:pPr>
        <w:spacing w:line="360" w:lineRule="auto"/>
        <w:ind w:firstLine="420" w:firstLineChars="200"/>
        <w:rPr>
          <w:rFonts w:hint="eastAsia" w:ascii="宋体" w:hAnsi="宋体"/>
          <w:highlight w:val="none"/>
        </w:rPr>
      </w:pPr>
      <w:r>
        <w:rPr>
          <w:rFonts w:hint="eastAsia" w:ascii="宋体" w:hAnsi="宋体"/>
          <w:highlight w:val="none"/>
          <w:lang w:val="en-US" w:eastAsia="zh-CN"/>
        </w:rPr>
        <w:t>2.5.2</w:t>
      </w:r>
      <w:r>
        <w:rPr>
          <w:rFonts w:hint="eastAsia" w:ascii="宋体" w:hAnsi="宋体"/>
          <w:highlight w:val="none"/>
        </w:rPr>
        <w:t>工作计划包括：①工作流程各项管理维护服务项目</w:t>
      </w:r>
      <w:r>
        <w:rPr>
          <w:rFonts w:hint="eastAsia" w:ascii="宋体" w:hAnsi="宋体"/>
          <w:highlight w:val="none"/>
          <w:lang w:eastAsia="zh-CN"/>
        </w:rPr>
        <w:t>、</w:t>
      </w:r>
      <w:r>
        <w:rPr>
          <w:rFonts w:hint="eastAsia" w:ascii="宋体" w:hAnsi="宋体"/>
          <w:highlight w:val="none"/>
        </w:rPr>
        <w:t>②环节所需的长远计划和短期安排）</w:t>
      </w:r>
      <w:r>
        <w:rPr>
          <w:rFonts w:hint="eastAsia" w:ascii="宋体" w:hAnsi="宋体"/>
          <w:highlight w:val="none"/>
          <w:lang w:eastAsia="zh-CN"/>
        </w:rPr>
        <w:t>，</w:t>
      </w:r>
      <w:r>
        <w:rPr>
          <w:rFonts w:hint="eastAsia" w:ascii="宋体" w:hAnsi="宋体"/>
          <w:highlight w:val="none"/>
        </w:rPr>
        <w:t>每有一项得</w:t>
      </w:r>
      <w:r>
        <w:rPr>
          <w:rFonts w:hint="eastAsia" w:ascii="宋体" w:hAnsi="宋体"/>
          <w:highlight w:val="none"/>
          <w:lang w:val="en-US" w:eastAsia="zh-CN"/>
        </w:rPr>
        <w:t>1</w:t>
      </w:r>
      <w:r>
        <w:rPr>
          <w:rFonts w:hint="eastAsia" w:ascii="宋体" w:hAnsi="宋体"/>
          <w:highlight w:val="none"/>
        </w:rPr>
        <w:t>分。</w:t>
      </w:r>
      <w:bookmarkStart w:id="159" w:name="OLE_LINK10"/>
      <w:r>
        <w:rPr>
          <w:rFonts w:hint="eastAsia" w:ascii="宋体" w:hAnsi="宋体"/>
          <w:highlight w:val="none"/>
        </w:rPr>
        <w:t>该项满分</w:t>
      </w:r>
      <w:r>
        <w:rPr>
          <w:rFonts w:hint="eastAsia" w:ascii="宋体" w:hAnsi="宋体"/>
          <w:highlight w:val="none"/>
          <w:lang w:val="en-US" w:eastAsia="zh-CN"/>
        </w:rPr>
        <w:t>2</w:t>
      </w:r>
      <w:r>
        <w:rPr>
          <w:rFonts w:hint="eastAsia" w:ascii="宋体" w:hAnsi="宋体"/>
          <w:highlight w:val="none"/>
        </w:rPr>
        <w:t>分；</w:t>
      </w:r>
      <w:bookmarkEnd w:id="159"/>
    </w:p>
    <w:p>
      <w:pPr>
        <w:spacing w:line="360" w:lineRule="auto"/>
        <w:ind w:firstLine="420" w:firstLineChars="200"/>
        <w:rPr>
          <w:rFonts w:hint="default" w:ascii="宋体" w:hAnsi="宋体" w:eastAsia="宋体"/>
          <w:highlight w:val="none"/>
          <w:lang w:val="en-US" w:eastAsia="zh-CN"/>
        </w:rPr>
      </w:pPr>
      <w:r>
        <w:rPr>
          <w:rFonts w:hint="eastAsia" w:ascii="宋体" w:hAnsi="宋体"/>
          <w:bCs/>
          <w:highlight w:val="none"/>
        </w:rPr>
        <w:t>2.</w:t>
      </w:r>
      <w:r>
        <w:rPr>
          <w:rFonts w:hint="eastAsia" w:ascii="宋体" w:hAnsi="宋体"/>
          <w:bCs/>
          <w:highlight w:val="none"/>
          <w:lang w:val="en-US" w:eastAsia="zh-CN"/>
        </w:rPr>
        <w:t>6保密管理方案（2分）：有</w:t>
      </w:r>
      <w:r>
        <w:rPr>
          <w:rFonts w:hint="eastAsia" w:ascii="宋体" w:hAnsi="宋体"/>
          <w:bCs/>
          <w:highlight w:val="none"/>
        </w:rPr>
        <w:t>保密管理方案且满足项目服务需求，得1分；保密管理方案包含保密、思想政治教育的培训</w:t>
      </w:r>
      <w:r>
        <w:rPr>
          <w:rFonts w:hint="eastAsia" w:ascii="宋体" w:hAnsi="宋体"/>
          <w:bCs/>
          <w:highlight w:val="none"/>
          <w:lang w:val="en-US" w:eastAsia="zh-CN"/>
        </w:rPr>
        <w:t>得1分。</w:t>
      </w:r>
      <w:r>
        <w:rPr>
          <w:rFonts w:hint="eastAsia" w:ascii="宋体" w:hAnsi="宋体"/>
          <w:highlight w:val="none"/>
          <w:lang w:val="en-US" w:eastAsia="zh-CN"/>
        </w:rPr>
        <w:t>该项满分2分；</w:t>
      </w:r>
    </w:p>
    <w:p>
      <w:pPr>
        <w:adjustRightInd w:val="0"/>
        <w:snapToGrid w:val="0"/>
        <w:spacing w:line="360" w:lineRule="auto"/>
        <w:ind w:firstLine="422" w:firstLineChars="200"/>
        <w:rPr>
          <w:rFonts w:ascii="宋体" w:hAnsi="宋体"/>
          <w:b/>
          <w:bCs/>
          <w:highlight w:val="none"/>
        </w:rPr>
      </w:pPr>
      <w:r>
        <w:rPr>
          <w:rFonts w:hint="eastAsia" w:ascii="宋体" w:hAnsi="宋体"/>
          <w:b/>
          <w:bCs/>
          <w:highlight w:val="none"/>
        </w:rPr>
        <w:t>3.应急预案（</w:t>
      </w:r>
      <w:r>
        <w:rPr>
          <w:rFonts w:hint="eastAsia" w:ascii="宋体" w:hAnsi="宋体"/>
          <w:b/>
          <w:bCs/>
          <w:highlight w:val="none"/>
          <w:lang w:val="en-US" w:eastAsia="zh-CN"/>
        </w:rPr>
        <w:t>5</w:t>
      </w:r>
      <w:r>
        <w:rPr>
          <w:rFonts w:hint="eastAsia" w:ascii="宋体" w:hAnsi="宋体"/>
          <w:b/>
          <w:bCs/>
          <w:highlight w:val="none"/>
        </w:rPr>
        <w:t>分）</w:t>
      </w:r>
    </w:p>
    <w:p>
      <w:pPr>
        <w:spacing w:line="360" w:lineRule="auto"/>
        <w:ind w:firstLine="420" w:firstLineChars="200"/>
        <w:rPr>
          <w:rFonts w:ascii="宋体" w:hAnsi="宋体"/>
          <w:highlight w:val="none"/>
        </w:rPr>
      </w:pPr>
      <w:r>
        <w:rPr>
          <w:rFonts w:hint="eastAsia" w:ascii="宋体" w:hAnsi="宋体"/>
          <w:highlight w:val="none"/>
        </w:rPr>
        <w:t>应急方案有①应急处置流程、措施，保障措施等内容</w:t>
      </w:r>
      <w:r>
        <w:rPr>
          <w:rFonts w:hint="eastAsia" w:ascii="宋体" w:hAnsi="宋体"/>
          <w:highlight w:val="none"/>
          <w:lang w:eastAsia="zh-CN"/>
        </w:rPr>
        <w:t>；②</w:t>
      </w:r>
      <w:r>
        <w:rPr>
          <w:rFonts w:hint="eastAsia" w:ascii="宋体" w:hAnsi="宋体"/>
          <w:highlight w:val="none"/>
        </w:rPr>
        <w:t>每半年联合采购方组织开展</w:t>
      </w:r>
      <w:r>
        <w:rPr>
          <w:rFonts w:hint="eastAsia" w:ascii="宋体" w:hAnsi="宋体"/>
          <w:highlight w:val="none"/>
          <w:lang w:val="en-US" w:eastAsia="zh-CN"/>
        </w:rPr>
        <w:t>2</w:t>
      </w:r>
      <w:r>
        <w:rPr>
          <w:rFonts w:hint="eastAsia" w:ascii="宋体" w:hAnsi="宋体"/>
          <w:highlight w:val="none"/>
        </w:rPr>
        <w:t>次突发事件应急演练</w:t>
      </w:r>
      <w:r>
        <w:rPr>
          <w:rFonts w:hint="eastAsia" w:ascii="宋体" w:hAnsi="宋体"/>
          <w:highlight w:val="none"/>
          <w:lang w:eastAsia="zh-CN"/>
        </w:rPr>
        <w:t>；③</w:t>
      </w:r>
      <w:r>
        <w:rPr>
          <w:rFonts w:hint="eastAsia" w:ascii="宋体" w:hAnsi="宋体"/>
          <w:highlight w:val="none"/>
        </w:rPr>
        <w:t>能够针对项目具体情况，制订有大型活动保障方案、群体事件应对方案</w:t>
      </w:r>
      <w:r>
        <w:rPr>
          <w:rFonts w:hint="eastAsia" w:ascii="宋体" w:hAnsi="宋体"/>
          <w:highlight w:val="none"/>
          <w:lang w:eastAsia="zh-CN"/>
        </w:rPr>
        <w:t>；</w:t>
      </w:r>
      <w:r>
        <w:rPr>
          <w:rFonts w:hint="eastAsia" w:ascii="宋体" w:hAnsi="宋体"/>
          <w:highlight w:val="none"/>
        </w:rPr>
        <w:t>④有人员、物资、应急车辆等调配方案⑤每年联合采购方组织开展2次</w:t>
      </w:r>
      <w:r>
        <w:rPr>
          <w:rFonts w:hint="eastAsia" w:ascii="宋体" w:hAnsi="宋体"/>
          <w:highlight w:val="none"/>
          <w:lang w:val="en-US" w:eastAsia="zh-CN"/>
        </w:rPr>
        <w:t>以上</w:t>
      </w:r>
      <w:r>
        <w:rPr>
          <w:rFonts w:hint="eastAsia" w:ascii="宋体" w:hAnsi="宋体"/>
          <w:highlight w:val="none"/>
        </w:rPr>
        <w:t>突发事件应急演练，每有一项得1分。该项满分</w:t>
      </w:r>
      <w:r>
        <w:rPr>
          <w:rFonts w:hint="eastAsia" w:ascii="宋体" w:hAnsi="宋体"/>
          <w:highlight w:val="none"/>
          <w:lang w:val="en-US" w:eastAsia="zh-CN"/>
        </w:rPr>
        <w:t>5</w:t>
      </w:r>
      <w:r>
        <w:rPr>
          <w:rFonts w:hint="eastAsia" w:ascii="宋体" w:hAnsi="宋体"/>
          <w:highlight w:val="none"/>
        </w:rPr>
        <w:t>分；</w:t>
      </w:r>
    </w:p>
    <w:p>
      <w:pPr>
        <w:spacing w:line="360" w:lineRule="auto"/>
        <w:ind w:firstLine="422" w:firstLineChars="200"/>
        <w:rPr>
          <w:rFonts w:ascii="宋体" w:hAnsi="宋体" w:cs="Courier New"/>
          <w:b/>
          <w:szCs w:val="20"/>
          <w:highlight w:val="none"/>
        </w:rPr>
      </w:pPr>
      <w:r>
        <w:rPr>
          <w:rFonts w:ascii="宋体" w:hAnsi="宋体"/>
          <w:b/>
          <w:highlight w:val="none"/>
        </w:rPr>
        <w:t>4</w:t>
      </w:r>
      <w:r>
        <w:rPr>
          <w:rFonts w:hint="eastAsia" w:ascii="宋体" w:hAnsi="宋体"/>
          <w:b/>
          <w:highlight w:val="none"/>
        </w:rPr>
        <w:t>.</w:t>
      </w:r>
      <w:r>
        <w:rPr>
          <w:rFonts w:hint="eastAsia" w:ascii="宋体" w:hAnsi="宋体" w:cs="Courier New"/>
          <w:b/>
          <w:szCs w:val="20"/>
          <w:highlight w:val="none"/>
        </w:rPr>
        <w:t>服务承诺及质量保证措施分（8分）</w:t>
      </w:r>
    </w:p>
    <w:p>
      <w:pPr>
        <w:spacing w:line="360" w:lineRule="auto"/>
        <w:ind w:firstLine="420" w:firstLineChars="200"/>
        <w:rPr>
          <w:rFonts w:ascii="宋体" w:hAnsi="宋体"/>
          <w:highlight w:val="none"/>
        </w:rPr>
      </w:pPr>
      <w:r>
        <w:rPr>
          <w:rFonts w:hint="eastAsia" w:ascii="宋体" w:hAnsi="宋体"/>
          <w:highlight w:val="none"/>
          <w:lang w:val="en-US" w:eastAsia="zh-CN"/>
        </w:rPr>
        <w:t>4.1</w:t>
      </w:r>
      <w:r>
        <w:rPr>
          <w:rFonts w:hint="eastAsia" w:ascii="宋体" w:hAnsi="宋体"/>
          <w:highlight w:val="none"/>
        </w:rPr>
        <w:t>有相关服务承诺方案，</w:t>
      </w:r>
      <w:r>
        <w:rPr>
          <w:rFonts w:hint="eastAsia" w:cs="宋体"/>
          <w:highlight w:val="none"/>
        </w:rPr>
        <w:t>方案未能</w:t>
      </w:r>
      <w:r>
        <w:rPr>
          <w:rFonts w:hint="eastAsia"/>
          <w:highlight w:val="none"/>
        </w:rPr>
        <w:t>针对本项目实际情况的</w:t>
      </w:r>
      <w:r>
        <w:rPr>
          <w:rFonts w:hint="eastAsia" w:ascii="宋体" w:hAnsi="宋体"/>
          <w:highlight w:val="none"/>
        </w:rPr>
        <w:t>得</w:t>
      </w:r>
      <w:r>
        <w:rPr>
          <w:rFonts w:hint="eastAsia" w:ascii="宋体" w:hAnsi="宋体"/>
          <w:highlight w:val="none"/>
          <w:lang w:val="en-US" w:eastAsia="zh-CN"/>
        </w:rPr>
        <w:t>2</w:t>
      </w:r>
      <w:r>
        <w:rPr>
          <w:rFonts w:hint="eastAsia" w:ascii="宋体" w:hAnsi="宋体"/>
          <w:highlight w:val="none"/>
        </w:rPr>
        <w:t>分。</w:t>
      </w:r>
    </w:p>
    <w:p>
      <w:pPr>
        <w:spacing w:line="360" w:lineRule="auto"/>
        <w:ind w:firstLine="420" w:firstLineChars="200"/>
        <w:rPr>
          <w:rFonts w:hint="eastAsia" w:ascii="宋体" w:hAnsi="宋体"/>
          <w:highlight w:val="none"/>
        </w:rPr>
      </w:pPr>
      <w:r>
        <w:rPr>
          <w:rFonts w:hint="eastAsia" w:ascii="宋体" w:hAnsi="宋体"/>
          <w:highlight w:val="none"/>
          <w:lang w:val="en-US" w:eastAsia="zh-CN"/>
        </w:rPr>
        <w:t>4.2</w:t>
      </w:r>
      <w:r>
        <w:rPr>
          <w:rFonts w:hint="eastAsia" w:ascii="宋体" w:hAnsi="宋体"/>
          <w:bCs/>
          <w:highlight w:val="none"/>
        </w:rPr>
        <w:t>能提供具体服务承诺及质量保证措施的，【包括但不限于：①按国家法律法规开展各项服务及经营的承诺；②承诺做到招标文件规定及投标文件提供的实施方案内容的承诺；③服务态度、服务效率、服务质量承诺；④按时足额发放员工工资的承诺；⑤对责任事故的处理承诺；⑥能提供安保、保洁、绿化、食堂服务等服务质量保证措施】</w:t>
      </w:r>
      <w:r>
        <w:rPr>
          <w:rFonts w:hint="eastAsia" w:ascii="宋体" w:hAnsi="宋体" w:cs="宋体"/>
          <w:highlight w:val="none"/>
        </w:rPr>
        <w:t>内容满足项目服务需求，</w:t>
      </w:r>
      <w:r>
        <w:rPr>
          <w:rFonts w:hint="eastAsia" w:ascii="宋体" w:hAnsi="宋体"/>
          <w:highlight w:val="none"/>
        </w:rPr>
        <w:t>每有一项得1分。该项满分6分；</w:t>
      </w:r>
    </w:p>
    <w:p>
      <w:pPr>
        <w:spacing w:line="360" w:lineRule="auto"/>
        <w:ind w:firstLine="422" w:firstLineChars="200"/>
        <w:rPr>
          <w:rFonts w:ascii="宋体" w:hAnsi="宋体" w:cs="宋体"/>
          <w:b/>
          <w:kern w:val="0"/>
          <w:highlight w:val="none"/>
        </w:rPr>
      </w:pPr>
      <w:bookmarkStart w:id="160" w:name="OLE_LINK27"/>
      <w:r>
        <w:rPr>
          <w:rFonts w:hint="eastAsia" w:ascii="宋体" w:hAnsi="宋体"/>
          <w:b/>
          <w:highlight w:val="none"/>
        </w:rPr>
        <w:t>5.</w:t>
      </w:r>
      <w:r>
        <w:rPr>
          <w:rFonts w:hint="eastAsia" w:ascii="宋体" w:hAnsi="宋体" w:cs="宋体"/>
          <w:b/>
          <w:bCs/>
          <w:highlight w:val="none"/>
        </w:rPr>
        <w:t>人员配置方案</w:t>
      </w:r>
      <w:r>
        <w:rPr>
          <w:rFonts w:hint="eastAsia" w:ascii="宋体" w:hAnsi="宋体" w:cs="宋体"/>
          <w:b/>
          <w:kern w:val="0"/>
          <w:highlight w:val="none"/>
        </w:rPr>
        <w:t>（</w:t>
      </w:r>
      <w:r>
        <w:rPr>
          <w:rFonts w:ascii="宋体" w:hAnsi="宋体" w:cs="宋体"/>
          <w:b/>
          <w:kern w:val="0"/>
          <w:highlight w:val="none"/>
        </w:rPr>
        <w:t>2</w:t>
      </w:r>
      <w:r>
        <w:rPr>
          <w:rFonts w:hint="eastAsia" w:ascii="宋体" w:hAnsi="宋体" w:cs="宋体"/>
          <w:b/>
          <w:kern w:val="0"/>
          <w:highlight w:val="none"/>
          <w:lang w:val="en-US" w:eastAsia="zh-CN"/>
        </w:rPr>
        <w:t>4</w:t>
      </w:r>
      <w:r>
        <w:rPr>
          <w:rFonts w:hint="eastAsia" w:ascii="宋体" w:hAnsi="宋体" w:cs="宋体"/>
          <w:b/>
          <w:kern w:val="0"/>
          <w:highlight w:val="none"/>
        </w:rPr>
        <w:t>分）</w:t>
      </w:r>
    </w:p>
    <w:bookmarkEnd w:id="160"/>
    <w:p>
      <w:pPr>
        <w:spacing w:line="360" w:lineRule="auto"/>
        <w:ind w:firstLine="422" w:firstLineChars="200"/>
        <w:rPr>
          <w:rFonts w:ascii="宋体" w:hAnsi="宋体"/>
          <w:b/>
          <w:highlight w:val="none"/>
        </w:rPr>
      </w:pPr>
      <w:r>
        <w:rPr>
          <w:rFonts w:hint="eastAsia" w:ascii="宋体" w:hAnsi="宋体" w:cs="宋体"/>
          <w:b/>
          <w:color w:val="000000"/>
          <w:highlight w:val="none"/>
          <w:lang w:val="en-US" w:eastAsia="zh-CN"/>
        </w:rPr>
        <w:t>5.1</w:t>
      </w:r>
      <w:r>
        <w:rPr>
          <w:rFonts w:hint="eastAsia" w:ascii="宋体" w:hAnsi="宋体"/>
          <w:b/>
          <w:highlight w:val="none"/>
        </w:rPr>
        <w:t>拟投入本项目的服务人员配置分工安排方案（</w:t>
      </w:r>
      <w:r>
        <w:rPr>
          <w:rFonts w:hint="eastAsia" w:ascii="宋体" w:hAnsi="宋体"/>
          <w:b/>
          <w:highlight w:val="none"/>
          <w:lang w:val="en-US" w:eastAsia="zh-CN"/>
        </w:rPr>
        <w:t>9</w:t>
      </w:r>
      <w:r>
        <w:rPr>
          <w:rFonts w:hint="eastAsia" w:ascii="宋体" w:hAnsi="宋体"/>
          <w:b/>
          <w:highlight w:val="none"/>
        </w:rPr>
        <w:t>分）</w:t>
      </w:r>
    </w:p>
    <w:p>
      <w:pPr>
        <w:spacing w:line="360" w:lineRule="auto"/>
        <w:ind w:firstLine="420" w:firstLineChars="200"/>
        <w:rPr>
          <w:rFonts w:hint="eastAsia" w:ascii="宋体" w:hAnsi="宋体"/>
          <w:highlight w:val="none"/>
        </w:rPr>
      </w:pPr>
      <w:r>
        <w:rPr>
          <w:rFonts w:hint="eastAsia" w:ascii="宋体" w:hAnsi="宋体"/>
          <w:highlight w:val="none"/>
          <w:lang w:val="en-US" w:eastAsia="zh-CN"/>
        </w:rPr>
        <w:t>5.1.1</w:t>
      </w:r>
      <w:r>
        <w:rPr>
          <w:rFonts w:hint="eastAsia" w:ascii="宋体" w:hAnsi="宋体"/>
          <w:highlight w:val="none"/>
        </w:rPr>
        <w:t>有拟投入本项目的服务人员配置分工安排方案，得</w:t>
      </w:r>
      <w:r>
        <w:rPr>
          <w:rFonts w:hint="eastAsia" w:ascii="宋体" w:hAnsi="宋体"/>
          <w:highlight w:val="none"/>
          <w:lang w:val="en-US" w:eastAsia="zh-CN"/>
        </w:rPr>
        <w:t>1</w:t>
      </w:r>
      <w:r>
        <w:rPr>
          <w:rFonts w:hint="eastAsia" w:ascii="宋体" w:hAnsi="宋体"/>
          <w:highlight w:val="none"/>
        </w:rPr>
        <w:t>分。</w:t>
      </w:r>
    </w:p>
    <w:p>
      <w:pPr>
        <w:spacing w:line="360" w:lineRule="auto"/>
        <w:ind w:firstLine="420" w:firstLineChars="200"/>
        <w:rPr>
          <w:rFonts w:ascii="宋体" w:hAnsi="宋体"/>
          <w:highlight w:val="none"/>
        </w:rPr>
      </w:pPr>
      <w:r>
        <w:rPr>
          <w:rFonts w:hint="eastAsia" w:ascii="宋体" w:hAnsi="宋体"/>
          <w:highlight w:val="none"/>
          <w:lang w:val="en-US" w:eastAsia="zh-CN"/>
        </w:rPr>
        <w:t>5.1.2</w:t>
      </w:r>
      <w:r>
        <w:rPr>
          <w:rFonts w:hint="eastAsia" w:ascii="宋体" w:hAnsi="宋体"/>
          <w:highlight w:val="none"/>
        </w:rPr>
        <w:t>方案包含①各类人员数量，文化素质和专业素质、主要管理人员的简历，服务人员的培训（包括但不限于：企业文化、专业技术培训等）；②服务人员的培训（包括但不限于：企业文化、专业技术培训等）、③服务人员的管理（包括：录用及考核，淘汰机制，协调关系，服务意识等）、④人员工作装备情况（包括：器械、安全防范装备、保洁、绿化工具以及办公用品</w:t>
      </w:r>
      <w:r>
        <w:rPr>
          <w:rFonts w:hint="eastAsia" w:ascii="宋体" w:hAnsi="宋体" w:cs="宋体"/>
          <w:highlight w:val="none"/>
        </w:rPr>
        <w:t>等</w:t>
      </w:r>
      <w:r>
        <w:rPr>
          <w:rFonts w:hint="eastAsia" w:ascii="宋体" w:hAnsi="宋体"/>
          <w:highlight w:val="none"/>
        </w:rPr>
        <w:t>）</w:t>
      </w:r>
      <w:r>
        <w:rPr>
          <w:rFonts w:hint="eastAsia" w:ascii="宋体" w:hAnsi="宋体" w:cs="宋体"/>
          <w:highlight w:val="none"/>
        </w:rPr>
        <w:t>内容满足项目服务需求</w:t>
      </w:r>
      <w:r>
        <w:rPr>
          <w:rFonts w:hint="eastAsia" w:ascii="宋体" w:hAnsi="宋体"/>
          <w:highlight w:val="none"/>
        </w:rPr>
        <w:t>，每有一项得</w:t>
      </w:r>
      <w:r>
        <w:rPr>
          <w:rFonts w:hint="eastAsia" w:ascii="宋体" w:hAnsi="宋体"/>
          <w:highlight w:val="none"/>
          <w:lang w:val="en-US" w:eastAsia="zh-CN"/>
        </w:rPr>
        <w:t>2</w:t>
      </w:r>
      <w:r>
        <w:rPr>
          <w:rFonts w:hint="eastAsia" w:ascii="宋体" w:hAnsi="宋体"/>
          <w:highlight w:val="none"/>
        </w:rPr>
        <w:t>分。该项满分</w:t>
      </w:r>
      <w:r>
        <w:rPr>
          <w:rFonts w:hint="eastAsia" w:ascii="宋体" w:hAnsi="宋体"/>
          <w:highlight w:val="none"/>
          <w:lang w:val="en-US" w:eastAsia="zh-CN"/>
        </w:rPr>
        <w:t>8</w:t>
      </w:r>
      <w:r>
        <w:rPr>
          <w:rFonts w:hint="eastAsia" w:ascii="宋体" w:hAnsi="宋体"/>
          <w:highlight w:val="none"/>
        </w:rPr>
        <w:t>分；</w:t>
      </w:r>
    </w:p>
    <w:p>
      <w:pPr>
        <w:spacing w:line="360" w:lineRule="auto"/>
        <w:ind w:firstLine="422" w:firstLineChars="200"/>
        <w:rPr>
          <w:rFonts w:ascii="宋体" w:hAnsi="宋体"/>
          <w:b/>
          <w:highlight w:val="none"/>
        </w:rPr>
      </w:pPr>
      <w:r>
        <w:rPr>
          <w:rFonts w:hint="eastAsia" w:ascii="宋体" w:hAnsi="宋体"/>
          <w:b/>
          <w:highlight w:val="none"/>
          <w:lang w:val="en-US" w:eastAsia="zh-CN"/>
        </w:rPr>
        <w:t>5.2</w:t>
      </w:r>
      <w:r>
        <w:rPr>
          <w:rFonts w:hint="eastAsia" w:ascii="宋体" w:hAnsi="宋体"/>
          <w:b/>
          <w:highlight w:val="none"/>
        </w:rPr>
        <w:t>拟投入的项目主管满足以下条件，可加</w:t>
      </w:r>
      <w:r>
        <w:rPr>
          <w:rFonts w:hint="eastAsia" w:ascii="宋体" w:hAnsi="宋体"/>
          <w:b/>
          <w:highlight w:val="none"/>
          <w:lang w:val="en-US" w:eastAsia="zh-CN"/>
        </w:rPr>
        <w:t>6</w:t>
      </w:r>
      <w:r>
        <w:rPr>
          <w:rFonts w:hint="eastAsia" w:ascii="宋体" w:hAnsi="宋体"/>
          <w:b/>
          <w:highlight w:val="none"/>
        </w:rPr>
        <w:t>分：</w:t>
      </w:r>
    </w:p>
    <w:p>
      <w:pPr>
        <w:spacing w:line="360" w:lineRule="auto"/>
        <w:ind w:firstLine="420" w:firstLineChars="200"/>
        <w:rPr>
          <w:rFonts w:ascii="宋体" w:hAnsi="宋体"/>
          <w:highlight w:val="none"/>
        </w:rPr>
      </w:pPr>
      <w:r>
        <w:rPr>
          <w:rFonts w:hint="eastAsia" w:ascii="宋体" w:hAnsi="宋体"/>
          <w:highlight w:val="none"/>
        </w:rPr>
        <w:t>①具备</w:t>
      </w:r>
      <w:r>
        <w:rPr>
          <w:rFonts w:ascii="宋体" w:hAnsi="宋体"/>
          <w:highlight w:val="none"/>
        </w:rPr>
        <w:t>本科以上学历（含本科）的，得</w:t>
      </w:r>
      <w:r>
        <w:rPr>
          <w:rFonts w:hint="eastAsia" w:ascii="宋体" w:hAnsi="宋体"/>
          <w:highlight w:val="none"/>
          <w:lang w:val="en-US" w:eastAsia="zh-CN"/>
        </w:rPr>
        <w:t>2</w:t>
      </w:r>
      <w:r>
        <w:rPr>
          <w:rFonts w:hint="eastAsia" w:ascii="宋体" w:hAnsi="宋体"/>
          <w:highlight w:val="none"/>
        </w:rPr>
        <w:t>分；</w:t>
      </w:r>
    </w:p>
    <w:p>
      <w:pPr>
        <w:spacing w:line="360" w:lineRule="auto"/>
        <w:ind w:firstLine="420" w:firstLineChars="200"/>
        <w:rPr>
          <w:rFonts w:ascii="宋体" w:hAnsi="宋体"/>
          <w:highlight w:val="none"/>
        </w:rPr>
      </w:pPr>
      <w:r>
        <w:rPr>
          <w:rFonts w:hint="eastAsia" w:ascii="宋体" w:hAnsi="宋体"/>
          <w:highlight w:val="none"/>
        </w:rPr>
        <w:t>②</w:t>
      </w:r>
      <w:r>
        <w:rPr>
          <w:rFonts w:hint="eastAsia" w:ascii="宋体" w:hAnsi="宋体"/>
          <w:szCs w:val="21"/>
          <w:highlight w:val="none"/>
        </w:rPr>
        <w:t>有3</w:t>
      </w:r>
      <w:r>
        <w:rPr>
          <w:rFonts w:hint="eastAsia" w:ascii="宋体" w:hAnsi="宋体"/>
          <w:kern w:val="0"/>
          <w:szCs w:val="21"/>
          <w:highlight w:val="none"/>
        </w:rPr>
        <w:t>年以上物业管理工作经验</w:t>
      </w:r>
      <w:r>
        <w:rPr>
          <w:rFonts w:hint="eastAsia" w:ascii="宋体" w:hAnsi="宋体"/>
          <w:highlight w:val="none"/>
        </w:rPr>
        <w:t>，得</w:t>
      </w:r>
      <w:r>
        <w:rPr>
          <w:rFonts w:ascii="宋体" w:hAnsi="宋体"/>
          <w:highlight w:val="none"/>
        </w:rPr>
        <w:t>2</w:t>
      </w:r>
      <w:r>
        <w:rPr>
          <w:rFonts w:hint="eastAsia" w:ascii="宋体" w:hAnsi="宋体"/>
          <w:highlight w:val="none"/>
        </w:rPr>
        <w:t>分；</w:t>
      </w:r>
    </w:p>
    <w:p>
      <w:pPr>
        <w:spacing w:line="360" w:lineRule="auto"/>
        <w:ind w:firstLine="420" w:firstLineChars="200"/>
        <w:rPr>
          <w:rFonts w:ascii="宋体" w:hAnsi="宋体"/>
          <w:szCs w:val="21"/>
          <w:highlight w:val="none"/>
        </w:rPr>
      </w:pPr>
      <w:r>
        <w:rPr>
          <w:rFonts w:hint="eastAsia" w:ascii="宋体" w:hAnsi="宋体"/>
          <w:highlight w:val="none"/>
        </w:rPr>
        <w:t>③</w:t>
      </w:r>
      <w:r>
        <w:rPr>
          <w:rFonts w:hint="eastAsia" w:ascii="宋体" w:hAnsi="宋体"/>
          <w:szCs w:val="21"/>
          <w:highlight w:val="none"/>
        </w:rPr>
        <w:t>经过</w:t>
      </w:r>
      <w:r>
        <w:rPr>
          <w:rFonts w:hint="eastAsia" w:ascii="宋体" w:hAnsi="宋体" w:cs="Courier New"/>
          <w:bCs/>
          <w:color w:val="000000"/>
          <w:szCs w:val="21"/>
          <w:highlight w:val="none"/>
        </w:rPr>
        <w:t>红十字会培训并取得心肺复苏培训证书或救护证书</w:t>
      </w:r>
      <w:r>
        <w:rPr>
          <w:rFonts w:hint="eastAsia" w:ascii="宋体" w:hAnsi="宋体"/>
          <w:szCs w:val="21"/>
          <w:highlight w:val="none"/>
        </w:rPr>
        <w:t>的，得2</w:t>
      </w:r>
      <w:r>
        <w:rPr>
          <w:rFonts w:ascii="宋体" w:hAnsi="宋体"/>
          <w:szCs w:val="21"/>
          <w:highlight w:val="none"/>
        </w:rPr>
        <w:t>分；</w:t>
      </w:r>
    </w:p>
    <w:p>
      <w:pPr>
        <w:spacing w:line="360" w:lineRule="auto"/>
        <w:ind w:firstLine="422" w:firstLineChars="200"/>
        <w:rPr>
          <w:rFonts w:ascii="宋体" w:hAnsi="宋体"/>
          <w:b/>
          <w:szCs w:val="21"/>
          <w:highlight w:val="none"/>
        </w:rPr>
      </w:pPr>
      <w:r>
        <w:rPr>
          <w:rFonts w:hint="eastAsia" w:ascii="宋体" w:hAnsi="宋体"/>
          <w:b/>
          <w:szCs w:val="21"/>
          <w:highlight w:val="none"/>
          <w:lang w:val="en-US" w:eastAsia="zh-CN"/>
        </w:rPr>
        <w:t>5.3</w:t>
      </w:r>
      <w:r>
        <w:rPr>
          <w:rFonts w:hint="eastAsia" w:ascii="宋体" w:hAnsi="宋体"/>
          <w:b/>
          <w:szCs w:val="21"/>
          <w:highlight w:val="none"/>
        </w:rPr>
        <w:t>拟投入的保安班长满足以下条件的，可加</w:t>
      </w:r>
      <w:r>
        <w:rPr>
          <w:rFonts w:hint="eastAsia" w:ascii="宋体" w:hAnsi="宋体"/>
          <w:b/>
          <w:szCs w:val="21"/>
          <w:highlight w:val="none"/>
          <w:lang w:val="en-US" w:eastAsia="zh-CN"/>
        </w:rPr>
        <w:t>6</w:t>
      </w:r>
      <w:r>
        <w:rPr>
          <w:rFonts w:hint="eastAsia" w:ascii="宋体" w:hAnsi="宋体"/>
          <w:b/>
          <w:szCs w:val="21"/>
          <w:highlight w:val="none"/>
        </w:rPr>
        <w:t>分：</w:t>
      </w:r>
    </w:p>
    <w:p>
      <w:pPr>
        <w:widowControl/>
        <w:spacing w:line="360" w:lineRule="auto"/>
        <w:ind w:firstLine="410"/>
        <w:rPr>
          <w:rFonts w:ascii="宋体" w:hAnsi="宋体"/>
          <w:highlight w:val="none"/>
        </w:rPr>
      </w:pPr>
      <w:r>
        <w:rPr>
          <w:rFonts w:hint="eastAsia" w:ascii="宋体" w:hAnsi="宋体" w:cs="宋体"/>
          <w:highlight w:val="none"/>
        </w:rPr>
        <w:t>①</w:t>
      </w:r>
      <w:r>
        <w:rPr>
          <w:rFonts w:hint="eastAsia" w:ascii="宋体" w:hAnsi="宋体"/>
          <w:highlight w:val="none"/>
        </w:rPr>
        <w:t>具备大专</w:t>
      </w:r>
      <w:r>
        <w:rPr>
          <w:rFonts w:ascii="宋体" w:hAnsi="宋体"/>
          <w:highlight w:val="none"/>
        </w:rPr>
        <w:t>以上学历（含</w:t>
      </w:r>
      <w:r>
        <w:rPr>
          <w:rFonts w:hint="eastAsia" w:ascii="宋体" w:hAnsi="宋体"/>
          <w:highlight w:val="none"/>
        </w:rPr>
        <w:t>大专</w:t>
      </w:r>
      <w:r>
        <w:rPr>
          <w:rFonts w:ascii="宋体" w:hAnsi="宋体"/>
          <w:highlight w:val="none"/>
        </w:rPr>
        <w:t>）的，得</w:t>
      </w:r>
      <w:r>
        <w:rPr>
          <w:rFonts w:hint="eastAsia" w:ascii="宋体" w:hAnsi="宋体"/>
          <w:highlight w:val="none"/>
        </w:rPr>
        <w:t>1分；</w:t>
      </w:r>
    </w:p>
    <w:p>
      <w:pPr>
        <w:widowControl/>
        <w:spacing w:line="360" w:lineRule="auto"/>
        <w:ind w:firstLine="410"/>
        <w:rPr>
          <w:rFonts w:ascii="宋体" w:hAnsi="宋体"/>
          <w:szCs w:val="21"/>
          <w:highlight w:val="none"/>
        </w:rPr>
      </w:pPr>
      <w:r>
        <w:rPr>
          <w:rFonts w:hint="eastAsia" w:ascii="宋体" w:hAnsi="宋体"/>
          <w:highlight w:val="none"/>
        </w:rPr>
        <w:t>②</w:t>
      </w:r>
      <w:r>
        <w:rPr>
          <w:rFonts w:hint="eastAsia" w:ascii="宋体" w:hAnsi="宋体"/>
          <w:szCs w:val="21"/>
          <w:highlight w:val="none"/>
        </w:rPr>
        <w:t>是</w:t>
      </w:r>
      <w:r>
        <w:rPr>
          <w:rFonts w:ascii="Arial" w:hAnsi="Arial" w:eastAsia="Arial" w:cs="Arial"/>
          <w:color w:val="333333"/>
          <w:szCs w:val="21"/>
          <w:highlight w:val="none"/>
          <w:shd w:val="clear" w:color="auto" w:fill="FFFFFF"/>
        </w:rPr>
        <w:t>复退(转业)军人或有从警经验的人员</w:t>
      </w:r>
      <w:r>
        <w:rPr>
          <w:rFonts w:hint="eastAsia" w:ascii="宋体" w:hAnsi="宋体"/>
          <w:szCs w:val="21"/>
          <w:highlight w:val="none"/>
        </w:rPr>
        <w:t>，得1分；</w:t>
      </w:r>
    </w:p>
    <w:p>
      <w:pPr>
        <w:widowControl/>
        <w:spacing w:line="360" w:lineRule="auto"/>
        <w:ind w:left="430" w:leftChars="200" w:hanging="10" w:hangingChars="5"/>
        <w:rPr>
          <w:rFonts w:ascii="宋体" w:hAnsi="宋体"/>
          <w:szCs w:val="21"/>
          <w:highlight w:val="none"/>
        </w:rPr>
      </w:pPr>
      <w:r>
        <w:rPr>
          <w:rFonts w:hint="eastAsia" w:ascii="宋体" w:hAnsi="宋体"/>
          <w:szCs w:val="21"/>
          <w:highlight w:val="none"/>
        </w:rPr>
        <w:t>③</w:t>
      </w:r>
      <w:bookmarkStart w:id="161" w:name="OLE_LINK17"/>
      <w:r>
        <w:rPr>
          <w:rFonts w:ascii="宋体" w:hAnsi="宋体"/>
          <w:szCs w:val="21"/>
          <w:highlight w:val="none"/>
        </w:rPr>
        <w:t>持有人力资源和社会保障部门颁发</w:t>
      </w:r>
      <w:r>
        <w:rPr>
          <w:rFonts w:hint="eastAsia" w:ascii="宋体" w:hAnsi="宋体"/>
          <w:szCs w:val="21"/>
          <w:highlight w:val="none"/>
        </w:rPr>
        <w:t>四</w:t>
      </w:r>
      <w:r>
        <w:rPr>
          <w:rFonts w:ascii="宋体" w:hAnsi="宋体"/>
          <w:szCs w:val="21"/>
          <w:highlight w:val="none"/>
        </w:rPr>
        <w:t>级/中级工及以上等级消防设施操作员职业资格证</w:t>
      </w:r>
      <w:bookmarkEnd w:id="161"/>
      <w:r>
        <w:rPr>
          <w:rFonts w:hint="eastAsia" w:ascii="宋体" w:hAnsi="宋体"/>
          <w:szCs w:val="21"/>
          <w:highlight w:val="none"/>
        </w:rPr>
        <w:t>，得</w:t>
      </w:r>
      <w:r>
        <w:rPr>
          <w:rFonts w:hint="eastAsia" w:ascii="宋体" w:hAnsi="宋体"/>
          <w:szCs w:val="21"/>
          <w:highlight w:val="none"/>
          <w:lang w:val="en-US" w:eastAsia="zh-CN"/>
        </w:rPr>
        <w:t>2</w:t>
      </w:r>
      <w:r>
        <w:rPr>
          <w:rFonts w:hint="eastAsia" w:ascii="宋体" w:hAnsi="宋体"/>
          <w:szCs w:val="21"/>
          <w:highlight w:val="none"/>
        </w:rPr>
        <w:t>分；</w:t>
      </w:r>
    </w:p>
    <w:p>
      <w:pPr>
        <w:widowControl/>
        <w:spacing w:line="360" w:lineRule="auto"/>
        <w:ind w:left="430" w:leftChars="200" w:hanging="10" w:hangingChars="5"/>
        <w:rPr>
          <w:rFonts w:ascii="宋体" w:hAnsi="宋体"/>
          <w:szCs w:val="21"/>
          <w:highlight w:val="none"/>
        </w:rPr>
      </w:pPr>
      <w:r>
        <w:rPr>
          <w:rFonts w:hint="eastAsia" w:ascii="宋体" w:hAnsi="宋体"/>
          <w:szCs w:val="21"/>
          <w:highlight w:val="none"/>
        </w:rPr>
        <w:t>④</w:t>
      </w:r>
      <w:r>
        <w:rPr>
          <w:rFonts w:hint="eastAsia" w:ascii="宋体" w:hAnsi="宋体" w:cs="宋体"/>
          <w:highlight w:val="none"/>
        </w:rPr>
        <w:t>经过</w:t>
      </w:r>
      <w:r>
        <w:rPr>
          <w:rFonts w:hint="eastAsia" w:ascii="宋体" w:hAnsi="宋体" w:cs="Courier New"/>
          <w:bCs/>
          <w:color w:val="000000"/>
          <w:szCs w:val="21"/>
          <w:highlight w:val="none"/>
        </w:rPr>
        <w:t>红十字会培训并取得心肺复苏培训证书或救护证书</w:t>
      </w:r>
      <w:r>
        <w:rPr>
          <w:rFonts w:hint="eastAsia" w:ascii="宋体" w:hAnsi="宋体"/>
          <w:szCs w:val="21"/>
          <w:highlight w:val="none"/>
        </w:rPr>
        <w:t>的</w:t>
      </w:r>
      <w:r>
        <w:rPr>
          <w:rFonts w:hint="eastAsia" w:ascii="宋体" w:hAnsi="宋体" w:cs="宋体"/>
          <w:highlight w:val="none"/>
        </w:rPr>
        <w:t>，得</w:t>
      </w:r>
      <w:r>
        <w:rPr>
          <w:rFonts w:ascii="宋体" w:hAnsi="宋体" w:cs="宋体"/>
          <w:highlight w:val="none"/>
        </w:rPr>
        <w:t>2</w:t>
      </w:r>
      <w:r>
        <w:rPr>
          <w:rFonts w:hint="eastAsia" w:ascii="宋体" w:hAnsi="宋体" w:cs="宋体"/>
          <w:highlight w:val="none"/>
        </w:rPr>
        <w:t>分；</w:t>
      </w:r>
    </w:p>
    <w:p>
      <w:pPr>
        <w:spacing w:line="360" w:lineRule="auto"/>
        <w:ind w:firstLine="422" w:firstLineChars="200"/>
        <w:rPr>
          <w:rFonts w:ascii="宋体" w:hAnsi="宋体"/>
          <w:b/>
          <w:szCs w:val="21"/>
          <w:highlight w:val="none"/>
        </w:rPr>
      </w:pPr>
      <w:r>
        <w:rPr>
          <w:rFonts w:hint="eastAsia" w:ascii="宋体" w:hAnsi="宋体"/>
          <w:b/>
          <w:szCs w:val="21"/>
          <w:highlight w:val="none"/>
          <w:lang w:val="en-US" w:eastAsia="zh-CN"/>
        </w:rPr>
        <w:t>5.4</w:t>
      </w:r>
      <w:r>
        <w:rPr>
          <w:rFonts w:hint="eastAsia" w:ascii="宋体" w:hAnsi="宋体"/>
          <w:b/>
          <w:szCs w:val="21"/>
          <w:highlight w:val="none"/>
        </w:rPr>
        <w:t>拟投入的保洁绿化班长满足以下条件的，可加</w:t>
      </w:r>
      <w:r>
        <w:rPr>
          <w:rFonts w:ascii="宋体" w:hAnsi="宋体"/>
          <w:b/>
          <w:szCs w:val="21"/>
          <w:highlight w:val="none"/>
        </w:rPr>
        <w:t>3</w:t>
      </w:r>
      <w:r>
        <w:rPr>
          <w:rFonts w:hint="eastAsia" w:ascii="宋体" w:hAnsi="宋体"/>
          <w:b/>
          <w:szCs w:val="21"/>
          <w:highlight w:val="none"/>
        </w:rPr>
        <w:t>分：</w:t>
      </w:r>
    </w:p>
    <w:p>
      <w:pPr>
        <w:widowControl/>
        <w:spacing w:line="360" w:lineRule="auto"/>
        <w:ind w:firstLine="410"/>
        <w:rPr>
          <w:rFonts w:ascii="宋体" w:hAnsi="宋体" w:cs="宋体"/>
          <w:highlight w:val="none"/>
        </w:rPr>
      </w:pPr>
      <w:r>
        <w:rPr>
          <w:rFonts w:hint="eastAsia" w:ascii="宋体" w:hAnsi="宋体" w:cs="宋体"/>
          <w:highlight w:val="none"/>
        </w:rPr>
        <w:t>①</w:t>
      </w:r>
      <w:r>
        <w:rPr>
          <w:rFonts w:hint="eastAsia" w:ascii="宋体" w:hAnsi="宋体"/>
          <w:highlight w:val="none"/>
        </w:rPr>
        <w:t>具备大专</w:t>
      </w:r>
      <w:r>
        <w:rPr>
          <w:rFonts w:ascii="宋体" w:hAnsi="宋体"/>
          <w:highlight w:val="none"/>
        </w:rPr>
        <w:t>以上学历（含</w:t>
      </w:r>
      <w:r>
        <w:rPr>
          <w:rFonts w:hint="eastAsia" w:ascii="宋体" w:hAnsi="宋体"/>
          <w:highlight w:val="none"/>
        </w:rPr>
        <w:t>大专</w:t>
      </w:r>
      <w:r>
        <w:rPr>
          <w:rFonts w:ascii="宋体" w:hAnsi="宋体"/>
          <w:highlight w:val="none"/>
        </w:rPr>
        <w:t>）的</w:t>
      </w:r>
      <w:r>
        <w:rPr>
          <w:rFonts w:hint="eastAsia" w:ascii="宋体" w:hAnsi="宋体" w:cs="宋体"/>
          <w:highlight w:val="none"/>
        </w:rPr>
        <w:t>，得</w:t>
      </w:r>
      <w:r>
        <w:rPr>
          <w:rFonts w:ascii="宋体" w:hAnsi="宋体" w:cs="宋体"/>
          <w:highlight w:val="none"/>
        </w:rPr>
        <w:t>1</w:t>
      </w:r>
      <w:r>
        <w:rPr>
          <w:rFonts w:hint="eastAsia" w:ascii="宋体" w:hAnsi="宋体" w:cs="宋体"/>
          <w:highlight w:val="none"/>
        </w:rPr>
        <w:t>分；</w:t>
      </w:r>
    </w:p>
    <w:p>
      <w:pPr>
        <w:widowControl/>
        <w:spacing w:line="360" w:lineRule="auto"/>
        <w:ind w:firstLine="410"/>
        <w:rPr>
          <w:rFonts w:ascii="宋体" w:hAnsi="宋体" w:cs="宋体"/>
          <w:szCs w:val="22"/>
          <w:highlight w:val="none"/>
        </w:rPr>
      </w:pPr>
      <w:r>
        <w:rPr>
          <w:rFonts w:hint="eastAsia" w:ascii="宋体" w:hAnsi="宋体"/>
          <w:szCs w:val="21"/>
          <w:highlight w:val="none"/>
        </w:rPr>
        <w:t>②持有</w:t>
      </w:r>
      <w:r>
        <w:rPr>
          <w:rFonts w:hint="eastAsia" w:ascii="宋体" w:hAnsi="宋体" w:cs="宋体"/>
          <w:highlight w:val="none"/>
        </w:rPr>
        <w:t>人社部门颁发的园林类中级职称的</w:t>
      </w:r>
      <w:r>
        <w:rPr>
          <w:rFonts w:hint="eastAsia" w:ascii="宋体" w:hAnsi="宋体" w:cs="宋体"/>
          <w:szCs w:val="22"/>
          <w:highlight w:val="none"/>
        </w:rPr>
        <w:t>，得</w:t>
      </w:r>
      <w:r>
        <w:rPr>
          <w:rFonts w:ascii="宋体" w:hAnsi="宋体" w:cs="宋体"/>
          <w:szCs w:val="22"/>
          <w:highlight w:val="none"/>
        </w:rPr>
        <w:t>2</w:t>
      </w:r>
      <w:r>
        <w:rPr>
          <w:rFonts w:hint="eastAsia" w:ascii="宋体" w:hAnsi="宋体" w:cs="宋体"/>
          <w:szCs w:val="22"/>
          <w:highlight w:val="none"/>
        </w:rPr>
        <w:t>分。</w:t>
      </w:r>
    </w:p>
    <w:p>
      <w:pPr>
        <w:spacing w:line="360" w:lineRule="auto"/>
        <w:ind w:firstLine="422" w:firstLineChars="200"/>
        <w:rPr>
          <w:rFonts w:ascii="宋体" w:hAnsi="宋体"/>
          <w:b/>
          <w:bCs/>
          <w:highlight w:val="none"/>
        </w:rPr>
      </w:pPr>
      <w:r>
        <w:rPr>
          <w:rFonts w:hint="eastAsia" w:ascii="宋体" w:hAnsi="宋体"/>
          <w:b/>
          <w:bCs/>
          <w:highlight w:val="none"/>
        </w:rPr>
        <w:t>注：</w:t>
      </w:r>
      <w:r>
        <w:rPr>
          <w:rFonts w:hint="eastAsia" w:ascii="宋体" w:hAnsi="宋体"/>
          <w:b/>
          <w:bCs/>
          <w:highlight w:val="none"/>
          <w:lang w:val="en-US" w:eastAsia="zh-CN"/>
        </w:rPr>
        <w:t>5.2</w:t>
      </w:r>
      <w:r>
        <w:rPr>
          <w:rFonts w:hint="eastAsia" w:ascii="宋体" w:hAnsi="宋体"/>
          <w:b/>
          <w:bCs/>
          <w:highlight w:val="none"/>
        </w:rPr>
        <w:t>-</w:t>
      </w:r>
      <w:r>
        <w:rPr>
          <w:rFonts w:hint="eastAsia" w:ascii="宋体" w:hAnsi="宋体"/>
          <w:b/>
          <w:bCs/>
          <w:highlight w:val="none"/>
          <w:lang w:val="en-US" w:eastAsia="zh-CN"/>
        </w:rPr>
        <w:t>5.4</w:t>
      </w:r>
      <w:r>
        <w:rPr>
          <w:rFonts w:hint="eastAsia" w:ascii="宋体" w:hAnsi="宋体"/>
          <w:b/>
          <w:bCs/>
          <w:highlight w:val="none"/>
        </w:rPr>
        <w:t>项须提供有效证件或相关证明材料，否则不得分。</w:t>
      </w:r>
    </w:p>
    <w:p>
      <w:pPr>
        <w:spacing w:line="360" w:lineRule="auto"/>
        <w:ind w:firstLine="422" w:firstLineChars="200"/>
        <w:rPr>
          <w:rFonts w:ascii="宋体" w:hAnsi="宋体" w:cs="Courier New"/>
          <w:b/>
          <w:highlight w:val="none"/>
        </w:rPr>
      </w:pPr>
      <w:r>
        <w:rPr>
          <w:rFonts w:hint="eastAsia" w:ascii="宋体" w:hAnsi="宋体"/>
          <w:b/>
          <w:bCs/>
          <w:highlight w:val="none"/>
        </w:rPr>
        <w:t>（三）</w:t>
      </w:r>
      <w:r>
        <w:rPr>
          <w:rFonts w:hint="eastAsia" w:ascii="宋体" w:hAnsi="宋体" w:cs="Courier New"/>
          <w:b/>
          <w:highlight w:val="none"/>
        </w:rPr>
        <w:t>商务分</w:t>
      </w:r>
      <w:r>
        <w:rPr>
          <w:rFonts w:hint="eastAsia" w:ascii="宋体" w:hAnsi="宋体" w:cs="宋体"/>
          <w:b/>
          <w:szCs w:val="21"/>
          <w:highlight w:val="none"/>
        </w:rPr>
        <w:t>……………………………………………………………………</w:t>
      </w:r>
      <w:r>
        <w:rPr>
          <w:rFonts w:hint="eastAsia" w:ascii="宋体" w:hAnsi="宋体" w:cs="Courier New"/>
          <w:b/>
          <w:highlight w:val="none"/>
        </w:rPr>
        <w:t>（满分</w:t>
      </w:r>
      <w:r>
        <w:rPr>
          <w:rFonts w:hint="eastAsia" w:ascii="宋体" w:hAnsi="宋体" w:cs="Courier New"/>
          <w:b/>
          <w:highlight w:val="none"/>
          <w:lang w:val="en-US" w:eastAsia="zh-CN"/>
        </w:rPr>
        <w:t>9</w:t>
      </w:r>
      <w:r>
        <w:rPr>
          <w:rFonts w:hint="eastAsia" w:ascii="宋体" w:hAnsi="宋体" w:cs="Courier New"/>
          <w:b/>
          <w:highlight w:val="none"/>
        </w:rPr>
        <w:t>分）</w:t>
      </w:r>
    </w:p>
    <w:p>
      <w:pPr>
        <w:spacing w:line="360" w:lineRule="auto"/>
        <w:ind w:firstLine="420" w:firstLineChars="200"/>
        <w:rPr>
          <w:rFonts w:ascii="宋体" w:hAnsi="宋体" w:cs="宋体"/>
          <w:kern w:val="0"/>
          <w:szCs w:val="21"/>
          <w:highlight w:val="none"/>
        </w:rPr>
      </w:pPr>
      <w:r>
        <w:rPr>
          <w:rFonts w:hint="eastAsia" w:ascii="宋体" w:hAnsi="宋体" w:cs="宋体"/>
          <w:highlight w:val="none"/>
        </w:rPr>
        <w:t>1.</w:t>
      </w:r>
      <w:r>
        <w:rPr>
          <w:rFonts w:hint="eastAsia" w:ascii="宋体" w:hAnsi="宋体" w:cs="宋体"/>
          <w:kern w:val="0"/>
          <w:szCs w:val="21"/>
          <w:highlight w:val="none"/>
        </w:rPr>
        <w:t>供应商通过IS09001国际质量管理体系认证、IS014001环境管理体系认证、IS045001职业健康安全管理体系认证证书的，每项得1分，满分3分（以上证书均要求在有效期内，否则不得分，提供证书证明扫描材料）。</w:t>
      </w:r>
    </w:p>
    <w:p>
      <w:pPr>
        <w:spacing w:line="360" w:lineRule="auto"/>
        <w:ind w:firstLine="420" w:firstLineChars="200"/>
        <w:rPr>
          <w:rFonts w:ascii="宋体" w:hAnsi="宋体"/>
          <w:kern w:val="0"/>
          <w:szCs w:val="21"/>
          <w:highlight w:val="none"/>
        </w:rPr>
      </w:pPr>
      <w:r>
        <w:rPr>
          <w:rFonts w:hint="eastAsia" w:ascii="宋体" w:hAnsi="宋体"/>
          <w:highlight w:val="none"/>
        </w:rPr>
        <w:t>2.</w:t>
      </w:r>
      <w:bookmarkStart w:id="184" w:name="_GoBack"/>
      <w:r>
        <w:rPr>
          <w:rFonts w:hint="eastAsia" w:ascii="宋体" w:hAnsi="宋体" w:cs="宋体"/>
          <w:highlight w:val="none"/>
        </w:rPr>
        <w:t>供应商</w:t>
      </w:r>
      <w:r>
        <w:rPr>
          <w:rFonts w:hint="eastAsia" w:ascii="宋体" w:hAnsi="宋体"/>
          <w:kern w:val="0"/>
          <w:szCs w:val="21"/>
          <w:highlight w:val="none"/>
        </w:rPr>
        <w:t>自202</w:t>
      </w:r>
      <w:r>
        <w:rPr>
          <w:rFonts w:ascii="宋体" w:hAnsi="宋体"/>
          <w:kern w:val="0"/>
          <w:szCs w:val="21"/>
          <w:highlight w:val="none"/>
        </w:rPr>
        <w:t>2</w:t>
      </w:r>
      <w:r>
        <w:rPr>
          <w:rFonts w:hint="eastAsia" w:ascii="宋体" w:hAnsi="宋体"/>
          <w:kern w:val="0"/>
          <w:szCs w:val="21"/>
          <w:highlight w:val="none"/>
        </w:rPr>
        <w:t>年1月1日以来承接的同类物业项目</w:t>
      </w:r>
      <w:r>
        <w:rPr>
          <w:rFonts w:hint="eastAsia" w:ascii="宋体" w:hAnsi="宋体"/>
          <w:kern w:val="0"/>
          <w:szCs w:val="21"/>
          <w:highlight w:val="none"/>
          <w:lang w:val="en-US" w:eastAsia="zh-CN"/>
        </w:rPr>
        <w:t>合同</w:t>
      </w:r>
      <w:r>
        <w:rPr>
          <w:rFonts w:hint="eastAsia" w:ascii="宋体" w:hAnsi="宋体"/>
          <w:highlight w:val="none"/>
        </w:rPr>
        <w:t>（服务内容至少包含保安、保洁、绿化服务），</w:t>
      </w:r>
      <w:r>
        <w:rPr>
          <w:rFonts w:hint="eastAsia" w:ascii="宋体" w:hAnsi="宋体"/>
          <w:kern w:val="0"/>
          <w:szCs w:val="21"/>
          <w:highlight w:val="none"/>
        </w:rPr>
        <w:t>每个得1分，满分</w:t>
      </w:r>
      <w:r>
        <w:rPr>
          <w:rFonts w:hint="eastAsia" w:ascii="宋体" w:hAnsi="宋体"/>
          <w:kern w:val="0"/>
          <w:szCs w:val="21"/>
          <w:highlight w:val="none"/>
          <w:lang w:val="en-US" w:eastAsia="zh-CN"/>
        </w:rPr>
        <w:t>6</w:t>
      </w:r>
      <w:r>
        <w:rPr>
          <w:rFonts w:hint="eastAsia" w:ascii="宋体" w:hAnsi="宋体"/>
          <w:kern w:val="0"/>
          <w:szCs w:val="21"/>
          <w:highlight w:val="none"/>
        </w:rPr>
        <w:t>分（备注：以项目合同签订的日期为准，合同签订的同一单位业绩不可重复计算，提供合同扫描件，中标后原件备查）。</w:t>
      </w:r>
      <w:bookmarkEnd w:id="184"/>
    </w:p>
    <w:p>
      <w:pPr>
        <w:spacing w:line="460" w:lineRule="exact"/>
        <w:rPr>
          <w:rFonts w:hint="eastAsia" w:ascii="宋体" w:hAnsi="宋体"/>
          <w:color w:val="auto"/>
          <w:kern w:val="0"/>
          <w:szCs w:val="21"/>
          <w:highlight w:val="none"/>
        </w:rPr>
      </w:pPr>
      <w:r>
        <w:rPr>
          <w:rFonts w:hint="eastAsia"/>
          <w:color w:val="auto"/>
          <w:highlight w:val="none"/>
        </w:rPr>
        <w:t>三、总得分=磋商报价得分+商务技术分</w:t>
      </w:r>
    </w:p>
    <w:p>
      <w:pPr>
        <w:pStyle w:val="23"/>
        <w:spacing w:line="460" w:lineRule="exact"/>
        <w:rPr>
          <w:rFonts w:hint="eastAsia" w:hAnsi="宋体"/>
          <w:color w:val="auto"/>
          <w:highlight w:val="none"/>
        </w:rPr>
      </w:pPr>
      <w:r>
        <w:rPr>
          <w:rFonts w:hint="eastAsia" w:hAnsi="宋体"/>
          <w:color w:val="auto"/>
          <w:highlight w:val="none"/>
          <w:lang w:val="en-US" w:eastAsia="zh-CN"/>
        </w:rPr>
        <w:t>四、</w:t>
      </w:r>
      <w:r>
        <w:rPr>
          <w:rFonts w:hint="eastAsia" w:hAnsi="宋体"/>
          <w:color w:val="auto"/>
          <w:highlight w:val="none"/>
        </w:rPr>
        <w:t>成交供应商的推荐</w:t>
      </w:r>
    </w:p>
    <w:p>
      <w:pPr>
        <w:pStyle w:val="23"/>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ascii="方正小标宋_GBK" w:eastAsia="方正小标宋_GBK"/>
          <w:color w:val="auto"/>
          <w:highlight w:val="none"/>
        </w:rPr>
      </w:pPr>
      <w:bookmarkStart w:id="162" w:name="_Toc92355027"/>
      <w:r>
        <w:rPr>
          <w:rFonts w:hint="eastAsia" w:ascii="方正小标宋_GBK" w:eastAsia="方正小标宋_GBK"/>
          <w:color w:val="auto"/>
          <w:highlight w:val="none"/>
        </w:rPr>
        <w:t>第五章  合同文本</w:t>
      </w:r>
      <w:bookmarkEnd w:id="162"/>
    </w:p>
    <w:p>
      <w:pPr>
        <w:pStyle w:val="23"/>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3"/>
        <w:spacing w:line="500" w:lineRule="exact"/>
        <w:jc w:val="center"/>
        <w:rPr>
          <w:rFonts w:hint="eastAsia" w:hAnsi="宋体"/>
          <w:b/>
          <w:bCs/>
          <w:color w:val="auto"/>
          <w:sz w:val="28"/>
          <w:highlight w:val="none"/>
        </w:rPr>
      </w:pPr>
      <w:r>
        <w:rPr>
          <w:rFonts w:hAnsi="宋体"/>
          <w:b/>
          <w:bCs/>
          <w:color w:val="auto"/>
          <w:sz w:val="28"/>
          <w:highlight w:val="none"/>
        </w:rPr>
        <w:br w:type="page"/>
      </w:r>
    </w:p>
    <w:p>
      <w:pPr>
        <w:widowControl/>
        <w:jc w:val="center"/>
        <w:rPr>
          <w:rFonts w:hint="eastAsia" w:ascii="方正小标宋_GBK" w:hAnsi="宋体" w:eastAsia="方正小标宋_GBK"/>
          <w:bCs/>
          <w:color w:val="auto"/>
          <w:sz w:val="56"/>
          <w:szCs w:val="56"/>
          <w:highlight w:val="none"/>
        </w:rPr>
      </w:pPr>
      <w:r>
        <w:rPr>
          <w:rFonts w:hint="eastAsia" w:ascii="方正小标宋_GBK" w:hAnsi="宋体" w:eastAsia="方正小标宋_GBK"/>
          <w:bCs/>
          <w:color w:val="auto"/>
          <w:sz w:val="56"/>
          <w:szCs w:val="56"/>
          <w:highlight w:val="none"/>
        </w:rPr>
        <w:t>合同</w:t>
      </w:r>
      <w:r>
        <w:rPr>
          <w:rFonts w:hint="eastAsia" w:ascii="仿宋" w:hAnsi="仿宋" w:eastAsia="仿宋"/>
          <w:color w:val="auto"/>
          <w:sz w:val="24"/>
          <w:highlight w:val="none"/>
        </w:rPr>
        <w:t>(格式</w:t>
      </w:r>
      <w:r>
        <w:rPr>
          <w:rFonts w:ascii="仿宋" w:hAnsi="仿宋" w:eastAsia="仿宋"/>
          <w:color w:val="auto"/>
          <w:sz w:val="24"/>
          <w:highlight w:val="none"/>
        </w:rPr>
        <w:t>)</w:t>
      </w:r>
    </w:p>
    <w:p>
      <w:pPr>
        <w:widowControl/>
        <w:jc w:val="left"/>
        <w:rPr>
          <w:rFonts w:hint="eastAsia" w:ascii="宋体" w:hAnsi="宋体"/>
          <w:bCs/>
          <w:color w:val="auto"/>
          <w:szCs w:val="21"/>
          <w:highlight w:val="none"/>
        </w:rPr>
      </w:pPr>
    </w:p>
    <w:p>
      <w:pPr>
        <w:pStyle w:val="4"/>
        <w:spacing w:line="240" w:lineRule="auto"/>
        <w:jc w:val="left"/>
        <w:rPr>
          <w:rFonts w:hint="eastAsia" w:cs="宋体"/>
          <w:b/>
          <w:color w:val="auto"/>
          <w:sz w:val="24"/>
          <w:highlight w:val="none"/>
        </w:rPr>
      </w:pPr>
      <w:bookmarkStart w:id="163" w:name="_Toc197506457"/>
      <w:bookmarkStart w:id="164" w:name="_Toc277084870"/>
      <w:bookmarkStart w:id="165" w:name="_Toc20685"/>
      <w:bookmarkStart w:id="166" w:name="_Toc285722712"/>
      <w:bookmarkStart w:id="167" w:name="_Toc76387262"/>
      <w:r>
        <w:rPr>
          <w:rFonts w:hint="eastAsia" w:cs="宋体"/>
          <w:b/>
          <w:color w:val="auto"/>
          <w:sz w:val="24"/>
          <w:highlight w:val="none"/>
        </w:rPr>
        <w:t>一、合同主要条款</w:t>
      </w:r>
      <w:bookmarkEnd w:id="163"/>
      <w:bookmarkEnd w:id="164"/>
      <w:bookmarkEnd w:id="165"/>
      <w:bookmarkEnd w:id="166"/>
      <w:bookmarkEnd w:id="167"/>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1.定义</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1.1甲方（需方）即采购人，是指通过招标采购，接受合同服务（含附带的货物等）的各级国家机关、事业单位和团体组织。</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1.2乙方（供方）即中标人，是指中标后提供合同货物和服务的自然人、法人及其他组织。</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1.3合同是指由甲乙双方按照招标文件和投标文件的实质性内容，通过协商一致达成的书面协议。</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1.4合同价格指以中标价格为依据，在供方全面履行合同义务后，需方（或财政部门）应支付给供方的金额。</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1.5技术资料是指合同货物及其相关的设计、制造、监造、检验、验收等文件（包括图纸、各种文字说明、标准）。</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2.服务内容</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合同包括以下内容：。</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3.合同价格</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3.1合同价格即合同单价。</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3.2合同价格同“第三篇 项目商务条款”报价要求。</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4.转包或分包</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4.1本合同范围的货物，应由乙方直接供应，不得转让他人供应；</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4.2非经甲方书面同意，乙方不得将本合同范围的服务全部或部分分包给他人供应；</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4.3如有转让和未经甲方同意的分包行为，甲方有权解除合同，没收履约保证金并追究乙方的违约责任。</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5.付款</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5.1本合同使用货币币制如未作特别说明均为人民币。</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5.2付款方式：银行转账、现金支票。</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5.3付款方法：同本项目“第三篇 项目商务条款”中关于付款方式的约定。</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6.知识产权</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7.合同争议的解决</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7.1当事人友好协商达成一致</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7.2在60天内当事人协商不能达成协议的，可提请采购人当地仲裁机构仲裁。</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8.违约责任</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按《中华人民共和国民法典》、《中华人民共和国政府采购法》有关条款，或由供需双方约定。</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9.合同生效及其它</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9.1合同生效及其效力应符合《中华人民共和国民法典》有关规定。</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9.2合同应经当事人法定代表人或委托代理人签字，加盖双方合同专用章或公章。</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9.3合同所包括附件，是合同不可分割的一部分，具有同等法法律效力。</w:t>
      </w:r>
    </w:p>
    <w:p>
      <w:pPr>
        <w:spacing w:line="5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9.4本合同条件未尽事宜依照《中华人民共和国民法典》，由供需双方共同协商确定。</w:t>
      </w:r>
    </w:p>
    <w:p>
      <w:pPr>
        <w:rPr>
          <w:rFonts w:ascii="宋体" w:hAnsi="宋体"/>
          <w:bCs/>
          <w:color w:val="auto"/>
          <w:sz w:val="21"/>
          <w:szCs w:val="21"/>
          <w:highlight w:val="none"/>
        </w:rPr>
      </w:pPr>
      <w:r>
        <w:rPr>
          <w:rFonts w:ascii="宋体" w:hAnsi="宋体"/>
          <w:bCs/>
          <w:color w:val="auto"/>
          <w:sz w:val="21"/>
          <w:szCs w:val="21"/>
          <w:highlight w:val="none"/>
        </w:rPr>
        <w:br w:type="page"/>
      </w:r>
    </w:p>
    <w:p>
      <w:pPr>
        <w:widowControl/>
        <w:jc w:val="center"/>
        <w:rPr>
          <w:rFonts w:hint="eastAsia" w:ascii="宋体" w:hAnsi="宋体" w:cs="宋体"/>
          <w:b/>
          <w:color w:val="auto"/>
          <w:sz w:val="44"/>
          <w:highlight w:val="none"/>
        </w:rPr>
      </w:pPr>
      <w:r>
        <w:rPr>
          <w:rFonts w:hint="eastAsia" w:ascii="宋体" w:hAnsi="宋体" w:cs="宋体"/>
          <w:b/>
          <w:color w:val="auto"/>
          <w:sz w:val="44"/>
          <w:highlight w:val="none"/>
          <w:lang w:eastAsia="zh-CN"/>
        </w:rPr>
        <w:t>钦州</w:t>
      </w:r>
      <w:r>
        <w:rPr>
          <w:rFonts w:hint="eastAsia" w:ascii="宋体" w:hAnsi="宋体" w:cs="宋体"/>
          <w:b/>
          <w:color w:val="auto"/>
          <w:sz w:val="44"/>
          <w:highlight w:val="none"/>
        </w:rPr>
        <w:t>市政府采购合同</w:t>
      </w:r>
    </w:p>
    <w:p>
      <w:pPr>
        <w:spacing w:line="500" w:lineRule="exact"/>
        <w:jc w:val="center"/>
        <w:outlineLvl w:val="1"/>
        <w:rPr>
          <w:rFonts w:hint="eastAsia" w:ascii="宋体" w:hAnsi="宋体" w:cs="宋体"/>
          <w:color w:val="auto"/>
          <w:highlight w:val="none"/>
        </w:rPr>
      </w:pPr>
      <w:r>
        <w:rPr>
          <w:rFonts w:hint="eastAsia" w:ascii="宋体" w:hAnsi="宋体" w:cs="宋体"/>
          <w:color w:val="auto"/>
          <w:highlight w:val="none"/>
        </w:rPr>
        <w:t>（项目号：     ）</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 xml:space="preserve">甲方（需方）：___________________________      </w:t>
      </w:r>
    </w:p>
    <w:p>
      <w:pPr>
        <w:widowControl/>
        <w:jc w:val="center"/>
        <w:rPr>
          <w:rFonts w:hint="eastAsia" w:ascii="宋体" w:hAnsi="宋体" w:cs="宋体"/>
          <w:color w:val="auto"/>
          <w:sz w:val="24"/>
          <w:highlight w:val="none"/>
        </w:rPr>
      </w:pPr>
    </w:p>
    <w:p>
      <w:pPr>
        <w:widowControl/>
        <w:jc w:val="both"/>
        <w:rPr>
          <w:rFonts w:hint="eastAsia" w:ascii="宋体" w:hAnsi="宋体" w:cs="宋体"/>
          <w:color w:val="auto"/>
          <w:sz w:val="24"/>
          <w:highlight w:val="none"/>
        </w:rPr>
      </w:pPr>
      <w:r>
        <w:rPr>
          <w:rFonts w:hint="eastAsia" w:ascii="宋体" w:hAnsi="宋体" w:cs="宋体"/>
          <w:color w:val="auto"/>
          <w:sz w:val="24"/>
          <w:highlight w:val="none"/>
        </w:rPr>
        <w:t xml:space="preserve">乙方（供方）：___________________________ </w:t>
      </w:r>
    </w:p>
    <w:p>
      <w:pPr>
        <w:spacing w:line="500" w:lineRule="exact"/>
        <w:rPr>
          <w:rFonts w:hint="eastAsia"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448"/>
        <w:gridCol w:w="198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3071" w:type="dxa"/>
            <w:noWrap w:val="0"/>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984" w:type="dxa"/>
            <w:noWrap w:val="0"/>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数量</w:t>
            </w:r>
          </w:p>
        </w:tc>
        <w:tc>
          <w:tcPr>
            <w:tcW w:w="2432" w:type="dxa"/>
            <w:gridSpan w:val="2"/>
            <w:noWrap w:val="0"/>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总价</w:t>
            </w:r>
          </w:p>
        </w:tc>
        <w:tc>
          <w:tcPr>
            <w:tcW w:w="1559" w:type="dxa"/>
            <w:noWrap w:val="0"/>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服务时间</w:t>
            </w:r>
          </w:p>
        </w:tc>
        <w:tc>
          <w:tcPr>
            <w:tcW w:w="1567" w:type="dxa"/>
            <w:noWrap w:val="0"/>
            <w:vAlign w:val="center"/>
          </w:tcPr>
          <w:p>
            <w:pPr>
              <w:spacing w:line="240" w:lineRule="atLeas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宋体" w:hAnsi="宋体" w:cs="宋体"/>
                <w:color w:val="auto"/>
                <w:sz w:val="21"/>
                <w:szCs w:val="21"/>
                <w:highlight w:val="none"/>
              </w:rPr>
            </w:pPr>
          </w:p>
        </w:tc>
        <w:tc>
          <w:tcPr>
            <w:tcW w:w="984" w:type="dxa"/>
            <w:noWrap w:val="0"/>
            <w:vAlign w:val="center"/>
          </w:tcPr>
          <w:p>
            <w:pPr>
              <w:spacing w:line="240" w:lineRule="atLeast"/>
              <w:jc w:val="center"/>
              <w:rPr>
                <w:rFonts w:hint="eastAsia" w:ascii="宋体" w:hAnsi="宋体" w:cs="宋体"/>
                <w:color w:val="auto"/>
                <w:sz w:val="21"/>
                <w:szCs w:val="21"/>
                <w:highlight w:val="none"/>
              </w:rPr>
            </w:pPr>
          </w:p>
        </w:tc>
        <w:tc>
          <w:tcPr>
            <w:tcW w:w="2432" w:type="dxa"/>
            <w:gridSpan w:val="2"/>
            <w:noWrap w:val="0"/>
            <w:vAlign w:val="center"/>
          </w:tcPr>
          <w:p>
            <w:pPr>
              <w:spacing w:line="240" w:lineRule="atLeast"/>
              <w:jc w:val="center"/>
              <w:rPr>
                <w:rFonts w:hint="eastAsia" w:ascii="宋体" w:hAnsi="宋体" w:cs="宋体"/>
                <w:color w:val="auto"/>
                <w:sz w:val="21"/>
                <w:szCs w:val="21"/>
                <w:highlight w:val="none"/>
              </w:rPr>
            </w:pPr>
          </w:p>
        </w:tc>
        <w:tc>
          <w:tcPr>
            <w:tcW w:w="1559" w:type="dxa"/>
            <w:noWrap w:val="0"/>
            <w:vAlign w:val="center"/>
          </w:tcPr>
          <w:p>
            <w:pPr>
              <w:spacing w:line="240" w:lineRule="atLeast"/>
              <w:jc w:val="center"/>
              <w:rPr>
                <w:rFonts w:hint="eastAsia" w:ascii="宋体" w:hAnsi="宋体" w:cs="宋体"/>
                <w:color w:val="auto"/>
                <w:sz w:val="21"/>
                <w:szCs w:val="21"/>
                <w:highlight w:val="none"/>
              </w:rPr>
            </w:pPr>
          </w:p>
        </w:tc>
        <w:tc>
          <w:tcPr>
            <w:tcW w:w="1567" w:type="dxa"/>
            <w:noWrap w:val="0"/>
            <w:vAlign w:val="center"/>
          </w:tcPr>
          <w:p>
            <w:pPr>
              <w:spacing w:line="240" w:lineRule="atLeast"/>
              <w:jc w:val="center"/>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Pr>
        <w:tc>
          <w:tcPr>
            <w:tcW w:w="9613" w:type="dxa"/>
            <w:gridSpan w:val="6"/>
            <w:noWrap w:val="0"/>
            <w:vAlign w:val="center"/>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Pr>
        <w:tc>
          <w:tcPr>
            <w:tcW w:w="9613" w:type="dxa"/>
            <w:gridSpan w:val="6"/>
            <w:noWrap w:val="0"/>
            <w:vAlign w:val="center"/>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2" w:hRule="atLeast"/>
        </w:trPr>
        <w:tc>
          <w:tcPr>
            <w:tcW w:w="9628" w:type="dxa"/>
            <w:gridSpan w:val="7"/>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trPr>
        <w:tc>
          <w:tcPr>
            <w:tcW w:w="9628" w:type="dxa"/>
            <w:gridSpan w:val="7"/>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三、付款方式：</w:t>
            </w:r>
          </w:p>
          <w:p>
            <w:pPr>
              <w:pStyle w:val="24"/>
              <w:spacing w:line="240" w:lineRule="atLeast"/>
              <w:rPr>
                <w:rFonts w:hint="eastAsia"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trPr>
        <w:tc>
          <w:tcPr>
            <w:tcW w:w="9628" w:type="dxa"/>
            <w:gridSpan w:val="7"/>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四、违约责任：</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9628" w:type="dxa"/>
            <w:gridSpan w:val="7"/>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五、其他约定事项：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1.招标文件及其澄清文件、投标文件和承诺是本合同不可分割的部分。</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highlight w:val="none"/>
              </w:rPr>
              <w:t xml:space="preserve"> </w:t>
            </w:r>
            <w:r>
              <w:rPr>
                <w:rFonts w:hint="eastAsia" w:ascii="宋体" w:hAnsi="宋体" w:cs="宋体"/>
                <w:color w:val="auto"/>
                <w:sz w:val="21"/>
                <w:szCs w:val="21"/>
                <w:highlight w:val="none"/>
              </w:rPr>
              <w:t>本合同如发生争议由双方协商解决，协商不成向需方所在地仲裁机构提请仲裁。</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3.本合同一式__份， 需方__份，供方__份，具备同等法律效力。</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需方：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联系电话：</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tc>
        <w:tc>
          <w:tcPr>
            <w:tcW w:w="5125" w:type="dxa"/>
            <w:gridSpan w:val="4"/>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供方：</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电话：</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传真：</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开户银行：</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p>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授权代表：</w:t>
            </w:r>
          </w:p>
          <w:p>
            <w:pPr>
              <w:widowControl/>
              <w:spacing w:line="240" w:lineRule="atLeast"/>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noWrap w:val="0"/>
            <w:vAlign w:val="top"/>
          </w:tcPr>
          <w:p>
            <w:pPr>
              <w:spacing w:line="240" w:lineRule="atLeast"/>
              <w:rPr>
                <w:rFonts w:hint="eastAsia" w:ascii="宋体" w:hAnsi="宋体" w:cs="宋体"/>
                <w:color w:val="auto"/>
                <w:sz w:val="21"/>
                <w:szCs w:val="21"/>
                <w:highlight w:val="none"/>
              </w:rPr>
            </w:pPr>
            <w:r>
              <w:rPr>
                <w:rFonts w:hint="eastAsia" w:ascii="宋体" w:hAnsi="宋体" w:cs="宋体"/>
                <w:color w:val="auto"/>
                <w:sz w:val="21"/>
                <w:szCs w:val="21"/>
                <w:highlight w:val="none"/>
              </w:rPr>
              <w:t>备注：</w:t>
            </w:r>
          </w:p>
          <w:p>
            <w:pPr>
              <w:spacing w:line="240" w:lineRule="atLeast"/>
              <w:rPr>
                <w:rFonts w:hint="eastAsia" w:ascii="宋体" w:hAnsi="宋体" w:cs="宋体"/>
                <w:color w:val="auto"/>
                <w:sz w:val="21"/>
                <w:szCs w:val="21"/>
                <w:highlight w:val="none"/>
              </w:rPr>
            </w:pPr>
          </w:p>
          <w:p>
            <w:pPr>
              <w:spacing w:line="240" w:lineRule="atLeast"/>
              <w:rPr>
                <w:rFonts w:hint="eastAsia" w:ascii="宋体" w:hAnsi="宋体" w:cs="宋体"/>
                <w:color w:val="auto"/>
                <w:sz w:val="21"/>
                <w:szCs w:val="21"/>
                <w:highlight w:val="none"/>
              </w:rPr>
            </w:pPr>
          </w:p>
        </w:tc>
      </w:tr>
    </w:tbl>
    <w:p>
      <w:pPr>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签约时间：           年   月   日      签约地点：</w:t>
      </w:r>
    </w:p>
    <w:p>
      <w:pPr>
        <w:widowControl/>
        <w:jc w:val="both"/>
        <w:rPr>
          <w:rFonts w:hint="eastAsia" w:ascii="宋体" w:hAnsi="宋体"/>
          <w:bCs/>
          <w:color w:val="auto"/>
          <w:szCs w:val="21"/>
          <w:highlight w:val="none"/>
        </w:rPr>
      </w:pPr>
      <w:r>
        <w:rPr>
          <w:rFonts w:ascii="宋体" w:hAnsi="宋体"/>
          <w:bCs/>
          <w:color w:val="auto"/>
          <w:szCs w:val="21"/>
          <w:highlight w:val="none"/>
        </w:rPr>
        <w:br w:type="page"/>
      </w:r>
    </w:p>
    <w:p>
      <w:pPr>
        <w:widowControl/>
        <w:jc w:val="left"/>
        <w:rPr>
          <w:rFonts w:hint="eastAsia" w:ascii="宋体" w:hAnsi="宋体"/>
          <w:bCs/>
          <w:color w:val="auto"/>
          <w:szCs w:val="21"/>
          <w:highlight w:val="none"/>
        </w:rPr>
      </w:pPr>
    </w:p>
    <w:p>
      <w:pPr>
        <w:rPr>
          <w:color w:val="auto"/>
          <w:highlight w:val="none"/>
        </w:rPr>
      </w:pPr>
    </w:p>
    <w:p>
      <w:pPr>
        <w:pStyle w:val="23"/>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方正小标宋_GBK" w:eastAsia="方正小标宋_GBK"/>
          <w:color w:val="auto"/>
          <w:highlight w:val="none"/>
        </w:rPr>
      </w:pPr>
      <w:bookmarkStart w:id="168" w:name="_Toc397585460"/>
      <w:bookmarkStart w:id="169" w:name="_Toc92355028"/>
      <w:r>
        <w:rPr>
          <w:rFonts w:hint="eastAsia" w:ascii="方正小标宋_GBK" w:hAnsi="方正小标宋_GBK" w:eastAsia="方正小标宋_GBK"/>
          <w:color w:val="auto"/>
          <w:highlight w:val="none"/>
        </w:rPr>
        <w:t>第六章  响应文件格式</w:t>
      </w:r>
      <w:bookmarkEnd w:id="168"/>
      <w:bookmarkEnd w:id="169"/>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70"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71"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71"/>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5"/>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72"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72"/>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73"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73"/>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74" w:name="_Hlk60836554"/>
      <w:r>
        <w:rPr>
          <w:rFonts w:hint="eastAsia" w:ascii="宋体" w:hAnsi="宋体"/>
          <w:bCs/>
          <w:color w:val="auto"/>
          <w:szCs w:val="21"/>
          <w:highlight w:val="none"/>
        </w:rPr>
        <w:t>（财库﹝2020﹞46号）</w:t>
      </w:r>
      <w:bookmarkEnd w:id="174"/>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75" w:name="_Hlk108682836"/>
      <w:r>
        <w:rPr>
          <w:rFonts w:hint="eastAsia" w:ascii="宋体" w:hAnsi="宋体"/>
          <w:bCs/>
          <w:color w:val="auto"/>
          <w:szCs w:val="21"/>
          <w:highlight w:val="none"/>
        </w:rPr>
        <w:t>服务全部由符合政策要求的中小企业承接</w:t>
      </w:r>
      <w:bookmarkEnd w:id="175"/>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76"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76"/>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77"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77"/>
      <w:r>
        <w:rPr>
          <w:rFonts w:hint="eastAsia" w:hAnsi="宋体"/>
          <w:bCs/>
          <w:color w:val="auto"/>
          <w:sz w:val="18"/>
          <w:szCs w:val="18"/>
          <w:highlight w:val="none"/>
        </w:rPr>
        <w:t>上一年度数据，无上一年度数据的新成立企业可不填报。</w:t>
      </w:r>
      <w:bookmarkEnd w:id="170"/>
    </w:p>
    <w:p>
      <w:pPr>
        <w:pStyle w:val="5"/>
        <w:rPr>
          <w:color w:val="auto"/>
          <w:highlight w:val="none"/>
        </w:rPr>
      </w:pPr>
      <w:r>
        <w:rPr>
          <w:color w:val="auto"/>
          <w:highlight w:val="none"/>
        </w:rPr>
        <w:br w:type="page"/>
      </w:r>
    </w:p>
    <w:tbl>
      <w:tblPr>
        <w:tblStyle w:val="36"/>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78" w:name="_Hlk147826091"/>
            <w:r>
              <w:rPr>
                <w:rFonts w:ascii="Helvetica" w:hAnsi="Helvetica" w:cs="Helvetica"/>
                <w:b/>
                <w:bCs/>
                <w:color w:val="auto"/>
                <w:kern w:val="0"/>
                <w:szCs w:val="21"/>
                <w:highlight w:val="none"/>
              </w:rPr>
              <w:t>大中小微型企业划分标准</w:t>
            </w:r>
          </w:p>
        </w:tc>
      </w:tr>
      <w:tr>
        <w:tblPrEx>
          <w:shd w:val="clear" w:color="auto" w:fill="FFFFFF"/>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79"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79"/>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78"/>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3"/>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80"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80"/>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81" w:name="_Hlk92702324"/>
      <w:r>
        <w:rPr>
          <w:rFonts w:hint="eastAsia" w:ascii="仿宋" w:hAnsi="仿宋" w:eastAsia="仿宋" w:cs="黑体"/>
          <w:b/>
          <w:color w:val="auto"/>
          <w:sz w:val="32"/>
          <w:szCs w:val="32"/>
          <w:highlight w:val="none"/>
        </w:rPr>
        <w:t>磋 商 函</w:t>
      </w:r>
      <w:bookmarkEnd w:id="18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3"/>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82"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82"/>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snapToGrid w:val="0"/>
        <w:spacing w:before="156" w:beforeLines="50" w:after="50" w:line="360" w:lineRule="exact"/>
        <w:jc w:val="center"/>
        <w:rPr>
          <w:rFonts w:ascii="仿宋" w:hAnsi="仿宋" w:eastAsia="仿宋"/>
          <w:color w:val="auto"/>
          <w:sz w:val="24"/>
          <w:highlight w:val="none"/>
        </w:rPr>
      </w:pPr>
      <w:r>
        <w:rPr>
          <w:rFonts w:hint="eastAsia" w:ascii="仿宋_GB2312" w:hAnsi="宋体" w:eastAsia="仿宋_GB2312"/>
          <w:b/>
          <w:color w:val="auto"/>
          <w:sz w:val="28"/>
          <w:szCs w:val="28"/>
          <w:highlight w:val="none"/>
        </w:rPr>
        <w:t>商务</w:t>
      </w:r>
      <w:r>
        <w:rPr>
          <w:rFonts w:hint="eastAsia" w:ascii="仿宋_GB2312" w:hAnsi="宋体" w:eastAsia="仿宋_GB2312"/>
          <w:b/>
          <w:color w:val="auto"/>
          <w:sz w:val="28"/>
          <w:szCs w:val="28"/>
          <w:highlight w:val="none"/>
          <w:lang w:val="en-US" w:eastAsia="zh-CN"/>
        </w:rPr>
        <w:t>技术</w:t>
      </w:r>
      <w:r>
        <w:rPr>
          <w:rFonts w:hint="eastAsia" w:ascii="仿宋_GB2312" w:hAnsi="宋体" w:eastAsia="仿宋_GB2312"/>
          <w:b/>
          <w:color w:val="auto"/>
          <w:sz w:val="28"/>
          <w:szCs w:val="28"/>
          <w:highlight w:val="none"/>
        </w:rPr>
        <w:t>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6"/>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2748"/>
        <w:gridCol w:w="15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采购文件要求</w:t>
            </w: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供应商的响应</w:t>
            </w: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b/>
                <w:color w:val="auto"/>
                <w:szCs w:val="21"/>
                <w:highlight w:val="none"/>
              </w:rPr>
            </w:pPr>
            <w:r>
              <w:rPr>
                <w:rFonts w:hint="eastAsia" w:ascii="宋体" w:hAnsi="宋体"/>
                <w:b/>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27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c>
          <w:tcPr>
            <w:tcW w:w="15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ascii="宋体" w:hAnsi="宋体"/>
                <w:color w:val="auto"/>
                <w:szCs w:val="21"/>
                <w:highlight w:val="none"/>
              </w:rPr>
            </w:pPr>
          </w:p>
        </w:tc>
      </w:tr>
    </w:tbl>
    <w:p>
      <w:pPr>
        <w:tabs>
          <w:tab w:val="left" w:pos="3870"/>
          <w:tab w:val="left" w:pos="4085"/>
        </w:tabs>
        <w:snapToGrid w:val="0"/>
        <w:spacing w:line="360" w:lineRule="exact"/>
        <w:rPr>
          <w:rFonts w:ascii="宋体" w:hAnsi="宋体"/>
          <w:b/>
          <w:color w:val="auto"/>
          <w:szCs w:val="21"/>
          <w:highlight w:val="none"/>
        </w:rPr>
      </w:pPr>
    </w:p>
    <w:p>
      <w:pPr>
        <w:rPr>
          <w:color w:val="auto"/>
          <w:highlight w:val="none"/>
        </w:rPr>
      </w:pPr>
      <w:r>
        <w:rPr>
          <w:rFonts w:hint="eastAsia"/>
          <w:color w:val="auto"/>
          <w:highlight w:val="none"/>
        </w:rPr>
        <w:t>注：</w:t>
      </w:r>
    </w:p>
    <w:p>
      <w:pPr>
        <w:rPr>
          <w:color w:val="auto"/>
          <w:szCs w:val="21"/>
          <w:highlight w:val="none"/>
        </w:rPr>
      </w:pPr>
      <w:r>
        <w:rPr>
          <w:rFonts w:hint="eastAsia"/>
          <w:color w:val="auto"/>
          <w:szCs w:val="21"/>
          <w:highlight w:val="none"/>
        </w:rPr>
        <w:t>1.应按采购文件“第二章 项目需求”中的要求具体条款修改并逐条作明确的竞标响应。</w:t>
      </w:r>
    </w:p>
    <w:p>
      <w:pPr>
        <w:rPr>
          <w:color w:val="auto"/>
          <w:szCs w:val="21"/>
          <w:highlight w:val="none"/>
        </w:rPr>
      </w:pPr>
      <w:r>
        <w:rPr>
          <w:rFonts w:hint="eastAsia"/>
          <w:color w:val="auto"/>
          <w:szCs w:val="21"/>
          <w:highlight w:val="none"/>
        </w:rPr>
        <w:t>2.供应商应根据自身的承诺，对照磋商文件要求，在“偏离说明”中注明“正偏离”、“负偏离”或者“无偏离”。既不属于“正偏离”也不属于“负偏离”即为“无偏离”。</w:t>
      </w:r>
    </w:p>
    <w:p>
      <w:pPr>
        <w:tabs>
          <w:tab w:val="left" w:pos="3870"/>
          <w:tab w:val="left" w:pos="4085"/>
        </w:tabs>
        <w:snapToGrid w:val="0"/>
        <w:spacing w:line="360" w:lineRule="exact"/>
        <w:rPr>
          <w:rFonts w:ascii="宋体" w:hAnsi="宋体"/>
          <w:b/>
          <w:color w:val="auto"/>
          <w:szCs w:val="21"/>
          <w:highlight w:val="none"/>
        </w:rPr>
      </w:pPr>
    </w:p>
    <w:p>
      <w:pPr>
        <w:spacing w:line="400" w:lineRule="exact"/>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Start w:id="183"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szCs w:val="21"/>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83"/>
    </w:p>
    <w:p>
      <w:pPr>
        <w:rPr>
          <w:color w:val="auto"/>
          <w:highlight w:val="none"/>
        </w:rPr>
      </w:pPr>
    </w:p>
    <w:p>
      <w:pPr>
        <w:rPr>
          <w:color w:val="auto"/>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6"/>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76"/>
        <w:gridCol w:w="1594"/>
        <w:gridCol w:w="956"/>
        <w:gridCol w:w="19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276"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1594" w:type="dxa"/>
            <w:vAlign w:val="center"/>
          </w:tcPr>
          <w:p>
            <w:pPr>
              <w:autoSpaceDE w:val="0"/>
              <w:autoSpaceDN w:val="0"/>
              <w:adjustRightInd w:val="0"/>
              <w:jc w:val="center"/>
              <w:rPr>
                <w:rFonts w:hint="eastAsia" w:ascii="宋体" w:hAnsi="宋体"/>
                <w:color w:val="auto"/>
                <w:highlight w:val="none"/>
              </w:rPr>
            </w:pPr>
            <w:r>
              <w:rPr>
                <w:rFonts w:hint="eastAsia" w:ascii="宋体" w:hAnsi="宋体"/>
                <w:color w:val="auto"/>
                <w:highlight w:val="none"/>
              </w:rPr>
              <w:t>身份证号</w:t>
            </w:r>
          </w:p>
        </w:tc>
        <w:tc>
          <w:tcPr>
            <w:tcW w:w="956"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191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c>
          <w:tcPr>
            <w:tcW w:w="1606"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79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276" w:type="dxa"/>
            <w:vAlign w:val="center"/>
          </w:tcPr>
          <w:p>
            <w:pPr>
              <w:autoSpaceDE w:val="0"/>
              <w:autoSpaceDN w:val="0"/>
              <w:adjustRightInd w:val="0"/>
              <w:rPr>
                <w:rFonts w:hint="eastAsia" w:ascii="宋体" w:hAnsi="宋体"/>
                <w:color w:val="auto"/>
                <w:highlight w:val="none"/>
                <w:lang w:val="zh-CN"/>
              </w:rPr>
            </w:pPr>
          </w:p>
        </w:tc>
        <w:tc>
          <w:tcPr>
            <w:tcW w:w="1594" w:type="dxa"/>
          </w:tcPr>
          <w:p>
            <w:pPr>
              <w:autoSpaceDE w:val="0"/>
              <w:autoSpaceDN w:val="0"/>
              <w:adjustRightInd w:val="0"/>
              <w:rPr>
                <w:rFonts w:hint="eastAsia" w:ascii="宋体" w:hAnsi="宋体"/>
                <w:color w:val="auto"/>
                <w:highlight w:val="none"/>
                <w:lang w:val="zh-CN"/>
              </w:rPr>
            </w:pPr>
          </w:p>
        </w:tc>
        <w:tc>
          <w:tcPr>
            <w:tcW w:w="956" w:type="dxa"/>
          </w:tcPr>
          <w:p>
            <w:pPr>
              <w:autoSpaceDE w:val="0"/>
              <w:autoSpaceDN w:val="0"/>
              <w:adjustRightInd w:val="0"/>
              <w:rPr>
                <w:rFonts w:hint="eastAsia" w:ascii="宋体" w:hAnsi="宋体"/>
                <w:color w:val="auto"/>
                <w:highlight w:val="none"/>
                <w:lang w:val="zh-CN"/>
              </w:rPr>
            </w:pPr>
          </w:p>
        </w:tc>
        <w:tc>
          <w:tcPr>
            <w:tcW w:w="1914" w:type="dxa"/>
          </w:tcPr>
          <w:p>
            <w:pPr>
              <w:autoSpaceDE w:val="0"/>
              <w:autoSpaceDN w:val="0"/>
              <w:adjustRightInd w:val="0"/>
              <w:rPr>
                <w:rFonts w:hint="eastAsia" w:ascii="宋体" w:hAnsi="宋体"/>
                <w:color w:val="auto"/>
                <w:highlight w:val="none"/>
                <w:lang w:val="zh-CN"/>
              </w:rPr>
            </w:pPr>
          </w:p>
        </w:tc>
        <w:tc>
          <w:tcPr>
            <w:tcW w:w="1606"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79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276" w:type="dxa"/>
            <w:vAlign w:val="center"/>
          </w:tcPr>
          <w:p>
            <w:pPr>
              <w:autoSpaceDE w:val="0"/>
              <w:autoSpaceDN w:val="0"/>
              <w:adjustRightInd w:val="0"/>
              <w:rPr>
                <w:rFonts w:hint="eastAsia" w:ascii="宋体" w:hAnsi="宋体"/>
                <w:color w:val="auto"/>
                <w:highlight w:val="none"/>
                <w:lang w:val="zh-CN"/>
              </w:rPr>
            </w:pPr>
          </w:p>
        </w:tc>
        <w:tc>
          <w:tcPr>
            <w:tcW w:w="1594" w:type="dxa"/>
          </w:tcPr>
          <w:p>
            <w:pPr>
              <w:autoSpaceDE w:val="0"/>
              <w:autoSpaceDN w:val="0"/>
              <w:adjustRightInd w:val="0"/>
              <w:rPr>
                <w:rFonts w:hint="eastAsia" w:ascii="宋体" w:hAnsi="宋体"/>
                <w:color w:val="auto"/>
                <w:highlight w:val="none"/>
                <w:lang w:val="zh-CN"/>
              </w:rPr>
            </w:pPr>
          </w:p>
        </w:tc>
        <w:tc>
          <w:tcPr>
            <w:tcW w:w="956" w:type="dxa"/>
          </w:tcPr>
          <w:p>
            <w:pPr>
              <w:autoSpaceDE w:val="0"/>
              <w:autoSpaceDN w:val="0"/>
              <w:adjustRightInd w:val="0"/>
              <w:rPr>
                <w:rFonts w:hint="eastAsia" w:ascii="宋体" w:hAnsi="宋体"/>
                <w:color w:val="auto"/>
                <w:highlight w:val="none"/>
                <w:lang w:val="zh-CN"/>
              </w:rPr>
            </w:pPr>
          </w:p>
        </w:tc>
        <w:tc>
          <w:tcPr>
            <w:tcW w:w="1914" w:type="dxa"/>
          </w:tcPr>
          <w:p>
            <w:pPr>
              <w:autoSpaceDE w:val="0"/>
              <w:autoSpaceDN w:val="0"/>
              <w:adjustRightInd w:val="0"/>
              <w:rPr>
                <w:rFonts w:hint="eastAsia" w:ascii="宋体" w:hAnsi="宋体"/>
                <w:color w:val="auto"/>
                <w:highlight w:val="none"/>
                <w:lang w:val="zh-CN"/>
              </w:rPr>
            </w:pPr>
          </w:p>
        </w:tc>
        <w:tc>
          <w:tcPr>
            <w:tcW w:w="1606"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79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276" w:type="dxa"/>
            <w:vAlign w:val="center"/>
          </w:tcPr>
          <w:p>
            <w:pPr>
              <w:autoSpaceDE w:val="0"/>
              <w:autoSpaceDN w:val="0"/>
              <w:adjustRightInd w:val="0"/>
              <w:rPr>
                <w:rFonts w:hint="eastAsia" w:ascii="宋体" w:hAnsi="宋体"/>
                <w:color w:val="auto"/>
                <w:highlight w:val="none"/>
                <w:lang w:val="zh-CN"/>
              </w:rPr>
            </w:pPr>
          </w:p>
        </w:tc>
        <w:tc>
          <w:tcPr>
            <w:tcW w:w="1594" w:type="dxa"/>
          </w:tcPr>
          <w:p>
            <w:pPr>
              <w:autoSpaceDE w:val="0"/>
              <w:autoSpaceDN w:val="0"/>
              <w:adjustRightInd w:val="0"/>
              <w:rPr>
                <w:rFonts w:hint="eastAsia" w:ascii="宋体" w:hAnsi="宋体"/>
                <w:color w:val="auto"/>
                <w:highlight w:val="none"/>
                <w:lang w:val="zh-CN"/>
              </w:rPr>
            </w:pPr>
          </w:p>
        </w:tc>
        <w:tc>
          <w:tcPr>
            <w:tcW w:w="956" w:type="dxa"/>
          </w:tcPr>
          <w:p>
            <w:pPr>
              <w:autoSpaceDE w:val="0"/>
              <w:autoSpaceDN w:val="0"/>
              <w:adjustRightInd w:val="0"/>
              <w:rPr>
                <w:rFonts w:hint="eastAsia" w:ascii="宋体" w:hAnsi="宋体"/>
                <w:color w:val="auto"/>
                <w:highlight w:val="none"/>
                <w:lang w:val="zh-CN"/>
              </w:rPr>
            </w:pPr>
          </w:p>
        </w:tc>
        <w:tc>
          <w:tcPr>
            <w:tcW w:w="1914" w:type="dxa"/>
          </w:tcPr>
          <w:p>
            <w:pPr>
              <w:autoSpaceDE w:val="0"/>
              <w:autoSpaceDN w:val="0"/>
              <w:adjustRightInd w:val="0"/>
              <w:rPr>
                <w:rFonts w:hint="eastAsia" w:ascii="宋体" w:hAnsi="宋体"/>
                <w:color w:val="auto"/>
                <w:highlight w:val="none"/>
                <w:lang w:val="zh-CN"/>
              </w:rPr>
            </w:pPr>
          </w:p>
        </w:tc>
        <w:tc>
          <w:tcPr>
            <w:tcW w:w="1606"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jc w:val="center"/>
        </w:trPr>
        <w:tc>
          <w:tcPr>
            <w:tcW w:w="79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276" w:type="dxa"/>
          </w:tcPr>
          <w:p>
            <w:pPr>
              <w:autoSpaceDE w:val="0"/>
              <w:autoSpaceDN w:val="0"/>
              <w:adjustRightInd w:val="0"/>
              <w:rPr>
                <w:rFonts w:hint="eastAsia" w:ascii="宋体" w:hAnsi="宋体"/>
                <w:color w:val="auto"/>
                <w:highlight w:val="none"/>
                <w:lang w:val="zh-CN"/>
              </w:rPr>
            </w:pPr>
          </w:p>
        </w:tc>
        <w:tc>
          <w:tcPr>
            <w:tcW w:w="1594" w:type="dxa"/>
          </w:tcPr>
          <w:p>
            <w:pPr>
              <w:autoSpaceDE w:val="0"/>
              <w:autoSpaceDN w:val="0"/>
              <w:adjustRightInd w:val="0"/>
              <w:rPr>
                <w:rFonts w:hint="eastAsia" w:ascii="宋体" w:hAnsi="宋体"/>
                <w:color w:val="auto"/>
                <w:highlight w:val="none"/>
                <w:lang w:val="zh-CN"/>
              </w:rPr>
            </w:pPr>
          </w:p>
        </w:tc>
        <w:tc>
          <w:tcPr>
            <w:tcW w:w="956" w:type="dxa"/>
          </w:tcPr>
          <w:p>
            <w:pPr>
              <w:autoSpaceDE w:val="0"/>
              <w:autoSpaceDN w:val="0"/>
              <w:adjustRightInd w:val="0"/>
              <w:rPr>
                <w:rFonts w:hint="eastAsia" w:ascii="宋体" w:hAnsi="宋体"/>
                <w:color w:val="auto"/>
                <w:highlight w:val="none"/>
                <w:lang w:val="zh-CN"/>
              </w:rPr>
            </w:pPr>
          </w:p>
        </w:tc>
        <w:tc>
          <w:tcPr>
            <w:tcW w:w="1914" w:type="dxa"/>
          </w:tcPr>
          <w:p>
            <w:pPr>
              <w:autoSpaceDE w:val="0"/>
              <w:autoSpaceDN w:val="0"/>
              <w:adjustRightInd w:val="0"/>
              <w:rPr>
                <w:rFonts w:hint="eastAsia" w:ascii="宋体" w:hAnsi="宋体"/>
                <w:color w:val="auto"/>
                <w:highlight w:val="none"/>
                <w:lang w:val="zh-CN"/>
              </w:rPr>
            </w:pPr>
          </w:p>
        </w:tc>
        <w:tc>
          <w:tcPr>
            <w:tcW w:w="1606"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rFonts w:hint="eastAsia" w:ascii="宋体" w:hAnsi="宋体"/>
          <w:bCs/>
          <w:color w:val="auto"/>
          <w:highlight w:val="none"/>
        </w:rPr>
      </w:pPr>
      <w:r>
        <w:rPr>
          <w:rFonts w:hint="eastAsia" w:ascii="宋体" w:hAnsi="宋体"/>
          <w:bCs/>
          <w:color w:val="auto"/>
          <w:highlight w:val="none"/>
          <w:lang w:val="zh-CN"/>
        </w:rPr>
        <w:t>注:</w:t>
      </w:r>
      <w:r>
        <w:rPr>
          <w:rFonts w:hint="eastAsia" w:ascii="宋体" w:hAnsi="宋体"/>
          <w:bCs/>
          <w:color w:val="auto"/>
          <w:highlight w:val="none"/>
          <w:lang w:val="en-US" w:eastAsia="zh-CN"/>
        </w:rPr>
        <w:t>1.</w:t>
      </w:r>
      <w:r>
        <w:rPr>
          <w:rFonts w:hint="eastAsia" w:ascii="宋体" w:hAnsi="宋体"/>
          <w:bCs/>
          <w:color w:val="auto"/>
          <w:highlight w:val="none"/>
          <w:lang w:val="zh-CN"/>
        </w:rPr>
        <w:t>应</w:t>
      </w:r>
      <w:r>
        <w:rPr>
          <w:rFonts w:hint="eastAsia" w:ascii="宋体" w:hAnsi="宋体"/>
          <w:bCs/>
          <w:color w:val="auto"/>
          <w:highlight w:val="none"/>
        </w:rPr>
        <w:t>提供所配置人员姓名、身份证、岗位、职称等证明材料。</w:t>
      </w:r>
    </w:p>
    <w:p>
      <w:pPr>
        <w:ind w:firstLine="420" w:firstLineChars="200"/>
        <w:rPr>
          <w:rFonts w:hint="default" w:eastAsia="宋体"/>
          <w:highlight w:val="none"/>
          <w:lang w:val="en-US" w:eastAsia="zh-CN"/>
        </w:rPr>
      </w:pPr>
      <w:r>
        <w:rPr>
          <w:rFonts w:hint="eastAsia"/>
          <w:highlight w:val="none"/>
          <w:lang w:val="en-US" w:eastAsia="zh-CN"/>
        </w:rPr>
        <w:t>2.</w:t>
      </w:r>
      <w:r>
        <w:rPr>
          <w:rFonts w:hint="eastAsia" w:ascii="宋体" w:hAnsi="宋体" w:cs="宋体"/>
          <w:color w:val="auto"/>
          <w:szCs w:val="21"/>
          <w:highlight w:val="none"/>
        </w:rPr>
        <w:t>由供应商根据本项目采购需求填写</w:t>
      </w:r>
    </w:p>
    <w:p>
      <w:pPr>
        <w:rPr>
          <w:color w:val="auto"/>
          <w:highlight w:val="none"/>
        </w:rPr>
      </w:pP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66"/>
    <w:bookmarkEnd w:id="67"/>
    <w:bookmarkEnd w:id="68"/>
    <w:bookmarkEnd w:id="69"/>
    <w:p>
      <w:pPr>
        <w:snapToGrid w:val="0"/>
        <w:spacing w:before="50" w:after="50" w:line="320" w:lineRule="exact"/>
        <w:ind w:right="-817" w:rightChars="-389"/>
        <w:rPr>
          <w:color w:val="auto"/>
          <w:highlight w:val="none"/>
        </w:rPr>
      </w:pPr>
    </w:p>
    <w:p>
      <w:pPr>
        <w:snapToGrid w:val="0"/>
        <w:spacing w:before="50" w:after="50" w:line="350" w:lineRule="exact"/>
        <w:ind w:right="-817" w:rightChars="-389"/>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6"/>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3"/>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3"/>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3"/>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9" w:usb3="00000000" w:csb0="000001FF" w:csb1="00000000"/>
  </w:font>
  <w:font w:name="Adobe 仿宋 Std R">
    <w:altName w:val="仿宋"/>
    <w:panose1 w:val="02020400000000000000"/>
    <w:charset w:val="86"/>
    <w:family w:val="roman"/>
    <w:pitch w:val="default"/>
    <w:sig w:usb0="00000000" w:usb1="00000000" w:usb2="00000016" w:usb3="00000000" w:csb0="00060007" w:csb1="00000000"/>
  </w:font>
  <w:font w:name="Adobe Caslon Pro">
    <w:altName w:val="Times New Roman"/>
    <w:panose1 w:val="00000000000000000000"/>
    <w:charset w:val="00"/>
    <w:family w:val="roman"/>
    <w:pitch w:val="default"/>
    <w:sig w:usb0="00000000" w:usb1="00000000" w:usb2="00000000" w:usb3="00000000" w:csb0="0000009B"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
          <w:jc w:val="center"/>
        </w:pPr>
        <w:r>
          <w:fldChar w:fldCharType="begin"/>
        </w:r>
        <w:r>
          <w:instrText xml:space="preserve">PAGE   \* MERGEFORMAT</w:instrText>
        </w:r>
        <w:r>
          <w:fldChar w:fldCharType="separate"/>
        </w:r>
        <w: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r>
      <w:rPr>
        <w:rFonts w:hint="eastAsia"/>
      </w:rPr>
      <w:t xml:space="preserve">钦州市政府采购中心                  </w:t>
    </w:r>
    <w:r>
      <w:t xml:space="preserve">     </w:t>
    </w:r>
    <w:r>
      <w:rPr>
        <w:rFonts w:hint="eastAsia"/>
        <w:lang w:val="en-US" w:eastAsia="zh-CN"/>
      </w:rPr>
      <w:t xml:space="preserve">          </w:t>
    </w:r>
    <w:r>
      <w:rPr>
        <w:rFonts w:hint="eastAsia"/>
        <w:lang w:eastAsia="zh-CN"/>
      </w:rPr>
      <w:t>中共浦北县纪律检查委员会物业服务</w:t>
    </w:r>
    <w:r>
      <w:rPr>
        <w:rFonts w:hint="eastAsia"/>
      </w:rPr>
      <w:t>(</w:t>
    </w:r>
    <w:r>
      <w:rPr>
        <w:rFonts w:hint="eastAsia"/>
        <w:lang w:eastAsia="zh-CN"/>
      </w:rPr>
      <w:t>QZZC2025-C3-220201-QZSZ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chineseCountingThousand"/>
      <w:pStyle w:val="21"/>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7"/>
      <w:suff w:val="nothing"/>
      <w:lvlText w:val=""/>
      <w:lvlJc w:val="left"/>
      <w:pPr>
        <w:ind w:left="142" w:firstLine="0"/>
      </w:pPr>
      <w:rPr>
        <w:rFonts w:hint="eastAsia"/>
      </w:rPr>
    </w:lvl>
    <w:lvl w:ilvl="5" w:tentative="0">
      <w:start w:val="1"/>
      <w:numFmt w:val="none"/>
      <w:pStyle w:val="9"/>
      <w:suff w:val="nothing"/>
      <w:lvlText w:val=""/>
      <w:lvlJc w:val="left"/>
      <w:pPr>
        <w:ind w:left="142" w:firstLine="0"/>
      </w:pPr>
      <w:rPr>
        <w:rFonts w:hint="eastAsia"/>
      </w:rPr>
    </w:lvl>
    <w:lvl w:ilvl="6" w:tentative="0">
      <w:start w:val="1"/>
      <w:numFmt w:val="none"/>
      <w:pStyle w:val="10"/>
      <w:suff w:val="nothing"/>
      <w:lvlText w:val=""/>
      <w:lvlJc w:val="left"/>
      <w:pPr>
        <w:ind w:left="142" w:firstLine="0"/>
      </w:pPr>
      <w:rPr>
        <w:rFonts w:hint="eastAsia"/>
      </w:rPr>
    </w:lvl>
    <w:lvl w:ilvl="7" w:tentative="0">
      <w:start w:val="1"/>
      <w:numFmt w:val="none"/>
      <w:pStyle w:val="11"/>
      <w:suff w:val="nothing"/>
      <w:lvlText w:val=""/>
      <w:lvlJc w:val="left"/>
      <w:pPr>
        <w:ind w:left="142" w:firstLine="0"/>
      </w:pPr>
      <w:rPr>
        <w:rFonts w:hint="eastAsia"/>
      </w:rPr>
    </w:lvl>
    <w:lvl w:ilvl="8" w:tentative="0">
      <w:start w:val="1"/>
      <w:numFmt w:val="none"/>
      <w:pStyle w:val="12"/>
      <w:suff w:val="nothing"/>
      <w:lvlText w:val=""/>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FB5C4F"/>
    <w:rsid w:val="024856FF"/>
    <w:rsid w:val="0256548E"/>
    <w:rsid w:val="02890D36"/>
    <w:rsid w:val="029370C7"/>
    <w:rsid w:val="02FF41F8"/>
    <w:rsid w:val="0314419D"/>
    <w:rsid w:val="03D02352"/>
    <w:rsid w:val="03D12F2D"/>
    <w:rsid w:val="043D54AA"/>
    <w:rsid w:val="04E24159"/>
    <w:rsid w:val="04E81B1A"/>
    <w:rsid w:val="05097AD0"/>
    <w:rsid w:val="05CC0E93"/>
    <w:rsid w:val="06443FD4"/>
    <w:rsid w:val="06BC30FE"/>
    <w:rsid w:val="06CE6AAB"/>
    <w:rsid w:val="07277E4A"/>
    <w:rsid w:val="07DF41B5"/>
    <w:rsid w:val="08073E22"/>
    <w:rsid w:val="08822685"/>
    <w:rsid w:val="08FA104A"/>
    <w:rsid w:val="08FA57C7"/>
    <w:rsid w:val="094F4632"/>
    <w:rsid w:val="09AA1547"/>
    <w:rsid w:val="09BD0CF2"/>
    <w:rsid w:val="09DA28B7"/>
    <w:rsid w:val="0A765FB8"/>
    <w:rsid w:val="0A814349"/>
    <w:rsid w:val="0AF8308E"/>
    <w:rsid w:val="0B175B42"/>
    <w:rsid w:val="0B917C9E"/>
    <w:rsid w:val="0C451852"/>
    <w:rsid w:val="0C483CB5"/>
    <w:rsid w:val="0C5F0057"/>
    <w:rsid w:val="0C7B2BAB"/>
    <w:rsid w:val="0CAC63B5"/>
    <w:rsid w:val="0CB91991"/>
    <w:rsid w:val="0D871859"/>
    <w:rsid w:val="0D8D654B"/>
    <w:rsid w:val="0DA914DF"/>
    <w:rsid w:val="0E263246"/>
    <w:rsid w:val="0E3015D7"/>
    <w:rsid w:val="0E6A02CB"/>
    <w:rsid w:val="0F494A11"/>
    <w:rsid w:val="0FCB3DF0"/>
    <w:rsid w:val="101500B2"/>
    <w:rsid w:val="101F6B88"/>
    <w:rsid w:val="10507C42"/>
    <w:rsid w:val="105A7962"/>
    <w:rsid w:val="109C3C4F"/>
    <w:rsid w:val="114F5A7F"/>
    <w:rsid w:val="115C57C9"/>
    <w:rsid w:val="11F62C07"/>
    <w:rsid w:val="124F3295"/>
    <w:rsid w:val="128F7902"/>
    <w:rsid w:val="135670F6"/>
    <w:rsid w:val="13737B75"/>
    <w:rsid w:val="13B43E61"/>
    <w:rsid w:val="147719A1"/>
    <w:rsid w:val="148C1946"/>
    <w:rsid w:val="14B8240A"/>
    <w:rsid w:val="154C7218"/>
    <w:rsid w:val="15526FA4"/>
    <w:rsid w:val="16323F16"/>
    <w:rsid w:val="167313DE"/>
    <w:rsid w:val="17707100"/>
    <w:rsid w:val="17853822"/>
    <w:rsid w:val="17B76C6E"/>
    <w:rsid w:val="17E06C0C"/>
    <w:rsid w:val="18947263"/>
    <w:rsid w:val="196C5A40"/>
    <w:rsid w:val="19770090"/>
    <w:rsid w:val="198463D0"/>
    <w:rsid w:val="19C2556A"/>
    <w:rsid w:val="19C41B53"/>
    <w:rsid w:val="19F54EE4"/>
    <w:rsid w:val="1A0F5CD3"/>
    <w:rsid w:val="1A2608F3"/>
    <w:rsid w:val="1A336B23"/>
    <w:rsid w:val="1AAA13A8"/>
    <w:rsid w:val="1BCD57AB"/>
    <w:rsid w:val="1C0E1A98"/>
    <w:rsid w:val="1C1608F5"/>
    <w:rsid w:val="1C490289"/>
    <w:rsid w:val="1C6F4FB4"/>
    <w:rsid w:val="1C741C6E"/>
    <w:rsid w:val="1C953FDB"/>
    <w:rsid w:val="1CA6768D"/>
    <w:rsid w:val="1CDB5968"/>
    <w:rsid w:val="1CE84E05"/>
    <w:rsid w:val="1D1F6145"/>
    <w:rsid w:val="1D54432D"/>
    <w:rsid w:val="1E1C7899"/>
    <w:rsid w:val="1E2D620F"/>
    <w:rsid w:val="1E422931"/>
    <w:rsid w:val="1E8B115D"/>
    <w:rsid w:val="1EB65B04"/>
    <w:rsid w:val="1F15070B"/>
    <w:rsid w:val="1F5E4382"/>
    <w:rsid w:val="1F8F2FC4"/>
    <w:rsid w:val="202F1B31"/>
    <w:rsid w:val="20325EC0"/>
    <w:rsid w:val="203C3C25"/>
    <w:rsid w:val="20621846"/>
    <w:rsid w:val="208244E5"/>
    <w:rsid w:val="210D14B3"/>
    <w:rsid w:val="21BD09EA"/>
    <w:rsid w:val="21C734F7"/>
    <w:rsid w:val="21D2510C"/>
    <w:rsid w:val="22B60C01"/>
    <w:rsid w:val="23157CA6"/>
    <w:rsid w:val="231879A1"/>
    <w:rsid w:val="239A46F7"/>
    <w:rsid w:val="23A75287"/>
    <w:rsid w:val="2411343C"/>
    <w:rsid w:val="243B61B6"/>
    <w:rsid w:val="249F6523"/>
    <w:rsid w:val="24B47DBA"/>
    <w:rsid w:val="25B84A72"/>
    <w:rsid w:val="2699467B"/>
    <w:rsid w:val="26CA35AD"/>
    <w:rsid w:val="26D4793C"/>
    <w:rsid w:val="27202D3F"/>
    <w:rsid w:val="27AE76D8"/>
    <w:rsid w:val="27DC6979"/>
    <w:rsid w:val="285D7946"/>
    <w:rsid w:val="28B1694E"/>
    <w:rsid w:val="28BC0562"/>
    <w:rsid w:val="29747D10"/>
    <w:rsid w:val="2A2D713F"/>
    <w:rsid w:val="2A423861"/>
    <w:rsid w:val="2A63541A"/>
    <w:rsid w:val="2A8F5EDF"/>
    <w:rsid w:val="2AA84B6D"/>
    <w:rsid w:val="2ABF0192"/>
    <w:rsid w:val="2AFB6893"/>
    <w:rsid w:val="2B173BBD"/>
    <w:rsid w:val="2B937D0B"/>
    <w:rsid w:val="2BC039DE"/>
    <w:rsid w:val="2D59217E"/>
    <w:rsid w:val="2DA55B88"/>
    <w:rsid w:val="2E085603"/>
    <w:rsid w:val="2E1E06B9"/>
    <w:rsid w:val="2EB61B31"/>
    <w:rsid w:val="2EF8259B"/>
    <w:rsid w:val="2F064E19"/>
    <w:rsid w:val="2F2164C7"/>
    <w:rsid w:val="2F2954D5"/>
    <w:rsid w:val="2F665BC2"/>
    <w:rsid w:val="2F9959A7"/>
    <w:rsid w:val="2FDE4A00"/>
    <w:rsid w:val="30A957E4"/>
    <w:rsid w:val="30C56DD2"/>
    <w:rsid w:val="310D1C85"/>
    <w:rsid w:val="315B4C0E"/>
    <w:rsid w:val="31843689"/>
    <w:rsid w:val="3198766B"/>
    <w:rsid w:val="319D0DD6"/>
    <w:rsid w:val="31C83526"/>
    <w:rsid w:val="3207227B"/>
    <w:rsid w:val="32A81A27"/>
    <w:rsid w:val="32DE1F01"/>
    <w:rsid w:val="32FD27B6"/>
    <w:rsid w:val="331630E9"/>
    <w:rsid w:val="335A6D42"/>
    <w:rsid w:val="335F6FD7"/>
    <w:rsid w:val="339C0F65"/>
    <w:rsid w:val="346C040E"/>
    <w:rsid w:val="34C131AF"/>
    <w:rsid w:val="34E87C04"/>
    <w:rsid w:val="35476355"/>
    <w:rsid w:val="356928AF"/>
    <w:rsid w:val="35D579E0"/>
    <w:rsid w:val="35DB17EF"/>
    <w:rsid w:val="36013D27"/>
    <w:rsid w:val="36025D97"/>
    <w:rsid w:val="369C19A7"/>
    <w:rsid w:val="36DB3EF8"/>
    <w:rsid w:val="36E47B9D"/>
    <w:rsid w:val="37110C64"/>
    <w:rsid w:val="37FA7E0B"/>
    <w:rsid w:val="38120C8C"/>
    <w:rsid w:val="3859271F"/>
    <w:rsid w:val="38733E42"/>
    <w:rsid w:val="38C2712E"/>
    <w:rsid w:val="38C36DAE"/>
    <w:rsid w:val="39471586"/>
    <w:rsid w:val="39A62C24"/>
    <w:rsid w:val="39A743DD"/>
    <w:rsid w:val="39DF7ECE"/>
    <w:rsid w:val="3A29797A"/>
    <w:rsid w:val="3A3E409C"/>
    <w:rsid w:val="3A5B7D04"/>
    <w:rsid w:val="3A921FAD"/>
    <w:rsid w:val="3AC53AEC"/>
    <w:rsid w:val="3AED3733"/>
    <w:rsid w:val="3B1D351E"/>
    <w:rsid w:val="3B2575DE"/>
    <w:rsid w:val="3B365BA1"/>
    <w:rsid w:val="3C682428"/>
    <w:rsid w:val="3D417B8C"/>
    <w:rsid w:val="3D4402AC"/>
    <w:rsid w:val="3D4C5F1D"/>
    <w:rsid w:val="3DBD57D3"/>
    <w:rsid w:val="3E1A5671"/>
    <w:rsid w:val="3E667CEF"/>
    <w:rsid w:val="3ED34AA0"/>
    <w:rsid w:val="3EF73899"/>
    <w:rsid w:val="3F2A54AE"/>
    <w:rsid w:val="3F6E789D"/>
    <w:rsid w:val="3FE04FF8"/>
    <w:rsid w:val="3FED2FEE"/>
    <w:rsid w:val="3FF403FA"/>
    <w:rsid w:val="40B118C6"/>
    <w:rsid w:val="40EB11DB"/>
    <w:rsid w:val="412874F2"/>
    <w:rsid w:val="42014C57"/>
    <w:rsid w:val="42161379"/>
    <w:rsid w:val="42323CE4"/>
    <w:rsid w:val="42AF6075"/>
    <w:rsid w:val="42B34A7B"/>
    <w:rsid w:val="42CF43AB"/>
    <w:rsid w:val="42EE6E5E"/>
    <w:rsid w:val="43204EC2"/>
    <w:rsid w:val="43886C2E"/>
    <w:rsid w:val="43C845C3"/>
    <w:rsid w:val="44003C7A"/>
    <w:rsid w:val="44C6048B"/>
    <w:rsid w:val="45123FBD"/>
    <w:rsid w:val="45570552"/>
    <w:rsid w:val="45CF5A88"/>
    <w:rsid w:val="46737A24"/>
    <w:rsid w:val="46BE7533"/>
    <w:rsid w:val="46CA0433"/>
    <w:rsid w:val="48516FB5"/>
    <w:rsid w:val="487A3ABB"/>
    <w:rsid w:val="48B459D5"/>
    <w:rsid w:val="48FF5A97"/>
    <w:rsid w:val="49497D40"/>
    <w:rsid w:val="4A5E657A"/>
    <w:rsid w:val="4A9216E3"/>
    <w:rsid w:val="4AE820F1"/>
    <w:rsid w:val="4B187630"/>
    <w:rsid w:val="4CDB1823"/>
    <w:rsid w:val="4CFC1B5C"/>
    <w:rsid w:val="4D7917CC"/>
    <w:rsid w:val="4DCE7D2A"/>
    <w:rsid w:val="4E6310F5"/>
    <w:rsid w:val="4E634927"/>
    <w:rsid w:val="4F105D44"/>
    <w:rsid w:val="4F355850"/>
    <w:rsid w:val="4F5C4B3F"/>
    <w:rsid w:val="4F8B14B0"/>
    <w:rsid w:val="4FB671CF"/>
    <w:rsid w:val="4FEE276A"/>
    <w:rsid w:val="4FFD7F4B"/>
    <w:rsid w:val="501F5F01"/>
    <w:rsid w:val="50BF05A8"/>
    <w:rsid w:val="510B4B12"/>
    <w:rsid w:val="52077FA0"/>
    <w:rsid w:val="52F61E27"/>
    <w:rsid w:val="53EB4DFF"/>
    <w:rsid w:val="545C4144"/>
    <w:rsid w:val="545C6276"/>
    <w:rsid w:val="54DD6AF9"/>
    <w:rsid w:val="54FC257C"/>
    <w:rsid w:val="556C60B3"/>
    <w:rsid w:val="561A74D1"/>
    <w:rsid w:val="567339FC"/>
    <w:rsid w:val="57283E0B"/>
    <w:rsid w:val="574A1DC1"/>
    <w:rsid w:val="57C00B06"/>
    <w:rsid w:val="57CC0FC7"/>
    <w:rsid w:val="58021570"/>
    <w:rsid w:val="580E5197"/>
    <w:rsid w:val="5831455A"/>
    <w:rsid w:val="58551BDD"/>
    <w:rsid w:val="5863030F"/>
    <w:rsid w:val="58742DAA"/>
    <w:rsid w:val="5906339C"/>
    <w:rsid w:val="592616D2"/>
    <w:rsid w:val="59341B00"/>
    <w:rsid w:val="594971F2"/>
    <w:rsid w:val="59DE0E81"/>
    <w:rsid w:val="59F55223"/>
    <w:rsid w:val="59FF35B4"/>
    <w:rsid w:val="5A166E71"/>
    <w:rsid w:val="5AE470AA"/>
    <w:rsid w:val="5B1809D8"/>
    <w:rsid w:val="5B301727"/>
    <w:rsid w:val="5B5A5DEF"/>
    <w:rsid w:val="5BC56904"/>
    <w:rsid w:val="5BD95932"/>
    <w:rsid w:val="5C0A6E8C"/>
    <w:rsid w:val="5CEC2D02"/>
    <w:rsid w:val="5D2353DA"/>
    <w:rsid w:val="5DE83E9E"/>
    <w:rsid w:val="5EBC3A41"/>
    <w:rsid w:val="5F300BFA"/>
    <w:rsid w:val="5F3518A0"/>
    <w:rsid w:val="5F6D531F"/>
    <w:rsid w:val="5FAE2505"/>
    <w:rsid w:val="5FE00EBE"/>
    <w:rsid w:val="60056797"/>
    <w:rsid w:val="60BA67A8"/>
    <w:rsid w:val="60DA3791"/>
    <w:rsid w:val="61094D40"/>
    <w:rsid w:val="614172DE"/>
    <w:rsid w:val="6160574F"/>
    <w:rsid w:val="62E35058"/>
    <w:rsid w:val="636A546F"/>
    <w:rsid w:val="643C6AED"/>
    <w:rsid w:val="6480268E"/>
    <w:rsid w:val="6511265D"/>
    <w:rsid w:val="651C4271"/>
    <w:rsid w:val="653D3A96"/>
    <w:rsid w:val="65767F1F"/>
    <w:rsid w:val="65A93AD5"/>
    <w:rsid w:val="662B3EC2"/>
    <w:rsid w:val="66B25BAB"/>
    <w:rsid w:val="66B70F67"/>
    <w:rsid w:val="673646AF"/>
    <w:rsid w:val="674D4290"/>
    <w:rsid w:val="67605E24"/>
    <w:rsid w:val="67CC4F63"/>
    <w:rsid w:val="6808013C"/>
    <w:rsid w:val="6843041B"/>
    <w:rsid w:val="68490BA5"/>
    <w:rsid w:val="68660FC4"/>
    <w:rsid w:val="6872092B"/>
    <w:rsid w:val="68A320F0"/>
    <w:rsid w:val="68C10A03"/>
    <w:rsid w:val="691702F9"/>
    <w:rsid w:val="692E7F1E"/>
    <w:rsid w:val="69430A4C"/>
    <w:rsid w:val="69ED68B1"/>
    <w:rsid w:val="6A242849"/>
    <w:rsid w:val="6AA113FE"/>
    <w:rsid w:val="6ADF78E5"/>
    <w:rsid w:val="6B0B3C2C"/>
    <w:rsid w:val="6B577823"/>
    <w:rsid w:val="6B7874F8"/>
    <w:rsid w:val="6B8D0D02"/>
    <w:rsid w:val="6C7C2B89"/>
    <w:rsid w:val="6CB30AE5"/>
    <w:rsid w:val="6CF218C0"/>
    <w:rsid w:val="6DA863B2"/>
    <w:rsid w:val="6E5012CD"/>
    <w:rsid w:val="6E92338D"/>
    <w:rsid w:val="6EA50F15"/>
    <w:rsid w:val="6EA82D66"/>
    <w:rsid w:val="6F1218C9"/>
    <w:rsid w:val="6F3447F7"/>
    <w:rsid w:val="6F35142D"/>
    <w:rsid w:val="6F9A6D66"/>
    <w:rsid w:val="6FE10C9C"/>
    <w:rsid w:val="70257F20"/>
    <w:rsid w:val="70375E28"/>
    <w:rsid w:val="70593DDE"/>
    <w:rsid w:val="70D13C2F"/>
    <w:rsid w:val="70DF5DB7"/>
    <w:rsid w:val="71714750"/>
    <w:rsid w:val="72401A80"/>
    <w:rsid w:val="7298562B"/>
    <w:rsid w:val="72D46DF2"/>
    <w:rsid w:val="73047240"/>
    <w:rsid w:val="7335433A"/>
    <w:rsid w:val="73494B0B"/>
    <w:rsid w:val="734E3703"/>
    <w:rsid w:val="73807E95"/>
    <w:rsid w:val="74125278"/>
    <w:rsid w:val="744A3547"/>
    <w:rsid w:val="7474619D"/>
    <w:rsid w:val="74B43DF9"/>
    <w:rsid w:val="75435570"/>
    <w:rsid w:val="75516F9A"/>
    <w:rsid w:val="765E373E"/>
    <w:rsid w:val="76795C79"/>
    <w:rsid w:val="76897E06"/>
    <w:rsid w:val="76912AA8"/>
    <w:rsid w:val="76936197"/>
    <w:rsid w:val="76B03AF0"/>
    <w:rsid w:val="781C4937"/>
    <w:rsid w:val="79481F08"/>
    <w:rsid w:val="7A2D6D03"/>
    <w:rsid w:val="7A604F75"/>
    <w:rsid w:val="7AF244C2"/>
    <w:rsid w:val="7B2509ED"/>
    <w:rsid w:val="7C8313D5"/>
    <w:rsid w:val="7CB1637A"/>
    <w:rsid w:val="7D033D2B"/>
    <w:rsid w:val="7D0564AB"/>
    <w:rsid w:val="7D5052A6"/>
    <w:rsid w:val="7D585C00"/>
    <w:rsid w:val="7D8E2C74"/>
    <w:rsid w:val="7DB03B86"/>
    <w:rsid w:val="7DC27B63"/>
    <w:rsid w:val="7DE50961"/>
    <w:rsid w:val="7E813419"/>
    <w:rsid w:val="7F0204F0"/>
    <w:rsid w:val="7F106C3A"/>
    <w:rsid w:val="7F635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2"/>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58"/>
    <w:qFormat/>
    <w:uiPriority w:val="9"/>
    <w:pPr>
      <w:keepNext/>
      <w:keepLines/>
      <w:spacing w:before="260" w:after="260" w:line="416" w:lineRule="auto"/>
      <w:outlineLvl w:val="2"/>
    </w:pPr>
    <w:rPr>
      <w:b/>
      <w:bCs/>
      <w:sz w:val="32"/>
      <w:szCs w:val="32"/>
    </w:rPr>
  </w:style>
  <w:style w:type="paragraph" w:styleId="6">
    <w:name w:val="heading 4"/>
    <w:basedOn w:val="1"/>
    <w:next w:val="1"/>
    <w:link w:val="1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126"/>
    <w:qFormat/>
    <w:uiPriority w:val="9"/>
    <w:pPr>
      <w:keepNext/>
      <w:keepLines/>
      <w:numPr>
        <w:ilvl w:val="4"/>
        <w:numId w:val="1"/>
      </w:numPr>
      <w:spacing w:before="280" w:after="290" w:line="376" w:lineRule="auto"/>
      <w:outlineLvl w:val="4"/>
    </w:pPr>
    <w:rPr>
      <w:b/>
      <w:sz w:val="28"/>
    </w:rPr>
  </w:style>
  <w:style w:type="paragraph" w:styleId="9">
    <w:name w:val="heading 6"/>
    <w:basedOn w:val="1"/>
    <w:next w:val="8"/>
    <w:link w:val="127"/>
    <w:qFormat/>
    <w:uiPriority w:val="9"/>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8"/>
    <w:qFormat/>
    <w:uiPriority w:val="9"/>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30"/>
    <w:qFormat/>
    <w:uiPriority w:val="9"/>
    <w:pPr>
      <w:keepNext/>
      <w:keepLines/>
      <w:numPr>
        <w:ilvl w:val="8"/>
        <w:numId w:val="1"/>
      </w:numPr>
      <w:spacing w:before="240" w:after="64" w:line="320" w:lineRule="auto"/>
      <w:outlineLvl w:val="8"/>
    </w:pPr>
    <w:rPr>
      <w:rFonts w:ascii="Arial" w:hAnsi="Arial" w:eastAsia="黑体"/>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67"/>
    <w:qFormat/>
    <w:uiPriority w:val="99"/>
    <w:pPr>
      <w:tabs>
        <w:tab w:val="center" w:pos="4153"/>
        <w:tab w:val="right" w:pos="8306"/>
      </w:tabs>
      <w:snapToGrid w:val="0"/>
      <w:jc w:val="left"/>
    </w:pPr>
    <w:rPr>
      <w:sz w:val="18"/>
      <w:szCs w:val="18"/>
      <w:lang w:val="zh-CN"/>
    </w:rPr>
  </w:style>
  <w:style w:type="paragraph" w:styleId="8">
    <w:name w:val="Normal Indent"/>
    <w:basedOn w:val="1"/>
    <w:link w:val="56"/>
    <w:qFormat/>
    <w:uiPriority w:val="0"/>
    <w:pPr>
      <w:ind w:firstLine="420"/>
    </w:pPr>
    <w:rPr>
      <w:szCs w:val="20"/>
    </w:rPr>
  </w:style>
  <w:style w:type="paragraph" w:styleId="13">
    <w:name w:val="table of authorities"/>
    <w:basedOn w:val="1"/>
    <w:next w:val="1"/>
    <w:qFormat/>
    <w:uiPriority w:val="0"/>
    <w:pPr>
      <w:ind w:left="420" w:leftChars="200"/>
    </w:p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35"/>
    <w:pPr>
      <w:spacing w:before="152" w:after="160"/>
    </w:pPr>
    <w:rPr>
      <w:rFonts w:ascii="Arial" w:hAnsi="Arial" w:eastAsia="黑体" w:cs="Arial"/>
      <w:sz w:val="20"/>
      <w:szCs w:val="20"/>
    </w:rPr>
  </w:style>
  <w:style w:type="paragraph" w:styleId="16">
    <w:name w:val="Document Map"/>
    <w:basedOn w:val="1"/>
    <w:link w:val="132"/>
    <w:qFormat/>
    <w:uiPriority w:val="99"/>
    <w:pPr>
      <w:shd w:val="clear" w:color="auto" w:fill="000080"/>
    </w:pPr>
  </w:style>
  <w:style w:type="paragraph" w:styleId="17">
    <w:name w:val="annotation text"/>
    <w:basedOn w:val="1"/>
    <w:link w:val="72"/>
    <w:qFormat/>
    <w:uiPriority w:val="99"/>
    <w:pPr>
      <w:jc w:val="left"/>
    </w:pPr>
  </w:style>
  <w:style w:type="paragraph" w:styleId="18">
    <w:name w:val="Body Text 3"/>
    <w:basedOn w:val="1"/>
    <w:qFormat/>
    <w:uiPriority w:val="0"/>
    <w:pPr>
      <w:spacing w:line="500" w:lineRule="exact"/>
    </w:pPr>
    <w:rPr>
      <w:b/>
      <w:bCs/>
      <w:sz w:val="24"/>
    </w:rPr>
  </w:style>
  <w:style w:type="paragraph" w:styleId="19">
    <w:name w:val="Body Text"/>
    <w:basedOn w:val="1"/>
    <w:next w:val="1"/>
    <w:link w:val="133"/>
    <w:qFormat/>
    <w:uiPriority w:val="0"/>
    <w:pPr>
      <w:spacing w:line="380" w:lineRule="exact"/>
    </w:pPr>
    <w:rPr>
      <w:sz w:val="24"/>
    </w:rPr>
  </w:style>
  <w:style w:type="paragraph" w:styleId="20">
    <w:name w:val="Body Text Indent"/>
    <w:basedOn w:val="1"/>
    <w:link w:val="65"/>
    <w:qFormat/>
    <w:uiPriority w:val="0"/>
    <w:pPr>
      <w:ind w:firstLine="830" w:firstLineChars="352"/>
    </w:pPr>
    <w:rPr>
      <w:rFonts w:ascii="仿宋_GB2312" w:eastAsia="仿宋_GB2312"/>
      <w:sz w:val="32"/>
      <w:szCs w:val="20"/>
    </w:rPr>
  </w:style>
  <w:style w:type="paragraph" w:styleId="21">
    <w:name w:val="List Number 3"/>
    <w:basedOn w:val="1"/>
    <w:qFormat/>
    <w:uiPriority w:val="0"/>
    <w:pPr>
      <w:numPr>
        <w:ilvl w:val="0"/>
        <w:numId w:val="1"/>
      </w:numPr>
    </w:pPr>
  </w:style>
  <w:style w:type="paragraph" w:styleId="22">
    <w:name w:val="List 2"/>
    <w:basedOn w:val="1"/>
    <w:qFormat/>
    <w:uiPriority w:val="0"/>
    <w:pPr>
      <w:ind w:left="100" w:leftChars="200" w:hanging="200" w:hangingChars="200"/>
    </w:pPr>
    <w:rPr>
      <w:sz w:val="28"/>
    </w:rPr>
  </w:style>
  <w:style w:type="paragraph" w:styleId="23">
    <w:name w:val="Plain Text"/>
    <w:basedOn w:val="1"/>
    <w:next w:val="1"/>
    <w:link w:val="52"/>
    <w:qFormat/>
    <w:uiPriority w:val="0"/>
    <w:rPr>
      <w:rFonts w:ascii="宋体" w:hAnsi="Courier New" w:cs="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ody Text Indent 2"/>
    <w:basedOn w:val="1"/>
    <w:qFormat/>
    <w:uiPriority w:val="0"/>
    <w:pPr>
      <w:ind w:firstLine="630"/>
    </w:pPr>
    <w:rPr>
      <w:sz w:val="32"/>
      <w:szCs w:val="20"/>
    </w:rPr>
  </w:style>
  <w:style w:type="paragraph" w:styleId="26">
    <w:name w:val="Balloon Text"/>
    <w:basedOn w:val="1"/>
    <w:link w:val="71"/>
    <w:qFormat/>
    <w:uiPriority w:val="99"/>
    <w:rPr>
      <w:sz w:val="18"/>
      <w:szCs w:val="18"/>
      <w:lang w:val="zh-CN"/>
    </w:rPr>
  </w:style>
  <w:style w:type="paragraph" w:styleId="27">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Subtitle"/>
    <w:basedOn w:val="1"/>
    <w:next w:val="1"/>
    <w:link w:val="70"/>
    <w:qFormat/>
    <w:uiPriority w:val="0"/>
    <w:pPr>
      <w:spacing w:line="312" w:lineRule="auto"/>
      <w:ind w:left="200" w:leftChars="200"/>
      <w:jc w:val="left"/>
      <w:outlineLvl w:val="1"/>
    </w:pPr>
    <w:rPr>
      <w:rFonts w:ascii="Cambria" w:hAnsi="Cambria"/>
      <w:b/>
      <w:bCs/>
      <w:kern w:val="28"/>
      <w:sz w:val="28"/>
      <w:szCs w:val="32"/>
    </w:rPr>
  </w:style>
  <w:style w:type="paragraph" w:styleId="30">
    <w:name w:val="List"/>
    <w:basedOn w:val="1"/>
    <w:qFormat/>
    <w:uiPriority w:val="0"/>
    <w:pPr>
      <w:ind w:left="200" w:hanging="200" w:hangingChars="200"/>
    </w:pPr>
    <w:rPr>
      <w:sz w:val="28"/>
    </w:rPr>
  </w:style>
  <w:style w:type="paragraph" w:styleId="31">
    <w:name w:val="Body Text Indent 3"/>
    <w:basedOn w:val="1"/>
    <w:qFormat/>
    <w:uiPriority w:val="0"/>
    <w:pPr>
      <w:spacing w:after="120"/>
      <w:ind w:left="420" w:leftChars="200"/>
    </w:pPr>
    <w:rPr>
      <w:sz w:val="16"/>
      <w:szCs w:val="16"/>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7"/>
    <w:next w:val="17"/>
    <w:link w:val="83"/>
    <w:qFormat/>
    <w:uiPriority w:val="0"/>
    <w:rPr>
      <w:b/>
      <w:bCs/>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rFonts w:ascii="Times New Roman" w:hAnsi="Times New Roman" w:eastAsia="宋体" w:cs="Times New Roman"/>
      <w:b/>
      <w:bCs/>
    </w:rPr>
  </w:style>
  <w:style w:type="character" w:styleId="40">
    <w:name w:val="page number"/>
    <w:qFormat/>
    <w:uiPriority w:val="0"/>
    <w:rPr>
      <w:rFonts w:ascii="Times New Roman" w:hAnsi="Times New Roman" w:eastAsia="宋体" w:cs="Times New Roman"/>
    </w:rPr>
  </w:style>
  <w:style w:type="character" w:styleId="41">
    <w:name w:val="FollowedHyperlink"/>
    <w:basedOn w:val="38"/>
    <w:unhideWhenUsed/>
    <w:qFormat/>
    <w:uiPriority w:val="99"/>
    <w:rPr>
      <w:color w:val="954F72" w:themeColor="followedHyperlink"/>
      <w:u w:val="single"/>
      <w14:textFill>
        <w14:solidFill>
          <w14:schemeClr w14:val="folHlink"/>
        </w14:solidFill>
      </w14:textFill>
    </w:rPr>
  </w:style>
  <w:style w:type="character" w:styleId="42">
    <w:name w:val="Emphasis"/>
    <w:qFormat/>
    <w:uiPriority w:val="0"/>
    <w:rPr>
      <w:rFonts w:ascii="Times New Roman" w:hAnsi="Times New Roman" w:eastAsia="宋体" w:cs="Times New Roman"/>
      <w:color w:val="CC0033"/>
    </w:rPr>
  </w:style>
  <w:style w:type="character" w:styleId="43">
    <w:name w:val="Hyperlink"/>
    <w:qFormat/>
    <w:uiPriority w:val="99"/>
    <w:rPr>
      <w:rFonts w:ascii="Times New Roman" w:hAnsi="Times New Roman" w:eastAsia="宋体" w:cs="Times New Roman"/>
      <w:color w:val="0000FF"/>
      <w:u w:val="single"/>
    </w:rPr>
  </w:style>
  <w:style w:type="character" w:styleId="44">
    <w:name w:val="annotation reference"/>
    <w:qFormat/>
    <w:uiPriority w:val="0"/>
    <w:rPr>
      <w:rFonts w:ascii="Times New Roman" w:hAnsi="Times New Roman" w:eastAsia="宋体" w:cs="Times New Roman"/>
      <w:sz w:val="21"/>
      <w:szCs w:val="21"/>
    </w:rPr>
  </w:style>
  <w:style w:type="character" w:customStyle="1" w:styleId="45">
    <w:name w:val="font21"/>
    <w:qFormat/>
    <w:uiPriority w:val="0"/>
    <w:rPr>
      <w:rFonts w:hint="eastAsia" w:ascii="宋体" w:hAnsi="宋体" w:eastAsia="宋体" w:cs="宋体"/>
      <w:color w:val="000000"/>
      <w:sz w:val="20"/>
      <w:szCs w:val="20"/>
    </w:rPr>
  </w:style>
  <w:style w:type="character" w:customStyle="1" w:styleId="46">
    <w:name w:val="st1"/>
    <w:qFormat/>
    <w:uiPriority w:val="0"/>
    <w:rPr>
      <w:rFonts w:ascii="Times New Roman" w:hAnsi="Times New Roman" w:eastAsia="宋体" w:cs="Times New Roman"/>
    </w:rPr>
  </w:style>
  <w:style w:type="character" w:customStyle="1" w:styleId="47">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48">
    <w:name w:val="ca-2"/>
    <w:qFormat/>
    <w:uiPriority w:val="0"/>
    <w:rPr>
      <w:rFonts w:ascii="Times New Roman" w:hAnsi="Times New Roman" w:eastAsia="宋体" w:cs="Times New Roman"/>
    </w:rPr>
  </w:style>
  <w:style w:type="character" w:customStyle="1" w:styleId="49">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0">
    <w:name w:val="1ji Char"/>
    <w:link w:val="51"/>
    <w:qFormat/>
    <w:uiPriority w:val="0"/>
    <w:rPr>
      <w:rFonts w:ascii="宋体" w:hAnsi="宋体" w:eastAsia="仿宋_GB2312" w:cs="Times New Roman"/>
      <w:b/>
      <w:bCs/>
      <w:kern w:val="44"/>
      <w:sz w:val="36"/>
      <w:szCs w:val="44"/>
      <w:lang w:val="en-US" w:eastAsia="zh-CN" w:bidi="ar-SA"/>
    </w:rPr>
  </w:style>
  <w:style w:type="paragraph" w:customStyle="1" w:styleId="51">
    <w:name w:val="1ji"/>
    <w:basedOn w:val="3"/>
    <w:link w:val="50"/>
    <w:qFormat/>
    <w:uiPriority w:val="0"/>
    <w:pPr>
      <w:keepLines w:val="0"/>
      <w:widowControl/>
      <w:spacing w:before="0" w:after="0" w:line="240" w:lineRule="auto"/>
    </w:pPr>
    <w:rPr>
      <w:rFonts w:ascii="宋体" w:hAnsi="宋体"/>
      <w:sz w:val="36"/>
    </w:rPr>
  </w:style>
  <w:style w:type="character" w:customStyle="1" w:styleId="52">
    <w:name w:val="纯文本 字符"/>
    <w:link w:val="23"/>
    <w:qFormat/>
    <w:uiPriority w:val="0"/>
    <w:rPr>
      <w:rFonts w:ascii="宋体" w:hAnsi="Courier New" w:eastAsia="宋体" w:cs="Courier New"/>
      <w:kern w:val="2"/>
      <w:sz w:val="21"/>
      <w:szCs w:val="21"/>
      <w:lang w:val="en-US" w:eastAsia="zh-CN" w:bidi="ar-SA"/>
    </w:rPr>
  </w:style>
  <w:style w:type="character" w:customStyle="1" w:styleId="53">
    <w:name w:val="font41"/>
    <w:qFormat/>
    <w:uiPriority w:val="0"/>
    <w:rPr>
      <w:rFonts w:hint="default" w:ascii="Times New Roman" w:hAnsi="Times New Roman" w:eastAsia="宋体" w:cs="Times New Roman"/>
      <w:color w:val="000000"/>
      <w:sz w:val="20"/>
      <w:szCs w:val="20"/>
    </w:rPr>
  </w:style>
  <w:style w:type="character" w:customStyle="1" w:styleId="54">
    <w:name w:val="font31"/>
    <w:qFormat/>
    <w:uiPriority w:val="0"/>
    <w:rPr>
      <w:rFonts w:hint="default" w:ascii="Times New Roman" w:hAnsi="Times New Roman" w:eastAsia="宋体" w:cs="Times New Roman"/>
      <w:color w:val="000000"/>
      <w:sz w:val="20"/>
      <w:szCs w:val="20"/>
    </w:rPr>
  </w:style>
  <w:style w:type="character" w:customStyle="1" w:styleId="55">
    <w:name w:val="apple-style-span"/>
    <w:qFormat/>
    <w:uiPriority w:val="0"/>
    <w:rPr>
      <w:rFonts w:ascii="Times New Roman" w:hAnsi="Times New Roman" w:eastAsia="宋体" w:cs="Times New Roman"/>
    </w:rPr>
  </w:style>
  <w:style w:type="character" w:customStyle="1" w:styleId="56">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57">
    <w:name w:val="font51"/>
    <w:qFormat/>
    <w:uiPriority w:val="0"/>
    <w:rPr>
      <w:rFonts w:hint="default" w:ascii="Times New Roman" w:hAnsi="Times New Roman" w:eastAsia="宋体" w:cs="Times New Roman"/>
      <w:color w:val="000000"/>
      <w:sz w:val="20"/>
      <w:szCs w:val="20"/>
    </w:rPr>
  </w:style>
  <w:style w:type="character" w:customStyle="1" w:styleId="58">
    <w:name w:val="标题 3 字符"/>
    <w:link w:val="5"/>
    <w:qFormat/>
    <w:uiPriority w:val="9"/>
    <w:rPr>
      <w:rFonts w:ascii="Times New Roman" w:hAnsi="Times New Roman" w:eastAsia="宋体" w:cs="Times New Roman"/>
      <w:b/>
      <w:bCs/>
      <w:kern w:val="2"/>
      <w:sz w:val="32"/>
      <w:szCs w:val="32"/>
      <w:lang w:val="en-US" w:eastAsia="zh-CN" w:bidi="ar-SA"/>
    </w:rPr>
  </w:style>
  <w:style w:type="character" w:customStyle="1" w:styleId="59">
    <w:name w:val="apple-converted-space"/>
    <w:qFormat/>
    <w:uiPriority w:val="0"/>
    <w:rPr>
      <w:rFonts w:ascii="Times New Roman" w:hAnsi="Times New Roman" w:eastAsia="宋体" w:cs="Times New Roman"/>
    </w:rPr>
  </w:style>
  <w:style w:type="character" w:customStyle="1" w:styleId="60">
    <w:name w:val="Header Char"/>
    <w:qFormat/>
    <w:uiPriority w:val="0"/>
    <w:rPr>
      <w:rFonts w:ascii="Calibri" w:hAnsi="Calibri" w:eastAsia="宋体" w:cs="Times New Roman"/>
      <w:kern w:val="2"/>
      <w:sz w:val="18"/>
      <w:szCs w:val="18"/>
      <w:lang w:val="en-US" w:eastAsia="zh-CN" w:bidi="ar-SA"/>
    </w:rPr>
  </w:style>
  <w:style w:type="character" w:customStyle="1" w:styleId="61">
    <w:name w:val="Footer Char"/>
    <w:qFormat/>
    <w:uiPriority w:val="0"/>
    <w:rPr>
      <w:rFonts w:ascii="Calibri" w:hAnsi="Calibri" w:eastAsia="宋体" w:cs="Times New Roman"/>
      <w:kern w:val="2"/>
      <w:sz w:val="18"/>
      <w:szCs w:val="18"/>
      <w:lang w:val="en-US" w:eastAsia="zh-CN" w:bidi="ar-SA"/>
    </w:rPr>
  </w:style>
  <w:style w:type="character" w:customStyle="1" w:styleId="62">
    <w:name w:val="Plain Text Char"/>
    <w:qFormat/>
    <w:uiPriority w:val="0"/>
    <w:rPr>
      <w:rFonts w:ascii="宋体" w:hAnsi="Courier New" w:eastAsia="宋体" w:cs="Times New Roman"/>
      <w:lang w:bidi="ar-SA"/>
    </w:rPr>
  </w:style>
  <w:style w:type="character" w:customStyle="1" w:styleId="63">
    <w:name w:val="普通文字 Char Char3"/>
    <w:qFormat/>
    <w:uiPriority w:val="0"/>
    <w:rPr>
      <w:rFonts w:ascii="宋体" w:hAnsi="Times New Roman" w:eastAsia="宋体" w:cs="Courier New"/>
      <w:kern w:val="2"/>
      <w:sz w:val="21"/>
      <w:szCs w:val="21"/>
      <w:lang w:val="en-US" w:eastAsia="zh-CN" w:bidi="ar-SA"/>
    </w:rPr>
  </w:style>
  <w:style w:type="character" w:customStyle="1" w:styleId="64">
    <w:name w:val="样式 正文 +"/>
    <w:qFormat/>
    <w:uiPriority w:val="0"/>
    <w:rPr>
      <w:rFonts w:ascii="Times New Roman" w:hAnsi="Times New Roman" w:eastAsia="宋体" w:cs="Times New Roman"/>
      <w:kern w:val="0"/>
      <w:sz w:val="28"/>
    </w:rPr>
  </w:style>
  <w:style w:type="character" w:customStyle="1" w:styleId="65">
    <w:name w:val="正文文本缩进 字符"/>
    <w:link w:val="20"/>
    <w:qFormat/>
    <w:uiPriority w:val="0"/>
    <w:rPr>
      <w:rFonts w:ascii="仿宋_GB2312" w:hAnsi="Times New Roman" w:eastAsia="仿宋_GB2312" w:cs="Times New Roman"/>
      <w:kern w:val="2"/>
      <w:sz w:val="32"/>
      <w:lang w:val="en-US" w:eastAsia="zh-CN" w:bidi="ar-SA"/>
    </w:rPr>
  </w:style>
  <w:style w:type="character" w:customStyle="1" w:styleId="66">
    <w:name w:val="普通文字 Char Char2"/>
    <w:qFormat/>
    <w:uiPriority w:val="0"/>
    <w:rPr>
      <w:rFonts w:ascii="宋体" w:hAnsi="Courier New" w:eastAsia="宋体" w:cs="Times New Roman"/>
      <w:kern w:val="2"/>
      <w:sz w:val="21"/>
      <w:lang w:val="en-US" w:eastAsia="zh-CN" w:bidi="ar-SA"/>
    </w:rPr>
  </w:style>
  <w:style w:type="character" w:customStyle="1" w:styleId="67">
    <w:name w:val="页脚 字符"/>
    <w:link w:val="2"/>
    <w:qFormat/>
    <w:uiPriority w:val="99"/>
    <w:rPr>
      <w:rFonts w:ascii="Times New Roman" w:hAnsi="Times New Roman" w:eastAsia="宋体" w:cs="Times New Roman"/>
      <w:kern w:val="2"/>
      <w:sz w:val="18"/>
      <w:szCs w:val="18"/>
    </w:rPr>
  </w:style>
  <w:style w:type="character" w:customStyle="1" w:styleId="68">
    <w:name w:val="样式 宋体 小四"/>
    <w:qFormat/>
    <w:uiPriority w:val="0"/>
    <w:rPr>
      <w:rFonts w:ascii="宋体" w:hAnsi="宋体" w:eastAsia="宋体" w:cs="Times New Roman"/>
      <w:sz w:val="24"/>
    </w:rPr>
  </w:style>
  <w:style w:type="character" w:customStyle="1" w:styleId="69">
    <w:name w:val="页眉 字符"/>
    <w:link w:val="27"/>
    <w:qFormat/>
    <w:uiPriority w:val="99"/>
    <w:rPr>
      <w:rFonts w:ascii="Times New Roman" w:hAnsi="Times New Roman" w:eastAsia="宋体" w:cs="Times New Roman"/>
      <w:kern w:val="2"/>
      <w:sz w:val="18"/>
      <w:szCs w:val="18"/>
      <w:lang w:val="en-US" w:eastAsia="zh-CN" w:bidi="ar-SA"/>
    </w:rPr>
  </w:style>
  <w:style w:type="character" w:customStyle="1" w:styleId="70">
    <w:name w:val="副标题 字符"/>
    <w:link w:val="29"/>
    <w:qFormat/>
    <w:uiPriority w:val="0"/>
    <w:rPr>
      <w:rFonts w:ascii="Cambria" w:hAnsi="Cambria" w:eastAsia="宋体" w:cs="Times New Roman"/>
      <w:b/>
      <w:bCs/>
      <w:kern w:val="28"/>
      <w:sz w:val="28"/>
      <w:szCs w:val="32"/>
      <w:lang w:val="en-US" w:eastAsia="zh-CN" w:bidi="ar-SA"/>
    </w:rPr>
  </w:style>
  <w:style w:type="character" w:customStyle="1" w:styleId="71">
    <w:name w:val="批注框文本 字符"/>
    <w:link w:val="26"/>
    <w:qFormat/>
    <w:uiPriority w:val="99"/>
    <w:rPr>
      <w:rFonts w:ascii="Times New Roman" w:hAnsi="Times New Roman" w:eastAsia="宋体" w:cs="Times New Roman"/>
      <w:kern w:val="2"/>
      <w:sz w:val="18"/>
      <w:szCs w:val="18"/>
    </w:rPr>
  </w:style>
  <w:style w:type="character" w:customStyle="1" w:styleId="72">
    <w:name w:val="批注文字 字符"/>
    <w:link w:val="17"/>
    <w:qFormat/>
    <w:uiPriority w:val="99"/>
    <w:rPr>
      <w:rFonts w:ascii="Times New Roman" w:hAnsi="Times New Roman" w:eastAsia="宋体" w:cs="Times New Roman"/>
      <w:kern w:val="2"/>
      <w:sz w:val="21"/>
      <w:szCs w:val="24"/>
      <w:lang w:val="en-US" w:eastAsia="zh-CN" w:bidi="ar-SA"/>
    </w:rPr>
  </w:style>
  <w:style w:type="character" w:customStyle="1" w:styleId="73">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4">
    <w:name w:val="ca-1"/>
    <w:qFormat/>
    <w:uiPriority w:val="0"/>
    <w:rPr>
      <w:rFonts w:ascii="Times New Roman" w:hAnsi="Times New Roman" w:eastAsia="宋体" w:cs="Times New Roman"/>
    </w:rPr>
  </w:style>
  <w:style w:type="character" w:customStyle="1" w:styleId="75">
    <w:name w:val="正文360首行缩进 Char"/>
    <w:link w:val="76"/>
    <w:qFormat/>
    <w:uiPriority w:val="0"/>
    <w:rPr>
      <w:rFonts w:ascii="Times New Roman" w:hAnsi="Times New Roman" w:eastAsia="宋体" w:cs="Times New Roman"/>
      <w:sz w:val="24"/>
      <w:szCs w:val="24"/>
    </w:rPr>
  </w:style>
  <w:style w:type="paragraph" w:customStyle="1" w:styleId="76">
    <w:name w:val="正文360首行缩进"/>
    <w:basedOn w:val="1"/>
    <w:link w:val="75"/>
    <w:qFormat/>
    <w:uiPriority w:val="0"/>
    <w:pPr>
      <w:widowControl/>
      <w:spacing w:before="120" w:line="300" w:lineRule="auto"/>
      <w:ind w:firstLine="200"/>
      <w:jc w:val="left"/>
    </w:pPr>
    <w:rPr>
      <w:kern w:val="0"/>
      <w:sz w:val="24"/>
    </w:rPr>
  </w:style>
  <w:style w:type="character" w:customStyle="1" w:styleId="77">
    <w:name w:val="List Paragraph Char"/>
    <w:link w:val="78"/>
    <w:qFormat/>
    <w:locked/>
    <w:uiPriority w:val="0"/>
    <w:rPr>
      <w:rFonts w:ascii="宋体" w:hAnsi="宋体" w:cs="宋体"/>
      <w:sz w:val="24"/>
      <w:szCs w:val="24"/>
    </w:rPr>
  </w:style>
  <w:style w:type="paragraph" w:customStyle="1" w:styleId="78">
    <w:name w:val="列表段落1"/>
    <w:basedOn w:val="1"/>
    <w:link w:val="77"/>
    <w:qFormat/>
    <w:uiPriority w:val="0"/>
    <w:pPr>
      <w:widowControl/>
      <w:ind w:firstLine="420" w:firstLineChars="200"/>
      <w:jc w:val="left"/>
    </w:pPr>
    <w:rPr>
      <w:rFonts w:ascii="宋体" w:hAnsi="宋体"/>
      <w:kern w:val="0"/>
      <w:sz w:val="24"/>
      <w:lang w:val="zh-CN"/>
    </w:rPr>
  </w:style>
  <w:style w:type="character" w:customStyle="1" w:styleId="79">
    <w:name w:val="yyii"/>
    <w:qFormat/>
    <w:uiPriority w:val="0"/>
    <w:rPr>
      <w:rFonts w:ascii="Times New Roman" w:hAnsi="Times New Roman" w:eastAsia="宋体" w:cs="Times New Roman"/>
    </w:rPr>
  </w:style>
  <w:style w:type="character" w:customStyle="1" w:styleId="80">
    <w:name w:val="纯文本 Char1"/>
    <w:qFormat/>
    <w:uiPriority w:val="0"/>
    <w:rPr>
      <w:rFonts w:ascii="宋体" w:hAnsi="Courier New" w:eastAsia="宋体" w:cs="Times New Roman"/>
      <w:kern w:val="2"/>
      <w:sz w:val="21"/>
    </w:rPr>
  </w:style>
  <w:style w:type="character" w:customStyle="1" w:styleId="81">
    <w:name w:val="标题 1 Char1"/>
    <w:qFormat/>
    <w:uiPriority w:val="0"/>
    <w:rPr>
      <w:rFonts w:ascii="Times New Roman" w:hAnsi="Times New Roman" w:eastAsia="宋体" w:cs="Times New Roman"/>
      <w:b/>
      <w:bCs/>
      <w:kern w:val="44"/>
      <w:sz w:val="44"/>
      <w:szCs w:val="44"/>
    </w:rPr>
  </w:style>
  <w:style w:type="character" w:customStyle="1" w:styleId="82">
    <w:name w:val="标题 2 字符"/>
    <w:link w:val="4"/>
    <w:qFormat/>
    <w:uiPriority w:val="9"/>
    <w:rPr>
      <w:rFonts w:ascii="Arial" w:hAnsi="Arial" w:eastAsia="黑体"/>
      <w:b/>
      <w:bCs/>
      <w:kern w:val="2"/>
      <w:sz w:val="24"/>
      <w:szCs w:val="32"/>
    </w:rPr>
  </w:style>
  <w:style w:type="character" w:customStyle="1" w:styleId="83">
    <w:name w:val="批注主题 字符"/>
    <w:link w:val="35"/>
    <w:qFormat/>
    <w:uiPriority w:val="0"/>
    <w:rPr>
      <w:rFonts w:ascii="Times New Roman" w:hAnsi="Times New Roman" w:eastAsia="宋体" w:cs="Times New Roman"/>
      <w:b/>
      <w:bCs/>
      <w:kern w:val="2"/>
      <w:sz w:val="21"/>
      <w:szCs w:val="24"/>
      <w:lang w:val="en-US" w:eastAsia="zh-CN" w:bidi="ar-SA"/>
    </w:rPr>
  </w:style>
  <w:style w:type="paragraph" w:customStyle="1" w:styleId="84">
    <w:name w:val="目录 11"/>
    <w:basedOn w:val="1"/>
    <w:next w:val="1"/>
    <w:qFormat/>
    <w:uiPriority w:val="39"/>
  </w:style>
  <w:style w:type="paragraph" w:customStyle="1" w:styleId="85">
    <w:name w:val="目录 21"/>
    <w:basedOn w:val="1"/>
    <w:next w:val="1"/>
    <w:qFormat/>
    <w:uiPriority w:val="39"/>
    <w:pPr>
      <w:tabs>
        <w:tab w:val="right" w:leader="dot" w:pos="9402"/>
      </w:tabs>
      <w:ind w:left="718" w:leftChars="200" w:hanging="298" w:hangingChars="142"/>
    </w:pPr>
  </w:style>
  <w:style w:type="paragraph" w:customStyle="1" w:styleId="86">
    <w:name w:val="目录 31"/>
    <w:basedOn w:val="1"/>
    <w:next w:val="1"/>
    <w:qFormat/>
    <w:uiPriority w:val="39"/>
    <w:pPr>
      <w:ind w:left="840" w:leftChars="400"/>
    </w:pPr>
  </w:style>
  <w:style w:type="paragraph" w:customStyle="1" w:styleId="87">
    <w:name w:val="正文首行缩进1"/>
    <w:basedOn w:val="19"/>
    <w:qFormat/>
    <w:uiPriority w:val="0"/>
    <w:pPr>
      <w:spacing w:after="120" w:line="240" w:lineRule="auto"/>
      <w:ind w:firstLine="420" w:firstLineChars="100"/>
    </w:pPr>
    <w:rPr>
      <w:sz w:val="21"/>
    </w:rPr>
  </w:style>
  <w:style w:type="paragraph" w:customStyle="1" w:styleId="88">
    <w:name w:val="Char Char1 Char Char Char Char"/>
    <w:basedOn w:val="16"/>
    <w:qFormat/>
    <w:uiPriority w:val="0"/>
    <w:rPr>
      <w:rFonts w:ascii="Tahoma" w:hAnsi="Tahoma"/>
      <w:sz w:val="24"/>
    </w:rPr>
  </w:style>
  <w:style w:type="paragraph" w:customStyle="1" w:styleId="89">
    <w:name w:val="列出段落1"/>
    <w:basedOn w:val="1"/>
    <w:qFormat/>
    <w:uiPriority w:val="99"/>
    <w:pPr>
      <w:ind w:firstLine="420" w:firstLineChars="200"/>
    </w:pPr>
    <w:rPr>
      <w:rFonts w:ascii="Calibri" w:hAnsi="Calibri"/>
    </w:rPr>
  </w:style>
  <w:style w:type="paragraph" w:customStyle="1" w:styleId="90">
    <w:name w:val="Char Char Char1 Char"/>
    <w:basedOn w:val="16"/>
    <w:qFormat/>
    <w:uiPriority w:val="0"/>
  </w:style>
  <w:style w:type="paragraph" w:customStyle="1" w:styleId="91">
    <w:name w:val="pa-5"/>
    <w:basedOn w:val="1"/>
    <w:qFormat/>
    <w:uiPriority w:val="0"/>
    <w:pPr>
      <w:widowControl/>
      <w:spacing w:before="150" w:after="150"/>
      <w:jc w:val="left"/>
    </w:pPr>
    <w:rPr>
      <w:rFonts w:ascii="宋体" w:hAnsi="宋体" w:cs="宋体"/>
      <w:kern w:val="0"/>
      <w:sz w:val="24"/>
    </w:rPr>
  </w:style>
  <w:style w:type="paragraph" w:customStyle="1" w:styleId="92">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3">
    <w:name w:val="Char Char1 Char Char Char Char1"/>
    <w:basedOn w:val="16"/>
    <w:qFormat/>
    <w:uiPriority w:val="0"/>
    <w:rPr>
      <w:rFonts w:ascii="Tahoma" w:hAnsi="Tahoma"/>
      <w:sz w:val="24"/>
    </w:rPr>
  </w:style>
  <w:style w:type="paragraph" w:customStyle="1" w:styleId="94">
    <w:name w:val="_Style 35"/>
    <w:basedOn w:val="16"/>
    <w:qFormat/>
    <w:uiPriority w:val="0"/>
    <w:pPr>
      <w:widowControl/>
      <w:ind w:firstLine="454"/>
      <w:jc w:val="left"/>
    </w:pPr>
  </w:style>
  <w:style w:type="paragraph" w:customStyle="1" w:styleId="95">
    <w:name w:val="5 Char Char Char Char Char Char Char Char Char Char"/>
    <w:basedOn w:val="1"/>
    <w:qFormat/>
    <w:uiPriority w:val="0"/>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7">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8">
    <w:name w:val="默认段落字体 Para Char"/>
    <w:basedOn w:val="1"/>
    <w:qFormat/>
    <w:uiPriority w:val="0"/>
    <w:rPr>
      <w:szCs w:val="20"/>
    </w:rPr>
  </w:style>
  <w:style w:type="paragraph" w:customStyle="1" w:styleId="99">
    <w:name w:val="表格文字"/>
    <w:basedOn w:val="1"/>
    <w:qFormat/>
    <w:uiPriority w:val="0"/>
    <w:pPr>
      <w:spacing w:before="25" w:after="25"/>
      <w:jc w:val="left"/>
    </w:pPr>
    <w:rPr>
      <w:bCs/>
      <w:spacing w:val="10"/>
      <w:kern w:val="0"/>
      <w:sz w:val="24"/>
    </w:rPr>
  </w:style>
  <w:style w:type="paragraph" w:customStyle="1" w:styleId="100">
    <w:name w:val="_Style 7"/>
    <w:basedOn w:val="16"/>
    <w:qFormat/>
    <w:uiPriority w:val="0"/>
  </w:style>
  <w:style w:type="paragraph" w:customStyle="1" w:styleId="10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4">
    <w:name w:val="样式 小四 行距: 1.5 倍行距"/>
    <w:basedOn w:val="1"/>
    <w:qFormat/>
    <w:uiPriority w:val="0"/>
    <w:pPr>
      <w:spacing w:line="360" w:lineRule="auto"/>
      <w:ind w:firstLine="480" w:firstLineChars="200"/>
    </w:pPr>
    <w:rPr>
      <w:rFonts w:cs="宋体"/>
      <w:sz w:val="24"/>
      <w:szCs w:val="20"/>
    </w:rPr>
  </w:style>
  <w:style w:type="paragraph" w:customStyle="1" w:styleId="105">
    <w:name w:val="p0"/>
    <w:basedOn w:val="1"/>
    <w:qFormat/>
    <w:uiPriority w:val="0"/>
    <w:pPr>
      <w:widowControl/>
    </w:pPr>
    <w:rPr>
      <w:rFonts w:ascii="宋体" w:hAnsi="宋体" w:cs="宋体"/>
      <w:kern w:val="0"/>
      <w:szCs w:val="21"/>
    </w:rPr>
  </w:style>
  <w:style w:type="paragraph" w:customStyle="1" w:styleId="106">
    <w:name w:val="Char Char Char Char Char Char Char Char Char Char Char Char"/>
    <w:basedOn w:val="1"/>
    <w:qFormat/>
    <w:uiPriority w:val="0"/>
    <w:pPr>
      <w:widowControl/>
      <w:spacing w:after="160" w:line="240" w:lineRule="exact"/>
      <w:jc w:val="left"/>
    </w:pPr>
  </w:style>
  <w:style w:type="paragraph" w:customStyle="1" w:styleId="107">
    <w:name w:val="Char Char Char1 Char1"/>
    <w:basedOn w:val="1"/>
    <w:qFormat/>
    <w:uiPriority w:val="0"/>
    <w:rPr>
      <w:rFonts w:ascii="Calibri" w:hAnsi="Calibri"/>
      <w:szCs w:val="22"/>
    </w:rPr>
  </w:style>
  <w:style w:type="paragraph" w:customStyle="1" w:styleId="108">
    <w:name w:val="Char Char Char Char Char Char Char"/>
    <w:basedOn w:val="1"/>
    <w:qFormat/>
    <w:uiPriority w:val="0"/>
  </w:style>
  <w:style w:type="paragraph" w:customStyle="1" w:styleId="109">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0">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1">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3">
    <w:name w:val="Char"/>
    <w:basedOn w:val="16"/>
    <w:qFormat/>
    <w:uiPriority w:val="0"/>
    <w:pPr>
      <w:widowControl/>
      <w:ind w:firstLine="454"/>
      <w:jc w:val="left"/>
    </w:pPr>
    <w:rPr>
      <w:rFonts w:ascii="Tahoma" w:hAnsi="Tahoma" w:cs="宋体"/>
      <w:kern w:val="0"/>
      <w:sz w:val="24"/>
      <w:szCs w:val="20"/>
    </w:rPr>
  </w:style>
  <w:style w:type="paragraph" w:customStyle="1" w:styleId="114">
    <w:name w:val="Char1"/>
    <w:basedOn w:val="16"/>
    <w:qFormat/>
    <w:uiPriority w:val="0"/>
    <w:pPr>
      <w:widowControl/>
      <w:ind w:firstLine="454"/>
      <w:jc w:val="left"/>
    </w:pPr>
    <w:rPr>
      <w:rFonts w:ascii="Tahoma" w:hAnsi="Tahoma" w:cs="宋体"/>
      <w:kern w:val="0"/>
      <w:sz w:val="24"/>
      <w:szCs w:val="20"/>
    </w:rPr>
  </w:style>
  <w:style w:type="paragraph" w:customStyle="1" w:styleId="115">
    <w:name w:val="1"/>
    <w:basedOn w:val="1"/>
    <w:next w:val="23"/>
    <w:qFormat/>
    <w:uiPriority w:val="0"/>
    <w:rPr>
      <w:rFonts w:ascii="宋体" w:hAnsi="Courier New"/>
      <w:szCs w:val="20"/>
    </w:rPr>
  </w:style>
  <w:style w:type="paragraph" w:customStyle="1" w:styleId="116">
    <w:name w:val="_Style 2"/>
    <w:basedOn w:val="1"/>
    <w:qFormat/>
    <w:uiPriority w:val="0"/>
    <w:pPr>
      <w:ind w:firstLine="420" w:firstLineChars="200"/>
    </w:pPr>
  </w:style>
  <w:style w:type="paragraph" w:customStyle="1" w:styleId="117">
    <w:name w:val="正文段"/>
    <w:basedOn w:val="1"/>
    <w:qFormat/>
    <w:uiPriority w:val="0"/>
    <w:pPr>
      <w:widowControl/>
      <w:snapToGrid w:val="0"/>
      <w:spacing w:after="156" w:afterLines="50"/>
      <w:ind w:firstLine="200" w:firstLineChars="200"/>
    </w:pPr>
    <w:rPr>
      <w:kern w:val="0"/>
      <w:sz w:val="24"/>
      <w:szCs w:val="20"/>
    </w:rPr>
  </w:style>
  <w:style w:type="paragraph" w:customStyle="1" w:styleId="118">
    <w:name w:val="列出段落"/>
    <w:basedOn w:val="1"/>
    <w:qFormat/>
    <w:uiPriority w:val="34"/>
    <w:pPr>
      <w:ind w:firstLine="420" w:firstLineChars="200"/>
    </w:pPr>
    <w:rPr>
      <w:rFonts w:ascii="Calibri" w:hAnsi="Calibri"/>
      <w:szCs w:val="22"/>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未处理的提及1"/>
    <w:basedOn w:val="38"/>
    <w:unhideWhenUsed/>
    <w:qFormat/>
    <w:uiPriority w:val="99"/>
    <w:rPr>
      <w:color w:val="605E5C"/>
      <w:shd w:val="clear" w:color="auto" w:fill="E1DFDD"/>
    </w:rPr>
  </w:style>
  <w:style w:type="character" w:customStyle="1" w:styleId="121">
    <w:name w:val="font81"/>
    <w:basedOn w:val="38"/>
    <w:qFormat/>
    <w:uiPriority w:val="0"/>
    <w:rPr>
      <w:rFonts w:hint="eastAsia" w:ascii="宋体" w:hAnsi="宋体" w:eastAsia="宋体" w:cs="宋体"/>
      <w:color w:val="000000"/>
      <w:sz w:val="18"/>
      <w:szCs w:val="18"/>
      <w:u w:val="none"/>
    </w:rPr>
  </w:style>
  <w:style w:type="paragraph" w:customStyle="1" w:styleId="122">
    <w:name w:val="列表段落2"/>
    <w:basedOn w:val="1"/>
    <w:qFormat/>
    <w:uiPriority w:val="34"/>
    <w:pPr>
      <w:ind w:firstLine="420" w:firstLineChars="200"/>
    </w:pPr>
  </w:style>
  <w:style w:type="character" w:customStyle="1" w:styleId="123">
    <w:name w:val="未处理的提及2"/>
    <w:basedOn w:val="38"/>
    <w:unhideWhenUsed/>
    <w:qFormat/>
    <w:uiPriority w:val="99"/>
    <w:rPr>
      <w:color w:val="605E5C"/>
      <w:shd w:val="clear" w:color="auto" w:fill="E1DFDD"/>
    </w:rPr>
  </w:style>
  <w:style w:type="character" w:customStyle="1" w:styleId="124">
    <w:name w:val="纯文本 字符1"/>
    <w:qFormat/>
    <w:uiPriority w:val="0"/>
    <w:rPr>
      <w:rFonts w:ascii="宋体" w:hAnsi="Courier New" w:eastAsia="宋体" w:cs="Courier New"/>
      <w:kern w:val="2"/>
      <w:sz w:val="21"/>
      <w:szCs w:val="21"/>
      <w:lang w:val="en-US" w:eastAsia="zh-CN" w:bidi="ar-SA"/>
    </w:rPr>
  </w:style>
  <w:style w:type="character" w:customStyle="1" w:styleId="125">
    <w:name w:val="标题 4 字符"/>
    <w:basedOn w:val="38"/>
    <w:link w:val="6"/>
    <w:qFormat/>
    <w:uiPriority w:val="9"/>
    <w:rPr>
      <w:rFonts w:asciiTheme="majorHAnsi" w:hAnsiTheme="majorHAnsi" w:eastAsiaTheme="majorEastAsia" w:cstheme="majorBidi"/>
      <w:b/>
      <w:bCs/>
      <w:kern w:val="2"/>
      <w:sz w:val="28"/>
      <w:szCs w:val="28"/>
    </w:rPr>
  </w:style>
  <w:style w:type="character" w:customStyle="1" w:styleId="126">
    <w:name w:val="标题 5 字符"/>
    <w:basedOn w:val="38"/>
    <w:link w:val="7"/>
    <w:qFormat/>
    <w:uiPriority w:val="9"/>
    <w:rPr>
      <w:b/>
      <w:kern w:val="2"/>
      <w:sz w:val="28"/>
      <w:szCs w:val="24"/>
    </w:rPr>
  </w:style>
  <w:style w:type="character" w:customStyle="1" w:styleId="127">
    <w:name w:val="标题 6 字符"/>
    <w:basedOn w:val="38"/>
    <w:link w:val="9"/>
    <w:qFormat/>
    <w:uiPriority w:val="9"/>
    <w:rPr>
      <w:rFonts w:ascii="Arial" w:hAnsi="Arial" w:eastAsia="黑体"/>
      <w:b/>
      <w:kern w:val="2"/>
      <w:sz w:val="24"/>
      <w:szCs w:val="24"/>
    </w:rPr>
  </w:style>
  <w:style w:type="character" w:customStyle="1" w:styleId="128">
    <w:name w:val="标题 7 字符"/>
    <w:basedOn w:val="38"/>
    <w:link w:val="10"/>
    <w:qFormat/>
    <w:uiPriority w:val="9"/>
    <w:rPr>
      <w:b/>
      <w:kern w:val="2"/>
      <w:sz w:val="24"/>
      <w:szCs w:val="24"/>
    </w:rPr>
  </w:style>
  <w:style w:type="character" w:customStyle="1" w:styleId="129">
    <w:name w:val="标题 8 字符"/>
    <w:basedOn w:val="38"/>
    <w:link w:val="11"/>
    <w:qFormat/>
    <w:uiPriority w:val="9"/>
    <w:rPr>
      <w:rFonts w:ascii="Arial" w:hAnsi="Arial" w:eastAsia="黑体"/>
      <w:kern w:val="2"/>
      <w:sz w:val="24"/>
      <w:szCs w:val="24"/>
    </w:rPr>
  </w:style>
  <w:style w:type="character" w:customStyle="1" w:styleId="130">
    <w:name w:val="标题 9 字符"/>
    <w:basedOn w:val="38"/>
    <w:link w:val="12"/>
    <w:qFormat/>
    <w:uiPriority w:val="9"/>
    <w:rPr>
      <w:rFonts w:ascii="Arial" w:hAnsi="Arial" w:eastAsia="黑体"/>
      <w:kern w:val="2"/>
      <w:sz w:val="21"/>
      <w:szCs w:val="24"/>
    </w:rPr>
  </w:style>
  <w:style w:type="paragraph" w:customStyle="1" w:styleId="131">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2">
    <w:name w:val="文档结构图 字符"/>
    <w:basedOn w:val="38"/>
    <w:link w:val="16"/>
    <w:qFormat/>
    <w:uiPriority w:val="99"/>
    <w:rPr>
      <w:kern w:val="2"/>
      <w:sz w:val="21"/>
      <w:szCs w:val="24"/>
      <w:shd w:val="clear" w:color="auto" w:fill="000080"/>
    </w:rPr>
  </w:style>
  <w:style w:type="character" w:customStyle="1" w:styleId="133">
    <w:name w:val="正文文本 字符"/>
    <w:basedOn w:val="38"/>
    <w:link w:val="19"/>
    <w:qFormat/>
    <w:uiPriority w:val="0"/>
    <w:rPr>
      <w:kern w:val="2"/>
      <w:sz w:val="24"/>
      <w:szCs w:val="24"/>
    </w:rPr>
  </w:style>
  <w:style w:type="paragraph" w:customStyle="1" w:styleId="134">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5">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6">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7">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38">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39">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0">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1">
    <w:name w:val="网格型1"/>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正文文本 Char1"/>
    <w:basedOn w:val="38"/>
    <w:semiHidden/>
    <w:qFormat/>
    <w:uiPriority w:val="99"/>
    <w:rPr>
      <w:sz w:val="24"/>
    </w:rPr>
  </w:style>
  <w:style w:type="paragraph" w:customStyle="1" w:styleId="143">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4">
    <w:name w:val="占位符文本1"/>
    <w:semiHidden/>
    <w:qFormat/>
    <w:uiPriority w:val="99"/>
    <w:rPr>
      <w:color w:val="808080"/>
    </w:rPr>
  </w:style>
  <w:style w:type="paragraph" w:customStyle="1" w:styleId="145">
    <w:name w:val="WPSOffice手动目录 1"/>
    <w:qFormat/>
    <w:uiPriority w:val="0"/>
    <w:rPr>
      <w:rFonts w:ascii="Times New Roman" w:hAnsi="Times New Roman" w:eastAsia="宋体" w:cs="Times New Roman"/>
      <w:lang w:val="en-US" w:eastAsia="zh-CN" w:bidi="ar-SA"/>
    </w:rPr>
  </w:style>
  <w:style w:type="paragraph" w:customStyle="1" w:styleId="1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7">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48">
    <w:name w:val="font01"/>
    <w:basedOn w:val="38"/>
    <w:qFormat/>
    <w:uiPriority w:val="0"/>
    <w:rPr>
      <w:rFonts w:hint="eastAsia" w:ascii="宋体" w:hAnsi="宋体" w:eastAsia="宋体" w:cs="宋体"/>
      <w:color w:val="000000"/>
      <w:sz w:val="24"/>
      <w:szCs w:val="24"/>
      <w:u w:val="none"/>
    </w:rPr>
  </w:style>
  <w:style w:type="paragraph" w:customStyle="1" w:styleId="149">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0">
    <w:name w:val="List Paragraph"/>
    <w:basedOn w:val="1"/>
    <w:qFormat/>
    <w:uiPriority w:val="99"/>
    <w:pPr>
      <w:ind w:firstLine="420" w:firstLineChars="200"/>
    </w:pPr>
  </w:style>
  <w:style w:type="character" w:customStyle="1" w:styleId="151">
    <w:name w:val="Unresolved Mention"/>
    <w:basedOn w:val="38"/>
    <w:semiHidden/>
    <w:unhideWhenUsed/>
    <w:qFormat/>
    <w:uiPriority w:val="99"/>
    <w:rPr>
      <w:color w:val="605E5C"/>
      <w:shd w:val="clear" w:color="auto" w:fill="E1DFDD"/>
    </w:rPr>
  </w:style>
  <w:style w:type="paragraph" w:customStyle="1" w:styleId="152">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22693</Words>
  <Characters>24530</Characters>
  <Lines>147</Lines>
  <Paragraphs>41</Paragraphs>
  <TotalTime>58</TotalTime>
  <ScaleCrop>false</ScaleCrop>
  <LinksUpToDate>false</LinksUpToDate>
  <CharactersWithSpaces>25670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2025-09-16T06:12:05Z</cp:lastPrinted>
  <dcterms:modified xsi:type="dcterms:W3CDTF">2025-09-17T02:36:21Z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63E8FE146B85418AA35CCCFA075D484F</vt:lpwstr>
  </property>
  <property fmtid="{D5CDD505-2E9C-101B-9397-08002B2CF9AE}" pid="4" name="KSOTemplateDocerSaveRecord">
    <vt:lpwstr>eyJoZGlkIjoiZWM3M2Q3M2FmMDNhNDVkMWVjNmZjZTNiYjFhYmQyMzUiLCJ1c2VySWQiOiIyNDQ2ODM2NTcifQ==</vt:lpwstr>
  </property>
</Properties>
</file>