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rPr>
          <w:color w:val="auto"/>
          <w:highlight w:val="none"/>
        </w:rPr>
      </w:pPr>
    </w:p>
    <w:p>
      <w:pPr>
        <w:rPr>
          <w:color w:val="auto"/>
          <w:highlight w:val="none"/>
        </w:rPr>
      </w:pPr>
    </w:p>
    <w:p>
      <w:pPr>
        <w:spacing w:before="156" w:beforeLines="50" w:line="780" w:lineRule="exact"/>
        <w:jc w:val="center"/>
        <w:rPr>
          <w:rFonts w:ascii="方正小标宋_GBK" w:hAnsi="黑体" w:eastAsia="方正小标宋_GBK"/>
          <w:b/>
          <w:color w:val="auto"/>
          <w:sz w:val="84"/>
          <w:szCs w:val="84"/>
          <w:highlight w:val="none"/>
        </w:rPr>
      </w:pPr>
      <w:r>
        <w:rPr>
          <w:rFonts w:hint="eastAsia" w:ascii="方正小标宋_GBK" w:hAnsi="黑体" w:eastAsia="方正小标宋_GBK"/>
          <w:b/>
          <w:color w:val="auto"/>
          <w:sz w:val="84"/>
          <w:szCs w:val="84"/>
          <w:highlight w:val="none"/>
        </w:rPr>
        <w:t>竞争性谈判采购文件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firstLine="960" w:firstLineChars="300"/>
        <w:jc w:val="both"/>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项目名称:</w:t>
      </w:r>
      <w:r>
        <w:rPr>
          <w:rFonts w:hint="eastAsia" w:ascii="方正小标宋_GBK" w:hAnsi="微软雅黑" w:eastAsia="方正小标宋_GBK"/>
          <w:color w:val="auto"/>
          <w:sz w:val="32"/>
          <w:szCs w:val="32"/>
          <w:highlight w:val="none"/>
          <w:lang w:eastAsia="zh-CN"/>
        </w:rPr>
        <w:t>钦州幼儿师范高等专科学校医学营养专业实训室</w:t>
      </w:r>
    </w:p>
    <w:p>
      <w:pPr>
        <w:spacing w:line="500" w:lineRule="exact"/>
        <w:ind w:firstLine="1920" w:firstLineChars="600"/>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项目编号:</w:t>
      </w:r>
      <w:r>
        <w:rPr>
          <w:rFonts w:hint="eastAsia" w:ascii="方正小标宋_GBK" w:hAnsi="微软雅黑" w:eastAsia="方正小标宋_GBK"/>
          <w:color w:val="auto"/>
          <w:sz w:val="32"/>
          <w:szCs w:val="32"/>
          <w:highlight w:val="none"/>
          <w:lang w:eastAsia="zh-CN"/>
        </w:rPr>
        <w:t>QZZC2025-J1-990250-QZSZ</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exact"/>
        <w:jc w:val="center"/>
        <w:rPr>
          <w:rFonts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tabs>
          <w:tab w:val="left" w:pos="360"/>
        </w:tabs>
        <w:spacing w:line="440" w:lineRule="exact"/>
        <w:jc w:val="center"/>
        <w:rPr>
          <w:rFonts w:hint="eastAsia" w:ascii="仿宋_GB2312" w:hAnsi="宋体"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2025年</w:t>
      </w:r>
      <w:r>
        <w:rPr>
          <w:rFonts w:hint="eastAsia" w:ascii="方正小标宋_GBK" w:hAnsi="微软雅黑" w:eastAsia="方正小标宋_GBK"/>
          <w:color w:val="auto"/>
          <w:sz w:val="32"/>
          <w:szCs w:val="32"/>
          <w:highlight w:val="none"/>
          <w:lang w:val="en-US" w:eastAsia="zh-CN"/>
        </w:rPr>
        <w:t>9</w:t>
      </w:r>
      <w:r>
        <w:rPr>
          <w:rFonts w:hint="eastAsia" w:ascii="方正小标宋_GBK" w:hAnsi="微软雅黑" w:eastAsia="方正小标宋_GBK"/>
          <w:color w:val="auto"/>
          <w:sz w:val="32"/>
          <w:szCs w:val="32"/>
          <w:highlight w:val="none"/>
          <w:lang w:eastAsia="zh-CN"/>
        </w:rPr>
        <w:t>月</w:t>
      </w:r>
    </w:p>
    <w:p>
      <w:pPr>
        <w:rPr>
          <w:color w:val="auto"/>
          <w:highlight w:val="none"/>
        </w:rPr>
      </w:pPr>
    </w:p>
    <w:p>
      <w:pPr>
        <w:rPr>
          <w:color w:val="auto"/>
          <w:highlight w:val="none"/>
        </w:rPr>
      </w:pPr>
    </w:p>
    <w:p>
      <w:pPr>
        <w:spacing w:line="640" w:lineRule="exact"/>
        <w:jc w:val="center"/>
        <w:rPr>
          <w:rFonts w:ascii="方正小标宋_GBK" w:hAnsi="宋体" w:eastAsia="方正小标宋_GBK"/>
          <w:b/>
          <w:color w:val="auto"/>
          <w:sz w:val="32"/>
          <w:szCs w:val="32"/>
          <w:highlight w:val="none"/>
        </w:rPr>
      </w:pPr>
      <w:r>
        <w:rPr>
          <w:rFonts w:hint="eastAsia" w:ascii="方正小标宋_GBK" w:hAnsi="宋体" w:eastAsia="方正小标宋_GBK"/>
          <w:b/>
          <w:color w:val="auto"/>
          <w:sz w:val="44"/>
          <w:szCs w:val="44"/>
          <w:highlight w:val="none"/>
        </w:rPr>
        <w:t>目   录</w:t>
      </w:r>
    </w:p>
    <w:p>
      <w:pPr>
        <w:rPr>
          <w:color w:val="auto"/>
          <w:highlight w:val="none"/>
        </w:rPr>
      </w:pPr>
    </w:p>
    <w:p>
      <w:pPr>
        <w:pStyle w:val="27"/>
        <w:tabs>
          <w:tab w:val="right" w:leader="dot" w:pos="9514"/>
        </w:tabs>
        <w:spacing w:line="1000" w:lineRule="exact"/>
        <w:rPr>
          <w:rFonts w:asciiTheme="minorHAnsi" w:hAnsiTheme="minorHAnsi" w:eastAsiaTheme="minorEastAsia" w:cstheme="minorBidi"/>
          <w:color w:val="auto"/>
          <w:sz w:val="28"/>
          <w:szCs w:val="28"/>
          <w:highlight w:val="none"/>
        </w:rPr>
      </w:pPr>
      <w:bookmarkStart w:id="0" w:name="_Toc354479497"/>
      <w:r>
        <w:rPr>
          <w:rFonts w:hint="eastAsia" w:ascii="方正小标宋_GBK" w:hAnsi="仿宋" w:eastAsia="方正小标宋_GBK"/>
          <w:b/>
          <w:color w:val="auto"/>
          <w:sz w:val="28"/>
          <w:szCs w:val="28"/>
          <w:highlight w:val="none"/>
        </w:rPr>
        <w:fldChar w:fldCharType="begin"/>
      </w:r>
      <w:r>
        <w:rPr>
          <w:rFonts w:hint="eastAsia" w:ascii="方正小标宋_GBK" w:hAnsi="仿宋" w:eastAsia="方正小标宋_GBK"/>
          <w:b/>
          <w:color w:val="auto"/>
          <w:sz w:val="28"/>
          <w:szCs w:val="28"/>
          <w:highlight w:val="none"/>
        </w:rPr>
        <w:instrText xml:space="preserve"> TOC \o "1-1" \h \z \u </w:instrText>
      </w:r>
      <w:r>
        <w:rPr>
          <w:rFonts w:hint="eastAsia" w:ascii="方正小标宋_GBK" w:hAnsi="仿宋" w:eastAsia="方正小标宋_GBK"/>
          <w:b/>
          <w:color w:val="auto"/>
          <w:sz w:val="28"/>
          <w:szCs w:val="28"/>
          <w:highlight w:val="none"/>
        </w:rPr>
        <w:fldChar w:fldCharType="separate"/>
      </w:r>
      <w:r>
        <w:rPr>
          <w:color w:val="auto"/>
          <w:highlight w:val="none"/>
        </w:rPr>
        <w:fldChar w:fldCharType="begin"/>
      </w:r>
      <w:r>
        <w:rPr>
          <w:color w:val="auto"/>
          <w:highlight w:val="none"/>
        </w:rPr>
        <w:instrText xml:space="preserve"> HYPERLINK \l "_Toc92355023" </w:instrText>
      </w:r>
      <w:r>
        <w:rPr>
          <w:color w:val="auto"/>
          <w:highlight w:val="none"/>
        </w:rPr>
        <w:fldChar w:fldCharType="separate"/>
      </w:r>
      <w:r>
        <w:rPr>
          <w:rStyle w:val="41"/>
          <w:rFonts w:ascii="方正小标宋_GBK" w:hAnsi="宋体" w:eastAsia="方正小标宋_GBK"/>
          <w:color w:val="auto"/>
          <w:sz w:val="28"/>
          <w:szCs w:val="28"/>
          <w:highlight w:val="none"/>
        </w:rPr>
        <w:t>第一章  竞争性谈判公告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"_Toc92355024" </w:instrText>
      </w:r>
      <w:r>
        <w:rPr>
          <w:color w:val="auto"/>
          <w:highlight w:val="none"/>
        </w:rPr>
        <w:fldChar w:fldCharType="separate"/>
      </w:r>
      <w:r>
        <w:rPr>
          <w:rStyle w:val="41"/>
          <w:rFonts w:ascii="方正小标宋_GBK" w:hAnsi="宋体" w:eastAsia="方正小标宋_GBK"/>
          <w:color w:val="auto"/>
          <w:sz w:val="28"/>
          <w:szCs w:val="28"/>
          <w:highlight w:val="none"/>
        </w:rPr>
        <w:t>第二章  项目需求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"_Toc92355025" </w:instrText>
      </w:r>
      <w:r>
        <w:rPr>
          <w:color w:val="auto"/>
          <w:highlight w:val="none"/>
        </w:rPr>
        <w:fldChar w:fldCharType="separate"/>
      </w:r>
      <w:r>
        <w:rPr>
          <w:rStyle w:val="41"/>
          <w:rFonts w:ascii="方正小标宋简体" w:eastAsia="方正小标宋简体"/>
          <w:color w:val="auto"/>
          <w:sz w:val="28"/>
          <w:szCs w:val="28"/>
          <w:highlight w:val="none"/>
        </w:rPr>
        <w:t>第三章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_Toc92355025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"_Toc92355026" </w:instrText>
      </w:r>
      <w:r>
        <w:rPr>
          <w:color w:val="auto"/>
          <w:highlight w:val="none"/>
        </w:rPr>
        <w:fldChar w:fldCharType="separate"/>
      </w:r>
      <w:r>
        <w:rPr>
          <w:rStyle w:val="41"/>
          <w:rFonts w:ascii="方正小标宋_GBK" w:hAnsi="宋体" w:eastAsia="方正小标宋_GBK"/>
          <w:color w:val="auto"/>
          <w:sz w:val="28"/>
          <w:szCs w:val="28"/>
          <w:highlight w:val="none"/>
        </w:rPr>
        <w:t>第四章  评定标准及推荐原则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_Toc92355026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"_Toc92355027" </w:instrText>
      </w:r>
      <w:r>
        <w:rPr>
          <w:color w:val="auto"/>
          <w:highlight w:val="none"/>
        </w:rPr>
        <w:fldChar w:fldCharType="separate"/>
      </w:r>
      <w:r>
        <w:rPr>
          <w:rStyle w:val="41"/>
          <w:rFonts w:ascii="方正小标宋_GBK" w:eastAsia="方正小标宋_GBK"/>
          <w:color w:val="auto"/>
          <w:sz w:val="28"/>
          <w:szCs w:val="28"/>
          <w:highlight w:val="none"/>
        </w:rPr>
        <w:t>第五章  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_Toc92355027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"_Toc92355028" </w:instrText>
      </w:r>
      <w:r>
        <w:rPr>
          <w:color w:val="auto"/>
          <w:highlight w:val="none"/>
        </w:rPr>
        <w:fldChar w:fldCharType="separate"/>
      </w:r>
      <w:r>
        <w:rPr>
          <w:rStyle w:val="41"/>
          <w:rFonts w:ascii="方正小标宋_GBK" w:hAnsi="方正小标宋_GBK" w:eastAsia="方正小标宋_GBK"/>
          <w:color w:val="auto"/>
          <w:sz w:val="28"/>
          <w:szCs w:val="28"/>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_Toc92355028 \h </w:instrText>
      </w:r>
      <w:r>
        <w:rPr>
          <w:color w:val="auto"/>
          <w:sz w:val="28"/>
          <w:szCs w:val="28"/>
          <w:highlight w:val="none"/>
        </w:rPr>
        <w:fldChar w:fldCharType="separate"/>
      </w:r>
      <w:r>
        <w:rPr>
          <w:color w:val="auto"/>
          <w:sz w:val="28"/>
          <w:szCs w:val="28"/>
          <w:highlight w:val="none"/>
        </w:rPr>
        <w:t>65</w:t>
      </w:r>
      <w:r>
        <w:rPr>
          <w:color w:val="auto"/>
          <w:sz w:val="28"/>
          <w:szCs w:val="28"/>
          <w:highlight w:val="none"/>
        </w:rPr>
        <w:fldChar w:fldCharType="end"/>
      </w:r>
      <w:r>
        <w:rPr>
          <w:color w:val="auto"/>
          <w:sz w:val="28"/>
          <w:szCs w:val="28"/>
          <w:highlight w:val="none"/>
        </w:rPr>
        <w:fldChar w:fldCharType="end"/>
      </w:r>
    </w:p>
    <w:p>
      <w:pPr>
        <w:rPr>
          <w:color w:val="auto"/>
          <w:highlight w:val="none"/>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highlight w:val="none"/>
        </w:rPr>
        <w:fldChar w:fldCharType="end"/>
      </w:r>
    </w:p>
    <w:p>
      <w:pPr>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hAnsi="宋体" w:eastAsia="方正小标宋_GBK"/>
          <w:color w:val="auto"/>
          <w:highlight w:val="none"/>
        </w:rPr>
      </w:pPr>
      <w:bookmarkStart w:id="1" w:name="_Toc92355023"/>
      <w:r>
        <w:rPr>
          <w:rFonts w:hint="eastAsia" w:ascii="方正小标宋_GBK" w:hAnsi="宋体" w:eastAsia="方正小标宋_GBK"/>
          <w:color w:val="auto"/>
          <w:highlight w:val="none"/>
        </w:rPr>
        <w:t>第一章  竞争性谈判公告</w:t>
      </w:r>
      <w:bookmarkEnd w:id="0"/>
      <w:bookmarkEnd w:id="1"/>
    </w:p>
    <w:p>
      <w:pPr>
        <w:spacing w:line="600" w:lineRule="exact"/>
        <w:jc w:val="center"/>
        <w:rPr>
          <w:rFonts w:ascii="黑体" w:hAnsi="宋体" w:eastAsia="黑体"/>
          <w:b/>
          <w:color w:val="auto"/>
          <w:sz w:val="32"/>
          <w:szCs w:val="32"/>
          <w:highlight w:val="none"/>
        </w:rPr>
      </w:pPr>
      <w:r>
        <w:rPr>
          <w:rFonts w:ascii="黑体" w:hAnsi="宋体" w:eastAsia="黑体"/>
          <w:b/>
          <w:color w:val="auto"/>
          <w:sz w:val="32"/>
          <w:szCs w:val="32"/>
          <w:highlight w:val="none"/>
        </w:rPr>
        <w:br w:type="page"/>
      </w:r>
    </w:p>
    <w:p>
      <w:pPr>
        <w:spacing w:line="600" w:lineRule="exact"/>
        <w:jc w:val="center"/>
        <w:rPr>
          <w:rFonts w:ascii="方正小标宋_GBK" w:hAnsi="宋体" w:eastAsia="方正小标宋_GBK"/>
          <w:b/>
          <w:color w:val="auto"/>
          <w:sz w:val="34"/>
          <w:szCs w:val="34"/>
          <w:highlight w:val="none"/>
        </w:rPr>
      </w:pPr>
      <w:r>
        <w:rPr>
          <w:rFonts w:hint="eastAsia" w:ascii="方正小标宋_GBK" w:hAnsi="宋体" w:eastAsia="方正小标宋_GBK"/>
          <w:b/>
          <w:color w:val="auto"/>
          <w:sz w:val="34"/>
          <w:szCs w:val="34"/>
          <w:highlight w:val="none"/>
        </w:rPr>
        <w:t>钦州市政府采购中心关于</w:t>
      </w:r>
      <w:bookmarkStart w:id="2" w:name="OLE_LINK1"/>
      <w:r>
        <w:rPr>
          <w:rFonts w:hint="eastAsia" w:ascii="方正小标宋_GBK" w:hAnsi="宋体" w:eastAsia="方正小标宋_GBK"/>
          <w:b/>
          <w:color w:val="auto"/>
          <w:sz w:val="34"/>
          <w:szCs w:val="34"/>
          <w:highlight w:val="none"/>
          <w:lang w:eastAsia="zh-CN"/>
        </w:rPr>
        <w:t>钦州幼儿师范高等专科学校医学营养专业实训室</w:t>
      </w:r>
      <w:bookmarkEnd w:id="2"/>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lang w:eastAsia="zh-CN"/>
        </w:rPr>
        <w:t>QZZC2025-J1-990250-QZSZ</w:t>
      </w:r>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rPr>
        <w:t>的竞争性谈判公告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color w:val="auto"/>
          <w:sz w:val="32"/>
          <w:szCs w:val="32"/>
          <w:highlight w:val="none"/>
        </w:rPr>
      </w:pPr>
      <w:bookmarkStart w:id="3" w:name="_Toc38370138"/>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钦州幼儿师范高等专科学校医学营养专业实训室</w:t>
      </w:r>
      <w:r>
        <w:rPr>
          <w:rFonts w:hint="eastAsia" w:ascii="宋体" w:hAnsi="宋体"/>
          <w:color w:val="auto"/>
          <w:szCs w:val="21"/>
          <w:highlight w:val="none"/>
        </w:rPr>
        <w:t>的潜在供应商应在广西政府采购云平台（https://www.gcy.zfcg.gxzf.gov.cn/）获取采购文件，并于2025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9</w:t>
      </w:r>
      <w:r>
        <w:rPr>
          <w:rFonts w:hint="eastAsia" w:ascii="宋体" w:hAnsi="宋体"/>
          <w:bCs/>
          <w:color w:val="auto"/>
          <w:szCs w:val="21"/>
          <w:highlight w:val="none"/>
          <w:lang w:eastAsia="zh-CN"/>
        </w:rPr>
        <w:t>月</w:t>
      </w:r>
      <w:r>
        <w:rPr>
          <w:rFonts w:hint="eastAsia" w:ascii="宋体" w:hAnsi="宋体"/>
          <w:bCs/>
          <w:color w:val="auto"/>
          <w:szCs w:val="21"/>
          <w:highlight w:val="none"/>
          <w:lang w:val="en-US" w:eastAsia="zh-CN"/>
        </w:rPr>
        <w:t>18</w:t>
      </w:r>
      <w:r>
        <w:rPr>
          <w:rFonts w:hint="eastAsia" w:ascii="宋体" w:hAnsi="宋体"/>
          <w:bCs/>
          <w:color w:val="auto"/>
          <w:szCs w:val="21"/>
          <w:highlight w:val="none"/>
        </w:rPr>
        <w:t>日</w:t>
      </w:r>
      <w:r>
        <w:rPr>
          <w:rFonts w:hint="eastAsia"/>
          <w:color w:val="auto"/>
          <w:highlight w:val="none"/>
        </w:rPr>
        <w:t>9</w:t>
      </w:r>
      <w:r>
        <w:rPr>
          <w:color w:val="auto"/>
          <w:highlight w:val="none"/>
        </w:rPr>
        <w:t>:</w:t>
      </w:r>
      <w:r>
        <w:rPr>
          <w:rFonts w:hint="eastAsia"/>
          <w:color w:val="auto"/>
          <w:highlight w:val="none"/>
        </w:rPr>
        <w:t>3</w:t>
      </w:r>
      <w:r>
        <w:rPr>
          <w:color w:val="auto"/>
          <w:highlight w:val="none"/>
        </w:rPr>
        <w:t>0</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bookmarkEnd w:id="3"/>
    <w:p>
      <w:pPr>
        <w:spacing w:line="400" w:lineRule="exact"/>
        <w:rPr>
          <w:b/>
          <w:color w:val="auto"/>
          <w:highlight w:val="none"/>
        </w:rPr>
      </w:pPr>
      <w:bookmarkStart w:id="4" w:name="_Toc28359002"/>
      <w:bookmarkStart w:id="5" w:name="_Toc28359079"/>
      <w:bookmarkStart w:id="6" w:name="_Toc35393621"/>
      <w:bookmarkStart w:id="7" w:name="_Toc35393790"/>
      <w:bookmarkStart w:id="8" w:name="_Hlk24379207"/>
      <w:bookmarkStart w:id="9" w:name="_Toc38370146"/>
      <w:r>
        <w:rPr>
          <w:rFonts w:hint="eastAsia"/>
          <w:b/>
          <w:color w:val="auto"/>
          <w:highlight w:val="none"/>
        </w:rPr>
        <w:t>一、项目基本情况</w:t>
      </w:r>
      <w:bookmarkEnd w:id="4"/>
      <w:bookmarkEnd w:id="5"/>
      <w:bookmarkEnd w:id="6"/>
      <w:bookmarkEnd w:id="7"/>
    </w:p>
    <w:p>
      <w:pPr>
        <w:spacing w:line="400" w:lineRule="exact"/>
        <w:ind w:firstLine="42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QZZC2025-J1-990250-QZSZ</w:t>
      </w:r>
    </w:p>
    <w:p>
      <w:pPr>
        <w:spacing w:line="400" w:lineRule="exact"/>
        <w:ind w:firstLine="4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钦州幼儿师范高等专科学校医学营养专业实训室</w:t>
      </w:r>
    </w:p>
    <w:bookmarkEnd w:id="8"/>
    <w:p>
      <w:pPr>
        <w:spacing w:line="400" w:lineRule="exact"/>
        <w:ind w:firstLine="420"/>
        <w:rPr>
          <w:rFonts w:hint="eastAsia" w:eastAsia="宋体"/>
          <w:color w:val="auto"/>
          <w:highlight w:val="none"/>
          <w:lang w:eastAsia="zh-CN"/>
        </w:rPr>
      </w:pPr>
      <w:r>
        <w:rPr>
          <w:rFonts w:hint="eastAsia"/>
          <w:color w:val="auto"/>
          <w:highlight w:val="none"/>
        </w:rPr>
        <w:t>预算总金额(元</w:t>
      </w:r>
      <w:r>
        <w:rPr>
          <w:color w:val="auto"/>
          <w:highlight w:val="none"/>
        </w:rPr>
        <w:t>)</w:t>
      </w:r>
      <w:r>
        <w:rPr>
          <w:rFonts w:hint="eastAsia"/>
          <w:color w:val="auto"/>
          <w:highlight w:val="none"/>
        </w:rPr>
        <w:t>：</w:t>
      </w:r>
      <w:r>
        <w:rPr>
          <w:rFonts w:hint="eastAsia"/>
          <w:color w:val="auto"/>
          <w:highlight w:val="none"/>
          <w:lang w:eastAsia="zh-CN"/>
        </w:rPr>
        <w:t>1,384,639.00</w:t>
      </w:r>
    </w:p>
    <w:p>
      <w:pPr>
        <w:spacing w:line="400" w:lineRule="exact"/>
        <w:ind w:firstLine="420"/>
        <w:rPr>
          <w:color w:val="auto"/>
          <w:highlight w:val="none"/>
        </w:rPr>
      </w:pPr>
      <w:r>
        <w:rPr>
          <w:rFonts w:hint="eastAsia"/>
          <w:color w:val="auto"/>
          <w:highlight w:val="none"/>
        </w:rPr>
        <w:t>采购需求：</w:t>
      </w:r>
    </w:p>
    <w:p>
      <w:pPr>
        <w:spacing w:line="400" w:lineRule="exact"/>
        <w:ind w:firstLine="420"/>
        <w:rPr>
          <w:color w:val="auto"/>
          <w:highlight w:val="none"/>
        </w:rPr>
      </w:pPr>
    </w:p>
    <w:p>
      <w:pPr>
        <w:spacing w:line="400" w:lineRule="exact"/>
        <w:ind w:firstLine="420"/>
        <w:rPr>
          <w:rFonts w:hint="eastAsia" w:eastAsia="宋体"/>
          <w:color w:val="auto"/>
          <w:highlight w:val="none"/>
          <w:lang w:eastAsia="zh-CN"/>
        </w:rPr>
      </w:pPr>
      <w:r>
        <w:rPr>
          <w:rFonts w:hint="eastAsia"/>
          <w:color w:val="auto"/>
          <w:highlight w:val="none"/>
        </w:rPr>
        <w:t>标项名称：</w:t>
      </w:r>
      <w:r>
        <w:rPr>
          <w:color w:val="auto"/>
          <w:highlight w:val="none"/>
        </w:rPr>
        <w:t xml:space="preserve"> </w:t>
      </w:r>
      <w:r>
        <w:rPr>
          <w:rFonts w:hint="eastAsia"/>
          <w:color w:val="auto"/>
          <w:highlight w:val="none"/>
          <w:lang w:eastAsia="zh-CN"/>
        </w:rPr>
        <w:t>钦州幼儿师范高等专科学校医学营养专业实训室</w:t>
      </w:r>
    </w:p>
    <w:p>
      <w:pPr>
        <w:spacing w:line="400" w:lineRule="exact"/>
        <w:ind w:firstLine="420"/>
        <w:rPr>
          <w:color w:val="auto"/>
          <w:highlight w:val="none"/>
        </w:rPr>
      </w:pPr>
      <w:r>
        <w:rPr>
          <w:rFonts w:hint="eastAsia"/>
          <w:color w:val="auto"/>
          <w:highlight w:val="none"/>
        </w:rPr>
        <w:t>数量：1</w:t>
      </w:r>
    </w:p>
    <w:p>
      <w:pPr>
        <w:spacing w:line="400" w:lineRule="exact"/>
        <w:ind w:firstLine="420"/>
        <w:rPr>
          <w:rFonts w:hint="eastAsia" w:eastAsia="宋体"/>
          <w:color w:val="auto"/>
          <w:highlight w:val="none"/>
          <w:lang w:eastAsia="zh-CN"/>
        </w:rPr>
      </w:pPr>
      <w:r>
        <w:rPr>
          <w:rFonts w:hint="eastAsia"/>
          <w:color w:val="auto"/>
          <w:highlight w:val="none"/>
        </w:rPr>
        <w:t>预算金额(元</w:t>
      </w:r>
      <w:r>
        <w:rPr>
          <w:color w:val="auto"/>
          <w:highlight w:val="none"/>
        </w:rPr>
        <w:t>)</w:t>
      </w:r>
      <w:r>
        <w:rPr>
          <w:rFonts w:hint="eastAsia"/>
          <w:color w:val="auto"/>
          <w:highlight w:val="none"/>
        </w:rPr>
        <w:t>：</w:t>
      </w:r>
      <w:r>
        <w:rPr>
          <w:rFonts w:hint="eastAsia"/>
          <w:color w:val="auto"/>
          <w:highlight w:val="none"/>
          <w:lang w:eastAsia="zh-CN"/>
        </w:rPr>
        <w:t>1,384,639.00</w:t>
      </w:r>
    </w:p>
    <w:p>
      <w:pPr>
        <w:spacing w:line="400" w:lineRule="exact"/>
        <w:ind w:firstLine="420"/>
        <w:rPr>
          <w:color w:val="auto"/>
          <w:highlight w:val="none"/>
        </w:rPr>
      </w:pPr>
      <w:r>
        <w:rPr>
          <w:rFonts w:hint="eastAsia"/>
          <w:color w:val="auto"/>
          <w:highlight w:val="none"/>
        </w:rPr>
        <w:t>简要规格描述或项目基本概况介绍、用途：采购营养烹饪实训及营养膳食评估实训使用到的相关设备，包含厨具类设备、电器类设备、人体成分分析仪、营养计算辅助系统、膳食诊断和饮食行为训练系统、易耗品及实训室文化建设等内容，具体详见采购文件。</w:t>
      </w:r>
    </w:p>
    <w:p>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pPr>
        <w:spacing w:line="400" w:lineRule="exact"/>
        <w:ind w:firstLine="420"/>
        <w:rPr>
          <w:color w:val="auto"/>
          <w:highlight w:val="none"/>
        </w:rPr>
      </w:pPr>
      <w:r>
        <w:rPr>
          <w:rFonts w:hint="eastAsia"/>
          <w:color w:val="auto"/>
          <w:highlight w:val="none"/>
        </w:rPr>
        <w:t>合同履行期限：自签订合同之日起</w:t>
      </w:r>
      <w:r>
        <w:rPr>
          <w:rFonts w:hint="eastAsia"/>
          <w:color w:val="auto"/>
          <w:highlight w:val="none"/>
          <w:lang w:val="en-US" w:eastAsia="zh-CN"/>
        </w:rPr>
        <w:t>50个</w:t>
      </w:r>
      <w:r>
        <w:rPr>
          <w:rFonts w:hint="eastAsia"/>
          <w:color w:val="auto"/>
          <w:highlight w:val="none"/>
        </w:rPr>
        <w:t>工作日内送货到采购人指定地点，并完成现场安装及验收。</w:t>
      </w:r>
    </w:p>
    <w:p>
      <w:pPr>
        <w:spacing w:line="400" w:lineRule="exact"/>
        <w:ind w:firstLine="420"/>
        <w:rPr>
          <w:color w:val="auto"/>
          <w:highlight w:val="none"/>
        </w:rPr>
      </w:pPr>
      <w:r>
        <w:rPr>
          <w:rFonts w:hint="eastAsia"/>
          <w:color w:val="auto"/>
          <w:highlight w:val="none"/>
        </w:rPr>
        <w:t>本标项(否</w:t>
      </w:r>
      <w:r>
        <w:rPr>
          <w:color w:val="auto"/>
          <w:highlight w:val="none"/>
        </w:rPr>
        <w:t>)</w:t>
      </w:r>
      <w:r>
        <w:rPr>
          <w:rFonts w:hint="eastAsia"/>
          <w:color w:val="auto"/>
          <w:highlight w:val="none"/>
        </w:rPr>
        <w:t>接受联合体投标。</w:t>
      </w:r>
    </w:p>
    <w:p>
      <w:pPr>
        <w:spacing w:line="400" w:lineRule="exact"/>
        <w:ind w:firstLine="420"/>
        <w:rPr>
          <w:color w:val="auto"/>
          <w:highlight w:val="none"/>
        </w:rPr>
      </w:pPr>
      <w:r>
        <w:rPr>
          <w:rFonts w:hint="eastAsia"/>
          <w:color w:val="auto"/>
          <w:highlight w:val="none"/>
        </w:rPr>
        <w:t>备注：</w:t>
      </w:r>
    </w:p>
    <w:p>
      <w:pPr>
        <w:spacing w:line="400" w:lineRule="exact"/>
        <w:ind w:firstLine="420"/>
        <w:rPr>
          <w:color w:val="auto"/>
          <w:highlight w:val="none"/>
        </w:rPr>
      </w:pPr>
    </w:p>
    <w:p>
      <w:pPr>
        <w:spacing w:line="400" w:lineRule="exact"/>
        <w:rPr>
          <w:b/>
          <w:color w:val="auto"/>
          <w:highlight w:val="none"/>
        </w:rPr>
      </w:pPr>
      <w:bookmarkStart w:id="10" w:name="_Toc28359003"/>
      <w:bookmarkStart w:id="11" w:name="_Toc35393791"/>
      <w:bookmarkStart w:id="12" w:name="_Toc35393622"/>
      <w:bookmarkStart w:id="13" w:name="_Toc28359080"/>
      <w:r>
        <w:rPr>
          <w:rFonts w:hint="eastAsia"/>
          <w:b/>
          <w:color w:val="auto"/>
          <w:highlight w:val="none"/>
        </w:rPr>
        <w:t>二、申请人的资格要求：</w:t>
      </w:r>
      <w:bookmarkEnd w:id="10"/>
      <w:bookmarkEnd w:id="11"/>
      <w:bookmarkEnd w:id="12"/>
      <w:bookmarkEnd w:id="13"/>
      <w:bookmarkStart w:id="14" w:name="_Toc28359004"/>
      <w:bookmarkStart w:id="15" w:name="_Toc28359081"/>
      <w:bookmarkStart w:id="16" w:name="_Toc35393792"/>
      <w:bookmarkStart w:id="17" w:name="_Toc35393623"/>
    </w:p>
    <w:p>
      <w:pPr>
        <w:spacing w:line="400" w:lineRule="exact"/>
        <w:ind w:firstLine="420"/>
        <w:rPr>
          <w:b/>
          <w:color w:val="auto"/>
          <w:highlight w:val="none"/>
        </w:rPr>
      </w:pPr>
      <w:r>
        <w:rPr>
          <w:rFonts w:hint="eastAsia"/>
          <w:color w:val="auto"/>
          <w:highlight w:val="none"/>
        </w:rPr>
        <w:t>1.满足《中华人民共和国政府采购法》第二十二条规定</w:t>
      </w:r>
    </w:p>
    <w:p>
      <w:pPr>
        <w:spacing w:line="400" w:lineRule="exact"/>
        <w:ind w:firstLine="420"/>
        <w:rPr>
          <w:color w:val="auto"/>
          <w:highlight w:val="none"/>
        </w:rPr>
      </w:pPr>
      <w:r>
        <w:rPr>
          <w:rFonts w:hint="eastAsia"/>
          <w:color w:val="auto"/>
          <w:highlight w:val="none"/>
        </w:rPr>
        <w:t>2.落实政府采购政策需满足的资格要求：无</w:t>
      </w:r>
    </w:p>
    <w:p>
      <w:pPr>
        <w:spacing w:line="400" w:lineRule="exact"/>
        <w:ind w:firstLine="435"/>
        <w:rPr>
          <w:color w:val="auto"/>
          <w:highlight w:val="none"/>
        </w:rPr>
      </w:pPr>
      <w:r>
        <w:rPr>
          <w:rFonts w:hint="eastAsia"/>
          <w:color w:val="auto"/>
          <w:highlight w:val="none"/>
        </w:rPr>
        <w:t>3.本项目的特定资格要求：供应商具备有效的医疗器械生产许可证或第二类医疗器械经营备案凭证，或者供应商具有《</w:t>
      </w:r>
      <w:bookmarkStart w:id="18" w:name="OLE_LINK8"/>
      <w:r>
        <w:rPr>
          <w:rFonts w:hint="eastAsia"/>
          <w:color w:val="auto"/>
          <w:highlight w:val="none"/>
        </w:rPr>
        <w:t>医疗器械监督管理条例</w:t>
      </w:r>
      <w:bookmarkEnd w:id="18"/>
      <w:r>
        <w:rPr>
          <w:rFonts w:hint="eastAsia"/>
          <w:color w:val="auto"/>
          <w:highlight w:val="none"/>
        </w:rPr>
        <w:t>》第四十三条规定的注册人凭证。</w:t>
      </w:r>
    </w:p>
    <w:p>
      <w:pPr>
        <w:spacing w:line="400" w:lineRule="exact"/>
        <w:rPr>
          <w:b/>
          <w:color w:val="auto"/>
          <w:highlight w:val="none"/>
        </w:rPr>
      </w:pPr>
      <w:r>
        <w:rPr>
          <w:rFonts w:hint="eastAsia"/>
          <w:b/>
          <w:color w:val="auto"/>
          <w:highlight w:val="none"/>
        </w:rPr>
        <w:t>三、获取采购文件</w:t>
      </w:r>
      <w:bookmarkEnd w:id="14"/>
      <w:bookmarkEnd w:id="15"/>
      <w:bookmarkEnd w:id="16"/>
      <w:bookmarkEnd w:id="17"/>
    </w:p>
    <w:p>
      <w:pPr>
        <w:spacing w:line="400" w:lineRule="exact"/>
        <w:ind w:firstLine="420"/>
        <w:jc w:val="left"/>
        <w:rPr>
          <w:color w:val="auto"/>
          <w:highlight w:val="none"/>
        </w:rPr>
      </w:pPr>
      <w:bookmarkStart w:id="19" w:name="_Toc38370141"/>
      <w:r>
        <w:rPr>
          <w:rFonts w:hint="eastAsia"/>
          <w:color w:val="auto"/>
          <w:highlight w:val="none"/>
        </w:rPr>
        <w:t>时间：2025年</w:t>
      </w:r>
      <w:r>
        <w:rPr>
          <w:rFonts w:hint="eastAsia"/>
          <w:color w:val="auto"/>
          <w:highlight w:val="none"/>
          <w:lang w:val="en-US" w:eastAsia="zh-CN"/>
        </w:rPr>
        <w:t>9</w:t>
      </w:r>
      <w:r>
        <w:rPr>
          <w:rFonts w:hint="eastAsia"/>
          <w:color w:val="auto"/>
          <w:highlight w:val="none"/>
          <w:lang w:eastAsia="zh-CN"/>
        </w:rPr>
        <w:t>月</w:t>
      </w:r>
      <w:r>
        <w:rPr>
          <w:rFonts w:hint="eastAsia"/>
          <w:color w:val="auto"/>
          <w:highlight w:val="none"/>
          <w:lang w:val="en-US" w:eastAsia="zh-CN"/>
        </w:rPr>
        <w:t>10</w:t>
      </w:r>
      <w:r>
        <w:rPr>
          <w:rFonts w:hint="eastAsia"/>
          <w:color w:val="auto"/>
          <w:highlight w:val="none"/>
        </w:rPr>
        <w:t>日至2025年</w:t>
      </w:r>
      <w:r>
        <w:rPr>
          <w:rFonts w:hint="eastAsia"/>
          <w:color w:val="auto"/>
          <w:highlight w:val="none"/>
          <w:lang w:val="en-US" w:eastAsia="zh-CN"/>
        </w:rPr>
        <w:t>9</w:t>
      </w:r>
      <w:r>
        <w:rPr>
          <w:rFonts w:hint="eastAsia"/>
          <w:color w:val="auto"/>
          <w:highlight w:val="none"/>
          <w:lang w:eastAsia="zh-CN"/>
        </w:rPr>
        <w:t>月</w:t>
      </w:r>
      <w:r>
        <w:rPr>
          <w:rFonts w:hint="eastAsia"/>
          <w:color w:val="auto"/>
          <w:highlight w:val="none"/>
          <w:lang w:val="en-US" w:eastAsia="zh-CN"/>
        </w:rPr>
        <w:t>15</w:t>
      </w:r>
      <w:r>
        <w:rPr>
          <w:rFonts w:hint="eastAsia"/>
          <w:color w:val="auto"/>
          <w:highlight w:val="none"/>
        </w:rPr>
        <w:t>日 ，每天上午00:00至12:00，下午12:00至23:59（北京时间，法定节假日除外）</w:t>
      </w:r>
    </w:p>
    <w:p>
      <w:pPr>
        <w:spacing w:line="400" w:lineRule="exact"/>
        <w:ind w:firstLine="420"/>
        <w:rPr>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0" w:name="OLE_LINK9"/>
      <w:bookmarkStart w:id="21" w:name="OLE_LINK4"/>
      <w:r>
        <w:rPr>
          <w:rFonts w:hint="eastAsia" w:ascii="宋体" w:hAnsi="宋体"/>
          <w:color w:val="auto"/>
          <w:szCs w:val="21"/>
          <w:highlight w:val="none"/>
        </w:rPr>
        <w:t>广西政府采购云平台（https://www.gcy.zfcg.gxzf.gov.cn/）</w:t>
      </w:r>
      <w:bookmarkEnd w:id="20"/>
    </w:p>
    <w:bookmarkEnd w:id="21"/>
    <w:p>
      <w:pPr>
        <w:spacing w:line="400" w:lineRule="exact"/>
        <w:ind w:firstLine="420"/>
        <w:rPr>
          <w:color w:val="auto"/>
          <w:highlight w:val="none"/>
        </w:rPr>
      </w:pPr>
      <w:r>
        <w:rPr>
          <w:rFonts w:hint="eastAsia"/>
          <w:color w:val="auto"/>
          <w:highlight w:val="none"/>
        </w:rPr>
        <w:t>方式：</w:t>
      </w:r>
      <w:bookmarkStart w:id="22" w:name="OLE_LINK5"/>
      <w:r>
        <w:rPr>
          <w:rFonts w:hint="eastAsia"/>
          <w:color w:val="auto"/>
          <w:highlight w:val="none"/>
        </w:rPr>
        <w:t>供应商登</w:t>
      </w:r>
      <w:r>
        <w:rPr>
          <w:rFonts w:hint="eastAsia"/>
          <w:color w:val="auto"/>
          <w:sz w:val="18"/>
          <w:szCs w:val="18"/>
          <w:highlight w:val="none"/>
        </w:rPr>
        <w:t>录</w:t>
      </w:r>
      <w:r>
        <w:rPr>
          <w:rFonts w:hint="eastAsia"/>
          <w:color w:val="auto"/>
          <w:highlight w:val="none"/>
        </w:rPr>
        <w:t>广西政府采购云平台(以下称“政采云平台”)在线获取采购文件（进入“项目采购”应用选择项目，获取采购文件）</w:t>
      </w:r>
      <w:bookmarkEnd w:id="22"/>
    </w:p>
    <w:p>
      <w:pPr>
        <w:spacing w:line="400" w:lineRule="exact"/>
        <w:ind w:firstLine="420"/>
        <w:rPr>
          <w:color w:val="auto"/>
          <w:highlight w:val="none"/>
        </w:rPr>
      </w:pPr>
      <w:r>
        <w:rPr>
          <w:rFonts w:hint="eastAsia"/>
          <w:color w:val="auto"/>
          <w:highlight w:val="none"/>
        </w:rPr>
        <w:t>售价(元</w:t>
      </w:r>
      <w:r>
        <w:rPr>
          <w:color w:val="auto"/>
          <w:highlight w:val="none"/>
        </w:rPr>
        <w:t>)</w:t>
      </w:r>
      <w:r>
        <w:rPr>
          <w:rFonts w:hint="eastAsia"/>
          <w:color w:val="auto"/>
          <w:highlight w:val="none"/>
        </w:rPr>
        <w:t xml:space="preserve">：0 </w:t>
      </w:r>
    </w:p>
    <w:p>
      <w:pPr>
        <w:spacing w:line="400" w:lineRule="exact"/>
        <w:rPr>
          <w:b/>
          <w:color w:val="auto"/>
          <w:highlight w:val="none"/>
        </w:rPr>
      </w:pPr>
      <w:r>
        <w:rPr>
          <w:rFonts w:hint="eastAsia"/>
          <w:b/>
          <w:bCs/>
          <w:color w:val="auto"/>
          <w:highlight w:val="none"/>
        </w:rPr>
        <w:t>四、</w:t>
      </w:r>
      <w:bookmarkEnd w:id="19"/>
      <w:bookmarkStart w:id="23" w:name="_Toc28359005"/>
      <w:bookmarkStart w:id="24" w:name="_Toc28359082"/>
      <w:bookmarkStart w:id="25" w:name="_Toc35393793"/>
      <w:bookmarkStart w:id="26" w:name="_Toc35393624"/>
      <w:r>
        <w:rPr>
          <w:rFonts w:hint="eastAsia"/>
          <w:b/>
          <w:color w:val="auto"/>
          <w:highlight w:val="none"/>
        </w:rPr>
        <w:t>响应文件</w:t>
      </w:r>
      <w:bookmarkEnd w:id="23"/>
      <w:bookmarkEnd w:id="24"/>
      <w:r>
        <w:rPr>
          <w:rFonts w:hint="eastAsia"/>
          <w:b/>
          <w:color w:val="auto"/>
          <w:highlight w:val="none"/>
        </w:rPr>
        <w:t>提交</w:t>
      </w:r>
      <w:bookmarkEnd w:id="25"/>
      <w:bookmarkEnd w:id="26"/>
    </w:p>
    <w:p>
      <w:pPr>
        <w:spacing w:line="400" w:lineRule="exact"/>
        <w:ind w:firstLine="420"/>
        <w:rPr>
          <w:color w:val="auto"/>
          <w:highlight w:val="none"/>
        </w:rPr>
      </w:pPr>
      <w:r>
        <w:rPr>
          <w:rFonts w:hint="eastAsia"/>
          <w:color w:val="auto"/>
          <w:highlight w:val="none"/>
        </w:rPr>
        <w:t>截止时间：2025年</w:t>
      </w:r>
      <w:r>
        <w:rPr>
          <w:rFonts w:hint="eastAsia"/>
          <w:color w:val="auto"/>
          <w:highlight w:val="none"/>
          <w:lang w:val="en-US" w:eastAsia="zh-CN"/>
        </w:rPr>
        <w:t>9</w:t>
      </w:r>
      <w:r>
        <w:rPr>
          <w:rFonts w:hint="eastAsia"/>
          <w:color w:val="auto"/>
          <w:highlight w:val="none"/>
          <w:lang w:eastAsia="zh-CN"/>
        </w:rPr>
        <w:t>月</w:t>
      </w:r>
      <w:r>
        <w:rPr>
          <w:rFonts w:hint="eastAsia"/>
          <w:color w:val="auto"/>
          <w:highlight w:val="none"/>
          <w:lang w:val="en-US" w:eastAsia="zh-CN"/>
        </w:rPr>
        <w:t>18</w:t>
      </w:r>
      <w:r>
        <w:rPr>
          <w:rFonts w:hint="eastAsia"/>
          <w:color w:val="auto"/>
          <w:highlight w:val="none"/>
        </w:rPr>
        <w:t>日9:30（北京时间）</w:t>
      </w:r>
    </w:p>
    <w:p>
      <w:pPr>
        <w:spacing w:line="400" w:lineRule="exact"/>
        <w:ind w:firstLine="420"/>
        <w:rPr>
          <w:rFonts w:ascii="宋体" w:hAnsi="宋体" w:cs="Courier New"/>
          <w:color w:val="auto"/>
          <w:szCs w:val="21"/>
          <w:highlight w:val="none"/>
        </w:rPr>
      </w:pPr>
      <w:r>
        <w:rPr>
          <w:rFonts w:hint="eastAsia"/>
          <w:color w:val="auto"/>
          <w:highlight w:val="none"/>
        </w:rPr>
        <w:t>地点(网址）：</w:t>
      </w:r>
      <w:bookmarkStart w:id="27" w:name="OLE_LINK10"/>
      <w:bookmarkStart w:id="28" w:name="OLE_LINK6"/>
      <w:r>
        <w:rPr>
          <w:rFonts w:hint="eastAsia" w:ascii="宋体" w:hAnsi="宋体" w:cs="Courier New"/>
          <w:color w:val="auto"/>
          <w:szCs w:val="21"/>
          <w:highlight w:val="none"/>
        </w:rPr>
        <w:t>广西政府采购云平台（https://www.gcy.zfcg.gxzf.gov.cn/）</w:t>
      </w:r>
      <w:bookmarkEnd w:id="27"/>
    </w:p>
    <w:bookmarkEnd w:id="28"/>
    <w:p>
      <w:pPr>
        <w:spacing w:line="400" w:lineRule="exact"/>
        <w:rPr>
          <w:rFonts w:ascii="宋体" w:hAnsi="宋体" w:cs="Courier New"/>
          <w:b/>
          <w:bCs/>
          <w:color w:val="auto"/>
          <w:szCs w:val="21"/>
          <w:highlight w:val="none"/>
        </w:rPr>
      </w:pPr>
      <w:r>
        <w:rPr>
          <w:rFonts w:hint="eastAsia" w:ascii="宋体" w:hAnsi="宋体" w:cs="Courier New"/>
          <w:b/>
          <w:bCs/>
          <w:color w:val="auto"/>
          <w:szCs w:val="21"/>
          <w:highlight w:val="none"/>
        </w:rPr>
        <w:t>五、响应文件开启</w:t>
      </w:r>
    </w:p>
    <w:p>
      <w:pPr>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开启时间：</w:t>
      </w:r>
      <w:r>
        <w:rPr>
          <w:rFonts w:hint="eastAsia"/>
          <w:color w:val="auto"/>
          <w:highlight w:val="none"/>
        </w:rPr>
        <w:t>2025年</w:t>
      </w:r>
      <w:r>
        <w:rPr>
          <w:rFonts w:hint="eastAsia"/>
          <w:color w:val="auto"/>
          <w:highlight w:val="none"/>
          <w:lang w:val="en-US" w:eastAsia="zh-CN"/>
        </w:rPr>
        <w:t>9</w:t>
      </w:r>
      <w:r>
        <w:rPr>
          <w:rFonts w:hint="eastAsia"/>
          <w:color w:val="auto"/>
          <w:highlight w:val="none"/>
          <w:lang w:eastAsia="zh-CN"/>
        </w:rPr>
        <w:t>月</w:t>
      </w:r>
      <w:r>
        <w:rPr>
          <w:rFonts w:hint="eastAsia"/>
          <w:color w:val="auto"/>
          <w:highlight w:val="none"/>
          <w:lang w:val="en-US" w:eastAsia="zh-CN"/>
        </w:rPr>
        <w:t>18</w:t>
      </w:r>
      <w:r>
        <w:rPr>
          <w:rFonts w:hint="eastAsia"/>
          <w:color w:val="auto"/>
          <w:highlight w:val="none"/>
        </w:rPr>
        <w:t>日9:30（北京时间）</w:t>
      </w:r>
    </w:p>
    <w:p>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地点：</w:t>
      </w:r>
      <w:bookmarkStart w:id="29" w:name="_Toc35393794"/>
      <w:bookmarkStart w:id="30" w:name="_Toc35393625"/>
      <w:bookmarkStart w:id="31" w:name="_Toc28359007"/>
      <w:bookmarkStart w:id="32" w:name="_Toc28359084"/>
      <w:r>
        <w:rPr>
          <w:rFonts w:hint="eastAsia"/>
          <w:color w:val="auto"/>
          <w:highlight w:val="none"/>
        </w:rPr>
        <w:t>广西钦州市金海湾东大街8号市政务服务中心三楼开标室</w:t>
      </w:r>
    </w:p>
    <w:p>
      <w:pPr>
        <w:spacing w:line="400" w:lineRule="exact"/>
        <w:rPr>
          <w:b/>
          <w:color w:val="auto"/>
          <w:highlight w:val="none"/>
        </w:rPr>
      </w:pPr>
      <w:r>
        <w:rPr>
          <w:rFonts w:hint="eastAsia"/>
          <w:b/>
          <w:color w:val="auto"/>
          <w:highlight w:val="none"/>
        </w:rPr>
        <w:t>六、公告期限</w:t>
      </w:r>
      <w:bookmarkEnd w:id="29"/>
      <w:bookmarkEnd w:id="30"/>
      <w:bookmarkEnd w:id="31"/>
      <w:bookmarkEnd w:id="32"/>
    </w:p>
    <w:p>
      <w:pPr>
        <w:spacing w:line="400" w:lineRule="exact"/>
        <w:ind w:firstLine="420"/>
        <w:rPr>
          <w:color w:val="auto"/>
          <w:highlight w:val="none"/>
        </w:rPr>
      </w:pPr>
      <w:r>
        <w:rPr>
          <w:rFonts w:hint="eastAsia"/>
          <w:color w:val="auto"/>
          <w:highlight w:val="none"/>
        </w:rPr>
        <w:t>自本公告发布之日起</w:t>
      </w:r>
      <w:r>
        <w:rPr>
          <w:color w:val="auto"/>
          <w:highlight w:val="none"/>
        </w:rPr>
        <w:t>3</w:t>
      </w:r>
      <w:r>
        <w:rPr>
          <w:rFonts w:hint="eastAsia"/>
          <w:color w:val="auto"/>
          <w:highlight w:val="none"/>
        </w:rPr>
        <w:t>个工作日。</w:t>
      </w:r>
    </w:p>
    <w:p>
      <w:pPr>
        <w:spacing w:line="400" w:lineRule="exact"/>
        <w:rPr>
          <w:b/>
          <w:color w:val="auto"/>
          <w:highlight w:val="none"/>
        </w:rPr>
      </w:pPr>
      <w:bookmarkStart w:id="33" w:name="_Toc28359085"/>
      <w:bookmarkStart w:id="34" w:name="_Toc28359008"/>
      <w:bookmarkStart w:id="35" w:name="_Toc35393627"/>
      <w:bookmarkStart w:id="36" w:name="_Toc35393796"/>
      <w:r>
        <w:rPr>
          <w:rFonts w:hint="eastAsia"/>
          <w:b/>
          <w:color w:val="auto"/>
          <w:highlight w:val="none"/>
        </w:rPr>
        <w:t>七、其他补充事宜</w:t>
      </w:r>
    </w:p>
    <w:p>
      <w:pPr>
        <w:spacing w:line="400" w:lineRule="exact"/>
        <w:ind w:firstLine="420"/>
        <w:rPr>
          <w:color w:val="auto"/>
          <w:highlight w:val="none"/>
        </w:rPr>
      </w:pPr>
      <w:r>
        <w:rPr>
          <w:rFonts w:hint="eastAsia"/>
          <w:color w:val="auto"/>
          <w:highlight w:val="none"/>
        </w:rPr>
        <w:t>1</w:t>
      </w:r>
      <w:r>
        <w:rPr>
          <w:color w:val="auto"/>
          <w:highlight w:val="none"/>
        </w:rPr>
        <w:t>.</w:t>
      </w:r>
      <w:r>
        <w:rPr>
          <w:rFonts w:hint="eastAsia"/>
          <w:bCs/>
          <w:color w:val="auto"/>
          <w:highlight w:val="none"/>
        </w:rPr>
        <w:t>本项目需落实的政府采购政策</w:t>
      </w:r>
      <w:r>
        <w:rPr>
          <w:rFonts w:hint="eastAsia"/>
          <w:b/>
          <w:color w:val="auto"/>
          <w:highlight w:val="none"/>
        </w:rPr>
        <w:t>：</w:t>
      </w:r>
    </w:p>
    <w:p>
      <w:pPr>
        <w:spacing w:line="400"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00"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00" w:lineRule="exact"/>
        <w:ind w:firstLine="420"/>
        <w:rPr>
          <w:color w:val="auto"/>
          <w:highlight w:val="none"/>
        </w:rPr>
      </w:pPr>
      <w:r>
        <w:rPr>
          <w:rFonts w:hint="eastAsia"/>
          <w:color w:val="auto"/>
          <w:highlight w:val="none"/>
        </w:rPr>
        <w:t>(3)财政部 民政部 中国残疾人联合会关于促进残疾人就业政府采购政策的通知 (财库﹝2017﹞141号)</w:t>
      </w:r>
    </w:p>
    <w:p>
      <w:pPr>
        <w:spacing w:line="400" w:lineRule="exact"/>
        <w:ind w:firstLine="420"/>
        <w:rPr>
          <w:rFonts w:hint="eastAsia"/>
          <w:color w:val="auto"/>
          <w:highlight w:val="none"/>
        </w:rPr>
      </w:pPr>
      <w:r>
        <w:rPr>
          <w:rFonts w:hint="eastAsia"/>
          <w:color w:val="auto"/>
          <w:highlight w:val="none"/>
        </w:rPr>
        <w:t>(4)财政部 发展改革委 生态环境部 市场监管总局关于调整优化节能产品、环境标志产品政府采购执行机制的通知（财库〔2019〕9号）</w:t>
      </w:r>
    </w:p>
    <w:p>
      <w:pPr>
        <w:spacing w:line="400" w:lineRule="exact"/>
        <w:ind w:firstLine="420"/>
        <w:rPr>
          <w:rFonts w:hint="eastAsia"/>
          <w:color w:val="auto"/>
          <w:highlight w:val="none"/>
        </w:rPr>
      </w:pPr>
      <w:r>
        <w:rPr>
          <w:rFonts w:hint="eastAsia"/>
          <w:color w:val="auto"/>
          <w:highlight w:val="none"/>
        </w:rPr>
        <w:t>(5) 财政部 发展改革委 关于印发节能产品政府采购品目清单的通知（财库〔2019〕19号）</w:t>
      </w:r>
    </w:p>
    <w:p>
      <w:pPr>
        <w:spacing w:line="400" w:lineRule="exact"/>
        <w:ind w:firstLine="420"/>
        <w:rPr>
          <w:rFonts w:hint="default"/>
          <w:color w:val="auto"/>
          <w:highlight w:val="none"/>
          <w:lang w:val="en-US" w:eastAsia="zh-CN"/>
        </w:rPr>
      </w:pPr>
      <w:r>
        <w:rPr>
          <w:rFonts w:hint="eastAsia"/>
          <w:color w:val="auto"/>
          <w:highlight w:val="none"/>
          <w:lang w:val="en-US" w:eastAsia="zh-CN"/>
        </w:rPr>
        <w:t>（6）《强制性产品认证管理规定》</w:t>
      </w:r>
    </w:p>
    <w:p>
      <w:pPr>
        <w:spacing w:line="400" w:lineRule="exact"/>
        <w:ind w:firstLine="420"/>
        <w:rPr>
          <w:color w:val="auto"/>
          <w:highlight w:val="none"/>
        </w:rPr>
      </w:pPr>
      <w:r>
        <w:rPr>
          <w:rFonts w:hint="eastAsia"/>
          <w:color w:val="auto"/>
          <w:highlight w:val="none"/>
        </w:rPr>
        <w:t>2</w:t>
      </w:r>
      <w:r>
        <w:rPr>
          <w:color w:val="auto"/>
          <w:highlight w:val="none"/>
        </w:rPr>
        <w:t>.</w:t>
      </w:r>
      <w:bookmarkStart w:id="37" w:name="_Hlk91598380"/>
      <w:r>
        <w:rPr>
          <w:rFonts w:hint="eastAsia"/>
          <w:color w:val="auto"/>
          <w:highlight w:val="none"/>
        </w:rPr>
        <w:t>全流程电子化</w:t>
      </w:r>
      <w:bookmarkEnd w:id="37"/>
      <w:r>
        <w:rPr>
          <w:rFonts w:hint="eastAsia"/>
          <w:color w:val="auto"/>
          <w:highlight w:val="none"/>
        </w:rPr>
        <w:t>要求：</w:t>
      </w:r>
    </w:p>
    <w:p>
      <w:pPr>
        <w:spacing w:line="400" w:lineRule="exact"/>
        <w:ind w:firstLine="420"/>
        <w:rPr>
          <w:color w:val="auto"/>
          <w:highlight w:val="none"/>
        </w:rPr>
      </w:pPr>
      <w:bookmarkStart w:id="38" w:name="_Hlk147760486"/>
      <w:r>
        <w:rPr>
          <w:rFonts w:hint="eastAsia"/>
          <w:color w:val="auto"/>
          <w:highlight w:val="none"/>
        </w:rPr>
        <w:t>本项目为全流程电子化项目，供应商应做好参与全流程电子化交易的充分准备，熟悉掌握电子化采购项目操作指南(操作指南：</w:t>
      </w:r>
      <w:r>
        <w:rPr>
          <w:color w:val="auto"/>
          <w:highlight w:val="none"/>
        </w:rPr>
        <w:fldChar w:fldCharType="begin"/>
      </w:r>
      <w:r>
        <w:rPr>
          <w:color w:val="auto"/>
          <w:highlight w:val="none"/>
        </w:rPr>
        <w:instrText xml:space="preserve"> HYPERLINK "https://helpcenter.zcygov.cn/document/" \l "/document/dashboard?siteCode=beijing&amp;channel=dt" </w:instrText>
      </w:r>
      <w:r>
        <w:rPr>
          <w:color w:val="auto"/>
          <w:highlight w:val="none"/>
        </w:rPr>
        <w:fldChar w:fldCharType="separate"/>
      </w:r>
      <w:r>
        <w:rPr>
          <w:rStyle w:val="41"/>
          <w:rFonts w:hint="eastAsia"/>
          <w:color w:val="auto"/>
          <w:highlight w:val="none"/>
        </w:rPr>
        <w:t>政采云电子卖场首页右上角—服务中心—帮助文档—项目采购</w:t>
      </w:r>
      <w:r>
        <w:rPr>
          <w:rStyle w:val="41"/>
          <w:rFonts w:hint="eastAsia"/>
          <w:color w:val="auto"/>
          <w:highlight w:val="none"/>
        </w:rPr>
        <w:fldChar w:fldCharType="end"/>
      </w:r>
      <w:r>
        <w:rPr>
          <w:rFonts w:hint="eastAsia"/>
          <w:color w:val="auto"/>
          <w:highlight w:val="none"/>
        </w:rPr>
        <w:t>)，及时完成CA申领和绑定(操作指南：</w:t>
      </w:r>
      <w:r>
        <w:rPr>
          <w:color w:val="auto"/>
          <w:highlight w:val="none"/>
        </w:rPr>
        <w:fldChar w:fldCharType="begin"/>
      </w:r>
      <w:r>
        <w:rPr>
          <w:color w:val="auto"/>
          <w:highlight w:val="none"/>
        </w:rPr>
        <w:instrText xml:space="preserve"> HYPERLINK "https://helpcenter.zcygov.cn/document/" \l "/document/detail?siteCode=beijing&amp;manualId=795&amp;topicId=4081" </w:instrText>
      </w:r>
      <w:r>
        <w:rPr>
          <w:color w:val="auto"/>
          <w:highlight w:val="none"/>
        </w:rPr>
        <w:fldChar w:fldCharType="separate"/>
      </w:r>
      <w:r>
        <w:rPr>
          <w:rStyle w:val="41"/>
          <w:rFonts w:hint="eastAsia"/>
          <w:color w:val="auto"/>
          <w:highlight w:val="none"/>
        </w:rPr>
        <w:t>政采云电子卖场首页右上角—帮助文档—入驻与配置—CA管理</w:t>
      </w:r>
      <w:r>
        <w:rPr>
          <w:rStyle w:val="41"/>
          <w:rFonts w:hint="eastAsia"/>
          <w:color w:val="auto"/>
          <w:highlight w:val="none"/>
        </w:rPr>
        <w:fldChar w:fldCharType="end"/>
      </w:r>
      <w:r>
        <w:rPr>
          <w:rFonts w:hint="eastAsia"/>
          <w:color w:val="auto"/>
          <w:highlight w:val="none"/>
        </w:rPr>
        <w:t>；CA证书申领路径：</w:t>
      </w:r>
      <w:r>
        <w:rPr>
          <w:color w:val="auto"/>
          <w:highlight w:val="none"/>
        </w:rPr>
        <w:fldChar w:fldCharType="begin"/>
      </w:r>
      <w:r>
        <w:rPr>
          <w:color w:val="auto"/>
          <w:highlight w:val="none"/>
        </w:rPr>
        <w:instrText xml:space="preserve"> HYPERLINK "https://helpcenter.zcygov.cn/document/" \l "/document/detail?siteCode=beijing&amp;manualId=795&amp;topicId=4083" </w:instrText>
      </w:r>
      <w:r>
        <w:rPr>
          <w:color w:val="auto"/>
          <w:highlight w:val="none"/>
        </w:rPr>
        <w:fldChar w:fldCharType="separate"/>
      </w:r>
      <w:r>
        <w:rPr>
          <w:rStyle w:val="41"/>
          <w:rFonts w:hint="eastAsia"/>
          <w:color w:val="auto"/>
          <w:highlight w:val="none"/>
        </w:rPr>
        <w:t>政采云平台—我的工作台右上角—CA管理—CA证书申领</w:t>
      </w:r>
      <w:r>
        <w:rPr>
          <w:rStyle w:val="41"/>
          <w:rFonts w:hint="eastAsia"/>
          <w:color w:val="auto"/>
          <w:highlight w:val="none"/>
        </w:rPr>
        <w:fldChar w:fldCharType="end"/>
      </w:r>
      <w:r>
        <w:rPr>
          <w:rFonts w:hint="eastAsia"/>
          <w:color w:val="auto"/>
          <w:highlight w:val="none"/>
        </w:rPr>
        <w:t>)。因未注册入库、未办理CA数字证书、CA证书故障、操作不当等原因造成谈判失败等后果由供应商承担。</w:t>
      </w:r>
    </w:p>
    <w:bookmarkEnd w:id="38"/>
    <w:p>
      <w:pPr>
        <w:spacing w:line="400" w:lineRule="exact"/>
        <w:ind w:firstLine="420"/>
        <w:rPr>
          <w:color w:val="auto"/>
          <w:highlight w:val="none"/>
        </w:rPr>
      </w:pPr>
      <w:r>
        <w:rPr>
          <w:color w:val="auto"/>
          <w:highlight w:val="none"/>
        </w:rPr>
        <w:t>(1)</w:t>
      </w:r>
      <w:r>
        <w:rPr>
          <w:rFonts w:hint="eastAsia"/>
          <w:color w:val="auto"/>
          <w:highlight w:val="none"/>
        </w:rPr>
        <w:t>依法获取采购文件：供应商须在获取采购文件时间内登录</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1"/>
          <w:rFonts w:hint="eastAsia"/>
          <w:color w:val="auto"/>
          <w:highlight w:val="none"/>
        </w:rPr>
        <w:t>政府采购云平台</w:t>
      </w:r>
      <w:r>
        <w:rPr>
          <w:rStyle w:val="41"/>
          <w:rFonts w:hint="eastAsia"/>
          <w:color w:val="auto"/>
          <w:highlight w:val="none"/>
        </w:rPr>
        <w:fldChar w:fldCharType="end"/>
      </w:r>
      <w:r>
        <w:rPr>
          <w:rFonts w:hint="eastAsia"/>
          <w:color w:val="auto"/>
          <w:highlight w:val="none"/>
        </w:rPr>
        <w:t>申请下载采购文件才视作依法获取采购文件。</w:t>
      </w:r>
    </w:p>
    <w:p>
      <w:pPr>
        <w:spacing w:line="400"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供应商应通过广西政府采购云平台客户端制作响应文件，供应商自行前往下载安装（</w:t>
      </w:r>
      <w:r>
        <w:rPr>
          <w:color w:val="auto"/>
          <w:highlight w:val="none"/>
        </w:rPr>
        <w:fldChar w:fldCharType="begin"/>
      </w:r>
      <w:r>
        <w:rPr>
          <w:color w:val="auto"/>
          <w:highlight w:val="none"/>
        </w:rPr>
        <w:instrText xml:space="preserve"> HYPERLINK "https://sitecdn.zcycdn.com/zcy-client/bidding-client-new/official/guangxi/GuangXiSetup.exe" </w:instrText>
      </w:r>
      <w:r>
        <w:rPr>
          <w:color w:val="auto"/>
          <w:highlight w:val="none"/>
        </w:rPr>
        <w:fldChar w:fldCharType="separate"/>
      </w:r>
      <w:r>
        <w:rPr>
          <w:rFonts w:hint="eastAsia"/>
          <w:color w:val="auto"/>
          <w:highlight w:val="none"/>
        </w:rPr>
        <w:t>客户端下载</w:t>
      </w:r>
      <w:r>
        <w:rPr>
          <w:rFonts w:hint="eastAsia"/>
          <w:color w:val="auto"/>
          <w:highlight w:val="none"/>
        </w:rPr>
        <w:fldChar w:fldCharType="end"/>
      </w:r>
      <w:r>
        <w:rPr>
          <w:rFonts w:hint="eastAsia"/>
          <w:color w:val="auto"/>
          <w:highlight w:val="none"/>
        </w:rPr>
        <w:t>）。</w:t>
      </w:r>
    </w:p>
    <w:p>
      <w:pPr>
        <w:spacing w:line="400"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auto"/>
          <w:highlight w:val="none"/>
        </w:rPr>
      </w:pPr>
      <w:r>
        <w:rPr>
          <w:rFonts w:hint="eastAsia"/>
          <w:color w:val="auto"/>
          <w:highlight w:val="none"/>
        </w:rPr>
        <w:t>(</w:t>
      </w:r>
      <w:r>
        <w:rPr>
          <w:color w:val="auto"/>
          <w:highlight w:val="none"/>
        </w:rPr>
        <w:t>4)</w:t>
      </w:r>
      <w:r>
        <w:rPr>
          <w:rFonts w:hint="eastAsia"/>
          <w:color w:val="auto"/>
          <w:highlight w:val="none"/>
        </w:rPr>
        <w:t>供应商法定代表人或委托代理人须按时登录</w:t>
      </w:r>
      <w:bookmarkStart w:id="39" w:name="_Hlk90367388"/>
      <w:r>
        <w:rPr>
          <w:rFonts w:hint="eastAsia" w:ascii="宋体" w:hAnsi="宋体" w:cs="Courier New"/>
          <w:color w:val="auto"/>
          <w:szCs w:val="21"/>
          <w:highlight w:val="none"/>
        </w:rPr>
        <w:t>政采云远程开标大厅</w:t>
      </w:r>
      <w:bookmarkEnd w:id="39"/>
      <w:r>
        <w:rPr>
          <w:rFonts w:hint="eastAsia"/>
          <w:color w:val="auto"/>
          <w:highlight w:val="none"/>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Ansi="宋体"/>
          <w:color w:val="auto"/>
          <w:highlight w:val="none"/>
        </w:rPr>
      </w:pPr>
      <w:r>
        <w:rPr>
          <w:rFonts w:hint="eastAsia"/>
          <w:color w:val="auto"/>
          <w:highlight w:val="none"/>
        </w:rPr>
        <w:t>(</w:t>
      </w:r>
      <w:r>
        <w:rPr>
          <w:color w:val="auto"/>
          <w:highlight w:val="none"/>
        </w:rPr>
        <w:t>5)</w:t>
      </w:r>
      <w:r>
        <w:rPr>
          <w:rFonts w:hint="eastAsia"/>
          <w:color w:val="auto"/>
          <w:highlight w:val="none"/>
        </w:rPr>
        <w:t>供应商参与谈判过程中涉及政府采购云平台的问题，请咨询政采云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00" w:lineRule="exact"/>
        <w:ind w:firstLine="420"/>
        <w:jc w:val="left"/>
        <w:rPr>
          <w:rFonts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查询媒体：中国政府采购网、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1"/>
          <w:rFonts w:hint="eastAsia" w:hAnsi="宋体"/>
          <w:color w:val="auto"/>
          <w:highlight w:val="none"/>
          <w:u w:val="none"/>
        </w:rPr>
        <w:t>广西政府采购网</w:t>
      </w:r>
      <w:r>
        <w:rPr>
          <w:rStyle w:val="41"/>
          <w:rFonts w:hint="eastAsia" w:hAnsi="宋体"/>
          <w:color w:val="auto"/>
          <w:highlight w:val="none"/>
          <w:u w:val="none"/>
        </w:rPr>
        <w:fldChar w:fldCharType="end"/>
      </w:r>
      <w:r>
        <w:rPr>
          <w:rFonts w:hint="eastAsia" w:hAnsi="宋体"/>
          <w:color w:val="auto"/>
          <w:highlight w:val="none"/>
        </w:rPr>
        <w:t>。</w:t>
      </w:r>
    </w:p>
    <w:p>
      <w:pPr>
        <w:spacing w:line="400" w:lineRule="exact"/>
        <w:ind w:firstLine="420"/>
        <w:jc w:val="left"/>
        <w:rPr>
          <w:rFonts w:hAnsi="宋体"/>
          <w:color w:val="auto"/>
          <w:highlight w:val="none"/>
        </w:rPr>
      </w:pPr>
      <w:bookmarkStart w:id="40" w:name="_Hlk107409555"/>
      <w:r>
        <w:rPr>
          <w:rFonts w:hint="eastAsia" w:hAnsi="宋体"/>
          <w:color w:val="auto"/>
          <w:highlight w:val="none"/>
        </w:rPr>
        <w:t>4</w:t>
      </w:r>
      <w:r>
        <w:rPr>
          <w:rFonts w:hAnsi="宋体"/>
          <w:color w:val="auto"/>
          <w:highlight w:val="none"/>
        </w:rPr>
        <w:t>.</w:t>
      </w:r>
      <w:r>
        <w:rPr>
          <w:rFonts w:hint="eastAsia" w:hAnsi="宋体"/>
          <w:color w:val="auto"/>
          <w:highlight w:val="none"/>
        </w:rPr>
        <w:t>钦州市政府采购中心联系方式：</w:t>
      </w:r>
    </w:p>
    <w:p>
      <w:pPr>
        <w:spacing w:line="400" w:lineRule="exact"/>
        <w:ind w:firstLine="420"/>
        <w:jc w:val="left"/>
        <w:rPr>
          <w:rFonts w:hAnsi="宋体"/>
          <w:color w:val="auto"/>
          <w:highlight w:val="none"/>
        </w:rPr>
      </w:pPr>
      <w:r>
        <w:rPr>
          <w:rFonts w:hAnsi="宋体"/>
          <w:color w:val="auto"/>
          <w:highlight w:val="none"/>
        </w:rPr>
        <w:t>(1)</w:t>
      </w:r>
      <w:r>
        <w:rPr>
          <w:rFonts w:hint="eastAsia" w:hAnsi="宋体"/>
          <w:color w:val="auto"/>
          <w:highlight w:val="none"/>
        </w:rPr>
        <w:t>采购部(采购文件</w:t>
      </w:r>
      <w:r>
        <w:rPr>
          <w:rFonts w:hAnsi="宋体"/>
          <w:color w:val="auto"/>
          <w:highlight w:val="none"/>
        </w:rPr>
        <w:t>)</w:t>
      </w:r>
    </w:p>
    <w:p>
      <w:pPr>
        <w:spacing w:line="400" w:lineRule="exact"/>
        <w:ind w:firstLine="420"/>
        <w:jc w:val="left"/>
        <w:rPr>
          <w:rFonts w:hAnsi="宋体"/>
          <w:color w:val="auto"/>
          <w:highlight w:val="none"/>
        </w:rPr>
      </w:pPr>
      <w:r>
        <w:rPr>
          <w:rFonts w:hint="eastAsia" w:hAnsi="宋体"/>
          <w:color w:val="auto"/>
          <w:highlight w:val="none"/>
        </w:rPr>
        <w:t>联系人：黄忠秀</w:t>
      </w:r>
      <w:r>
        <w:rPr>
          <w:rFonts w:hAnsi="宋体"/>
          <w:color w:val="auto"/>
          <w:highlight w:val="none"/>
        </w:rPr>
        <w:t xml:space="preserve">  </w:t>
      </w:r>
      <w:r>
        <w:rPr>
          <w:rFonts w:hint="eastAsia" w:hAnsi="宋体"/>
          <w:color w:val="auto"/>
          <w:highlight w:val="none"/>
        </w:rPr>
        <w:t xml:space="preserve"> 联系方式：0777-2886022</w:t>
      </w:r>
    </w:p>
    <w:p>
      <w:pPr>
        <w:spacing w:line="400" w:lineRule="exact"/>
        <w:ind w:firstLine="42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综合二部(评审、谈判、成交及合同管理)</w:t>
      </w:r>
    </w:p>
    <w:p>
      <w:pPr>
        <w:spacing w:line="400" w:lineRule="exact"/>
        <w:ind w:firstLine="420"/>
        <w:jc w:val="left"/>
        <w:rPr>
          <w:rFonts w:hAnsi="宋体"/>
          <w:color w:val="auto"/>
          <w:highlight w:val="none"/>
        </w:rPr>
      </w:pPr>
      <w:r>
        <w:rPr>
          <w:rFonts w:hint="eastAsia" w:hAnsi="宋体"/>
          <w:color w:val="auto"/>
          <w:highlight w:val="none"/>
        </w:rPr>
        <w:t>联系人：陈侃</w:t>
      </w:r>
      <w:r>
        <w:rPr>
          <w:rFonts w:hint="eastAsia" w:hAnsi="宋体"/>
          <w:color w:val="auto"/>
          <w:highlight w:val="none"/>
          <w:lang w:eastAsia="zh-CN"/>
        </w:rPr>
        <w:t>、</w:t>
      </w:r>
      <w:r>
        <w:rPr>
          <w:rFonts w:hint="eastAsia" w:hAnsi="宋体"/>
          <w:color w:val="auto"/>
          <w:highlight w:val="none"/>
        </w:rPr>
        <w:t>陈启梅</w:t>
      </w:r>
      <w:r>
        <w:rPr>
          <w:rFonts w:hAnsi="宋体"/>
          <w:color w:val="auto"/>
          <w:highlight w:val="none"/>
        </w:rPr>
        <w:t xml:space="preserve">  </w:t>
      </w:r>
      <w:r>
        <w:rPr>
          <w:rFonts w:hint="eastAsia" w:hAnsi="宋体"/>
          <w:color w:val="auto"/>
          <w:highlight w:val="none"/>
        </w:rPr>
        <w:t>联系方式：0777-2886006</w:t>
      </w:r>
      <w:bookmarkEnd w:id="40"/>
    </w:p>
    <w:p>
      <w:pPr>
        <w:spacing w:line="400" w:lineRule="exact"/>
        <w:rPr>
          <w:b/>
          <w:color w:val="auto"/>
          <w:highlight w:val="none"/>
        </w:rPr>
      </w:pPr>
      <w:r>
        <w:rPr>
          <w:rFonts w:hint="eastAsia"/>
          <w:b/>
          <w:color w:val="auto"/>
          <w:highlight w:val="none"/>
        </w:rPr>
        <w:t>八、对本次采购项目提出询问，请按</w:t>
      </w:r>
      <w:r>
        <w:rPr>
          <w:b/>
          <w:color w:val="auto"/>
          <w:highlight w:val="none"/>
        </w:rPr>
        <w:t>以下方式</w:t>
      </w:r>
      <w:r>
        <w:rPr>
          <w:rFonts w:hint="eastAsia"/>
          <w:b/>
          <w:color w:val="auto"/>
          <w:highlight w:val="none"/>
        </w:rPr>
        <w:t>联系</w:t>
      </w:r>
      <w:bookmarkEnd w:id="33"/>
      <w:bookmarkEnd w:id="34"/>
      <w:bookmarkEnd w:id="35"/>
      <w:bookmarkEnd w:id="36"/>
    </w:p>
    <w:p>
      <w:pPr>
        <w:spacing w:line="400" w:lineRule="exact"/>
        <w:ind w:firstLine="420" w:firstLineChars="200"/>
        <w:rPr>
          <w:color w:val="auto"/>
          <w:highlight w:val="none"/>
        </w:rPr>
      </w:pPr>
      <w:r>
        <w:rPr>
          <w:rFonts w:hint="eastAsia"/>
          <w:color w:val="auto"/>
          <w:highlight w:val="none"/>
        </w:rPr>
        <w:t>1.采购人信息</w:t>
      </w:r>
      <w:bookmarkEnd w:id="9"/>
    </w:p>
    <w:p>
      <w:pPr>
        <w:spacing w:line="400" w:lineRule="exact"/>
        <w:ind w:firstLine="420" w:firstLineChars="200"/>
        <w:rPr>
          <w:rFonts w:hint="eastAsia" w:eastAsia="宋体"/>
          <w:color w:val="auto"/>
          <w:highlight w:val="none"/>
          <w:lang w:eastAsia="zh-CN"/>
        </w:rPr>
      </w:pPr>
      <w:bookmarkStart w:id="41" w:name="_Toc38370147"/>
      <w:r>
        <w:rPr>
          <w:rFonts w:hint="eastAsia"/>
          <w:color w:val="auto"/>
          <w:highlight w:val="none"/>
        </w:rPr>
        <w:t>名称：</w:t>
      </w:r>
      <w:r>
        <w:rPr>
          <w:rFonts w:hint="eastAsia"/>
          <w:color w:val="auto"/>
          <w:highlight w:val="none"/>
          <w:lang w:eastAsia="zh-CN"/>
        </w:rPr>
        <w:t>钦州幼儿师范高等专科学校</w:t>
      </w:r>
    </w:p>
    <w:p>
      <w:pPr>
        <w:spacing w:line="400" w:lineRule="exact"/>
        <w:ind w:firstLine="420" w:firstLineChars="200"/>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钦州市钦南区西环南路89号</w:t>
      </w:r>
    </w:p>
    <w:p>
      <w:pPr>
        <w:pStyle w:val="17"/>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ar-SA"/>
        </w:rPr>
        <w:t xml:space="preserve">  采购单位联系人：郭文惠</w:t>
      </w:r>
    </w:p>
    <w:p>
      <w:pPr>
        <w:spacing w:line="400" w:lineRule="exact"/>
        <w:ind w:firstLine="420" w:firstLineChars="200"/>
        <w:rPr>
          <w:color w:val="auto"/>
          <w:highlight w:val="none"/>
        </w:rPr>
      </w:pPr>
      <w:r>
        <w:rPr>
          <w:rFonts w:hint="eastAsia"/>
          <w:color w:val="auto"/>
          <w:highlight w:val="none"/>
        </w:rPr>
        <w:t>联系方式：0777-2596801</w:t>
      </w:r>
    </w:p>
    <w:bookmarkEnd w:id="41"/>
    <w:p>
      <w:pPr>
        <w:spacing w:line="400" w:lineRule="exact"/>
        <w:ind w:firstLine="420" w:firstLineChars="200"/>
        <w:rPr>
          <w:color w:val="auto"/>
          <w:highlight w:val="none"/>
        </w:rPr>
      </w:pPr>
      <w:r>
        <w:rPr>
          <w:rFonts w:hint="eastAsia"/>
          <w:color w:val="auto"/>
          <w:highlight w:val="none"/>
        </w:rPr>
        <w:t>2.采购代理机构信息</w:t>
      </w:r>
    </w:p>
    <w:p>
      <w:pPr>
        <w:spacing w:line="400" w:lineRule="exact"/>
        <w:ind w:firstLine="420" w:firstLineChars="200"/>
        <w:rPr>
          <w:color w:val="auto"/>
          <w:highlight w:val="none"/>
        </w:rPr>
      </w:pPr>
      <w:r>
        <w:rPr>
          <w:rFonts w:hint="eastAsia"/>
          <w:color w:val="auto"/>
          <w:highlight w:val="none"/>
        </w:rPr>
        <w:t>名称：钦州市政府采购中心</w:t>
      </w:r>
    </w:p>
    <w:p>
      <w:pPr>
        <w:spacing w:line="400" w:lineRule="exact"/>
        <w:ind w:firstLine="420" w:firstLineChars="200"/>
        <w:rPr>
          <w:color w:val="auto"/>
          <w:highlight w:val="none"/>
        </w:rPr>
      </w:pPr>
      <w:r>
        <w:rPr>
          <w:rFonts w:hint="eastAsia"/>
          <w:color w:val="auto"/>
          <w:highlight w:val="none"/>
        </w:rPr>
        <w:t>地址：钦州市金海湾东大街8号</w:t>
      </w:r>
    </w:p>
    <w:p>
      <w:pPr>
        <w:spacing w:line="400" w:lineRule="exact"/>
        <w:ind w:firstLine="420" w:firstLineChars="200"/>
        <w:rPr>
          <w:rFonts w:hint="default" w:eastAsia="宋体"/>
          <w:color w:val="auto"/>
          <w:highlight w:val="none"/>
          <w:lang w:val="en-US" w:eastAsia="zh-CN"/>
        </w:rPr>
      </w:pPr>
      <w:r>
        <w:rPr>
          <w:rFonts w:hint="eastAsia"/>
          <w:color w:val="auto"/>
          <w:highlight w:val="none"/>
        </w:rPr>
        <w:t>项目联系人：</w:t>
      </w:r>
      <w:bookmarkStart w:id="42" w:name="_Toc28359010"/>
      <w:bookmarkStart w:id="43" w:name="_Toc28359087"/>
      <w:r>
        <w:rPr>
          <w:rFonts w:hint="eastAsia"/>
          <w:color w:val="auto"/>
          <w:highlight w:val="none"/>
        </w:rPr>
        <w:t>黄忠秀</w:t>
      </w:r>
      <w:r>
        <w:rPr>
          <w:rFonts w:hint="eastAsia"/>
          <w:color w:val="auto"/>
          <w:highlight w:val="none"/>
          <w:lang w:eastAsia="zh-CN"/>
        </w:rPr>
        <w:t>、</w:t>
      </w:r>
      <w:r>
        <w:rPr>
          <w:rFonts w:hint="eastAsia"/>
          <w:color w:val="auto"/>
          <w:highlight w:val="none"/>
          <w:lang w:val="en-US" w:eastAsia="zh-CN"/>
        </w:rPr>
        <w:t>陈侃、陈启梅</w:t>
      </w:r>
    </w:p>
    <w:p>
      <w:pPr>
        <w:spacing w:line="400" w:lineRule="exact"/>
        <w:ind w:firstLine="420" w:firstLineChars="200"/>
        <w:rPr>
          <w:rFonts w:hint="default" w:eastAsia="宋体"/>
          <w:color w:val="auto"/>
          <w:highlight w:val="none"/>
          <w:lang w:val="en-US" w:eastAsia="zh-CN"/>
        </w:rPr>
      </w:pPr>
      <w:r>
        <w:rPr>
          <w:rFonts w:hint="eastAsia"/>
          <w:color w:val="auto"/>
          <w:highlight w:val="none"/>
        </w:rPr>
        <w:t>项目联系方式：0777-2886022</w:t>
      </w:r>
      <w:r>
        <w:rPr>
          <w:rFonts w:hint="eastAsia"/>
          <w:color w:val="auto"/>
          <w:highlight w:val="none"/>
          <w:lang w:eastAsia="zh-CN"/>
        </w:rPr>
        <w:t>、</w:t>
      </w:r>
      <w:r>
        <w:rPr>
          <w:rFonts w:hint="eastAsia"/>
          <w:color w:val="auto"/>
          <w:highlight w:val="none"/>
          <w:lang w:val="en-US" w:eastAsia="zh-CN"/>
        </w:rPr>
        <w:t>2886006</w:t>
      </w:r>
    </w:p>
    <w:p>
      <w:pPr>
        <w:widowControl/>
        <w:jc w:val="left"/>
        <w:rPr>
          <w:color w:val="auto"/>
          <w:highlight w:val="none"/>
        </w:rPr>
      </w:pPr>
      <w:r>
        <w:rPr>
          <w:color w:val="auto"/>
          <w:highlight w:val="none"/>
        </w:rPr>
        <w:br w:type="page"/>
      </w:r>
    </w:p>
    <w:p>
      <w:pPr>
        <w:spacing w:line="400" w:lineRule="exact"/>
        <w:ind w:firstLine="420" w:firstLineChars="200"/>
        <w:rPr>
          <w:color w:val="auto"/>
          <w:highlight w:val="none"/>
        </w:rPr>
      </w:pPr>
    </w:p>
    <w:p>
      <w:pPr>
        <w:rPr>
          <w:color w:val="auto"/>
          <w:highlight w:val="none"/>
        </w:rPr>
      </w:pPr>
    </w:p>
    <w:bookmarkEnd w:id="42"/>
    <w:bookmarkEnd w:id="43"/>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hAnsi="宋体" w:eastAsia="方正小标宋_GBK"/>
          <w:color w:val="auto"/>
          <w:highlight w:val="none"/>
        </w:rPr>
      </w:pPr>
      <w:bookmarkStart w:id="44" w:name="_Toc92355024"/>
      <w:r>
        <w:rPr>
          <w:rFonts w:hint="eastAsia" w:ascii="方正小标宋_GBK" w:hAnsi="宋体" w:eastAsia="方正小标宋_GBK"/>
          <w:color w:val="auto"/>
          <w:highlight w:val="none"/>
        </w:rPr>
        <w:t>第二章  项目需求</w:t>
      </w:r>
      <w:bookmarkEnd w:id="44"/>
    </w:p>
    <w:p>
      <w:pPr>
        <w:spacing w:line="440" w:lineRule="exact"/>
        <w:jc w:val="center"/>
        <w:rPr>
          <w:rFonts w:ascii="宋体" w:hAnsi="宋体"/>
          <w:b/>
          <w:color w:val="auto"/>
          <w:sz w:val="36"/>
          <w:szCs w:val="36"/>
          <w:highlight w:val="none"/>
        </w:rPr>
      </w:pPr>
      <w:r>
        <w:rPr>
          <w:rFonts w:ascii="宋体" w:hAnsi="宋体"/>
          <w:b/>
          <w:color w:val="auto"/>
          <w:szCs w:val="21"/>
          <w:highlight w:val="none"/>
        </w:rPr>
        <w:br w:type="page"/>
      </w:r>
      <w:r>
        <w:rPr>
          <w:rFonts w:hint="eastAsia" w:ascii="宋体" w:hAnsi="宋体"/>
          <w:b/>
          <w:color w:val="auto"/>
          <w:sz w:val="36"/>
          <w:szCs w:val="36"/>
          <w:highlight w:val="none"/>
        </w:rPr>
        <w:t>项目需求</w:t>
      </w:r>
    </w:p>
    <w:p>
      <w:pPr>
        <w:spacing w:line="396" w:lineRule="exact"/>
        <w:rPr>
          <w:rFonts w:ascii="宋体" w:hAnsi="宋体"/>
          <w:b/>
          <w:color w:val="auto"/>
          <w:szCs w:val="21"/>
          <w:highlight w:val="none"/>
        </w:rPr>
      </w:pPr>
    </w:p>
    <w:p>
      <w:pPr>
        <w:spacing w:line="430" w:lineRule="exact"/>
        <w:rPr>
          <w:rFonts w:ascii="宋体" w:hAnsi="宋体"/>
          <w:color w:val="auto"/>
          <w:szCs w:val="21"/>
          <w:highlight w:val="none"/>
          <w:u w:val="single"/>
        </w:rPr>
      </w:pPr>
      <w:bookmarkStart w:id="45" w:name="_Hlk89960406"/>
      <w:r>
        <w:rPr>
          <w:rFonts w:hint="eastAsia" w:ascii="宋体" w:hAnsi="宋体"/>
          <w:color w:val="auto"/>
          <w:szCs w:val="21"/>
          <w:highlight w:val="none"/>
        </w:rPr>
        <w:t>一、采购预算：￥</w:t>
      </w:r>
      <w:r>
        <w:rPr>
          <w:rFonts w:hint="eastAsia" w:ascii="宋体" w:hAnsi="宋体"/>
          <w:color w:val="auto"/>
          <w:szCs w:val="21"/>
          <w:highlight w:val="none"/>
          <w:lang w:eastAsia="zh-CN"/>
        </w:rPr>
        <w:t>1,384,639.00</w:t>
      </w:r>
      <w:r>
        <w:rPr>
          <w:rFonts w:hint="eastAsia" w:ascii="宋体" w:hAnsi="宋体"/>
          <w:color w:val="auto"/>
          <w:szCs w:val="21"/>
          <w:highlight w:val="none"/>
        </w:rPr>
        <w:t>元</w:t>
      </w:r>
    </w:p>
    <w:p>
      <w:pPr>
        <w:spacing w:line="430" w:lineRule="exact"/>
        <w:rPr>
          <w:rFonts w:ascii="宋体" w:hAnsi="宋体"/>
          <w:color w:val="auto"/>
          <w:szCs w:val="21"/>
          <w:highlight w:val="none"/>
        </w:rPr>
      </w:pPr>
      <w:r>
        <w:rPr>
          <w:rFonts w:hint="eastAsia" w:ascii="宋体" w:hAnsi="宋体"/>
          <w:color w:val="auto"/>
          <w:szCs w:val="21"/>
          <w:highlight w:val="none"/>
        </w:rPr>
        <w:t>二、项目需求：</w:t>
      </w:r>
    </w:p>
    <w:p>
      <w:pPr>
        <w:spacing w:line="430" w:lineRule="exact"/>
        <w:rPr>
          <w:rFonts w:ascii="宋体" w:hAnsi="宋体"/>
          <w:color w:val="auto"/>
          <w:szCs w:val="21"/>
          <w:highlight w:val="none"/>
        </w:rPr>
      </w:pPr>
      <w:bookmarkStart w:id="46" w:name="_Toc354479498"/>
      <w:bookmarkStart w:id="47" w:name="_Toc358477280"/>
      <w:r>
        <w:rPr>
          <w:rFonts w:hint="eastAsia" w:ascii="宋体" w:hAnsi="宋体"/>
          <w:color w:val="auto"/>
          <w:szCs w:val="21"/>
          <w:highlight w:val="none"/>
        </w:rPr>
        <w:t>说明：</w:t>
      </w:r>
    </w:p>
    <w:p>
      <w:pPr>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1.本表中的品牌型号、技术参数及其性能（规格）仅起参考作用，供应商可选用其他品牌型号替代，</w:t>
      </w:r>
      <w:r>
        <w:rPr>
          <w:rFonts w:hint="eastAsia" w:ascii="宋体" w:hAnsi="宋体"/>
          <w:color w:val="auto"/>
          <w:highlight w:val="none"/>
        </w:rPr>
        <w:t>但替代的产品整体上要相当于或优于参考品牌型号或其技术参数性能（规格）要求。</w:t>
      </w:r>
    </w:p>
    <w:p>
      <w:pPr>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3.本项目不接受供应商提供通过中国海关报关验放进入中国境内且产自关境外的产品。</w:t>
      </w:r>
    </w:p>
    <w:p>
      <w:pPr>
        <w:spacing w:line="43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谈判文件中可能实质性变动的内容：</w:t>
      </w:r>
      <w:r>
        <w:rPr>
          <w:rFonts w:hint="eastAsia" w:ascii="宋体" w:hAnsi="宋体" w:cs="宋体"/>
          <w:color w:val="auto"/>
          <w:kern w:val="0"/>
          <w:szCs w:val="21"/>
          <w:highlight w:val="none"/>
          <w:u w:val="single"/>
        </w:rPr>
        <w:t>采购需求的技术、服务要求以及合同草案条款</w:t>
      </w:r>
      <w:r>
        <w:rPr>
          <w:rFonts w:hint="eastAsia" w:ascii="宋体" w:hAnsi="宋体" w:cs="宋体"/>
          <w:b/>
          <w:color w:val="auto"/>
          <w:kern w:val="0"/>
          <w:szCs w:val="21"/>
          <w:highlight w:val="none"/>
        </w:rPr>
        <w:t>。</w:t>
      </w:r>
    </w:p>
    <w:p>
      <w:pPr>
        <w:spacing w:line="43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标注</w:t>
      </w:r>
      <w:bookmarkStart w:id="48" w:name="OLE_LINK2"/>
      <w:r>
        <w:rPr>
          <w:rFonts w:hint="eastAsia" w:ascii="宋体" w:hAnsi="宋体"/>
          <w:color w:val="auto"/>
          <w:szCs w:val="21"/>
          <w:highlight w:val="none"/>
        </w:rPr>
        <w:t>★</w:t>
      </w:r>
      <w:bookmarkEnd w:id="48"/>
      <w:r>
        <w:rPr>
          <w:rFonts w:hint="eastAsia" w:ascii="宋体" w:hAnsi="宋体"/>
          <w:color w:val="auto"/>
          <w:szCs w:val="21"/>
          <w:highlight w:val="none"/>
        </w:rPr>
        <w:t>号的技术参数为实质性响应条款，要求必须满足或优于，否则视为无效响应文件。</w:t>
      </w:r>
    </w:p>
    <w:p>
      <w:pPr>
        <w:spacing w:line="43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本项目对应的中小企业划分标准所属行业为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工业</w:t>
      </w:r>
      <w:r>
        <w:rPr>
          <w:rFonts w:ascii="宋体" w:hAnsi="宋体"/>
          <w:color w:val="auto"/>
          <w:szCs w:val="21"/>
          <w:highlight w:val="none"/>
          <w:u w:val="single"/>
        </w:rPr>
        <w:t xml:space="preserve"> </w:t>
      </w:r>
      <w:r>
        <w:rPr>
          <w:rFonts w:hint="eastAsia" w:ascii="宋体" w:hAnsi="宋体"/>
          <w:color w:val="auto"/>
          <w:szCs w:val="21"/>
          <w:highlight w:val="none"/>
        </w:rPr>
        <w:t>。</w:t>
      </w:r>
    </w:p>
    <w:bookmarkEnd w:id="45"/>
    <w:p>
      <w:pPr>
        <w:spacing w:line="430" w:lineRule="exact"/>
        <w:jc w:val="left"/>
        <w:rPr>
          <w:rFonts w:ascii="宋体" w:hAnsi="宋体"/>
          <w:color w:val="auto"/>
          <w:szCs w:val="21"/>
          <w:highlight w:val="none"/>
        </w:rPr>
      </w:pPr>
      <w:r>
        <w:rPr>
          <w:rFonts w:ascii="宋体" w:hAnsi="宋体"/>
          <w:color w:val="auto"/>
          <w:szCs w:val="21"/>
          <w:highlight w:val="none"/>
        </w:rPr>
        <w:br w:type="page"/>
      </w:r>
    </w:p>
    <w:tbl>
      <w:tblPr>
        <w:tblStyle w:val="34"/>
        <w:tblW w:w="9498" w:type="dxa"/>
        <w:tblInd w:w="-5" w:type="dxa"/>
        <w:tblLayout w:type="fixed"/>
        <w:tblCellMar>
          <w:top w:w="0" w:type="dxa"/>
          <w:left w:w="108" w:type="dxa"/>
          <w:bottom w:w="0" w:type="dxa"/>
          <w:right w:w="108" w:type="dxa"/>
        </w:tblCellMar>
      </w:tblPr>
      <w:tblGrid>
        <w:gridCol w:w="709"/>
        <w:gridCol w:w="383"/>
        <w:gridCol w:w="1035"/>
        <w:gridCol w:w="850"/>
        <w:gridCol w:w="1134"/>
        <w:gridCol w:w="5387"/>
      </w:tblGrid>
      <w:tr>
        <w:tblPrEx>
          <w:tblCellMar>
            <w:top w:w="0" w:type="dxa"/>
            <w:left w:w="108" w:type="dxa"/>
            <w:bottom w:w="0" w:type="dxa"/>
            <w:right w:w="108" w:type="dxa"/>
          </w:tblCellMar>
        </w:tblPrEx>
        <w:trPr>
          <w:trHeight w:val="61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30" w:lineRule="exact"/>
              <w:jc w:val="center"/>
              <w:rPr>
                <w:rFonts w:ascii="Calibri" w:hAnsi="Calibri"/>
                <w:b/>
                <w:bCs/>
                <w:color w:val="auto"/>
                <w:highlight w:val="none"/>
              </w:rPr>
            </w:pPr>
            <w:r>
              <w:rPr>
                <w:rFonts w:hint="eastAsia" w:ascii="Calibri" w:hAnsi="Calibri"/>
                <w:b/>
                <w:bCs/>
                <w:color w:val="auto"/>
                <w:highlight w:val="none"/>
              </w:rPr>
              <w:t>序号</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ind w:left="-107" w:leftChars="-51" w:right="-109" w:rightChars="-52" w:firstLine="2" w:firstLineChars="1"/>
              <w:jc w:val="center"/>
              <w:rPr>
                <w:rFonts w:ascii="Calibri" w:hAnsi="Calibri"/>
                <w:b/>
                <w:bCs/>
                <w:color w:val="auto"/>
                <w:highlight w:val="none"/>
              </w:rPr>
            </w:pPr>
            <w:r>
              <w:rPr>
                <w:rFonts w:hint="eastAsia" w:ascii="Calibri" w:hAnsi="Calibri"/>
                <w:b/>
                <w:bCs/>
                <w:color w:val="auto"/>
                <w:highlight w:val="none"/>
              </w:rPr>
              <w:t>货物名称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color w:val="auto"/>
                <w:highlight w:val="none"/>
              </w:rPr>
            </w:pPr>
            <w:r>
              <w:rPr>
                <w:rFonts w:hint="eastAsia" w:ascii="Calibri" w:hAnsi="Calibri"/>
                <w:b/>
                <w:bCs/>
                <w:color w:val="auto"/>
                <w:highlight w:val="none"/>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color w:val="auto"/>
                <w:highlight w:val="none"/>
              </w:rPr>
            </w:pPr>
            <w:r>
              <w:rPr>
                <w:rFonts w:hint="eastAsia" w:ascii="Calibri" w:hAnsi="Calibri"/>
                <w:b/>
                <w:bCs/>
                <w:color w:val="auto"/>
                <w:highlight w:val="none"/>
              </w:rPr>
              <w:t>单位</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color w:val="auto"/>
                <w:highlight w:val="none"/>
              </w:rPr>
            </w:pPr>
            <w:r>
              <w:rPr>
                <w:rFonts w:hint="eastAsia" w:ascii="Calibri" w:hAnsi="Calibri"/>
                <w:b/>
                <w:bCs/>
                <w:color w:val="auto"/>
                <w:highlight w:val="none"/>
              </w:rPr>
              <w:t>技术参数及其性能（规格）</w:t>
            </w:r>
          </w:p>
        </w:tc>
      </w:tr>
      <w:tr>
        <w:tblPrEx>
          <w:tblCellMar>
            <w:top w:w="0" w:type="dxa"/>
            <w:left w:w="108" w:type="dxa"/>
            <w:bottom w:w="0" w:type="dxa"/>
            <w:right w:w="108" w:type="dxa"/>
          </w:tblCellMar>
        </w:tblPrEx>
        <w:trPr>
          <w:trHeight w:val="482"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39"/>
              </w:tabs>
              <w:jc w:val="left"/>
              <w:textAlignment w:val="center"/>
              <w:rPr>
                <w:rFonts w:hint="default" w:ascii="宋体" w:hAnsi="宋体" w:eastAsia="宋体" w:cs="宋体"/>
                <w:color w:val="auto"/>
                <w:sz w:val="21"/>
                <w:szCs w:val="21"/>
                <w:highlight w:val="none"/>
                <w:lang w:val="en-US"/>
              </w:rPr>
            </w:pPr>
            <w:r>
              <w:rPr>
                <w:rFonts w:hint="eastAsia" w:ascii="宋体" w:hAnsi="宋体"/>
                <w:color w:val="auto"/>
                <w:szCs w:val="21"/>
                <w:highlight w:val="none"/>
                <w:lang w:val="en-US" w:eastAsia="zh-CN"/>
              </w:rPr>
              <w:t xml:space="preserve"> </w:t>
            </w:r>
            <w:r>
              <w:rPr>
                <w:rFonts w:hint="eastAsia" w:ascii="宋体" w:hAnsi="宋体" w:eastAsia="宋体" w:cs="宋体"/>
                <w:b/>
                <w:bCs/>
                <w:i w:val="0"/>
                <w:iCs w:val="0"/>
                <w:color w:val="auto"/>
                <w:kern w:val="0"/>
                <w:sz w:val="24"/>
                <w:szCs w:val="24"/>
                <w:highlight w:val="none"/>
                <w:u w:val="none"/>
                <w:lang w:val="en-US" w:eastAsia="zh-CN" w:bidi="ar"/>
              </w:rPr>
              <w:t>一、营养烹饪室</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冰箱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1.能效等级：一级能效；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2.门个数：4个；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3.包装尺寸：宽</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885mm；深</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710mm；高</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1900mm；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4.产品尺寸：宽</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833mm；深</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668mm；高</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1775mm；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5.产品重量：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82kg；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6.散热方式：两侧散热；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7.变温室容积：</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33L；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8.冷冻室容积:</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174L；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9.冷藏室容积：</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264L；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10.总容积:</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471L。</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破壁机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bidi="ar"/>
              </w:rPr>
            </w:pPr>
            <w:r>
              <w:rPr>
                <w:rStyle w:val="137"/>
                <w:rFonts w:hint="eastAsia" w:ascii="宋体" w:hAnsi="宋体" w:eastAsia="宋体" w:cs="宋体"/>
                <w:color w:val="auto"/>
                <w:sz w:val="21"/>
                <w:szCs w:val="21"/>
                <w:highlight w:val="none"/>
                <w:lang w:val="en-US" w:eastAsia="zh-CN" w:bidi="ar"/>
              </w:rPr>
              <w:t>1.杯体类型：玻璃加热杯；</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2.产品尺寸：长</w:t>
            </w:r>
            <w:r>
              <w:rPr>
                <w:rFonts w:hint="eastAsia" w:ascii="宋体" w:hAnsi="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234mm；宽</w:t>
            </w:r>
            <w:r>
              <w:rPr>
                <w:rFonts w:hint="eastAsia" w:ascii="宋体" w:hAnsi="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207mm；高</w:t>
            </w:r>
            <w:r>
              <w:rPr>
                <w:rFonts w:hint="eastAsia" w:ascii="宋体" w:hAnsi="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478mm；</w:t>
            </w:r>
            <w:r>
              <w:rPr>
                <w:rStyle w:val="137"/>
                <w:rFonts w:hint="eastAsia" w:ascii="宋体" w:hAnsi="宋体" w:eastAsia="宋体" w:cs="宋体"/>
                <w:color w:val="auto"/>
                <w:sz w:val="21"/>
                <w:szCs w:val="21"/>
                <w:highlight w:val="none"/>
                <w:lang w:val="en-US" w:eastAsia="zh-CN" w:bidi="ar"/>
              </w:rPr>
              <w:br w:type="textWrapping"/>
            </w:r>
            <w:r>
              <w:rPr>
                <w:rStyle w:val="55"/>
                <w:rFonts w:hint="eastAsia" w:ascii="宋体" w:hAnsi="宋体" w:eastAsia="宋体" w:cs="宋体"/>
                <w:color w:val="auto"/>
                <w:sz w:val="21"/>
                <w:szCs w:val="21"/>
                <w:highlight w:val="none"/>
                <w:lang w:val="en-US" w:eastAsia="zh-CN" w:bidi="ar"/>
              </w:rPr>
              <w:t>3.主杯容量：</w:t>
            </w:r>
            <w:r>
              <w:rPr>
                <w:rFonts w:hint="eastAsia" w:ascii="宋体" w:hAnsi="宋体" w:cs="宋体"/>
                <w:i w:val="0"/>
                <w:iCs w:val="0"/>
                <w:color w:val="auto"/>
                <w:kern w:val="0"/>
                <w:sz w:val="21"/>
                <w:szCs w:val="21"/>
                <w:highlight w:val="none"/>
                <w:u w:val="none"/>
                <w:lang w:val="en-US" w:eastAsia="zh-CN" w:bidi="ar"/>
              </w:rPr>
              <w:t>约</w:t>
            </w:r>
            <w:r>
              <w:rPr>
                <w:rStyle w:val="55"/>
                <w:rFonts w:hint="eastAsia" w:ascii="宋体" w:hAnsi="宋体" w:eastAsia="宋体" w:cs="宋体"/>
                <w:color w:val="auto"/>
                <w:sz w:val="21"/>
                <w:szCs w:val="21"/>
                <w:highlight w:val="none"/>
                <w:lang w:val="en-US" w:eastAsia="zh-CN" w:bidi="ar"/>
              </w:rPr>
              <w:t>1.75L；</w:t>
            </w:r>
            <w:r>
              <w:rPr>
                <w:rStyle w:val="137"/>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4.搅拌功率：</w:t>
            </w:r>
            <w:r>
              <w:rPr>
                <w:rFonts w:hint="eastAsia" w:ascii="宋体" w:hAnsi="宋体" w:cs="宋体"/>
                <w:i w:val="0"/>
                <w:iCs w:val="0"/>
                <w:color w:val="auto"/>
                <w:kern w:val="0"/>
                <w:sz w:val="21"/>
                <w:szCs w:val="21"/>
                <w:highlight w:val="none"/>
                <w:u w:val="none"/>
                <w:lang w:val="en-US" w:eastAsia="zh-CN" w:bidi="ar"/>
              </w:rPr>
              <w:t>约</w:t>
            </w:r>
            <w:r>
              <w:rPr>
                <w:rStyle w:val="52"/>
                <w:rFonts w:hint="eastAsia" w:ascii="宋体" w:hAnsi="宋体" w:eastAsia="宋体" w:cs="宋体"/>
                <w:color w:val="auto"/>
                <w:sz w:val="21"/>
                <w:szCs w:val="21"/>
                <w:highlight w:val="none"/>
                <w:lang w:val="en-US" w:eastAsia="zh-CN" w:bidi="ar"/>
              </w:rPr>
              <w:t>500W；</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5.加热功率：</w:t>
            </w:r>
            <w:r>
              <w:rPr>
                <w:rFonts w:hint="eastAsia" w:ascii="宋体" w:hAnsi="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1200W。</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打蛋器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打蛋器*1、说明书*1、蛋渣分离器*1；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125W；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2.额定电压：</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220V。</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电蒸锅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1.特征特质：保温，快速蒸汽，预约定时；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2.锅体材质：不锈钢；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3.容量：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18L；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4.额定功率：</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1500W；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5.额定电压：</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220V。</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电磁炉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1.功能：低温烹饪，恒温匀火，预约定时；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2.火力档位：9档；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3.产品净重：</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4.产品尺寸：长</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380mm；宽</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296mm；高</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电磁炉*1、说明书保修卡合订本*1、汤锅*1、炒锅*1。</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电饭锅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1.菜单功能：预约定时，柴火饭，快速饭，粥/汤，杂粮饭，蛋糕功能；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2.产品尺寸：长</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302mm；宽</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262mm；高</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218mm；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3.内胆材质：铝合金；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4.容量：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5.额定功率：</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760W；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6.额定电压：</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220V。</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电炖锅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Style w:val="137"/>
                <w:rFonts w:hint="eastAsia" w:ascii="宋体" w:hAnsi="宋体" w:eastAsia="宋体" w:cs="宋体"/>
                <w:color w:val="auto"/>
                <w:sz w:val="21"/>
                <w:szCs w:val="21"/>
                <w:highlight w:val="none"/>
                <w:lang w:val="en-US" w:eastAsia="zh-CN" w:bidi="ar"/>
              </w:rPr>
              <w:t>1.操控方式：按键式；</w:t>
            </w:r>
            <w:r>
              <w:rPr>
                <w:rStyle w:val="137"/>
                <w:rFonts w:hint="eastAsia" w:ascii="宋体" w:hAnsi="宋体" w:eastAsia="宋体" w:cs="宋体"/>
                <w:color w:val="auto"/>
                <w:sz w:val="21"/>
                <w:szCs w:val="21"/>
                <w:highlight w:val="none"/>
                <w:lang w:val="en-US" w:eastAsia="zh-CN" w:bidi="ar"/>
              </w:rPr>
              <w:br w:type="textWrapping"/>
            </w:r>
            <w:r>
              <w:rPr>
                <w:rStyle w:val="55"/>
                <w:rFonts w:hint="eastAsia" w:ascii="宋体" w:hAnsi="宋体" w:eastAsia="宋体" w:cs="宋体"/>
                <w:color w:val="auto"/>
                <w:sz w:val="21"/>
                <w:szCs w:val="21"/>
                <w:highlight w:val="none"/>
                <w:lang w:val="en-US" w:eastAsia="zh-CN" w:bidi="ar"/>
              </w:rPr>
              <w:t>2.内胆材质：陶瓷；</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3.额定功率：</w:t>
            </w:r>
            <w:r>
              <w:rPr>
                <w:rFonts w:hint="eastAsia" w:ascii="宋体" w:hAnsi="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230W；</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4.额定电压：</w:t>
            </w:r>
            <w:r>
              <w:rPr>
                <w:rFonts w:hint="eastAsia" w:ascii="宋体" w:hAnsi="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220V；</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5.主杯容量：</w:t>
            </w:r>
            <w:r>
              <w:rPr>
                <w:rFonts w:hint="eastAsia" w:ascii="宋体" w:hAnsi="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3L。</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餐具套装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一、沥水漏盆套装  10套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1.尺寸：直径</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26cm；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2.高度：约8.5cm；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3.材质：不锈钢；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二、58件套餐具  5套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包含7.2英寸汤锅2个、4.5英寸饭碗12个、8英寸平盘4个、8.5英寸深盘6个、12英寸1个、1个汤勺、10英寸大盆1个、小汤勺12个、筷子20双。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三、保鲜袋250只  10卷</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刀具套装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每套包含</w:t>
            </w:r>
            <w:r>
              <w:rPr>
                <w:rFonts w:hint="eastAsia" w:ascii="宋体" w:hAnsi="宋体" w:eastAsia="宋体" w:cs="宋体"/>
                <w:i w:val="0"/>
                <w:iCs w:val="0"/>
                <w:color w:val="auto"/>
                <w:kern w:val="0"/>
                <w:sz w:val="21"/>
                <w:szCs w:val="21"/>
                <w:highlight w:val="none"/>
                <w:u w:val="none"/>
                <w:lang w:val="en-US" w:eastAsia="zh-CN" w:bidi="ar"/>
              </w:rPr>
              <w:t>小厨刀*1、水果刀*1、 剪刀*1、刀座*1、说明书*1、刀盒*1、PVC砧板</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450*300mm*2；刮皮刀、刮丝刀*1；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2.材质：400系列不锈钢</w:t>
            </w:r>
            <w:r>
              <w:rPr>
                <w:rFonts w:hint="eastAsia" w:ascii="宋体" w:hAnsi="宋体" w:cs="宋体"/>
                <w:i w:val="0"/>
                <w:iCs w:val="0"/>
                <w:color w:val="auto"/>
                <w:kern w:val="0"/>
                <w:sz w:val="21"/>
                <w:szCs w:val="21"/>
                <w:highlight w:val="none"/>
                <w:u w:val="none"/>
                <w:lang w:val="en-US" w:eastAsia="zh-CN" w:bidi="ar"/>
              </w:rPr>
              <w:t>。</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耗材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厨房用纸70抽60包、 餐巾纸3层100抽144包、一次性手套2000个，拖把扫把套装 1、肥皂10块、海绵刷40个、抹布30张、12L塑料垃圾桶10个、小垃圾袋400个。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烘干机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Style w:val="137"/>
                <w:rFonts w:hint="eastAsia" w:ascii="宋体" w:hAnsi="宋体" w:eastAsia="宋体" w:cs="宋体"/>
                <w:color w:val="auto"/>
                <w:sz w:val="21"/>
                <w:szCs w:val="21"/>
                <w:highlight w:val="none"/>
                <w:lang w:val="en-US" w:eastAsia="zh-CN" w:bidi="ar"/>
              </w:rPr>
              <w:t>1.机身材质：不锈钢；</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2.额定电压：</w:t>
            </w:r>
            <w:r>
              <w:rPr>
                <w:rFonts w:hint="eastAsia" w:ascii="宋体" w:hAnsi="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220V；</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3.烘干方式：</w:t>
            </w:r>
            <w:r>
              <w:rPr>
                <w:rStyle w:val="55"/>
                <w:rFonts w:hint="eastAsia" w:ascii="宋体" w:hAnsi="宋体" w:eastAsia="宋体" w:cs="宋体"/>
                <w:color w:val="auto"/>
                <w:sz w:val="21"/>
                <w:szCs w:val="21"/>
                <w:highlight w:val="none"/>
                <w:lang w:val="en-US" w:eastAsia="zh-CN" w:bidi="ar"/>
              </w:rPr>
              <w:t>热风烘干；</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4.定时功能：支持定时功能；</w:t>
            </w:r>
            <w:r>
              <w:rPr>
                <w:rStyle w:val="137"/>
                <w:rFonts w:hint="eastAsia" w:ascii="宋体" w:hAnsi="宋体" w:eastAsia="宋体" w:cs="宋体"/>
                <w:color w:val="auto"/>
                <w:sz w:val="21"/>
                <w:szCs w:val="21"/>
                <w:highlight w:val="none"/>
                <w:lang w:val="en-US" w:eastAsia="zh-CN" w:bidi="ar"/>
              </w:rPr>
              <w:br w:type="textWrapping"/>
            </w:r>
            <w:r>
              <w:rPr>
                <w:rStyle w:val="55"/>
                <w:rFonts w:hint="eastAsia" w:ascii="宋体" w:hAnsi="宋体" w:eastAsia="宋体" w:cs="宋体"/>
                <w:color w:val="auto"/>
                <w:sz w:val="21"/>
                <w:szCs w:val="21"/>
                <w:highlight w:val="none"/>
                <w:lang w:val="en-US" w:eastAsia="zh-CN" w:bidi="ar"/>
              </w:rPr>
              <w:t>5.层数：20层；</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6.额定功率：</w:t>
            </w:r>
            <w:r>
              <w:rPr>
                <w:rFonts w:hint="eastAsia" w:ascii="宋体" w:hAnsi="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1001-3000W。</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学生凳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张</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1、尺寸：约坐高46cm,</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坐宽：30cm；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2、材质：高密度钢筋，坐垫科技布。</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消毒柜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1.消毒星级：二星级；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2.层数：</w:t>
            </w:r>
            <w:r>
              <w:rPr>
                <w:rStyle w:val="55"/>
                <w:rFonts w:hint="eastAsia" w:ascii="宋体" w:hAnsi="宋体" w:eastAsia="宋体" w:cs="宋体"/>
                <w:color w:val="auto"/>
                <w:sz w:val="21"/>
                <w:szCs w:val="21"/>
                <w:highlight w:val="none"/>
                <w:lang w:val="en-US" w:eastAsia="zh-CN" w:bidi="ar"/>
              </w:rPr>
              <w:t>6层；</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3.消毒方式：高温；</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4.功能：烘干，上下分层，</w:t>
            </w:r>
            <w:r>
              <w:rPr>
                <w:rStyle w:val="55"/>
                <w:rFonts w:hint="eastAsia" w:ascii="宋体" w:hAnsi="宋体" w:eastAsia="宋体" w:cs="宋体"/>
                <w:color w:val="auto"/>
                <w:sz w:val="21"/>
                <w:szCs w:val="21"/>
                <w:highlight w:val="none"/>
                <w:lang w:val="en-US" w:eastAsia="zh-CN" w:bidi="ar"/>
              </w:rPr>
              <w:t>上下层独立控制；</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5.面板材质：钢化玻璃；</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6.消毒温度：约125℃；</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7.消毒时间：约30min；</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8.容量：</w:t>
            </w:r>
            <w:r>
              <w:rPr>
                <w:rFonts w:hint="eastAsia" w:ascii="宋体" w:hAnsi="宋体" w:eastAsia="宋体" w:cs="宋体"/>
                <w:i w:val="0"/>
                <w:iCs w:val="0"/>
                <w:color w:val="auto"/>
                <w:kern w:val="0"/>
                <w:sz w:val="21"/>
                <w:szCs w:val="21"/>
                <w:highlight w:val="none"/>
                <w:u w:val="none"/>
                <w:lang w:val="en-US" w:eastAsia="zh-CN" w:bidi="ar"/>
              </w:rPr>
              <w:t>约</w:t>
            </w:r>
            <w:r>
              <w:rPr>
                <w:rStyle w:val="52"/>
                <w:rFonts w:hint="eastAsia" w:ascii="宋体" w:hAnsi="宋体" w:eastAsia="宋体" w:cs="宋体"/>
                <w:color w:val="auto"/>
                <w:sz w:val="21"/>
                <w:szCs w:val="21"/>
                <w:highlight w:val="none"/>
                <w:lang w:val="en-US" w:eastAsia="zh-CN" w:bidi="ar"/>
              </w:rPr>
              <w:t>160L；</w:t>
            </w:r>
            <w:r>
              <w:rPr>
                <w:rStyle w:val="52"/>
                <w:rFonts w:hint="eastAsia" w:ascii="宋体" w:hAnsi="宋体" w:eastAsia="宋体" w:cs="宋体"/>
                <w:color w:val="auto"/>
                <w:sz w:val="21"/>
                <w:szCs w:val="21"/>
                <w:highlight w:val="none"/>
                <w:lang w:val="en-US" w:eastAsia="zh-CN" w:bidi="ar"/>
              </w:rPr>
              <w:br w:type="textWrapping"/>
            </w:r>
            <w:r>
              <w:rPr>
                <w:rStyle w:val="55"/>
                <w:rFonts w:hint="eastAsia" w:ascii="宋体" w:hAnsi="宋体" w:eastAsia="宋体" w:cs="宋体"/>
                <w:color w:val="auto"/>
                <w:sz w:val="21"/>
                <w:szCs w:val="21"/>
                <w:highlight w:val="none"/>
                <w:lang w:val="en-US" w:eastAsia="zh-CN" w:bidi="ar"/>
              </w:rPr>
              <w:t>9.外形尺寸：</w:t>
            </w:r>
            <w:r>
              <w:rPr>
                <w:rStyle w:val="51"/>
                <w:rFonts w:hint="eastAsia" w:ascii="宋体" w:hAnsi="宋体" w:eastAsia="宋体" w:cs="宋体"/>
                <w:color w:val="auto"/>
                <w:sz w:val="21"/>
                <w:szCs w:val="21"/>
                <w:highlight w:val="none"/>
                <w:lang w:val="en-US" w:eastAsia="zh-CN" w:bidi="ar"/>
              </w:rPr>
              <w:t>长</w:t>
            </w:r>
            <w:r>
              <w:rPr>
                <w:rFonts w:hint="eastAsia" w:ascii="宋体" w:hAnsi="宋体" w:eastAsia="宋体" w:cs="宋体"/>
                <w:i w:val="0"/>
                <w:iCs w:val="0"/>
                <w:color w:val="auto"/>
                <w:kern w:val="0"/>
                <w:sz w:val="21"/>
                <w:szCs w:val="21"/>
                <w:highlight w:val="none"/>
                <w:u w:val="none"/>
                <w:lang w:val="en-US" w:eastAsia="zh-CN" w:bidi="ar"/>
              </w:rPr>
              <w:t>约</w:t>
            </w:r>
            <w:r>
              <w:rPr>
                <w:rStyle w:val="51"/>
                <w:rFonts w:hint="eastAsia" w:ascii="宋体" w:hAnsi="宋体" w:eastAsia="宋体" w:cs="宋体"/>
                <w:color w:val="auto"/>
                <w:sz w:val="21"/>
                <w:szCs w:val="21"/>
                <w:highlight w:val="none"/>
                <w:lang w:val="en-US" w:eastAsia="zh-CN" w:bidi="ar"/>
              </w:rPr>
              <w:t>420mm；宽</w:t>
            </w:r>
            <w:r>
              <w:rPr>
                <w:rFonts w:hint="eastAsia" w:ascii="宋体" w:hAnsi="宋体" w:eastAsia="宋体" w:cs="宋体"/>
                <w:i w:val="0"/>
                <w:iCs w:val="0"/>
                <w:color w:val="auto"/>
                <w:kern w:val="0"/>
                <w:sz w:val="21"/>
                <w:szCs w:val="21"/>
                <w:highlight w:val="none"/>
                <w:u w:val="none"/>
                <w:lang w:val="en-US" w:eastAsia="zh-CN" w:bidi="ar"/>
              </w:rPr>
              <w:t>约</w:t>
            </w:r>
            <w:r>
              <w:rPr>
                <w:rStyle w:val="51"/>
                <w:rFonts w:hint="eastAsia" w:ascii="宋体" w:hAnsi="宋体" w:eastAsia="宋体" w:cs="宋体"/>
                <w:color w:val="auto"/>
                <w:sz w:val="21"/>
                <w:szCs w:val="21"/>
                <w:highlight w:val="none"/>
                <w:lang w:val="en-US" w:eastAsia="zh-CN" w:bidi="ar"/>
              </w:rPr>
              <w:t>400mm；高</w:t>
            </w:r>
            <w:r>
              <w:rPr>
                <w:rFonts w:hint="eastAsia" w:ascii="宋体" w:hAnsi="宋体" w:eastAsia="宋体" w:cs="宋体"/>
                <w:i w:val="0"/>
                <w:iCs w:val="0"/>
                <w:color w:val="auto"/>
                <w:kern w:val="0"/>
                <w:sz w:val="21"/>
                <w:szCs w:val="21"/>
                <w:highlight w:val="none"/>
                <w:u w:val="none"/>
                <w:lang w:val="en-US" w:eastAsia="zh-CN" w:bidi="ar"/>
              </w:rPr>
              <w:t>约</w:t>
            </w:r>
            <w:r>
              <w:rPr>
                <w:rStyle w:val="51"/>
                <w:rFonts w:hint="eastAsia" w:ascii="宋体" w:hAnsi="宋体" w:eastAsia="宋体" w:cs="宋体"/>
                <w:color w:val="auto"/>
                <w:sz w:val="21"/>
                <w:szCs w:val="21"/>
                <w:highlight w:val="none"/>
                <w:lang w:val="en-US" w:eastAsia="zh-CN" w:bidi="ar"/>
              </w:rPr>
              <w:t>1295mm。</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紫外线消毒灯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1.操控方式：遥控器控制，按键式；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2.是否可充电：不可充电；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3.适用面积:20㎡-50㎡（含）；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4.是否有臭氧:带臭氧；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5.光源类型:紫外线光源；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6.最大瓦数：20-40W（含）。</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托盘天枰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1.尺寸：约30*8*17.5cm；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2.包含：砝码8个+镊子1个。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酸碱滴定装置套装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酸碱滴定管/铁架台/蝴蝶夹/烧瓶/烧杯化学教学器材仪器 100ml</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精密分析电子天平秤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600g/0.01g+砝码</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真空封口机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137"/>
                <w:rFonts w:hint="eastAsia" w:ascii="宋体" w:hAnsi="宋体" w:eastAsia="宋体" w:cs="宋体"/>
                <w:color w:val="auto"/>
                <w:sz w:val="21"/>
                <w:szCs w:val="21"/>
                <w:highlight w:val="none"/>
                <w:lang w:val="en-US" w:eastAsia="zh-CN" w:bidi="ar"/>
              </w:rPr>
              <w:t>装箱清单：真空密封机*1+支撑纸卡*1+1m电源线*1+底部标签*1(贴在机器底部）+说明书*1 +密封袋*10个；</w:t>
            </w:r>
            <w:r>
              <w:rPr>
                <w:rStyle w:val="55"/>
                <w:rFonts w:hint="eastAsia" w:ascii="宋体" w:hAnsi="宋体" w:eastAsia="宋体" w:cs="宋体"/>
                <w:color w:val="auto"/>
                <w:sz w:val="21"/>
                <w:szCs w:val="21"/>
                <w:highlight w:val="none"/>
                <w:lang w:val="en-US" w:eastAsia="zh-CN" w:bidi="ar"/>
              </w:rPr>
              <w:t xml:space="preserve"> </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酸奶机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1.额定功率:约20W，额定电压/频率：220-240V~50Hz； </w:t>
            </w:r>
            <w:r>
              <w:rPr>
                <w:rStyle w:val="137"/>
                <w:rFonts w:hint="eastAsia" w:ascii="宋体" w:hAnsi="宋体" w:eastAsia="宋体" w:cs="宋体"/>
                <w:color w:val="auto"/>
                <w:sz w:val="21"/>
                <w:szCs w:val="21"/>
                <w:highlight w:val="none"/>
                <w:lang w:val="en-US" w:eastAsia="zh-CN" w:bidi="ar"/>
              </w:rPr>
              <w:t xml:space="preserve">                </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2.内胆材质:陶瓷内胆；</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 xml:space="preserve">控制方式:防高温，干烧过热保护；        </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内胆配置：</w:t>
            </w:r>
            <w:r>
              <w:rPr>
                <w:rFonts w:hint="eastAsia" w:ascii="宋体" w:hAnsi="宋体" w:eastAsia="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500毫升大杯*2+125毫升小杯*6；</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装箱清单：透明上盖x1、大杯盖x2、大杯x2、小杯盖x6、小杯x6、本体x1、分离式电源线x1、说明书x1。</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一桌六椅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餐桌</w:t>
            </w:r>
          </w:p>
          <w:p>
            <w:pPr>
              <w:keepNext w:val="0"/>
              <w:keepLines w:val="0"/>
              <w:widowControl/>
              <w:suppressLineNumbers w:val="0"/>
              <w:spacing w:after="240" w:afterAutospacing="0"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1、餐桌规格(mm)：约W1800*D900*H750mm。（一桌六椅）；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2、框架：采用优质橡胶实木，承托板厚度约18mm，手感光滑平整，结构紧密耐用结实；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3、台面：采用优质岩板，厚度约12mm，材质坚硬、刚性强、不易腐蚀、具有防火，防污染，防损等；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3、油漆：采用木蜡油，防潮防雾；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4、五金件：选用优质五金配件，连接处均紧密拼接，金属件表面无锈蚀、烤焦、裂纹、划痕、磕碰等缺陷。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餐椅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1、餐椅规格(mm)：约W480*D480*H820mm。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2、框架：采用优质橡胶实木，手感光滑平整，结构紧密耐用结实；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3、面料：采用优质人造革，皮质的拉力好,不易撕裂,耐腐蚀,抗磨性能好,具有抗菌、防霉、防蛀、无任何有害物质；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3、海绵：采用优质海绵，密度高，回弹率好；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4、五金件：选用优质五金配件，连接处均紧密拼接，金属件表面无锈蚀、烤焦、裂纹、划痕、磕碰等缺陷。</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3匹冷暖立柜式圆柱形空调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产品规格：3匹冷暖立柜式圆柱形空调；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2、电压/频率V/HZ：220V/50HZ；</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3、能效比APF：≥4.68；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4、能效等级：变频一级；</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5、制冷量（W）：≥7328；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6、制冷功率（W）：≤1950；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7、制热量（W）：≥9980；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8、制热功率（W）：≤2855；</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9、电辅热(W)；≥2350；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10、室内机噪音（高风）dB(A)：≤42.3；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11、室外机噪音（高风）dB(A)：≤56；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12、循环风量（m³/h)：≥1540。</w:t>
            </w:r>
          </w:p>
          <w:p>
            <w:pPr>
              <w:pStyle w:val="2"/>
              <w:numPr>
                <w:ilvl w:val="0"/>
                <w:numId w:val="0"/>
              </w:num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i w:val="0"/>
                <w:iCs w:val="0"/>
                <w:color w:val="auto"/>
                <w:kern w:val="0"/>
                <w:sz w:val="21"/>
                <w:szCs w:val="21"/>
                <w:highlight w:val="none"/>
                <w:u w:val="none"/>
                <w:lang w:val="en-US" w:eastAsia="zh-CN" w:bidi="ar"/>
              </w:rPr>
              <w:t>★投标文件中必须提供该产品由国家确定的认证机构出具的处于有效期之内的节能产品认证证书并加盖投标人公章。</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空气循环扇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51"/>
                <w:rFonts w:hint="eastAsia" w:ascii="宋体" w:hAnsi="宋体" w:eastAsia="宋体" w:cs="宋体"/>
                <w:color w:val="auto"/>
                <w:sz w:val="21"/>
                <w:szCs w:val="21"/>
                <w:highlight w:val="none"/>
                <w:lang w:val="en-US" w:eastAsia="zh-CN" w:bidi="ar"/>
              </w:rPr>
              <w:t>1.功能:角度可调，3D送风，可拆洗；</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2.产品尺寸:长</w:t>
            </w:r>
            <w:r>
              <w:rPr>
                <w:rFonts w:hint="eastAsia" w:ascii="宋体" w:hAnsi="宋体" w:eastAsia="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340mm；宽</w:t>
            </w:r>
            <w:r>
              <w:rPr>
                <w:rFonts w:hint="eastAsia" w:ascii="宋体" w:hAnsi="宋体" w:eastAsia="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298mm；高</w:t>
            </w:r>
            <w:r>
              <w:rPr>
                <w:rFonts w:hint="eastAsia" w:ascii="宋体" w:hAnsi="宋体" w:eastAsia="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1090mm；</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3.扇叶片数:3叶；</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4.额定功率:</w:t>
            </w:r>
            <w:r>
              <w:rPr>
                <w:rFonts w:hint="eastAsia" w:ascii="宋体" w:hAnsi="宋体" w:eastAsia="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40W；</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5.摇头方式：左右自动+上下手动；</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6.风力档位：3档。</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组织捣碎匀浆机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最大容量约1000ml 功率约120W  转速0~12000转/分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可调高速匀浆机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配置六只不同规格匀浆杯，(5、15、25、50、100、150m1)20000转/分。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不锈钢食品混料机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137"/>
                <w:rFonts w:hint="eastAsia" w:ascii="宋体" w:hAnsi="宋体" w:eastAsia="宋体" w:cs="宋体"/>
                <w:color w:val="auto"/>
                <w:sz w:val="21"/>
                <w:szCs w:val="21"/>
                <w:highlight w:val="none"/>
                <w:lang w:val="en-US" w:eastAsia="zh-CN" w:bidi="ar"/>
              </w:rPr>
              <w:t>1.长宽高：</w:t>
            </w:r>
            <w:r>
              <w:rPr>
                <w:rFonts w:hint="eastAsia" w:ascii="宋体" w:hAnsi="宋体" w:eastAsia="宋体" w:cs="宋体"/>
                <w:i w:val="0"/>
                <w:iCs w:val="0"/>
                <w:color w:val="auto"/>
                <w:kern w:val="0"/>
                <w:sz w:val="21"/>
                <w:szCs w:val="21"/>
                <w:highlight w:val="none"/>
                <w:u w:val="none"/>
                <w:lang w:val="en-US" w:eastAsia="zh-CN" w:bidi="ar"/>
              </w:rPr>
              <w:t>约</w:t>
            </w:r>
            <w:r>
              <w:rPr>
                <w:rStyle w:val="55"/>
                <w:rFonts w:hint="eastAsia" w:ascii="宋体" w:hAnsi="宋体" w:eastAsia="宋体" w:cs="宋体"/>
                <w:color w:val="auto"/>
                <w:sz w:val="21"/>
                <w:szCs w:val="21"/>
                <w:highlight w:val="none"/>
                <w:lang w:val="en-US" w:eastAsia="zh-CN" w:bidi="ar"/>
              </w:rPr>
              <w:t>30*58*53cm</w:t>
            </w:r>
            <w:r>
              <w:rPr>
                <w:rStyle w:val="137"/>
                <w:rFonts w:hint="eastAsia" w:ascii="宋体" w:hAnsi="宋体" w:eastAsia="宋体" w:cs="宋体"/>
                <w:color w:val="auto"/>
                <w:sz w:val="21"/>
                <w:szCs w:val="21"/>
                <w:highlight w:val="none"/>
                <w:lang w:val="en-US" w:eastAsia="zh-CN" w:bidi="ar"/>
              </w:rPr>
              <w:t>；罐直径：</w:t>
            </w:r>
            <w:r>
              <w:rPr>
                <w:rFonts w:hint="eastAsia" w:ascii="宋体" w:hAnsi="宋体" w:eastAsia="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22cm。</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2.材质：不锈钢；</w:t>
            </w:r>
            <w:r>
              <w:rPr>
                <w:rStyle w:val="137"/>
                <w:rFonts w:hint="eastAsia" w:ascii="宋体" w:hAnsi="宋体" w:eastAsia="宋体" w:cs="宋体"/>
                <w:color w:val="auto"/>
                <w:sz w:val="21"/>
                <w:szCs w:val="21"/>
                <w:highlight w:val="none"/>
                <w:lang w:val="en-US" w:eastAsia="zh-CN" w:bidi="ar"/>
              </w:rPr>
              <w:br w:type="textWrapping"/>
            </w:r>
            <w:r>
              <w:rPr>
                <w:rStyle w:val="55"/>
                <w:rFonts w:hint="eastAsia" w:ascii="宋体" w:hAnsi="宋体" w:eastAsia="宋体" w:cs="宋体"/>
                <w:color w:val="auto"/>
                <w:sz w:val="21"/>
                <w:szCs w:val="21"/>
                <w:highlight w:val="none"/>
                <w:lang w:val="en-US" w:eastAsia="zh-CN" w:bidi="ar"/>
              </w:rPr>
              <w:t>3.内部分拨叶片、可调节方向。</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地砖</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1、约600mm*1200mm柔光砖；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2、水泥砂浆；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定制造型柜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规格：约11860*580*1035mm；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2、约18mm多层实木E0级板材；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3、约2.4cm塑木座椅造型；</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4、该项根据现场定制，实际以最终尺寸为准。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定制操作台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规格：约9000*610*1040mm</w:t>
            </w:r>
            <w:bookmarkStart w:id="153" w:name="_GoBack"/>
            <w:bookmarkEnd w:id="153"/>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2、约18mm多层实木E0级板材；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3、约30mm石英石台面；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4、304不锈钢洗手盆及五金；</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5、该项根据现场定制，实际以最终尺寸为准。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百叶窗帘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百叶窗；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2、材质：铝合金、叶片宽度约25mm、叶片间距约32mm、厚度约1.2mm、防护等级IP65、有效通风率约45%；</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多功能捣台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规格：约4600*1400*900mm；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2、约30mm石英石台面；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3、E0级约18mm多层实木板柜体；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4、清洗区、烘焙区；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5、304不锈钢洗手盆及五金；</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6、该项根据现场定制，实际以最终尺寸为准。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定制展示柜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规格：约3770mm*600*2400mm；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2、E0级约18mm多层实木柜体；</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木纹铝方通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155</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8"/>
              </w:numPr>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规格：约6000*50*40mm厚0.5mm；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2、材质：铝合金；表面工艺：抗油污滚涂板，耐候性好、耐腐蚀、颜色细腻、环保性强符合E0级标准；装配膨胀管、吊杆、卡式龙骨；龙骨采用加厚及钢琴烤漆防锈处理；</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白色条形灯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规格：约1200*50mm；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2、色温：4000K；电压: 220V；灯身主材质: 铁灯罩主材质: PMMA高透光率灯罩；光源类型: led灯；工艺: 喷漆磨砂；选用三安2835芯片高显色散热佳，安全可靠，IC恒流隔离驱动，电流稳定无频闪，智能隔离防漏电。</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艺术灯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1、规格：直径约500mm；（6个）；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2、色温：4000K，18W。</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油烟机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外形尺寸(mm)：约长895x宽500x高58</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2.整机额定输入功率：约285W；</w:t>
            </w:r>
          </w:p>
          <w:p>
            <w:pPr>
              <w:keepNext w:val="0"/>
              <w:keepLines w:val="0"/>
              <w:widowControl/>
              <w:numPr>
                <w:ilvl w:val="0"/>
                <w:numId w:val="0"/>
              </w:numPr>
              <w:suppressLineNumbers w:val="0"/>
              <w:spacing w:line="36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3.主电机额定输入功率:约270W；</w:t>
            </w:r>
          </w:p>
          <w:p>
            <w:pPr>
              <w:keepNext w:val="0"/>
              <w:keepLines w:val="0"/>
              <w:widowControl/>
              <w:numPr>
                <w:ilvl w:val="0"/>
                <w:numId w:val="0"/>
              </w:numPr>
              <w:suppressLineNumbers w:val="0"/>
              <w:spacing w:line="36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4.最大静压:约450Pa；</w:t>
            </w:r>
          </w:p>
          <w:p>
            <w:pPr>
              <w:keepNext w:val="0"/>
              <w:keepLines w:val="0"/>
              <w:widowControl/>
              <w:numPr>
                <w:ilvl w:val="0"/>
                <w:numId w:val="0"/>
              </w:numPr>
              <w:suppressLineNumbers w:val="0"/>
              <w:spacing w:line="36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5.可更换照明灯最大功率:约3W；</w:t>
            </w:r>
          </w:p>
          <w:p>
            <w:pPr>
              <w:keepNext w:val="0"/>
              <w:keepLines w:val="0"/>
              <w:widowControl/>
              <w:numPr>
                <w:ilvl w:val="0"/>
                <w:numId w:val="0"/>
              </w:numPr>
              <w:suppressLineNumbers w:val="0"/>
              <w:spacing w:line="36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6.清洗泵电源/功率：12V=/5W；</w:t>
            </w:r>
          </w:p>
          <w:p>
            <w:pPr>
              <w:keepNext w:val="0"/>
              <w:keepLines w:val="0"/>
              <w:widowControl/>
              <w:numPr>
                <w:ilvl w:val="0"/>
                <w:numId w:val="0"/>
              </w:numPr>
              <w:suppressLineNumbers w:val="0"/>
              <w:spacing w:line="36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7.爆炒风量:约23m³/min；</w:t>
            </w:r>
          </w:p>
          <w:p>
            <w:pPr>
              <w:keepNext w:val="0"/>
              <w:keepLines w:val="0"/>
              <w:widowControl/>
              <w:numPr>
                <w:ilvl w:val="0"/>
                <w:numId w:val="0"/>
              </w:numPr>
              <w:suppressLineNumbers w:val="0"/>
              <w:spacing w:line="36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8.半消音室噪声:约56.5dB(A)；</w:t>
            </w:r>
          </w:p>
          <w:p>
            <w:pPr>
              <w:keepNext w:val="0"/>
              <w:keepLines w:val="0"/>
              <w:widowControl/>
              <w:numPr>
                <w:ilvl w:val="0"/>
                <w:numId w:val="0"/>
              </w:numPr>
              <w:suppressLineNumbers w:val="0"/>
              <w:spacing w:line="36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9.瞬时气味降低度：约70%；</w:t>
            </w:r>
          </w:p>
          <w:p>
            <w:pPr>
              <w:keepNext w:val="0"/>
              <w:keepLines w:val="0"/>
              <w:widowControl/>
              <w:numPr>
                <w:ilvl w:val="0"/>
                <w:numId w:val="0"/>
              </w:numPr>
              <w:suppressLineNumbers w:val="0"/>
              <w:spacing w:line="36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10.常态气味降低度：约95%；</w:t>
            </w:r>
          </w:p>
          <w:p>
            <w:pPr>
              <w:keepNext w:val="0"/>
              <w:keepLines w:val="0"/>
              <w:widowControl/>
              <w:numPr>
                <w:ilvl w:val="0"/>
                <w:numId w:val="0"/>
              </w:numPr>
              <w:suppressLineNumbers w:val="0"/>
              <w:spacing w:line="36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11.油脂分离度：约85%；</w:t>
            </w:r>
          </w:p>
          <w:p>
            <w:pPr>
              <w:keepNext w:val="0"/>
              <w:keepLines w:val="0"/>
              <w:widowControl/>
              <w:numPr>
                <w:ilvl w:val="0"/>
                <w:numId w:val="0"/>
              </w:numPr>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12.能效等级：1级。</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环境创设</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137"/>
                <w:rFonts w:hint="eastAsia" w:ascii="宋体" w:hAnsi="宋体" w:eastAsia="宋体" w:cs="宋体"/>
                <w:color w:val="auto"/>
                <w:sz w:val="21"/>
                <w:szCs w:val="21"/>
                <w:highlight w:val="none"/>
                <w:lang w:val="en-US" w:eastAsia="zh-CN" w:bidi="ar"/>
              </w:rPr>
              <w:t>1、拆除：地台约17.4㎡，隔墙约8㎡，门洞1个、黑板；</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2、背景墙：约51㎡，</w:t>
            </w:r>
            <w:r>
              <w:rPr>
                <w:rFonts w:hint="eastAsia" w:ascii="宋体" w:hAnsi="宋体" w:eastAsia="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18厘阻燃板、木龙骨、铝塑板、木饰面、灯槽、实木地脚线、无机涂料</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3、封门洞：2.3㎡，2个；</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4、强电：总电380V5条16㎡多股线，约150m；教室 170㎡，6㎡铜芯多股线、4㎡铜芯多股线电线、直径</w:t>
            </w:r>
            <w:r>
              <w:rPr>
                <w:rFonts w:hint="eastAsia" w:ascii="宋体" w:hAnsi="宋体" w:eastAsia="宋体" w:cs="宋体"/>
                <w:i w:val="0"/>
                <w:iCs w:val="0"/>
                <w:color w:val="auto"/>
                <w:kern w:val="0"/>
                <w:sz w:val="21"/>
                <w:szCs w:val="21"/>
                <w:highlight w:val="none"/>
                <w:u w:val="none"/>
                <w:lang w:val="en-US" w:eastAsia="zh-CN" w:bidi="ar"/>
              </w:rPr>
              <w:t>约</w:t>
            </w:r>
            <w:r>
              <w:rPr>
                <w:rStyle w:val="137"/>
                <w:rFonts w:hint="eastAsia" w:ascii="宋体" w:hAnsi="宋体" w:eastAsia="宋体" w:cs="宋体"/>
                <w:color w:val="auto"/>
                <w:sz w:val="21"/>
                <w:szCs w:val="21"/>
                <w:highlight w:val="none"/>
                <w:lang w:val="en-US" w:eastAsia="zh-CN" w:bidi="ar"/>
              </w:rPr>
              <w:t>20mmPVC穿线管、直接、弯头、防水胶布、绝源胶布、布线。</w:t>
            </w:r>
            <w:r>
              <w:rPr>
                <w:rStyle w:val="137"/>
                <w:rFonts w:hint="eastAsia" w:ascii="宋体" w:hAnsi="宋体" w:eastAsia="宋体" w:cs="宋体"/>
                <w:color w:val="auto"/>
                <w:sz w:val="21"/>
                <w:szCs w:val="21"/>
                <w:highlight w:val="none"/>
                <w:lang w:val="en-US" w:eastAsia="zh-CN" w:bidi="ar"/>
              </w:rPr>
              <w:br w:type="textWrapping"/>
            </w:r>
            <w:r>
              <w:rPr>
                <w:rStyle w:val="137"/>
                <w:rFonts w:hint="eastAsia" w:ascii="宋体" w:hAnsi="宋体" w:eastAsia="宋体" w:cs="宋体"/>
                <w:color w:val="auto"/>
                <w:sz w:val="21"/>
                <w:szCs w:val="21"/>
                <w:highlight w:val="none"/>
                <w:lang w:val="en-US" w:eastAsia="zh-CN" w:bidi="ar"/>
              </w:rPr>
              <w:t>5</w:t>
            </w:r>
            <w:r>
              <w:rPr>
                <w:rStyle w:val="52"/>
                <w:rFonts w:hint="eastAsia" w:ascii="宋体" w:hAnsi="宋体" w:eastAsia="宋体" w:cs="宋体"/>
                <w:color w:val="auto"/>
                <w:sz w:val="21"/>
                <w:szCs w:val="21"/>
                <w:highlight w:val="none"/>
                <w:lang w:val="en-US" w:eastAsia="zh-CN" w:bidi="ar"/>
              </w:rPr>
              <w:t>、给排水：Φ25给水管、Φ75排水管及辅材；</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6、墙面涂料：约380㎡抗裂腻子、打磨、无机涂料底漆加面漆；</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7、排烟系统：</w:t>
            </w:r>
            <w:r>
              <w:rPr>
                <w:rFonts w:hint="eastAsia" w:ascii="宋体" w:hAnsi="宋体" w:eastAsia="宋体" w:cs="宋体"/>
                <w:i w:val="0"/>
                <w:iCs w:val="0"/>
                <w:color w:val="auto"/>
                <w:kern w:val="0"/>
                <w:sz w:val="21"/>
                <w:szCs w:val="21"/>
                <w:highlight w:val="none"/>
                <w:u w:val="none"/>
                <w:lang w:val="en-US" w:eastAsia="zh-CN" w:bidi="ar"/>
              </w:rPr>
              <w:t>约</w:t>
            </w:r>
            <w:r>
              <w:rPr>
                <w:rStyle w:val="52"/>
                <w:rFonts w:hint="eastAsia" w:ascii="宋体" w:hAnsi="宋体" w:eastAsia="宋体" w:cs="宋体"/>
                <w:color w:val="auto"/>
                <w:sz w:val="21"/>
                <w:szCs w:val="21"/>
                <w:highlight w:val="none"/>
                <w:lang w:val="en-US" w:eastAsia="zh-CN" w:bidi="ar"/>
              </w:rPr>
              <w:t>0.8mm镀锌铁管排烟管、Φ110PVC排烟管。</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8、木饰面吊顶：约45㎡，</w:t>
            </w:r>
            <w:r>
              <w:rPr>
                <w:rFonts w:hint="eastAsia" w:ascii="宋体" w:hAnsi="宋体" w:eastAsia="宋体" w:cs="宋体"/>
                <w:i w:val="0"/>
                <w:iCs w:val="0"/>
                <w:color w:val="auto"/>
                <w:kern w:val="0"/>
                <w:sz w:val="21"/>
                <w:szCs w:val="21"/>
                <w:highlight w:val="none"/>
                <w:u w:val="none"/>
                <w:lang w:val="en-US" w:eastAsia="zh-CN" w:bidi="ar"/>
              </w:rPr>
              <w:t>约</w:t>
            </w:r>
            <w:r>
              <w:rPr>
                <w:rStyle w:val="52"/>
                <w:rFonts w:hint="eastAsia" w:ascii="宋体" w:hAnsi="宋体" w:eastAsia="宋体" w:cs="宋体"/>
                <w:color w:val="auto"/>
                <w:sz w:val="21"/>
                <w:szCs w:val="21"/>
                <w:highlight w:val="none"/>
                <w:lang w:val="en-US" w:eastAsia="zh-CN" w:bidi="ar"/>
              </w:rPr>
              <w:t>18mm阻燃板、轻钢龙骨、木饰面、窗帘盒：</w:t>
            </w:r>
            <w:r>
              <w:rPr>
                <w:rFonts w:hint="eastAsia" w:ascii="宋体" w:hAnsi="宋体" w:eastAsia="宋体" w:cs="宋体"/>
                <w:i w:val="0"/>
                <w:iCs w:val="0"/>
                <w:color w:val="auto"/>
                <w:kern w:val="0"/>
                <w:sz w:val="21"/>
                <w:szCs w:val="21"/>
                <w:highlight w:val="none"/>
                <w:u w:val="none"/>
                <w:lang w:val="en-US" w:eastAsia="zh-CN" w:bidi="ar"/>
              </w:rPr>
              <w:t>约</w:t>
            </w:r>
            <w:r>
              <w:rPr>
                <w:rStyle w:val="52"/>
                <w:rFonts w:hint="eastAsia" w:ascii="宋体" w:hAnsi="宋体" w:eastAsia="宋体" w:cs="宋体"/>
                <w:color w:val="auto"/>
                <w:sz w:val="21"/>
                <w:szCs w:val="21"/>
                <w:highlight w:val="none"/>
                <w:lang w:val="en-US" w:eastAsia="zh-CN" w:bidi="ar"/>
              </w:rPr>
              <w:t>39m；</w:t>
            </w:r>
            <w:r>
              <w:rPr>
                <w:rStyle w:val="52"/>
                <w:rFonts w:hint="eastAsia" w:ascii="宋体" w:hAnsi="宋体" w:eastAsia="宋体" w:cs="宋体"/>
                <w:color w:val="auto"/>
                <w:sz w:val="21"/>
                <w:szCs w:val="21"/>
                <w:highlight w:val="none"/>
                <w:lang w:val="en-US" w:eastAsia="zh-CN" w:bidi="ar"/>
              </w:rPr>
              <w:br w:type="textWrapping"/>
            </w:r>
            <w:r>
              <w:rPr>
                <w:rStyle w:val="52"/>
                <w:rFonts w:hint="eastAsia" w:ascii="宋体" w:hAnsi="宋体" w:eastAsia="宋体" w:cs="宋体"/>
                <w:color w:val="auto"/>
                <w:sz w:val="21"/>
                <w:szCs w:val="21"/>
                <w:highlight w:val="none"/>
                <w:lang w:val="en-US" w:eastAsia="zh-CN" w:bidi="ar"/>
              </w:rPr>
              <w:t>该项为定制，实际以最终工作量为准。</w:t>
            </w:r>
          </w:p>
        </w:tc>
      </w:tr>
      <w:tr>
        <w:tblPrEx>
          <w:tblCellMar>
            <w:top w:w="0" w:type="dxa"/>
            <w:left w:w="108" w:type="dxa"/>
            <w:bottom w:w="0" w:type="dxa"/>
            <w:right w:w="108" w:type="dxa"/>
          </w:tblCellMar>
        </w:tblPrEx>
        <w:trPr>
          <w:trHeight w:val="422"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134"/>
              </w:tabs>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Style w:val="137"/>
                <w:rFonts w:hint="eastAsia" w:ascii="宋体" w:hAnsi="宋体" w:eastAsia="宋体" w:cs="宋体"/>
                <w:b/>
                <w:bCs/>
                <w:color w:val="auto"/>
                <w:sz w:val="24"/>
                <w:szCs w:val="24"/>
                <w:highlight w:val="none"/>
                <w:lang w:val="en-US" w:eastAsia="zh-CN" w:bidi="ar"/>
              </w:rPr>
              <w:t>二、3D膳食调查评估实训室</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bookmarkStart w:id="49" w:name="OLE_LINK3"/>
            <w:r>
              <w:rPr>
                <w:rStyle w:val="43"/>
                <w:rFonts w:hint="eastAsia" w:ascii="宋体" w:hAnsi="宋体" w:eastAsia="宋体" w:cs="宋体"/>
                <w:color w:val="auto"/>
                <w:sz w:val="21"/>
                <w:szCs w:val="21"/>
                <w:highlight w:val="none"/>
                <w:lang w:val="en-US" w:eastAsia="zh-CN" w:bidi="ar"/>
              </w:rPr>
              <w:t>人体成份分析仪</w:t>
            </w:r>
            <w:bookmarkEnd w:id="49"/>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一、人体成分分析仪硬件参数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1.工作原理：多频率生物电阻抗测试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2.测试部位：≥5个节段部分测量(右上肢、左上肢、躯干、右下肢、左下肢)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3.测量方法：8点接触式电极，多频率生物电阻抗测量方法（BIA）；</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4.测量频率：5~250 kHz，至少三个频率；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5.标配上位机软件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6.显示屏：≥7寸 液晶触摸屏，分辨率800*480 PPI。</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7.测量全程提供语音提示；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8.输出报告1份，所检测结果可于大屏展示，用于课堂教学展示；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9.输出值：总水分、蛋白质、无机盐、体脂肪量、肌肉量、去脂体重、体重、骨骼肌肉量、身体质量指数、脂肪百分比、腰臀比、内脏脂肪面积、目标体重、肌肉控制、基础代谢量、脂肪控制、体重控制、运动处方、营养处方、阶段肌肉分析、身体总评分、体型判定、肌肉评估、营养评估、身体年龄、结论分析、预估腰围、阻抗值输出、四肢骨骼肌指数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10.测量时间：≤60秒；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11.测量电流：≤100μA；</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12.总阻抗值：≥2000Ω；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13.体重测量显示范围：5Kg~300Kg；体重显示精度≤0.1KG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14.身高输入范围：70cm-250cm；</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15.年龄输入范围：3-100岁；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16.电源：AC220V~±10%，50Hz；</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17.储存环境：内存&gt;500M，硬盘&gt;2G；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二、人体成分工作站软件参数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1.用户管理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1.1用户注册，创建或编辑用户信息，包括用户的基本信息，包括姓名、身高、性别、出生日期、年龄、手机号码、现病史等信息。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1.2删除用户，可以对指定用户进行删除。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1.3搜索用户，可以按照姓名、手机号、性别、疾病史来对用户进行搜索。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2. 查看及对比历史测量数据和报告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2.1可以展示用户的人体成分测量历史，显示出每一条历史的测量数据结果和报告，并且可以进行测量结果比较。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2.2可以打开历史报告，并且支持报告下载和打印。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2.3可以查看历史检测数据，系统会对检测结果进行自动判定与分析，异常数据标红提醒。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3.报告内容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3.1 人体成分分析仪报告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（1）作为人体成分分析仪工作站软件，可以支持多种人体成分设备的对接、检测、报告生成。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（2）除人体成分分析报告外，还包含膳食营养处方报告、运动处方报告等内容。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3.2膳食处方建议。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1）根据用户的人体成分结果、疾病史等情况，推荐适合用户的食谱方案，包括食谱的餐次、菜名、食材、重量和碳水化合物。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2）推荐用户针对性的食物交换份方案，包括谷物类食品交换份、蔬菜类食品交换份、大豆类食品交换份、水果类食品交换份、奶制品食品交换份、肉蛋类食品交换份和油脂食品交换份。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3.3运动处方建议，根据用户的人体成分结果、疾病史等情况，推荐适合用户的运动方案。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w:t>
            </w:r>
            <w:r>
              <w:rPr>
                <w:rFonts w:hint="eastAsia"/>
                <w:color w:val="auto"/>
                <w:sz w:val="21"/>
                <w:szCs w:val="21"/>
              </w:rPr>
              <w:t>（1）为用户提供运动方案前的热身运动和放松运动，给出运动时间和要求。热身运动和放松运动结束后，会为用户提供针对性的有氧运动、全身力量和柔韧练习，对这三方面运动类型，提供锻炼要点、锻炼强度和其他目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w:t>
            </w:r>
            <w:r>
              <w:rPr>
                <w:rFonts w:hint="eastAsia"/>
                <w:color w:val="auto"/>
                <w:sz w:val="21"/>
                <w:szCs w:val="21"/>
              </w:rPr>
              <w:t>（2）为用户提供针对性锻炼课程表，针对有氧运动、全身力量和柔韧练习提供锻炼频率时间。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4.系统设置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4.1机构管理，可以对机构信息进行管理，包括机构名称、联系方式、网址、Logo等内容进行信息管理。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4.2设备管理。可以针对不同型号设备进行管理，切换不同设备数据对接模块。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4.3报告设置。可以对生成报告页面进行选择设置，设置完成后，会根据设置生成对应的报告页面内容。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5.知识库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w:t>
            </w:r>
            <w:r>
              <w:rPr>
                <w:rFonts w:hint="eastAsia"/>
                <w:color w:val="auto"/>
                <w:sz w:val="21"/>
                <w:szCs w:val="21"/>
              </w:rPr>
              <w:t xml:space="preserve">5.1膳食配餐库管理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膳食食材库：膳食食材管理，食材信息说明包括能量说明、蛋白质说明、脂肪说明、食材介绍、食材特点、营养成分含量、维生素含量、微量元素含量、人群禁忌、疾病禁忌、禁忌/适宜说明、肥胖禁忌等。食材库数量不少于3000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2）成品菜库：成品菜库管理，可以查看成品菜谱食材组成，菜品信息说明包括分类、饮食习惯、口味、菜系、能量、蛋白质、膳食纤维、碳水化合物、gi、gl、胆固醇、维生素含量、微量元素含量、主料、辅料、做法、食物特点分析、人群禁忌、疾病禁忌、适用人群、禁用人群、加水量、烹饪方式、地域、孕妇是否事宜、糖尿病是否事宜、贫血是否事宜、高血压是否事宜等。成品菜库数量不少于18000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3）慢性病膳食营养方案：针对慢性病的一周膳食营养方案数量不少于400，满足临床营养配餐需要。每套膳食营养方案有适用疾病说明、每天总能量参考量，一周膳食包括七天的膳食营养，每天膳食包括早餐、早加餐、午餐、午加餐、晚餐、晚加餐的食谱。一周膳食营养方案中具备一定数量的清真、非清真的方案，其中清真膳食套餐不少于20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4）慢性病膳食营养方案适用慢性病人群包括高血压、糖尿病、高尿酸血症、痛风、贫血、心脑血管疾病、心脏病、肥胖、慢肺阻、高血脂、晚期肿瘤、放化疗期肿瘤、康复期肿瘤、肝硬化、吞咽困难、便秘、肌少症、骨质疏松、肾功能衰竭、急性肾炎、慢性肾炎、肾病综合症、甲亢、甲减、水肿、便秘、正常人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ascii="宋体" w:hAnsi="宋体" w:eastAsia="宋体" w:cs="宋体"/>
                <w:i w:val="0"/>
                <w:iCs w:val="0"/>
                <w:color w:val="auto"/>
                <w:kern w:val="0"/>
                <w:sz w:val="21"/>
                <w:szCs w:val="21"/>
                <w:highlight w:val="none"/>
                <w:u w:val="none"/>
                <w:lang w:val="en-US" w:eastAsia="zh-CN" w:bidi="ar"/>
              </w:rPr>
              <w:t>★</w:t>
            </w:r>
            <w:r>
              <w:rPr>
                <w:rFonts w:hint="eastAsia"/>
                <w:color w:val="auto"/>
                <w:sz w:val="21"/>
                <w:szCs w:val="21"/>
              </w:rPr>
              <w:t>5.2运动库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（1）系统内有针对不同慢性病人群的运动方案，包含运动项目、动作步骤、运动目的、练习次数、注意事项，数量不少于100种。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2）覆盖适用人群包括老年人、青少年、成人、亚健康人群、慢性病人群；包括青少年热身与放松运动处方、老年人振动训练运动处方、成年人振动训练运动处方、老年人防跌倒训练之肌力训练、伸展足底筋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3）慢性病运动方案包括但不限于高血压、低血压、冠心病、心悸、糖尿病、颈椎病、肩周炎、关节炎、膝关节、痛风、静脉曲张、胃病、胃下垂、慢性腹泻、便秘痔疮脱肛、前列腺肥大、神经衰弱、甲亢、感冒、咳嗽、气管炎、痤疮、面皱、腰痛、下背痛、头痛、膝踝痛、足跟痛、鼾症、阿尔茨海默病，并可以扩展或新增慢性病运动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color w:val="auto"/>
                <w:sz w:val="21"/>
                <w:szCs w:val="21"/>
                <w:lang w:eastAsia="zh-CN"/>
              </w:rPr>
              <w:t>三、投标文件中必须提供该项产品处于有效期内的《中华人民共和国医疗器械注册证》并加盖投标人公章。</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TGC营养计算辅助系统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1、这是一款用于快速营养计算和食物营养分析的工具软件。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2、系统包含中国食物成分表全部已发表的数据，食物内容≥2800种。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3、为体现专业性，中国食物成分表2002-2004-2009-2018-2019分别设计为独立数据库，以体现不同版本数据库不同的数据侧重点。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4、本系统数据库与其他TGC营养软件共通，有较好的升级空间。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5、支持各种限定营养素条件下的营养数据检索和输出。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6、支持市售重和只保留可食部条件下的营养计算，满足高校教师膳食调查需要。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7、支持临时数据库存储功能，中间计算的数据，可保存在临时数据库中，方便调用。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8、支持混合食物（复合菜肴）营养计算功能，能快速计算任意一个菜肴的营养成分。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9、支持数据保存和导出功能；数据保存类型为 WORD、EXCEL、PDF任意格式。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10、支持生成“预包装食品营养标签’，标签的基本格式满足国标4+1标准。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3匹冷暖立柜式圆柱形空调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spacing w:line="360" w:lineRule="auto"/>
              <w:jc w:val="left"/>
              <w:textAlignment w:val="center"/>
              <w:rPr>
                <w:rFonts w:hint="eastAsia"/>
                <w:color w:val="auto"/>
                <w:highlight w:val="none"/>
                <w:lang w:val="en-US" w:eastAsia="zh-CN"/>
              </w:rPr>
            </w:pPr>
            <w:r>
              <w:rPr>
                <w:rFonts w:hint="eastAsia"/>
                <w:color w:val="auto"/>
                <w:highlight w:val="none"/>
                <w:lang w:val="en-US" w:eastAsia="zh-CN"/>
              </w:rPr>
              <w:t xml:space="preserve">产品规格：3匹冷暖立柜式圆柱形空调； </w:t>
            </w:r>
            <w:r>
              <w:rPr>
                <w:rFonts w:hint="eastAsia"/>
                <w:color w:val="auto"/>
                <w:highlight w:val="none"/>
                <w:lang w:val="en-US" w:eastAsia="zh-CN"/>
              </w:rPr>
              <w:br w:type="textWrapping"/>
            </w:r>
            <w:r>
              <w:rPr>
                <w:rFonts w:hint="eastAsia"/>
                <w:color w:val="auto"/>
                <w:highlight w:val="none"/>
                <w:lang w:val="en-US" w:eastAsia="zh-CN"/>
              </w:rPr>
              <w:t>2、电压/频率V/HZ：220V/50HZ；</w:t>
            </w:r>
            <w:r>
              <w:rPr>
                <w:rFonts w:hint="eastAsia"/>
                <w:color w:val="auto"/>
                <w:highlight w:val="none"/>
                <w:lang w:val="en-US" w:eastAsia="zh-CN"/>
              </w:rPr>
              <w:br w:type="textWrapping"/>
            </w:r>
            <w:r>
              <w:rPr>
                <w:rFonts w:hint="eastAsia"/>
                <w:color w:val="auto"/>
                <w:highlight w:val="none"/>
                <w:lang w:val="en-US" w:eastAsia="zh-CN"/>
              </w:rPr>
              <w:t xml:space="preserve">3、能效比APF：≥4.68； </w:t>
            </w:r>
            <w:r>
              <w:rPr>
                <w:rFonts w:hint="eastAsia"/>
                <w:color w:val="auto"/>
                <w:highlight w:val="none"/>
                <w:lang w:val="en-US" w:eastAsia="zh-CN"/>
              </w:rPr>
              <w:br w:type="textWrapping"/>
            </w:r>
            <w:r>
              <w:rPr>
                <w:rFonts w:hint="eastAsia"/>
                <w:color w:val="auto"/>
                <w:highlight w:val="none"/>
                <w:lang w:val="en-US" w:eastAsia="zh-CN"/>
              </w:rPr>
              <w:t>4、能效等级：变频一级；</w:t>
            </w:r>
            <w:r>
              <w:rPr>
                <w:rFonts w:hint="eastAsia"/>
                <w:color w:val="auto"/>
                <w:highlight w:val="none"/>
                <w:lang w:val="en-US" w:eastAsia="zh-CN"/>
              </w:rPr>
              <w:br w:type="textWrapping"/>
            </w:r>
            <w:r>
              <w:rPr>
                <w:rFonts w:hint="eastAsia"/>
                <w:color w:val="auto"/>
                <w:highlight w:val="none"/>
                <w:lang w:val="en-US" w:eastAsia="zh-CN"/>
              </w:rPr>
              <w:t xml:space="preserve">5、制冷量（W）：≥7328； </w:t>
            </w:r>
            <w:r>
              <w:rPr>
                <w:rFonts w:hint="eastAsia"/>
                <w:color w:val="auto"/>
                <w:highlight w:val="none"/>
                <w:lang w:val="en-US" w:eastAsia="zh-CN"/>
              </w:rPr>
              <w:br w:type="textWrapping"/>
            </w:r>
            <w:r>
              <w:rPr>
                <w:rFonts w:hint="eastAsia"/>
                <w:color w:val="auto"/>
                <w:highlight w:val="none"/>
                <w:lang w:val="en-US" w:eastAsia="zh-CN"/>
              </w:rPr>
              <w:t>6、制冷功率（W）：≤1950；</w:t>
            </w:r>
            <w:r>
              <w:rPr>
                <w:rFonts w:hint="eastAsia"/>
                <w:color w:val="auto"/>
                <w:highlight w:val="none"/>
                <w:lang w:val="en-US" w:eastAsia="zh-CN"/>
              </w:rPr>
              <w:br w:type="textWrapping"/>
            </w:r>
            <w:r>
              <w:rPr>
                <w:rFonts w:hint="eastAsia"/>
                <w:color w:val="auto"/>
                <w:highlight w:val="none"/>
                <w:lang w:val="en-US" w:eastAsia="zh-CN"/>
              </w:rPr>
              <w:t xml:space="preserve">7、制热量（W）：≥9980； </w:t>
            </w:r>
            <w:r>
              <w:rPr>
                <w:rFonts w:hint="eastAsia"/>
                <w:color w:val="auto"/>
                <w:highlight w:val="none"/>
                <w:lang w:val="en-US" w:eastAsia="zh-CN"/>
              </w:rPr>
              <w:br w:type="textWrapping"/>
            </w:r>
            <w:r>
              <w:rPr>
                <w:rFonts w:hint="eastAsia"/>
                <w:color w:val="auto"/>
                <w:highlight w:val="none"/>
                <w:lang w:val="en-US" w:eastAsia="zh-CN"/>
              </w:rPr>
              <w:t>8、制热功率（W）：≤2855；</w:t>
            </w:r>
            <w:r>
              <w:rPr>
                <w:rFonts w:hint="eastAsia"/>
                <w:color w:val="auto"/>
                <w:highlight w:val="none"/>
                <w:lang w:val="en-US" w:eastAsia="zh-CN"/>
              </w:rPr>
              <w:br w:type="textWrapping"/>
            </w:r>
            <w:r>
              <w:rPr>
                <w:rFonts w:hint="eastAsia"/>
                <w:color w:val="auto"/>
                <w:highlight w:val="none"/>
                <w:lang w:val="en-US" w:eastAsia="zh-CN"/>
              </w:rPr>
              <w:t xml:space="preserve">9、电辅热(W)；≥2350； </w:t>
            </w:r>
            <w:r>
              <w:rPr>
                <w:rFonts w:hint="eastAsia"/>
                <w:color w:val="auto"/>
                <w:highlight w:val="none"/>
                <w:lang w:val="en-US" w:eastAsia="zh-CN"/>
              </w:rPr>
              <w:br w:type="textWrapping"/>
            </w:r>
            <w:r>
              <w:rPr>
                <w:rFonts w:hint="eastAsia"/>
                <w:color w:val="auto"/>
                <w:highlight w:val="none"/>
                <w:lang w:val="en-US" w:eastAsia="zh-CN"/>
              </w:rPr>
              <w:t xml:space="preserve">10、室内机噪音（高风）dB(A)：≤42.3； </w:t>
            </w:r>
            <w:r>
              <w:rPr>
                <w:rFonts w:hint="eastAsia"/>
                <w:color w:val="auto"/>
                <w:highlight w:val="none"/>
                <w:lang w:val="en-US" w:eastAsia="zh-CN"/>
              </w:rPr>
              <w:br w:type="textWrapping"/>
            </w:r>
            <w:r>
              <w:rPr>
                <w:rFonts w:hint="eastAsia"/>
                <w:color w:val="auto"/>
                <w:highlight w:val="none"/>
                <w:lang w:val="en-US" w:eastAsia="zh-CN"/>
              </w:rPr>
              <w:t xml:space="preserve">11、室外机噪音（高风）dB(A)：≤56； </w:t>
            </w:r>
            <w:r>
              <w:rPr>
                <w:rFonts w:hint="eastAsia"/>
                <w:color w:val="auto"/>
                <w:highlight w:val="none"/>
                <w:lang w:val="en-US" w:eastAsia="zh-CN"/>
              </w:rPr>
              <w:br w:type="textWrapping"/>
            </w:r>
            <w:r>
              <w:rPr>
                <w:rFonts w:hint="eastAsia"/>
                <w:color w:val="auto"/>
                <w:highlight w:val="none"/>
                <w:lang w:val="en-US" w:eastAsia="zh-CN"/>
              </w:rPr>
              <w:t>12、循环风量（m³/h)：≥1540。</w:t>
            </w:r>
          </w:p>
          <w:p>
            <w:pPr>
              <w:pStyle w:val="2"/>
              <w:numPr>
                <w:ilvl w:val="0"/>
                <w:numId w:val="0"/>
              </w:numPr>
              <w:ind w:left="0" w:leftChars="0" w:firstLine="0" w:firstLineChars="0"/>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i w:val="0"/>
                <w:iCs w:val="0"/>
                <w:color w:val="auto"/>
                <w:kern w:val="0"/>
                <w:sz w:val="21"/>
                <w:szCs w:val="21"/>
                <w:highlight w:val="none"/>
                <w:u w:val="none"/>
                <w:lang w:val="en-US" w:eastAsia="zh-CN" w:bidi="ar"/>
              </w:rPr>
              <w:t>★投标文件中必须提供该产品由国家确定的认证机构出具的处于有效期之内的节能产品认证证书并加盖投标人公章。</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SAT-3D膳食诊断和饮食行为训练系统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1、有膳食诊断（星级评分）和饮食行为交互训练功能的体验型营养配餐教育工具。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2、系统由定制研发的专用3D配餐软件和配套硬件两部分构成，可携带式组合搭配。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★3、搭载研发的专用软件，供货时提供软件著作权登记证书复印件。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4、搭配配套的硬件、彩色印刷版“SAT-3D膳食诊断报告”专用纸≥500张、营养数据发射接收装置、带数字芯片的TGC-3D数智化食物模型、模型专用陈列或演习用器物。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5、配套数字食物模型≥200种，以混合菜肴食物、加工食物和市售常见食材为主，可满足模拟配餐中主食、主菜、副菜、乳品、水果、饮品等多种日常饮食类型的呈现。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6、食物模型内藏数据IC芯片，芯片中预先载入了该食物对应的全部营养素数据。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7、数字食物模型内含的营养数据库≥23种，包含能量、蛋白质、脂肪、碳水化合物、维生素、矿物质、膳食纤维等内容。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系统标配SAT-3D膳食诊断报告专用打印纸。打印纸为双面彩印专用纸张，正面印刷内容包含测试者信息、配餐明细、食物来源统计、合理度星级评价、营养MEMO等专项信息。背面印刷内容有“营养成分摄入分析画面”的四项解析说明及“平衡膳食宝塔分析画面”的六项解析说明。同时，需要强调的饮食行为训练“注意点”四项内容也要有所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9、数据通讯采用信息化数字模块，通讯协议为ISO 14443A，工作频率为13.56MHz。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10、数据输出的通信接口为USB类型，波特率115200 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11、系统支持营养数据的采集、汇总和数据导出，内容应包含用户信息，餐次，营养素信息，食物来源信息，三色食物群数据等。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运行时显示器可瞬时呈现配餐结果，主界面显示8种条件判定营养素，显示方式为有动态效果的横向进度条，柱条上用绿色标注推荐摄入值标准范围，合适、不足或超过RNI区间的，不同颜色柱条显示，提供界面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13、主界面显示的8种条件判定营养素类型可以通过后台自主修改，系统支持RNI数据自定义调整，满足营养共病教育和教学需要。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14、显示界面支持切换显示PFC供能比数据结构图，包含推荐PFC和实际摄入比。支持维生素和矿物质摄入对比分析曲线图。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15、显示界面支持切换显示三色食物群圆形视觉彩图，并且三色食物数据集合和归属类别在三色食物群界面上有集中体现。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16、SAT-3D系统自带“AI智慧营养师”模块，显示界面包含AI功能按键，能通过人工智能AI技术对营养配餐结果进行分析。分析内容包括营养素的摄入水平和营养建议等。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17、系统自带TGC膳食诊断算法，通过后台数据运算可生成针对配餐结果的合理度评判。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★18、配餐合理度评判结果为1-5颗星级评分，该评分结果在主显示界面和膳食诊断报告中均有呈现。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19、系统可保存、输出、打印评价3种类型以上的报告，分别是彩色双胶印刷膳食诊断报告、AI营养分析报告、图文并茂型详细报告等。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20、系统支持用户对不合理食物搭配选项进行即时修改，修改后的营养数据可瞬时呈现在界面显示端。</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光能黑板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一、硬件要求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1、光能黑板可以满足与触控一体机搭配安装和使用。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2、单块光能黑板≥1129（长）*1319（高）mm，下边框具有可调节平台，可根据触控一体机高度进行调整，兼具置物功能。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3、光能黑板无需专用耗材，采用任何硬度适中的物体均可书写，消除了粉笔粉尘对师生构成的健康隐患。单点书写、可擦次数达10万次。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★4、板书笔迹可视距离</w:t>
            </w:r>
            <w:r>
              <w:rPr>
                <w:rFonts w:hint="eastAsia" w:ascii="宋体" w:hAnsi="宋体" w:cs="宋体"/>
                <w:i w:val="0"/>
                <w:iCs w:val="0"/>
                <w:color w:val="auto"/>
                <w:kern w:val="0"/>
                <w:sz w:val="21"/>
                <w:szCs w:val="21"/>
                <w:highlight w:val="none"/>
                <w:u w:val="none"/>
                <w:lang w:val="en-US" w:eastAsia="zh-CN" w:bidi="ar"/>
              </w:rPr>
              <w:t>最远</w:t>
            </w:r>
            <w:r>
              <w:rPr>
                <w:rFonts w:hint="eastAsia" w:ascii="宋体" w:hAnsi="宋体" w:eastAsia="宋体" w:cs="宋体"/>
                <w:i w:val="0"/>
                <w:iCs w:val="0"/>
                <w:color w:val="auto"/>
                <w:kern w:val="0"/>
                <w:sz w:val="21"/>
                <w:szCs w:val="21"/>
                <w:highlight w:val="none"/>
                <w:u w:val="none"/>
                <w:lang w:val="en-US" w:eastAsia="zh-CN" w:bidi="ar"/>
              </w:rPr>
              <w:t>40米，可视角度≥150°，对比度≥150:1。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★5、光能黑板应无频闪、无背光，上膜不应产生眩光。光泽度不高于30，透光率不低于87%，雾度不高于40%。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6、一键擦除：整块黑板只有一个按键，按下按键，可实现板书的全部擦除，擦除后无明显残留痕迹。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7、局部擦除：可使用板擦和手势对板书进行局部擦除。擦除精度小于10mm*10mm，擦除延时＜60ms。光能板具有独立供电装置，可在液晶屏关机的情况下独立使用，不影响局部擦除功能。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★8、为保证停电情况下仍可正常使用，产品内置电池组，并通过电池组保护电路和充电安全防护的测试，符合标准要求。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9、光能黑板应符合GB 9254-2021标准，线缆辐射和空间辐射伤害均不小于B级。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★10、黑板表面具有暗格，用以提供给师生在书写板书时的直线参照，可避免板书歪斜。黑板表面可吸附磁贴、磁扣等教学工具，便于老师教学使用。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11、光能黑板通过低温-30℃，高温80℃，恒定湿热40℃、95%RH测试，产品外观无变形、损坏等现象，通电运行正常。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12、边框采用铝合金材质，坚固耐用，具有较好的耐腐蚀特性。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13、采用一体式按键指示灯，可通过不同颜色、闪烁等方式表示擦除、电量不足等工作状态。每块光能黑板具备DC接口*2和USB接口*2，方便用户使用。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★14、光能黑板通过抗电强度1500V试验，无击穿现象，符合GB4943的安全要求。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15、产品的最大工作电流（瞬间电流）≤1000mA。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★16、通过恒定力和冲击试验，产品的安全防护强度符合标准要求。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二、软件要求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1、同步互联：左、右光能黑板可与触控一体机进行互动，将光能黑板的内容与触控一体机无缝连接，教师在光能黑板上的书写内容可同步显示在触控一体机上。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2、颜色切换：可设置不同的软件端笔迹颜色，可实现老师对于教学重点的标识及批注；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3、板书记录：可同步传输老师的板书到软件界面；按下清除键后，板面和软件端的笔迹均可以被清除；点击“前一页”可找回清除掉的板书；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4、单双页切换：两种光能黑板的书写记录模式，支持单板书写记录内容为一个单页面，也可以支持双板同时书写时记录在一个页面上；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5、桌面切换：黑板书写内容和屏体显示内容可一键切换，不影响老师正常授课操作。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6、一键保存：支持将板书内容保存为PDF文档，便于学校对课堂板书的管理和传递。无需花费时间找存储路径，点击“打开”，直接进入存储位置，快速找到存储文件。</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彩色激光一体机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spacing w:line="360" w:lineRule="auto"/>
              <w:jc w:val="left"/>
              <w:textAlignment w:val="center"/>
              <w:rPr>
                <w:rFonts w:hint="default"/>
                <w:color w:val="auto"/>
                <w:highlight w:val="none"/>
                <w:lang w:val="en-US" w:eastAsia="zh-CN"/>
              </w:rPr>
            </w:pPr>
            <w:r>
              <w:rPr>
                <w:rFonts w:hint="eastAsia"/>
                <w:color w:val="auto"/>
                <w:highlight w:val="none"/>
                <w:lang w:val="en-US" w:eastAsia="zh-CN"/>
              </w:rPr>
              <w:t>内存：≥1 GB；</w:t>
            </w:r>
            <w:r>
              <w:rPr>
                <w:rFonts w:hint="eastAsia"/>
                <w:color w:val="auto"/>
                <w:highlight w:val="none"/>
                <w:lang w:val="en-US" w:eastAsia="zh-CN"/>
              </w:rPr>
              <w:br w:type="textWrapping"/>
            </w:r>
            <w:r>
              <w:rPr>
                <w:rFonts w:hint="eastAsia"/>
                <w:color w:val="auto"/>
                <w:highlight w:val="none"/>
                <w:lang w:val="en-US" w:eastAsia="zh-CN"/>
              </w:rPr>
              <w:t>2、菜单显示：约5.0英寸彩色触摸屏；</w:t>
            </w:r>
            <w:r>
              <w:rPr>
                <w:rFonts w:hint="eastAsia"/>
                <w:color w:val="auto"/>
                <w:highlight w:val="none"/>
                <w:lang w:val="en-US" w:eastAsia="zh-CN"/>
              </w:rPr>
              <w:br w:type="textWrapping"/>
            </w:r>
            <w:r>
              <w:rPr>
                <w:rFonts w:hint="eastAsia"/>
                <w:color w:val="auto"/>
                <w:highlight w:val="none"/>
                <w:lang w:val="en-US" w:eastAsia="zh-CN"/>
              </w:rPr>
              <w:t>3、预热时间：开机后 13.0秒或以下；</w:t>
            </w:r>
            <w:r>
              <w:rPr>
                <w:rFonts w:hint="eastAsia"/>
                <w:color w:val="auto"/>
                <w:highlight w:val="none"/>
                <w:lang w:val="en-US" w:eastAsia="zh-CN"/>
              </w:rPr>
              <w:br w:type="textWrapping"/>
            </w:r>
            <w:r>
              <w:rPr>
                <w:rFonts w:hint="eastAsia"/>
                <w:color w:val="auto"/>
                <w:highlight w:val="none"/>
                <w:lang w:val="en-US" w:eastAsia="zh-CN"/>
              </w:rPr>
              <w:t>4、从睡眠模式返回 ：6.1秒或以下；</w:t>
            </w:r>
            <w:r>
              <w:rPr>
                <w:rFonts w:hint="eastAsia"/>
                <w:color w:val="auto"/>
                <w:highlight w:val="none"/>
                <w:lang w:val="en-US" w:eastAsia="zh-CN"/>
              </w:rPr>
              <w:br w:type="textWrapping"/>
            </w:r>
            <w:r>
              <w:rPr>
                <w:rFonts w:hint="eastAsia"/>
                <w:color w:val="auto"/>
                <w:highlight w:val="none"/>
                <w:lang w:val="en-US" w:eastAsia="zh-CN"/>
              </w:rPr>
              <w:t>5、自动输稿器：单面50页(A4)；</w:t>
            </w:r>
            <w:r>
              <w:rPr>
                <w:rFonts w:hint="eastAsia"/>
                <w:color w:val="auto"/>
                <w:highlight w:val="none"/>
                <w:lang w:val="en-US" w:eastAsia="zh-CN"/>
              </w:rPr>
              <w:br w:type="textWrapping"/>
            </w:r>
            <w:r>
              <w:rPr>
                <w:rFonts w:hint="eastAsia"/>
                <w:color w:val="auto"/>
                <w:highlight w:val="none"/>
                <w:lang w:val="en-US" w:eastAsia="zh-CN"/>
              </w:rPr>
              <w:t>6、供纸容量：纸盒：250页(普通纸，80g/m²)；</w:t>
            </w:r>
            <w:r>
              <w:rPr>
                <w:rFonts w:hint="eastAsia"/>
                <w:color w:val="auto"/>
                <w:highlight w:val="none"/>
                <w:lang w:val="en-US" w:eastAsia="zh-CN"/>
              </w:rPr>
              <w:br w:type="textWrapping"/>
            </w:r>
            <w:r>
              <w:rPr>
                <w:rFonts w:hint="eastAsia"/>
                <w:color w:val="auto"/>
                <w:highlight w:val="none"/>
                <w:lang w:val="en-US" w:eastAsia="zh-CN"/>
              </w:rPr>
              <w:t>7、多功能托盘：1页(普通纸，80g/m²)；</w:t>
            </w:r>
            <w:r>
              <w:rPr>
                <w:rFonts w:hint="eastAsia"/>
                <w:color w:val="auto"/>
                <w:highlight w:val="none"/>
                <w:lang w:val="en-US" w:eastAsia="zh-CN"/>
              </w:rPr>
              <w:br w:type="textWrapping"/>
            </w:r>
            <w:r>
              <w:rPr>
                <w:rFonts w:hint="eastAsia"/>
                <w:color w:val="auto"/>
                <w:highlight w:val="none"/>
                <w:lang w:val="en-US" w:eastAsia="zh-CN"/>
              </w:rPr>
              <w:t>8、最大进纸量：251页(普通纸，80g/m²)；</w:t>
            </w:r>
            <w:r>
              <w:rPr>
                <w:rFonts w:hint="eastAsia"/>
                <w:color w:val="auto"/>
                <w:highlight w:val="none"/>
                <w:lang w:val="en-US" w:eastAsia="zh-CN"/>
              </w:rPr>
              <w:br w:type="textWrapping"/>
            </w:r>
            <w:r>
              <w:rPr>
                <w:rFonts w:hint="eastAsia"/>
                <w:color w:val="auto"/>
                <w:highlight w:val="none"/>
                <w:lang w:val="en-US" w:eastAsia="zh-CN"/>
              </w:rPr>
              <w:t>9、纸张尺寸：纸盒：A4,B5,A5,A5横向,LTR,LGL,STMT,EXEC,16K,明信片, Index Card,信封,自定义尺寸(最小76.2 x 127.0mm~最大216.0 x 355.6mm)等；</w:t>
            </w:r>
            <w:r>
              <w:rPr>
                <w:rFonts w:hint="eastAsia"/>
                <w:color w:val="auto"/>
                <w:highlight w:val="none"/>
                <w:lang w:val="en-US" w:eastAsia="zh-CN"/>
              </w:rPr>
              <w:br w:type="textWrapping"/>
            </w:r>
            <w:r>
              <w:rPr>
                <w:rFonts w:hint="eastAsia"/>
                <w:color w:val="auto"/>
                <w:highlight w:val="none"/>
                <w:lang w:val="en-US" w:eastAsia="zh-CN"/>
              </w:rPr>
              <w:t>10、多功能托盘：A4,B5,A5,A5横向,LTR,LGL,STMT,EXEC,16K,明信片,信封,自定义尺寸(最小76.2 x 127.0mm~最大216.0 x 355.6mm)等；</w:t>
            </w:r>
            <w:r>
              <w:rPr>
                <w:rFonts w:hint="eastAsia"/>
                <w:color w:val="auto"/>
                <w:highlight w:val="none"/>
                <w:lang w:val="en-US" w:eastAsia="zh-CN"/>
              </w:rPr>
              <w:br w:type="textWrapping"/>
            </w:r>
            <w:r>
              <w:rPr>
                <w:rFonts w:hint="eastAsia"/>
                <w:color w:val="auto"/>
                <w:highlight w:val="none"/>
                <w:lang w:val="en-US" w:eastAsia="zh-CN"/>
              </w:rPr>
              <w:t>11、纸张种类：纸盒：薄纸(60g/m²)，普通纸(61-105g/m²)，再生纸(61-82g/m²)，彩色纸(61-69g/m²)，厚纸(106-163g/m²)，铜版纸(100-200g/m²)，明信片，信封；</w:t>
            </w:r>
            <w:r>
              <w:rPr>
                <w:rFonts w:hint="eastAsia"/>
                <w:color w:val="auto"/>
                <w:highlight w:val="none"/>
                <w:lang w:val="en-US" w:eastAsia="zh-CN"/>
              </w:rPr>
              <w:br w:type="textWrapping"/>
            </w:r>
            <w:r>
              <w:rPr>
                <w:rFonts w:hint="eastAsia"/>
                <w:color w:val="auto"/>
                <w:highlight w:val="none"/>
                <w:lang w:val="en-US" w:eastAsia="zh-CN"/>
              </w:rPr>
              <w:t>12、出纸容量：100页 (普通纸，80g/m²)；</w:t>
            </w:r>
            <w:r>
              <w:rPr>
                <w:rFonts w:hint="eastAsia"/>
                <w:color w:val="auto"/>
                <w:highlight w:val="none"/>
                <w:lang w:val="en-US" w:eastAsia="zh-CN"/>
              </w:rPr>
              <w:br w:type="textWrapping"/>
            </w:r>
            <w:r>
              <w:rPr>
                <w:rFonts w:hint="eastAsia"/>
                <w:color w:val="auto"/>
                <w:highlight w:val="none"/>
                <w:lang w:val="en-US" w:eastAsia="zh-CN"/>
              </w:rPr>
              <w:t>13、月最大负荷打印量：约30000页；</w:t>
            </w:r>
            <w:r>
              <w:rPr>
                <w:rFonts w:hint="eastAsia"/>
                <w:color w:val="auto"/>
                <w:highlight w:val="none"/>
                <w:lang w:val="en-US" w:eastAsia="zh-CN"/>
              </w:rPr>
              <w:br w:type="textWrapping"/>
            </w:r>
            <w:r>
              <w:rPr>
                <w:rFonts w:hint="eastAsia"/>
                <w:color w:val="auto"/>
                <w:highlight w:val="none"/>
                <w:lang w:val="en-US" w:eastAsia="zh-CN"/>
              </w:rPr>
              <w:t>14、月推荐打印量：150页~600页；</w:t>
            </w:r>
            <w:r>
              <w:rPr>
                <w:rFonts w:hint="eastAsia"/>
                <w:color w:val="auto"/>
                <w:highlight w:val="none"/>
                <w:lang w:val="en-US" w:eastAsia="zh-CN"/>
              </w:rPr>
              <w:br w:type="textWrapping"/>
            </w:r>
            <w:r>
              <w:rPr>
                <w:rFonts w:hint="eastAsia"/>
                <w:color w:val="auto"/>
                <w:highlight w:val="none"/>
                <w:lang w:val="en-US" w:eastAsia="zh-CN"/>
              </w:rPr>
              <w:t>15、耗材及打印量：CRG 054BK：1,500页；C/M/Y：1,200页；CRG 054 H；</w:t>
            </w:r>
            <w:r>
              <w:rPr>
                <w:rFonts w:hint="eastAsia"/>
                <w:color w:val="auto"/>
                <w:highlight w:val="none"/>
                <w:lang w:val="en-US" w:eastAsia="zh-CN"/>
              </w:rPr>
              <w:br w:type="textWrapping"/>
            </w:r>
            <w:r>
              <w:rPr>
                <w:rFonts w:hint="eastAsia"/>
                <w:color w:val="auto"/>
                <w:highlight w:val="none"/>
                <w:lang w:val="en-US" w:eastAsia="zh-CN"/>
              </w:rPr>
              <w:t>BK：3,100页；C/M/Y：2,300页；</w:t>
            </w:r>
            <w:r>
              <w:rPr>
                <w:rFonts w:hint="eastAsia"/>
                <w:color w:val="auto"/>
                <w:highlight w:val="none"/>
                <w:lang w:val="en-US" w:eastAsia="zh-CN"/>
              </w:rPr>
              <w:br w:type="textWrapping"/>
            </w:r>
            <w:r>
              <w:rPr>
                <w:rFonts w:hint="eastAsia"/>
                <w:color w:val="auto"/>
                <w:highlight w:val="none"/>
                <w:lang w:val="en-US" w:eastAsia="zh-CN"/>
              </w:rPr>
              <w:t>16、随机硒鼓：CRG 054 BK：1,500页；CRG 054 Starter C/M/Y：680页；</w:t>
            </w:r>
            <w:r>
              <w:rPr>
                <w:rFonts w:hint="eastAsia"/>
                <w:color w:val="auto"/>
                <w:highlight w:val="none"/>
                <w:lang w:val="en-US" w:eastAsia="zh-CN"/>
              </w:rPr>
              <w:br w:type="textWrapping"/>
            </w:r>
            <w:r>
              <w:rPr>
                <w:rFonts w:hint="eastAsia"/>
                <w:color w:val="auto"/>
                <w:highlight w:val="none"/>
                <w:lang w:val="en-US" w:eastAsia="zh-CN"/>
              </w:rPr>
              <w:t>17、耗电量：最大约850W，使用时约370W，待机时约11W，睡眠模式约0.8W；</w:t>
            </w:r>
            <w:r>
              <w:rPr>
                <w:rFonts w:hint="eastAsia"/>
                <w:color w:val="auto"/>
                <w:highlight w:val="none"/>
                <w:lang w:val="en-US" w:eastAsia="zh-CN"/>
              </w:rPr>
              <w:br w:type="textWrapping"/>
            </w:r>
            <w:r>
              <w:rPr>
                <w:rFonts w:hint="eastAsia"/>
                <w:color w:val="auto"/>
                <w:highlight w:val="none"/>
                <w:lang w:val="en-US" w:eastAsia="zh-CN"/>
              </w:rPr>
              <w:t>18、能效等级：1级；</w:t>
            </w:r>
            <w:r>
              <w:rPr>
                <w:rFonts w:hint="eastAsia"/>
                <w:color w:val="auto"/>
                <w:highlight w:val="none"/>
                <w:lang w:val="en-US" w:eastAsia="zh-CN"/>
              </w:rPr>
              <w:br w:type="textWrapping"/>
            </w:r>
            <w:r>
              <w:rPr>
                <w:rFonts w:hint="eastAsia"/>
                <w:color w:val="auto"/>
                <w:highlight w:val="none"/>
                <w:lang w:val="en-US" w:eastAsia="zh-CN"/>
              </w:rPr>
              <w:t>19、重量：约22kg（含硒鼓）；</w:t>
            </w:r>
            <w:r>
              <w:rPr>
                <w:rFonts w:hint="eastAsia"/>
                <w:color w:val="auto"/>
                <w:highlight w:val="none"/>
                <w:lang w:val="en-US" w:eastAsia="zh-CN"/>
              </w:rPr>
              <w:br w:type="textWrapping"/>
            </w:r>
            <w:r>
              <w:rPr>
                <w:rFonts w:hint="eastAsia"/>
                <w:color w:val="auto"/>
                <w:highlight w:val="none"/>
                <w:lang w:val="en-US" w:eastAsia="zh-CN"/>
              </w:rPr>
              <w:t>20、体积mm (W×D×H)(无话柄)：451 x 460 x 413；</w:t>
            </w:r>
            <w:r>
              <w:rPr>
                <w:rFonts w:hint="eastAsia"/>
                <w:color w:val="auto"/>
                <w:highlight w:val="none"/>
                <w:lang w:val="en-US" w:eastAsia="zh-CN"/>
              </w:rPr>
              <w:br w:type="textWrapping"/>
            </w:r>
            <w:r>
              <w:rPr>
                <w:rFonts w:hint="eastAsia"/>
                <w:color w:val="auto"/>
                <w:highlight w:val="none"/>
                <w:lang w:val="en-US" w:eastAsia="zh-CN"/>
              </w:rPr>
              <w:t>21、网络:有线/无线/无线直连；</w:t>
            </w:r>
            <w:r>
              <w:rPr>
                <w:rFonts w:hint="eastAsia"/>
                <w:color w:val="auto"/>
                <w:highlight w:val="none"/>
                <w:lang w:val="en-US" w:eastAsia="zh-CN"/>
              </w:rPr>
              <w:br w:type="textWrapping"/>
            </w:r>
            <w:r>
              <w:rPr>
                <w:rFonts w:hint="eastAsia"/>
                <w:color w:val="auto"/>
                <w:highlight w:val="none"/>
                <w:lang w:val="en-US" w:eastAsia="zh-CN"/>
              </w:rPr>
              <w:t>22、接口：1000Base-T/100Base-TX/10Base-T/高速 USB 2.0/Wi-Fi 802.11b/g/n；</w:t>
            </w:r>
            <w:r>
              <w:rPr>
                <w:rFonts w:hint="eastAsia"/>
                <w:color w:val="auto"/>
                <w:highlight w:val="none"/>
                <w:lang w:val="en-US" w:eastAsia="zh-CN"/>
              </w:rPr>
              <w:br w:type="textWrapping"/>
            </w:r>
            <w:r>
              <w:rPr>
                <w:rFonts w:hint="eastAsia"/>
                <w:color w:val="auto"/>
                <w:highlight w:val="none"/>
                <w:lang w:val="en-US" w:eastAsia="zh-CN"/>
              </w:rPr>
              <w:t>23、复印速度（彩色/黑白）：21 ppm(A4)；</w:t>
            </w:r>
            <w:r>
              <w:rPr>
                <w:rFonts w:hint="eastAsia"/>
                <w:color w:val="auto"/>
                <w:highlight w:val="none"/>
                <w:lang w:val="en-US" w:eastAsia="zh-CN"/>
              </w:rPr>
              <w:br w:type="textWrapping"/>
            </w:r>
            <w:r>
              <w:rPr>
                <w:rFonts w:hint="eastAsia"/>
                <w:color w:val="auto"/>
                <w:highlight w:val="none"/>
                <w:lang w:val="en-US" w:eastAsia="zh-CN"/>
              </w:rPr>
              <w:t>24、复印分辨率：600dpi x 600dpi；</w:t>
            </w:r>
            <w:r>
              <w:rPr>
                <w:rFonts w:hint="eastAsia"/>
                <w:color w:val="auto"/>
                <w:highlight w:val="none"/>
                <w:lang w:val="en-US" w:eastAsia="zh-CN"/>
              </w:rPr>
              <w:br w:type="textWrapping"/>
            </w:r>
            <w:r>
              <w:rPr>
                <w:rFonts w:hint="eastAsia"/>
                <w:color w:val="auto"/>
                <w:highlight w:val="none"/>
                <w:lang w:val="en-US" w:eastAsia="zh-CN"/>
              </w:rPr>
              <w:t>25、首张复印时间：彩色:13.4秒或以下（A4）；黑白:11.4秒或以下（A4）；</w:t>
            </w:r>
            <w:r>
              <w:rPr>
                <w:rFonts w:hint="eastAsia"/>
                <w:color w:val="auto"/>
                <w:highlight w:val="none"/>
                <w:lang w:val="en-US" w:eastAsia="zh-CN"/>
              </w:rPr>
              <w:br w:type="textWrapping"/>
            </w:r>
            <w:r>
              <w:rPr>
                <w:rFonts w:hint="eastAsia"/>
                <w:color w:val="auto"/>
                <w:highlight w:val="none"/>
                <w:lang w:val="en-US" w:eastAsia="zh-CN"/>
              </w:rPr>
              <w:t>26、缩放范围：25 至 400 %（1% 的增量）；</w:t>
            </w:r>
            <w:r>
              <w:rPr>
                <w:rFonts w:hint="eastAsia"/>
                <w:color w:val="auto"/>
                <w:highlight w:val="none"/>
                <w:lang w:val="en-US" w:eastAsia="zh-CN"/>
              </w:rPr>
              <w:br w:type="textWrapping"/>
            </w:r>
            <w:r>
              <w:rPr>
                <w:rFonts w:hint="eastAsia"/>
                <w:color w:val="auto"/>
                <w:highlight w:val="none"/>
                <w:lang w:val="en-US" w:eastAsia="zh-CN"/>
              </w:rPr>
              <w:t>27、特殊复印功能 缩放复印，分套复印，2合1复印，4合1复印，ID卡复印，护照复印，消除黑框等；</w:t>
            </w:r>
            <w:r>
              <w:rPr>
                <w:rFonts w:hint="eastAsia"/>
                <w:color w:val="auto"/>
                <w:highlight w:val="none"/>
                <w:lang w:val="en-US" w:eastAsia="zh-CN"/>
              </w:rPr>
              <w:br w:type="textWrapping"/>
            </w:r>
            <w:r>
              <w:rPr>
                <w:rFonts w:hint="eastAsia"/>
                <w:color w:val="auto"/>
                <w:highlight w:val="none"/>
                <w:lang w:val="en-US" w:eastAsia="zh-CN"/>
              </w:rPr>
              <w:t>28、打印速度：单面（彩色/黑白）：21 ppm(A4)，双面（彩色/黑白）：12.7 ppm(A4)；</w:t>
            </w:r>
            <w:r>
              <w:rPr>
                <w:rFonts w:hint="eastAsia"/>
                <w:color w:val="auto"/>
                <w:highlight w:val="none"/>
                <w:lang w:val="en-US" w:eastAsia="zh-CN"/>
              </w:rPr>
              <w:br w:type="textWrapping"/>
            </w:r>
            <w:r>
              <w:rPr>
                <w:rFonts w:hint="eastAsia"/>
                <w:color w:val="auto"/>
                <w:highlight w:val="none"/>
                <w:lang w:val="en-US" w:eastAsia="zh-CN"/>
              </w:rPr>
              <w:t>29、打印分辨率：1200 dpi x 1200 dpi, 600 dpi x 600 dpi；</w:t>
            </w:r>
            <w:r>
              <w:rPr>
                <w:rFonts w:hint="eastAsia"/>
                <w:color w:val="auto"/>
                <w:highlight w:val="none"/>
                <w:lang w:val="en-US" w:eastAsia="zh-CN"/>
              </w:rPr>
              <w:br w:type="textWrapping"/>
            </w:r>
            <w:r>
              <w:rPr>
                <w:rFonts w:hint="eastAsia"/>
                <w:color w:val="auto"/>
                <w:highlight w:val="none"/>
                <w:lang w:val="en-US" w:eastAsia="zh-CN"/>
              </w:rPr>
              <w:t>30、首页打印时间：彩色:10.5秒或以下（A4）；黑白:10.4秒或以下（A4）；</w:t>
            </w:r>
            <w:r>
              <w:rPr>
                <w:rFonts w:hint="eastAsia"/>
                <w:color w:val="auto"/>
                <w:highlight w:val="none"/>
                <w:lang w:val="en-US" w:eastAsia="zh-CN"/>
              </w:rPr>
              <w:br w:type="textWrapping"/>
            </w:r>
            <w:r>
              <w:rPr>
                <w:rFonts w:hint="eastAsia"/>
                <w:color w:val="auto"/>
                <w:highlight w:val="none"/>
                <w:lang w:val="en-US" w:eastAsia="zh-CN"/>
              </w:rPr>
              <w:t>31、打印语言：UFR II/PCL6/PCL5；</w:t>
            </w:r>
            <w:r>
              <w:rPr>
                <w:rFonts w:hint="eastAsia"/>
                <w:color w:val="auto"/>
                <w:highlight w:val="none"/>
                <w:lang w:val="en-US" w:eastAsia="zh-CN"/>
              </w:rPr>
              <w:br w:type="textWrapping"/>
            </w:r>
            <w:r>
              <w:rPr>
                <w:rFonts w:hint="eastAsia"/>
                <w:color w:val="auto"/>
                <w:highlight w:val="none"/>
                <w:lang w:val="en-US" w:eastAsia="zh-CN"/>
              </w:rPr>
              <w:t>32、自动双面打印：支持；</w:t>
            </w:r>
            <w:r>
              <w:rPr>
                <w:rFonts w:hint="eastAsia"/>
                <w:color w:val="auto"/>
                <w:highlight w:val="none"/>
                <w:lang w:val="en-US" w:eastAsia="zh-CN"/>
              </w:rPr>
              <w:br w:type="textWrapping"/>
            </w:r>
            <w:r>
              <w:rPr>
                <w:rFonts w:hint="eastAsia"/>
                <w:color w:val="auto"/>
                <w:highlight w:val="none"/>
                <w:lang w:val="en-US" w:eastAsia="zh-CN"/>
              </w:rPr>
              <w:t>33、U盘直接打印：支持JPEG, TIFF, PDF格式文件；</w:t>
            </w:r>
            <w:r>
              <w:rPr>
                <w:rFonts w:hint="eastAsia"/>
                <w:color w:val="auto"/>
                <w:highlight w:val="none"/>
                <w:lang w:val="en-US" w:eastAsia="zh-CN"/>
              </w:rPr>
              <w:br w:type="textWrapping"/>
            </w:r>
            <w:r>
              <w:rPr>
                <w:rFonts w:hint="eastAsia"/>
                <w:color w:val="auto"/>
                <w:highlight w:val="none"/>
                <w:lang w:val="en-US" w:eastAsia="zh-CN"/>
              </w:rPr>
              <w:t>34、支持Airprint，支持Mopria®，支持Canon PRINT Business※7；</w:t>
            </w:r>
            <w:r>
              <w:rPr>
                <w:rFonts w:hint="eastAsia"/>
                <w:color w:val="auto"/>
                <w:highlight w:val="none"/>
                <w:lang w:val="en-US" w:eastAsia="zh-CN"/>
              </w:rPr>
              <w:br w:type="textWrapping"/>
            </w:r>
            <w:r>
              <w:rPr>
                <w:rFonts w:hint="eastAsia"/>
                <w:color w:val="auto"/>
                <w:highlight w:val="none"/>
                <w:lang w:val="en-US" w:eastAsia="zh-CN"/>
              </w:rPr>
              <w:t>35、特殊打印功能 安全打印，多合一打印，手册打印，缩放打印，海报打印，水印打印，组合打印，分套打印，分组打印，省墨打印等；</w:t>
            </w:r>
            <w:r>
              <w:rPr>
                <w:rFonts w:hint="eastAsia"/>
                <w:color w:val="auto"/>
                <w:highlight w:val="none"/>
                <w:lang w:val="en-US" w:eastAsia="zh-CN"/>
              </w:rPr>
              <w:br w:type="textWrapping"/>
            </w:r>
            <w:r>
              <w:rPr>
                <w:rFonts w:hint="eastAsia"/>
                <w:color w:val="auto"/>
                <w:highlight w:val="none"/>
                <w:lang w:val="en-US" w:eastAsia="zh-CN"/>
              </w:rPr>
              <w:t>36、扫描方式:CIS；扫描分辨率※5;稿台玻璃：600dpi x 600dpi；自动输稿器：300dpi x 300dpi；</w:t>
            </w:r>
            <w:r>
              <w:rPr>
                <w:rFonts w:hint="eastAsia"/>
                <w:color w:val="auto"/>
                <w:highlight w:val="none"/>
                <w:lang w:val="en-US" w:eastAsia="zh-CN"/>
              </w:rPr>
              <w:br w:type="textWrapping"/>
            </w:r>
            <w:r>
              <w:rPr>
                <w:rFonts w:hint="eastAsia"/>
                <w:color w:val="auto"/>
                <w:highlight w:val="none"/>
                <w:lang w:val="en-US" w:eastAsia="zh-CN"/>
              </w:rPr>
              <w:t>37、扫描尺寸：稿台玻璃：最大216 x 297mm；自动输稿器：最大216 x 355.6mm；</w:t>
            </w:r>
            <w:r>
              <w:rPr>
                <w:rFonts w:hint="eastAsia"/>
                <w:color w:val="auto"/>
                <w:highlight w:val="none"/>
                <w:lang w:val="en-US" w:eastAsia="zh-CN"/>
              </w:rPr>
              <w:br w:type="textWrapping"/>
            </w:r>
            <w:r>
              <w:rPr>
                <w:rFonts w:hint="eastAsia"/>
                <w:color w:val="auto"/>
                <w:highlight w:val="none"/>
                <w:lang w:val="en-US" w:eastAsia="zh-CN"/>
              </w:rPr>
              <w:t>38、支持网络扫描/支持网络扫描；</w:t>
            </w:r>
            <w:r>
              <w:rPr>
                <w:rFonts w:hint="eastAsia"/>
                <w:color w:val="auto"/>
                <w:highlight w:val="none"/>
                <w:lang w:val="en-US" w:eastAsia="zh-CN"/>
              </w:rPr>
              <w:br w:type="textWrapping"/>
            </w:r>
            <w:r>
              <w:rPr>
                <w:rFonts w:hint="eastAsia"/>
                <w:color w:val="auto"/>
                <w:highlight w:val="none"/>
                <w:lang w:val="en-US" w:eastAsia="zh-CN"/>
              </w:rPr>
              <w:t>39、存储格式（扫描至U盘）:PDF，PDF（压缩），PDF（压缩/OCR），PDF (OCR)，JPEG，TIFF发送；</w:t>
            </w:r>
            <w:r>
              <w:rPr>
                <w:rFonts w:hint="eastAsia"/>
                <w:color w:val="auto"/>
                <w:highlight w:val="none"/>
                <w:lang w:val="en-US" w:eastAsia="zh-CN"/>
              </w:rPr>
              <w:br w:type="textWrapping"/>
            </w:r>
            <w:r>
              <w:rPr>
                <w:rFonts w:hint="eastAsia"/>
                <w:color w:val="auto"/>
                <w:highlight w:val="none"/>
                <w:lang w:val="en-US" w:eastAsia="zh-CN"/>
              </w:rPr>
              <w:t>40、扫描分辨率：300dpi x 600dpi；</w:t>
            </w:r>
            <w:r>
              <w:rPr>
                <w:rFonts w:hint="eastAsia"/>
                <w:color w:val="auto"/>
                <w:highlight w:val="none"/>
                <w:lang w:val="en-US" w:eastAsia="zh-CN"/>
              </w:rPr>
              <w:br w:type="textWrapping"/>
            </w:r>
            <w:r>
              <w:rPr>
                <w:rFonts w:hint="eastAsia"/>
                <w:color w:val="auto"/>
                <w:highlight w:val="none"/>
                <w:lang w:val="en-US" w:eastAsia="zh-CN"/>
              </w:rPr>
              <w:t>41、发送目的地：SMB, Email, FTP, iFAX Simple；</w:t>
            </w:r>
            <w:r>
              <w:rPr>
                <w:rFonts w:hint="eastAsia"/>
                <w:color w:val="auto"/>
                <w:highlight w:val="none"/>
                <w:lang w:val="en-US" w:eastAsia="zh-CN"/>
              </w:rPr>
              <w:br w:type="textWrapping"/>
            </w:r>
            <w:r>
              <w:rPr>
                <w:rFonts w:hint="eastAsia"/>
                <w:color w:val="auto"/>
                <w:highlight w:val="none"/>
                <w:lang w:val="en-US" w:eastAsia="zh-CN"/>
              </w:rPr>
              <w:t>42、数据格式：TIFF, JPEG, PDF(压缩, OCR)；</w:t>
            </w:r>
            <w:r>
              <w:rPr>
                <w:rFonts w:hint="eastAsia"/>
                <w:color w:val="auto"/>
                <w:highlight w:val="none"/>
                <w:lang w:val="en-US" w:eastAsia="zh-CN"/>
              </w:rPr>
              <w:br w:type="textWrapping"/>
            </w:r>
            <w:r>
              <w:rPr>
                <w:rFonts w:hint="eastAsia"/>
                <w:color w:val="auto"/>
                <w:highlight w:val="none"/>
                <w:lang w:val="en-US" w:eastAsia="zh-CN"/>
              </w:rPr>
              <w:t>43、通信协议：FTP（TCP/IP）、SMB（TCP/IP）、SMTP。</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椅子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1、椅子规格(mm)：</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W500*D470*H820；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料：工程PP注塑胶板采用工程塑料聚丙烯（PP）原料，无毒、无味、密度小，强度、刚度、硬度、耐热性均优于低压聚乙烯，有较高的抗弯曲疲劳强度，具有良好的电性能和高频绝缘性不受湿度影响，后期易维护打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3、椅架：</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1.2mm厚喷涂烤漆四脚架。</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电脑桌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1、桌子规格(mm)：主桌</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W1600*D800*H750，副柜</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W1200*D400*H640；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2、基材：采用优质E0级颗粒板，台面</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40mm厚，侧边</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25mm厚，强度高、刚性好、不易变形、比重合理，所有板材均经防虫防腐化学处理，表面握钉力及静曲强度均达到国际标准；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3、饰面：表面饰面为浸渍胶膜纸饰面，要求双面饰面颜色为同一颜色的饰面，热压贴合，表面无鼓泡、污斑、起皱、脱胶等现象；表面理化性能必须符合国家标准，符合GB18580-2017《 室内装饰装修材料 人造板及其制品中甲醛释放限量》、T/CNFPlA1001ˉ 2019《 人造板甲醛释放限量》；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4、热熔胶：采用优质品牌热熔胶，热熔胶中的有害物质限量符合国家标准GB 18583-2008《室内装饰装修材料 胶粘剂中有害物质限量》的要求；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5、封边：PVC近色封边条，桌面厚度不小于1.5mm，其他厚度不小于1.2mm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6、脚架：采用优质钢制架经剪切、冲压、折弯、焊接、装配而成，管壁</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1.2mm厚；所有焊点均打磨光滑，人体接触或收藏物品的部位无毛刺、刃口、棱角；涂料为热固性粉末喷塑；脚架经除锈、防腐处理，表面平整光滑不起泡；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7、五金配件：采用优质导轨、三合一连接件等五金配件。</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折叠椅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张</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1、椅子规格(mm)：</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W500*D570*H860；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2、优质竹节网+加厚弹力布+50静音轮子+小巧白色写字板，表面带有保护面，防氧化、 抗疲劳、耐冲击、回弹力强、不易变形等特点；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3、PP固定靠背，实心塑料入椅管设计，无毒、无味、密度小，强度、刚度、硬度、耐热性均优于低压聚乙烯，有较高的抗弯曲疲劳强度，具有良好的电性能和高频绝缘性不受湿度影响，后期易维护打理；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lang w:val="en-US" w:eastAsia="zh-CN"/>
              </w:rPr>
              <w:t>4、坐棉采用</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cm</w:t>
            </w:r>
            <w:r>
              <w:rPr>
                <w:rFonts w:hint="eastAsia" w:ascii="宋体" w:hAnsi="宋体" w:eastAsia="宋体" w:cs="宋体"/>
                <w:color w:val="auto"/>
                <w:sz w:val="21"/>
                <w:szCs w:val="21"/>
                <w:highlight w:val="none"/>
                <w:lang w:val="en-US" w:eastAsia="zh-CN"/>
              </w:rPr>
              <w:t>高密度泡棉，密度高，表面带有保护面，防氧化、 抗疲劳、耐冲击、回弹力强、不易变形，海绵密度大于35KG/㎥；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19*32</w:t>
            </w:r>
            <w:r>
              <w:rPr>
                <w:rFonts w:hint="eastAsia" w:ascii="宋体" w:hAnsi="宋体"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t>异型扁管白色烤漆，烤漆后厚度</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1.4mm，表面经防锈、防潮、防腐酸洗、磷化、除锈、静电机器手自动喷涂和高温固化处理；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6、坐木板采用</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t>抛压成型多层夹板，板材的各项技术符合国家标准；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7、整椅座板可以翻转，钢架可以折叠；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8、采用优质增强尼龙玻璃纤维复合，在受压迫500磅下不易损坏，移动杂音小，耐磨性大；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9、颜色：多颜色可选/待定。</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培训桌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张</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W1400*D600*H750mm；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2、基材：采用优质E1级颗粒板，强度高、刚性好、不易变形、比重合理，所有板材均经防虫防腐化学处理，表面握钉力及静曲强度均达到国际标准；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饰面：表面饰面为浸渍胶膜纸饰面，要求双面饰面颜色为同一颜色的饰面，热压贴合，表面无鼓泡、污斑、起皱、脱胶等现象；表面理化性能必须符合国家标准采用E1级优质浸渍胶膜纸饰面颗粒板，符合GB18580-2017《 室内装饰装修材料 人造板及其制品中甲醛释放限量》、T/CNFPlA1001ˉ 2019《 人造板甲醛释放限量》；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4、台面厚度为不小于25mm，挡板厚度为不小于15mm；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5、封边：桌面厚度不小于1.5mm PVC近色封边条，其他厚度不小于1.2mm PVC近色封边条；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6、五金配件：采用优质导轨、三合一连接件等五金配件；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6、热熔胶：采用优质品牌热熔胶，热熔胶中的有害物质限量符合国家标准GB 18583-2008《室内装饰装修材料 胶粘剂中有害物质限量》的要求；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五金配件：采用优质五金配件，金属台架，可折叠，台架必须经过酸洗、磷化、防锈处理；在接触人体或收藏物品的部位无毛刺、刃口、棱角；涂料为热固性粉末喷塑，耐磨，经过除锈，防腐处理；表面平整光滑不起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8、尼龙320高脚：椅脚通过1060公斤静压测试，PP+纤高脚，</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5mm直径PU万向转动轮顺畅,轮子带刹车功能；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9、桌面可以翻转90°。</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血压计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储存功能：</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50组测量值，含日期/时间(免丢失记忆体)。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显示方法：大屏幕液晶数字式。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时间显示功能：可显示所设定之时间数值。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测量范围：0-280mmHg 脉率40-195次/分。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精确度：压力+-3mmHg 脉率数+-5%。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具备蓝牙或物联卡对接数据上传功能。</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隐形油脂</w:t>
            </w:r>
            <w:r>
              <w:rPr>
                <w:rFonts w:hint="eastAsia"/>
                <w:color w:val="auto"/>
                <w:highlight w:val="none"/>
                <w:lang w:eastAsia="zh-CN"/>
              </w:rPr>
              <w:t>含量模型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1.均为生活中最常见的加工食品（混和食物）；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2.食物营养分析包含食物总量、能量及隐性油含量；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3.食物营养分析的数据以克为单位；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4.食物所对应的含油量以小玻璃杯内含等量的食油模型展示；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5.要能单独用于减重指导和儿童零食指南指导；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6.配图文并茂的专业说明背板和针对性教育文案。总体说明文案文字不低于100字。本产品必须适用于慢病和代谢综合征教学指导；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7.PVC+Slicon材质；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8.背板为亚克力</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9、此食物模型，在无阳光直射或灯光炙烤、无触摸等正确陈列条件下使用寿命3年以上。</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隐形盐含量模型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1.均为生活中最常见的加工食品（混和食物）；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2.食物营养分析包含食物总量、能量及隐性盐含量；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3.食物营养分析的数据以克为单位；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4.食物所对应的含盐量以玻璃试管内含等量的食盐模型展示；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5.要能单独用于减重指导和儿童零食指南指导；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6.配图文并茂的专业说明背板和针对性教育文案。总体说明文案文字不低于100字。本产品必须适用于慢病和代谢综合征教学指导；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7.PVC+Slicon材质；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8.背板为亚克力</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9、此食物模型，在无阳光直射或灯光炙烤、无触摸等正确陈列条件下使用寿命3年以上。</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隐形糖含量模型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1.隐形糖含量模型:1.均为生活中最常见的加工食品（混和食物）；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2.食物营养分析包含食物总量、能量及隐性糖含量；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3.食物营养分析的数据以克为单位；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4.食物所对应的含糖量以数块标准量小方糖展示；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5.要能单独用于减重指导和儿童零食指南指导；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6.配图文并茂的专业说明背板和针对性教育文案。总体说明文案文字不低于100字。本产品必须适用于慢病和代谢综合征教学指导；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7.PVC+Slicon材质；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8.背板为亚克力</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9、此食物模型，在无阳光直射或灯光炙烤、无触摸等正确陈列条件下使用寿命3年以上；                               </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中国居民膳食平衡宝塔模型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膳食宝塔营养食物交换份模型（膳食平衡宝塔模型）采用PVC材料塑形而成，金字塔外罩由亚克力材料制成，模型共分5层，共24种食物。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第一层：谷类、薯类及杂豆（米饭、面条、馒头、水、面包、玉米、豌豆、土豆）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第二层：蔬菜和水果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第三层：鱼、禽、肉、蛋等动物性食物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第四层：奶类及制品、大豆类及坚果食物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第五层：油脂类及食用盐。</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婴幼儿膳食宝塔模型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48*48*54cm，材质:所有食物模型均由仿真材质塑型而成，金字塔外罩由进口亚克力制造而成。特点:1、工艺精细、仿真度高;2、结实耐用、组装简单;3、分类清楚、直观明了，便于理解。模型效量:24个。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儿童膳食宝塔模型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48*48*54cm，材质:所有食物模型均由仿真材质塑型而成，金字塔外罩由进口亚克力制造而成。特点:1、工艺精细、仿真度高;2、结实耐用、组装简单;3、分类清楚、直观明了，便于理解。模型效量:24个。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老年人膳食宝塔模型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48*48*54cm，材质:所有食物模型均由仿真材质塑型而成，金字塔外罩由进口亚克力制造而成。特点:1、工艺精细、仿真度高;2、结实耐用、组装简单;3、分类清楚、直观明了，便于理解。模型效量:24个。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孕产妇膳食宝塔模型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48*48*54cm，材质:所有食物模型均由仿真材质塑型而成，金字塔外罩由进口亚克力制造而成。特点:1、工艺精细、仿真度高;2、结实耐用、组装简单;3、分类清楚、直观明了，便于理解。模型效量:24个。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高血压膳食宝塔模型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48*48*54cm，材质:所有食物模型均由仿真材质塑型而成，金字塔外罩由进口亚克力制造而成。特点:1、工艺精细、仿真度高;2、结实耐用、组装简单;3、分类清楚、直观明了，便于理解。模型效量:24个。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糖尿病膳食宝塔模型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48*48*54cm，材质:所有食物模型均由仿真材质塑型而成，金字塔外罩由进口亚克力制造而成。特点:1、工艺精细、仿真度高;2、结实耐用、组装简单;3、分类清楚、直观明了，便于理解。模型效量:24个。</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糖尿病人三正餐三加餐2000大卡模型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模型采用仿真材质制作而成，整套包含糖尿病人一日三正餐三加餐饮食模型展示，三正餐托盘尺寸为：三正餐白色大模型托盘尺寸是</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43*31cm，三加餐模型托盘尺寸为：直径</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20cm；总热量为2000千卡。每餐模型均配套对应容器和食物热量标签，每餐正餐均配套白色托盘，整套配L型亚克力标牌。</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高血压病人三正餐三加餐模型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模型采用仿真材质制作而成，整套包含高血压病人一日三正餐三加餐饮食模型展示，三正餐白色大模型托盘尺寸是</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43*31cm，三加餐模型托盘尺寸为：直径</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20cm；总热量为2000千卡。每餐模型均配套对应容器和食物热量标签，每餐正餐均配套白色托盘，整套配亚克力标牌。</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老年人能量餐模型1900大卡模型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模型采用仿真材质制作而成，整套包含老年人一日三正餐三加餐饮食模型展示，三正餐白色大模型托盘尺寸是</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43*31cm，三加餐模型托盘尺寸为：直径</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20cm；总热量为1900千卡。每餐模型均配套对应容器和食物热量标签，每餐正餐均配套白色托盘，整套配亚克力标牌。</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特定人群一日能量食谱（套餐）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1、特定人群营养指导专用能量套餐；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2、满足特定人群需要的一日能量需求；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3、PFC比例为中国膳食指南推荐标准，其中，蛋白质的比例为15-18%、脂肪的比例为25-30%；CHO的比例为55-60%，提供详尽的营养分析数据报告，作为配套展示标牌使用；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4、混合食物制作的复合菜肴模型，满足“一人份”的标准；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5、在营养素计算正确的前提下，生熟比、可食部、废弃率的标准按照“中国居民膳食指南”的要求制作；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6、餐次设计为三餐两点，不同餐次提供不同配置的食谱和餐次整理餐盘（或餐垫），用于模型陈列展示；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7、包含详尽的营养分析和套餐解读方案，制作成“塑封卡片”，便于陈列和长期保存；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8、配置餐次标牌；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9、数据表中的营养元素包括：蛋白质、脂肪、碳水化合物、膳食纤维、维生素、胡萝卜素、钙、磷、钾、钠、镁、铁等。</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肥胖模型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1、这是一套肥胖人群营养指导实用工具；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2、产品由人体CT横断面演示模型构成；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3、模型以表达人体内脏脂肪构成的不同形态为基准；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4、模型以“模型+说明背板”的复合形式；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5、模型有两个维度，分别为苹果型体型的CT断面和梨型体型的CT断面；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6、模型由PVC和硅胶制作，无异味。</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脂肪肝模型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1、这是一套三高人群营养指导实用工具；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2、产品由人体正常肝脏到肝硬化的三阶段演示模型构成；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3、模型以表达人体肝脏器官的不同形态为基准，结合“模型+说明背板”的复合形式利用；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4、模型有三个维度，分别正常脂肪、脂肪肝、肝硬化三个表现阶段；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5、模型由PVC和硅胶制作，无异味。            </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动脉硬化模型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1、模型为临床患教医学专用；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2、产品由人体动脉正常到斑块形成和动脉阻塞的三阶段演示模型构成；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3、模型以表达人体动脉器官的不同形态为基准；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4、产品以“模型+说明背板”的复合形式；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5、模型有三个维度，分别正常动脉、动脉粥样硬化的形成等不同表现阶段；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6、模型由PVC和硅胶制作，无异味。</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吸烟肺叶</w:t>
            </w:r>
            <w:r>
              <w:rPr>
                <w:rFonts w:hint="eastAsia" w:ascii="宋体" w:hAnsi="宋体" w:cs="宋体"/>
                <w:i w:val="0"/>
                <w:iCs w:val="0"/>
                <w:color w:val="auto"/>
                <w:kern w:val="0"/>
                <w:sz w:val="21"/>
                <w:szCs w:val="21"/>
                <w:highlight w:val="none"/>
                <w:u w:val="none"/>
                <w:lang w:val="en-US" w:eastAsia="zh-CN" w:bidi="ar"/>
              </w:rPr>
              <w:t>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1、模型为医院或慢性病教学专用；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2、模型展示了正常的肺和吸烟一个月后肺的对比；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3、模型两瓣肺叶可取下，分成4件；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4、此模型有焦油定量；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5、模型材质为PE or PVC or PU or Slicon。</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有毒有害食品10种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1、均为生活中最常见的有毒有害或有潜在食品安全风险的食物；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2、模型包含食材或加工后的混合食物，以不同类型展示；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3、模型为1:1 等寸大，PVC材质；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4、含数据营养分析QR CODE，常量和微量营养元素通过数据形式呈现，适用于健康教育；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★5、针对此数据标签，包含免费解读软件APP（小程序），能够读取食材包含的13种营养素数值，并利用这些数据进行自定义配餐数据分析。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★6、有毒有害物质说明的解说内容，以文字标牌表现；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7、此食物模型，在无阳光直射或灯光炙烤、无触摸等正确陈列条件下使用寿命3年以上。</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抗氧化食物群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1、具有代表性的抗癌食物模型；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2、模型材质为PEorPVorPUorSlicon等；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3、包含对应的食物成分表（模型的食物成分数据表），数据包含≥23种营养素数值；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4、食物模型包含专用的营养标签；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★5、此食物模型，包含二维码数据标签（QR CODE）。针对此数据标签，包含免费解读软件APP（小程序），能够读取食材包含的13种营养素数值，并利用这些数据进行自定义配餐数据分析。</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健康人零食指导食物群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1、食物模型适合健康人常见零食食物认知模型；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2、食物模型分为可以食用、适当食用、限量食用三大类食物；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3、食物模型材质为PE or PVC or PU or Slicon；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4、食物模型与中国零食指南挂图相呼应；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5、包含食物模型对应的食物成分表；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★6、此食物模型，包含二维码数据标签（QR CODE）。针对此数据标签，包含免费解读软件APP（小程序），能够读取食材包含的23种营养素数值，并利用这些数据进行自定义配餐数据分析。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7、食物模型在无阳光直射或灯光炙烤、无触摸等正确陈列条件下使用寿命3年以上。</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膳食调查饮酒量模型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不同类型含酒精饮品 7件套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1、模型为慢性病教学专用；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2、模型形象、生动地展示了一个成年人对不同种类酒的摄入量；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3、模型包含不同种类的酒装在不同的容器中，清晰展示；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4、模型，在无阳光直射或灯光炙烤、无触摸等正确陈列条件下使用寿命3年以上。</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普通成人一日能量食谱（套餐）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1、一般正常人指导专用能量套餐；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2、满足2300kcal/d；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3、PFC比例为中国糖尿病膳食指南推荐标准，包含详尽的营养分析数据报告，作为配套展示标牌使用；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4、混合食物制作的复合菜肴模型，满足“一人份”的标准；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5、餐次设计为三餐两点，不同餐次包含不同配置的食谱和餐次整理餐盘（或餐垫），用于模型陈列展示；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6、包含详尽的营养分析和套餐解读方案，制作成“塑封卡片”，便于陈列和长期保存；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7、配置餐次标牌。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8、数据表中的营养元素包括：蛋白质、脂肪、碳水化合物、膳食纤维、维生素、胡萝卜素、钙、磷、钾、钠、镁、铁等。</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身高体重秤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1.体脂秤；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2.特色功能：脂肪测量，身长测量，低电压显示；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3.显示类型：LED显示；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4.面板材质：铝。</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握力计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1.使用材质:塑料；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2.量程范围:0-90kg；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3.分度值: 0.1kg；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4.电源方式:USB充电。</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皮脂厚度计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1.led数显屏；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67mm*114mm。</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3mm质透心地胶；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2、自流平；</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定制储物柜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6790*310*2400mm；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18mm多层实木E0级板材；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18mm实木烤漆柜；</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4、该项根据现场定制，实际以最终尺寸为准。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定制储物柜、实木造型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18mm多层实木E0级板材；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6635*900mm、</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2980*985mm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3、尺寸约11.87㎡；</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4、该项根据现场定制，实际以最终尺寸为准。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软包柜和高柜组合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18mm多层实木E0级板材；</w:t>
            </w:r>
          </w:p>
          <w:p>
            <w:pPr>
              <w:keepNext w:val="0"/>
              <w:keepLines w:val="0"/>
              <w:widowControl/>
              <w:numPr>
                <w:ilvl w:val="0"/>
                <w:numId w:val="14"/>
              </w:numPr>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尺寸：约8㎡；</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r>
              <w:rPr>
                <w:rFonts w:hint="eastAsia" w:ascii="宋体" w:hAnsi="宋体" w:eastAsia="宋体" w:cs="宋体"/>
                <w:i w:val="0"/>
                <w:iCs w:val="0"/>
                <w:color w:val="auto"/>
                <w:sz w:val="21"/>
                <w:szCs w:val="21"/>
                <w:highlight w:val="none"/>
                <w:u w:val="none"/>
                <w:lang w:val="en-US" w:eastAsia="zh-CN"/>
              </w:rPr>
              <w:t>该项根据现场定制，实际以最终尺寸为准。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木纹铝方通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6000*50*40mm厚</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0.5mm；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2、材质：铝合金；表面工艺：抗油污滚涂板，耐候性好、耐腐蚀、颜色细腻、环保性强符合E0级标准；装配膨胀管、吊杆、卡式龙骨；龙骨采用加厚及钢琴烤漆防锈处理。</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r>
              <w:rPr>
                <w:rStyle w:val="43"/>
                <w:rFonts w:hint="eastAsia" w:ascii="宋体" w:hAnsi="宋体" w:eastAsia="宋体" w:cs="宋体"/>
                <w:color w:val="auto"/>
                <w:sz w:val="21"/>
                <w:szCs w:val="21"/>
                <w:highlight w:val="none"/>
                <w:lang w:val="en-US" w:eastAsia="zh-CN" w:bidi="ar"/>
              </w:rPr>
              <w:t>该项为定制，实际以最终尺寸为准。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类型：磁吸嵌入式轨道灯</w:t>
            </w:r>
          </w:p>
          <w:p>
            <w:pPr>
              <w:pStyle w:val="2"/>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1.尺寸：宽度</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color w:val="auto"/>
                <w:sz w:val="21"/>
                <w:szCs w:val="21"/>
                <w:highlight w:val="none"/>
                <w:lang w:val="en-US" w:eastAsia="zh-CN"/>
              </w:rPr>
              <w:t>30mm,长度</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color w:val="auto"/>
                <w:sz w:val="21"/>
                <w:szCs w:val="21"/>
                <w:highlight w:val="none"/>
                <w:lang w:val="en-US" w:eastAsia="zh-CN"/>
              </w:rPr>
              <w:t>6500mm；</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2.工作电压：</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color w:val="auto"/>
                <w:sz w:val="21"/>
                <w:szCs w:val="21"/>
                <w:highlight w:val="none"/>
                <w:lang w:val="en-US" w:eastAsia="zh-CN"/>
              </w:rPr>
              <w:t>36V</w:t>
            </w:r>
            <w:r>
              <w:rPr>
                <w:rFonts w:hint="eastAsia" w:ascii="宋体" w:hAnsi="宋体" w:cs="宋体"/>
                <w:color w:val="auto"/>
                <w:sz w:val="21"/>
                <w:szCs w:val="21"/>
                <w:highlight w:val="none"/>
                <w:lang w:val="en-US" w:eastAsia="zh-CN"/>
              </w:rPr>
              <w:t>。</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白色条形灯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1200*50mm；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2、色温：4000K；电压: </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220V；灯身主材质: 铁灯罩主材质: PMMA高透光率灯罩；光源类型: led灯；工艺: 喷漆磨砂；选用三安2835芯片高显色散热佳，安全可靠，IC恒流隔离驱动，电流稳定无频闪，智能隔离防漏电。</w:t>
            </w:r>
          </w:p>
          <w:p>
            <w:pPr>
              <w:pStyle w:val="2"/>
              <w:numPr>
                <w:ilvl w:val="0"/>
                <w:numId w:val="0"/>
              </w:numPr>
              <w:spacing w:line="36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r>
              <w:rPr>
                <w:rStyle w:val="43"/>
                <w:rFonts w:hint="eastAsia" w:ascii="宋体" w:hAnsi="宋体" w:eastAsia="宋体" w:cs="宋体"/>
                <w:color w:val="auto"/>
                <w:sz w:val="21"/>
                <w:szCs w:val="21"/>
                <w:highlight w:val="none"/>
                <w:lang w:val="en-US" w:eastAsia="zh-CN" w:bidi="ar"/>
              </w:rPr>
              <w:t>该项为定制，实际以最终尺寸为准。</w:t>
            </w:r>
          </w:p>
        </w:tc>
      </w:tr>
      <w:tr>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环境创设</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1、拆除：地台约9.4㎡，黑板；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2、背景墙：约16.8㎡，</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18厘阻燃板、木龙骨、吸音棉、木饰面、灯槽、实木地脚线、无机涂料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3、强电：教室 86㎡，6㎡铜芯多股线、4㎡铜芯多股线电线、直径20mmPVC穿线管、直接、弯头、防水胶布、绝源胶布、布线。</w:t>
            </w:r>
            <w:r>
              <w:rPr>
                <w:rStyle w:val="43"/>
                <w:rFonts w:hint="eastAsia" w:ascii="宋体" w:hAnsi="宋体" w:eastAsia="宋体" w:cs="宋体"/>
                <w:color w:val="auto"/>
                <w:sz w:val="21"/>
                <w:szCs w:val="21"/>
                <w:highlight w:val="none"/>
                <w:lang w:val="en-US" w:eastAsia="zh-CN" w:bidi="ar"/>
              </w:rPr>
              <w:br w:type="textWrapping"/>
            </w:r>
            <w:r>
              <w:rPr>
                <w:rStyle w:val="43"/>
                <w:rFonts w:hint="eastAsia" w:ascii="宋体" w:hAnsi="宋体" w:eastAsia="宋体" w:cs="宋体"/>
                <w:color w:val="auto"/>
                <w:sz w:val="21"/>
                <w:szCs w:val="21"/>
                <w:highlight w:val="none"/>
                <w:lang w:val="en-US" w:eastAsia="zh-CN" w:bidi="ar"/>
              </w:rPr>
              <w:t>4、墙面涂料：约260㎡抗裂腻子、打磨、无机涂料底漆加面漆；</w:t>
            </w:r>
            <w:r>
              <w:rPr>
                <w:rStyle w:val="43"/>
                <w:rFonts w:hint="eastAsia" w:ascii="宋体" w:hAnsi="宋体" w:eastAsia="宋体" w:cs="宋体"/>
                <w:color w:val="auto"/>
                <w:sz w:val="21"/>
                <w:szCs w:val="21"/>
                <w:highlight w:val="none"/>
                <w:lang w:val="en-US" w:eastAsia="zh-CN" w:bidi="ar"/>
              </w:rPr>
              <w:br w:type="textWrapping"/>
            </w:r>
            <w:r>
              <w:rPr>
                <w:rStyle w:val="43"/>
                <w:rFonts w:hint="eastAsia" w:ascii="宋体" w:hAnsi="宋体" w:eastAsia="宋体" w:cs="宋体"/>
                <w:color w:val="auto"/>
                <w:sz w:val="21"/>
                <w:szCs w:val="21"/>
                <w:highlight w:val="none"/>
                <w:lang w:val="en-US" w:eastAsia="zh-CN" w:bidi="ar"/>
              </w:rPr>
              <w:t>5、木饰面吊顶：约16㎡，</w:t>
            </w:r>
            <w:r>
              <w:rPr>
                <w:rFonts w:hint="eastAsia" w:ascii="宋体" w:hAnsi="宋体" w:cs="宋体"/>
                <w:i w:val="0"/>
                <w:iCs w:val="0"/>
                <w:color w:val="auto"/>
                <w:kern w:val="0"/>
                <w:sz w:val="21"/>
                <w:szCs w:val="21"/>
                <w:highlight w:val="none"/>
                <w:u w:val="none"/>
                <w:lang w:val="en-US" w:eastAsia="zh-CN" w:bidi="ar"/>
              </w:rPr>
              <w:t>约</w:t>
            </w:r>
            <w:r>
              <w:rPr>
                <w:rStyle w:val="43"/>
                <w:rFonts w:hint="eastAsia" w:ascii="宋体" w:hAnsi="宋体" w:eastAsia="宋体" w:cs="宋体"/>
                <w:color w:val="auto"/>
                <w:sz w:val="21"/>
                <w:szCs w:val="21"/>
                <w:highlight w:val="none"/>
                <w:lang w:val="en-US" w:eastAsia="zh-CN" w:bidi="ar"/>
              </w:rPr>
              <w:t>18mm阻燃板、轻钢龙骨、木饰面、窗帘盒：约18m；</w:t>
            </w:r>
            <w:r>
              <w:rPr>
                <w:rStyle w:val="43"/>
                <w:rFonts w:hint="eastAsia" w:ascii="宋体" w:hAnsi="宋体" w:eastAsia="宋体" w:cs="宋体"/>
                <w:color w:val="auto"/>
                <w:sz w:val="21"/>
                <w:szCs w:val="21"/>
                <w:highlight w:val="none"/>
                <w:lang w:val="en-US" w:eastAsia="zh-CN" w:bidi="ar"/>
              </w:rPr>
              <w:br w:type="textWrapping"/>
            </w:r>
            <w:r>
              <w:rPr>
                <w:rStyle w:val="43"/>
                <w:rFonts w:hint="eastAsia" w:ascii="宋体" w:hAnsi="宋体" w:eastAsia="宋体" w:cs="宋体"/>
                <w:color w:val="auto"/>
                <w:sz w:val="21"/>
                <w:szCs w:val="21"/>
                <w:highlight w:val="none"/>
                <w:lang w:val="en-US" w:eastAsia="zh-CN" w:bidi="ar"/>
              </w:rPr>
              <w:t xml:space="preserve"> 6、窗帘裁剪；</w:t>
            </w:r>
            <w:r>
              <w:rPr>
                <w:rStyle w:val="43"/>
                <w:rFonts w:hint="eastAsia" w:ascii="宋体" w:hAnsi="宋体" w:eastAsia="宋体" w:cs="宋体"/>
                <w:color w:val="auto"/>
                <w:sz w:val="21"/>
                <w:szCs w:val="21"/>
                <w:highlight w:val="none"/>
                <w:lang w:val="en-US" w:eastAsia="zh-CN" w:bidi="ar"/>
              </w:rPr>
              <w:br w:type="textWrapping"/>
            </w:r>
            <w:r>
              <w:rPr>
                <w:rStyle w:val="43"/>
                <w:rFonts w:hint="eastAsia" w:ascii="宋体" w:hAnsi="宋体" w:eastAsia="宋体" w:cs="宋体"/>
                <w:color w:val="auto"/>
                <w:sz w:val="21"/>
                <w:szCs w:val="21"/>
                <w:highlight w:val="none"/>
                <w:lang w:val="en-US" w:eastAsia="zh-CN" w:bidi="ar"/>
              </w:rPr>
              <w:t>该项为定制，实际以最终工作量为准。</w:t>
            </w:r>
          </w:p>
        </w:tc>
      </w:tr>
      <w:tr>
        <w:tblPrEx>
          <w:tblCellMar>
            <w:top w:w="0" w:type="dxa"/>
            <w:left w:w="108" w:type="dxa"/>
            <w:bottom w:w="0" w:type="dxa"/>
            <w:right w:w="108" w:type="dxa"/>
          </w:tblCellMar>
        </w:tblPrEx>
        <w:trPr>
          <w:trHeight w:val="90"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auto"/>
          </w:tcPr>
          <w:p>
            <w:pPr>
              <w:tabs>
                <w:tab w:val="left" w:pos="180"/>
                <w:tab w:val="left" w:pos="1620"/>
              </w:tabs>
              <w:spacing w:line="440" w:lineRule="exact"/>
              <w:rPr>
                <w:rFonts w:hint="default" w:ascii="宋体" w:hAnsi="宋体" w:eastAsia="宋体" w:cs="宋体"/>
                <w:color w:val="auto"/>
                <w:szCs w:val="21"/>
                <w:highlight w:val="none"/>
                <w:lang w:val="en-US" w:eastAsia="zh-CN"/>
              </w:rPr>
            </w:pPr>
            <w:r>
              <w:rPr>
                <w:rFonts w:hint="eastAsia" w:ascii="宋体" w:hAnsi="宋体"/>
                <w:b/>
                <w:bCs/>
                <w:color w:val="auto"/>
                <w:szCs w:val="21"/>
                <w:highlight w:val="none"/>
              </w:rPr>
              <w:t>商务条款</w:t>
            </w:r>
          </w:p>
        </w:tc>
      </w:tr>
      <w:tr>
        <w:tblPrEx>
          <w:tblCellMar>
            <w:top w:w="0" w:type="dxa"/>
            <w:left w:w="108" w:type="dxa"/>
            <w:bottom w:w="0" w:type="dxa"/>
            <w:right w:w="108" w:type="dxa"/>
          </w:tblCellMar>
        </w:tblPrEx>
        <w:trPr>
          <w:trHeight w:val="90" w:hRule="atLeast"/>
        </w:trPr>
        <w:tc>
          <w:tcPr>
            <w:tcW w:w="109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8406"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自成交通知书发出之日起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日内。</w:t>
            </w:r>
          </w:p>
        </w:tc>
      </w:tr>
      <w:tr>
        <w:tblPrEx>
          <w:tblCellMar>
            <w:top w:w="0" w:type="dxa"/>
            <w:left w:w="108" w:type="dxa"/>
            <w:bottom w:w="0" w:type="dxa"/>
            <w:right w:w="108" w:type="dxa"/>
          </w:tblCellMar>
        </w:tblPrEx>
        <w:trPr>
          <w:trHeight w:val="90" w:hRule="atLeast"/>
        </w:trPr>
        <w:tc>
          <w:tcPr>
            <w:tcW w:w="109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交付时间及地点</w:t>
            </w:r>
          </w:p>
        </w:tc>
        <w:tc>
          <w:tcPr>
            <w:tcW w:w="8406"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1.交付时间：自签订合同之日起</w:t>
            </w:r>
            <w:r>
              <w:rPr>
                <w:rFonts w:hint="eastAsia" w:ascii="宋体" w:hAnsi="宋体" w:cs="宋体"/>
                <w:color w:val="auto"/>
                <w:sz w:val="21"/>
                <w:szCs w:val="21"/>
                <w:highlight w:val="none"/>
                <w:lang w:val="en-US" w:eastAsia="zh-CN"/>
              </w:rPr>
              <w:t>50个</w:t>
            </w:r>
            <w:r>
              <w:rPr>
                <w:rFonts w:hint="eastAsia" w:ascii="宋体" w:hAnsi="宋体" w:eastAsia="宋体" w:cs="宋体"/>
                <w:color w:val="auto"/>
                <w:sz w:val="21"/>
                <w:szCs w:val="21"/>
                <w:highlight w:val="none"/>
              </w:rPr>
              <w:t>工作日内送货到采购人指定地点，并完成现场安装及验收。</w:t>
            </w:r>
          </w:p>
          <w:p>
            <w:pPr>
              <w:spacing w:line="360" w:lineRule="auto"/>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2.交付地点：广西钦州市采购人指定地点。</w:t>
            </w:r>
          </w:p>
        </w:tc>
      </w:tr>
      <w:tr>
        <w:tblPrEx>
          <w:tblCellMar>
            <w:top w:w="0" w:type="dxa"/>
            <w:left w:w="108" w:type="dxa"/>
            <w:bottom w:w="0" w:type="dxa"/>
            <w:right w:w="108" w:type="dxa"/>
          </w:tblCellMar>
        </w:tblPrEx>
        <w:trPr>
          <w:trHeight w:val="90" w:hRule="atLeast"/>
        </w:trPr>
        <w:tc>
          <w:tcPr>
            <w:tcW w:w="109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质保期</w:t>
            </w:r>
          </w:p>
        </w:tc>
        <w:tc>
          <w:tcPr>
            <w:tcW w:w="8406"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按国家有关产品“三包”规定执行“三包”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设备1年质保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所有设备自交货并验收合格之日起计算质保期，采购内容有要求的按其要求。质保期所有由于质量问题导致的硬件产品故障以免费保修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免费人工及免费更换配件标准上门服务并提供终身维护。</w:t>
            </w:r>
          </w:p>
        </w:tc>
      </w:tr>
      <w:tr>
        <w:tblPrEx>
          <w:tblCellMar>
            <w:top w:w="0" w:type="dxa"/>
            <w:left w:w="108" w:type="dxa"/>
            <w:bottom w:w="0" w:type="dxa"/>
            <w:right w:w="108" w:type="dxa"/>
          </w:tblCellMar>
        </w:tblPrEx>
        <w:trPr>
          <w:trHeight w:val="90" w:hRule="atLeast"/>
        </w:trPr>
        <w:tc>
          <w:tcPr>
            <w:tcW w:w="109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售后服务要求</w:t>
            </w:r>
          </w:p>
        </w:tc>
        <w:tc>
          <w:tcPr>
            <w:tcW w:w="8406"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1.所有货物必须为符合国家行业有关质量标准的全新合格</w:t>
            </w:r>
            <w:r>
              <w:rPr>
                <w:rFonts w:hint="eastAsia" w:ascii="宋体" w:hAnsi="宋体" w:cs="宋体"/>
                <w:color w:val="auto"/>
                <w:sz w:val="21"/>
                <w:szCs w:val="21"/>
                <w:highlight w:val="none"/>
                <w:lang w:val="en-US" w:eastAsia="zh-CN"/>
              </w:rPr>
              <w:t>合法</w:t>
            </w:r>
            <w:r>
              <w:rPr>
                <w:rFonts w:hint="eastAsia" w:ascii="宋体" w:hAnsi="宋体" w:eastAsia="宋体" w:cs="宋体"/>
                <w:color w:val="auto"/>
                <w:sz w:val="21"/>
                <w:szCs w:val="21"/>
                <w:highlight w:val="none"/>
              </w:rPr>
              <w:t>产品。</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2.免费送货上门，免费安装调试，免费培训技术人员2名以上，所需工具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器材由成交人自理</w:t>
            </w:r>
            <w:r>
              <w:rPr>
                <w:rFonts w:hint="eastAsia" w:ascii="宋体" w:hAnsi="宋体" w:eastAsia="宋体" w:cs="宋体"/>
                <w:color w:val="auto"/>
                <w:sz w:val="21"/>
                <w:szCs w:val="21"/>
                <w:highlight w:val="none"/>
                <w:lang w:eastAsia="zh-CN"/>
              </w:rPr>
              <w:t>。</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3.产品如出现故障并接到用户通知后在1小时内响应，12小时内上门服务，24小时内解决故障；未能在规定时间内排除故障的，必须在24小时内提供同档次的备用产品，直至解决故障。</w:t>
            </w:r>
          </w:p>
          <w:p>
            <w:pPr>
              <w:spacing w:line="360" w:lineRule="auto"/>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4.成交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除承担运输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验收与培训等义务外，还将为采购人提供技术支持，包括保修期外的修理及技术指导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配件供应等。</w:t>
            </w:r>
          </w:p>
        </w:tc>
      </w:tr>
      <w:tr>
        <w:tblPrEx>
          <w:tblCellMar>
            <w:top w:w="0" w:type="dxa"/>
            <w:left w:w="108" w:type="dxa"/>
            <w:bottom w:w="0" w:type="dxa"/>
            <w:right w:w="108" w:type="dxa"/>
          </w:tblCellMar>
        </w:tblPrEx>
        <w:trPr>
          <w:trHeight w:val="90" w:hRule="atLeast"/>
        </w:trPr>
        <w:tc>
          <w:tcPr>
            <w:tcW w:w="109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8406"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pStyle w:val="138"/>
              <w:spacing w:line="360" w:lineRule="auto"/>
              <w:rPr>
                <w:rFonts w:hint="eastAsia"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采购人组织验收，供货产品验收合格后，采购人自验收合格之日起90天内支付合同总金额的40%作为第一期付款;第二期付款在第一期付款支付完成后120天内支付合同总金额的 30%;第三期付款在第二期付款支付完成后150天内支付合同总金额的30%。采购人支付每期款项之前，</w:t>
            </w:r>
            <w:r>
              <w:rPr>
                <w:rFonts w:hint="eastAsia" w:hAnsi="宋体" w:cs="宋体"/>
                <w:color w:val="auto"/>
                <w:kern w:val="2"/>
                <w:sz w:val="21"/>
                <w:szCs w:val="21"/>
                <w:highlight w:val="none"/>
                <w:lang w:val="en-US" w:eastAsia="zh-CN"/>
              </w:rPr>
              <w:t>成交供应商</w:t>
            </w:r>
            <w:r>
              <w:rPr>
                <w:rFonts w:hint="eastAsia" w:ascii="宋体" w:hAnsi="宋体" w:eastAsia="宋体" w:cs="宋体"/>
                <w:color w:val="auto"/>
                <w:kern w:val="2"/>
                <w:sz w:val="21"/>
                <w:szCs w:val="21"/>
                <w:highlight w:val="none"/>
                <w:lang w:eastAsia="zh-CN"/>
              </w:rPr>
              <w:t>向采购人提供当期等额、合法有效的增值税普通发票，如</w:t>
            </w:r>
            <w:r>
              <w:rPr>
                <w:rFonts w:hint="eastAsia" w:hAnsi="宋体" w:cs="宋体"/>
                <w:color w:val="auto"/>
                <w:kern w:val="2"/>
                <w:sz w:val="21"/>
                <w:szCs w:val="21"/>
                <w:highlight w:val="none"/>
                <w:lang w:val="en-US" w:eastAsia="zh-CN"/>
              </w:rPr>
              <w:t>成交供应商</w:t>
            </w:r>
            <w:r>
              <w:rPr>
                <w:rFonts w:hint="eastAsia" w:ascii="宋体" w:hAnsi="宋体" w:eastAsia="宋体" w:cs="宋体"/>
                <w:color w:val="auto"/>
                <w:kern w:val="2"/>
                <w:sz w:val="21"/>
                <w:szCs w:val="21"/>
                <w:highlight w:val="none"/>
                <w:lang w:eastAsia="zh-CN"/>
              </w:rPr>
              <w:t>不按约定提供发票的，采购人有权顺延支付当期款项而不视为违约。</w:t>
            </w:r>
            <w:r>
              <w:rPr>
                <w:rFonts w:hint="eastAsia" w:hAnsi="宋体" w:cs="宋体"/>
                <w:color w:val="auto"/>
                <w:kern w:val="2"/>
                <w:sz w:val="21"/>
                <w:szCs w:val="21"/>
                <w:highlight w:val="none"/>
                <w:lang w:val="en-US" w:eastAsia="zh-CN"/>
              </w:rPr>
              <w:t>成交供应商</w:t>
            </w:r>
            <w:r>
              <w:rPr>
                <w:rFonts w:hint="eastAsia" w:ascii="宋体" w:hAnsi="宋体" w:eastAsia="宋体" w:cs="宋体"/>
                <w:color w:val="auto"/>
                <w:kern w:val="2"/>
                <w:sz w:val="21"/>
                <w:szCs w:val="21"/>
                <w:highlight w:val="none"/>
                <w:lang w:eastAsia="zh-CN"/>
              </w:rPr>
              <w:t>提供发票的行为,不视为认可收到采购人对应金额的款项，是否收到款项以采购人转账支付的为准。</w:t>
            </w:r>
          </w:p>
          <w:p>
            <w:pPr>
              <w:pStyle w:val="138"/>
              <w:numPr>
                <w:ilvl w:val="0"/>
                <w:numId w:val="10"/>
              </w:numPr>
              <w:spacing w:line="360" w:lineRule="auto"/>
              <w:ind w:left="0" w:leftChars="0" w:firstLine="0" w:firstLineChars="0"/>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若中标人为中小企业的，采购人自验收合格之日起20天内支付合同总金额的40%作为第一期付款;第二期付款在第一期付款支付完成后20天内支付合同总金额的30%;第三期付款在第二期付款支付完成后20天内支付合同总金额的30%。</w:t>
            </w:r>
          </w:p>
          <w:p>
            <w:pPr>
              <w:pStyle w:val="138"/>
              <w:numPr>
                <w:ilvl w:val="0"/>
                <w:numId w:val="0"/>
              </w:numPr>
              <w:spacing w:line="360" w:lineRule="auto"/>
              <w:ind w:leftChars="0"/>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（每次付款前，成交供应商向采购人提供等额且合法有效的增值税普通发票。）</w:t>
            </w:r>
          </w:p>
        </w:tc>
      </w:tr>
      <w:tr>
        <w:tblPrEx>
          <w:tblCellMar>
            <w:top w:w="0" w:type="dxa"/>
            <w:left w:w="108" w:type="dxa"/>
            <w:bottom w:w="0" w:type="dxa"/>
            <w:right w:w="108" w:type="dxa"/>
          </w:tblCellMar>
        </w:tblPrEx>
        <w:trPr>
          <w:trHeight w:val="90" w:hRule="atLeast"/>
        </w:trPr>
        <w:tc>
          <w:tcPr>
            <w:tcW w:w="109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报价要求</w:t>
            </w:r>
          </w:p>
        </w:tc>
        <w:tc>
          <w:tcPr>
            <w:tcW w:w="8406"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Cs/>
                <w:color w:val="auto"/>
                <w:sz w:val="21"/>
                <w:szCs w:val="21"/>
                <w:highlight w:val="none"/>
              </w:rPr>
              <w:t>总报价应包含货物、货物标准附件、备品备件、专用工具、设备安装辅材、包装、运输、保险等各种费用以及安装、调试、税金、售后服务、技术培训费、更新升级其所有成本费用。</w:t>
            </w:r>
          </w:p>
        </w:tc>
      </w:tr>
      <w:tr>
        <w:tblPrEx>
          <w:tblCellMar>
            <w:top w:w="0" w:type="dxa"/>
            <w:left w:w="108" w:type="dxa"/>
            <w:bottom w:w="0" w:type="dxa"/>
            <w:right w:w="108" w:type="dxa"/>
          </w:tblCellMar>
        </w:tblPrEx>
        <w:trPr>
          <w:trHeight w:val="90" w:hRule="atLeast"/>
        </w:trPr>
        <w:tc>
          <w:tcPr>
            <w:tcW w:w="109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验收要求</w:t>
            </w:r>
          </w:p>
        </w:tc>
        <w:tc>
          <w:tcPr>
            <w:tcW w:w="8406"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 xml:space="preserve">采购人对成交供应商提交的货物依据采购文件上的技术规格要求和国家有关质量标准进行现场签收，符合采购文件技术要求的，给予签收，不合格的不予签收。 </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成交供应商交货前应对产品作出全面检查和对验收文件进行整理，并列出清单，检验的结果应随货物交采购人。成交供应商不能完整交付货物及本款规定的相关证明材料的，必须负责补齐，否则视为未按合同约定交货。 </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3.成交供应商需负责安装、调试，并培训采购人的使用操作人员，直到设备运行符合技术要求及采购人人员熟练操作后，采购人再进行组织验收。 </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4.采购人组织验收，成交供应商必须到场配合，验收合格后双方签署验收合格凭证。</w:t>
            </w:r>
          </w:p>
          <w:p>
            <w:pPr>
              <w:spacing w:line="360" w:lineRule="auto"/>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Cs/>
                <w:color w:val="auto"/>
                <w:sz w:val="21"/>
                <w:szCs w:val="21"/>
                <w:highlight w:val="none"/>
              </w:rPr>
              <w:t>5.其他未尽事宜应严格参照《关于印发广西壮族自治区政府采购项目履约验收管理办法的通知》[桂财采〔2015〕22 号]以及《财政部关于进一步加强政府采购需求和履约验收管理的指导意见》[财库〔2016〕205 号]规定执行。</w:t>
            </w:r>
          </w:p>
        </w:tc>
      </w:tr>
      <w:tr>
        <w:tblPrEx>
          <w:tblCellMar>
            <w:top w:w="0" w:type="dxa"/>
            <w:left w:w="108" w:type="dxa"/>
            <w:bottom w:w="0" w:type="dxa"/>
            <w:right w:w="108" w:type="dxa"/>
          </w:tblCellMar>
        </w:tblPrEx>
        <w:trPr>
          <w:trHeight w:val="90" w:hRule="atLeast"/>
        </w:trPr>
        <w:tc>
          <w:tcPr>
            <w:tcW w:w="1092" w:type="dxa"/>
            <w:gridSpan w:val="2"/>
            <w:tcBorders>
              <w:top w:val="single" w:color="000000" w:sz="4" w:space="0"/>
              <w:left w:val="single" w:color="000000" w:sz="4" w:space="0"/>
              <w:bottom w:val="single" w:color="000000" w:sz="4" w:space="0"/>
              <w:right w:val="single" w:color="auto" w:sz="4" w:space="0"/>
            </w:tcBorders>
            <w:shd w:val="clear" w:color="auto" w:fill="auto"/>
          </w:tcPr>
          <w:p>
            <w:pPr>
              <w:spacing w:line="400" w:lineRule="exact"/>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现场踏勘</w:t>
            </w:r>
          </w:p>
          <w:p>
            <w:pPr>
              <w:spacing w:line="400" w:lineRule="exact"/>
              <w:jc w:val="left"/>
              <w:rPr>
                <w:rFonts w:hint="eastAsia" w:ascii="宋体" w:hAnsi="宋体" w:eastAsia="宋体" w:cs="宋体"/>
                <w:color w:val="auto"/>
                <w:spacing w:val="0"/>
                <w:kern w:val="2"/>
                <w:sz w:val="21"/>
                <w:szCs w:val="21"/>
                <w:highlight w:val="none"/>
                <w:lang w:val="en-US" w:eastAsia="zh-CN" w:bidi="ar-SA"/>
              </w:rPr>
            </w:pPr>
          </w:p>
        </w:tc>
        <w:tc>
          <w:tcPr>
            <w:tcW w:w="8406" w:type="dxa"/>
            <w:gridSpan w:val="4"/>
            <w:tcBorders>
              <w:top w:val="single" w:color="000000" w:sz="4" w:space="0"/>
              <w:left w:val="single" w:color="auto" w:sz="4" w:space="0"/>
              <w:bottom w:val="single" w:color="000000" w:sz="4" w:space="0"/>
              <w:right w:val="single" w:color="000000" w:sz="4" w:space="0"/>
            </w:tcBorders>
            <w:shd w:val="clear" w:color="auto" w:fill="auto"/>
            <w:vAlign w:val="top"/>
          </w:tcPr>
          <w:p>
            <w:pPr>
              <w:pStyle w:val="17"/>
              <w:spacing w:line="360" w:lineRule="auto"/>
              <w:ind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为保证报价符合采购需求，投标人应在采购人</w:t>
            </w:r>
            <w:r>
              <w:rPr>
                <w:rFonts w:hint="eastAsia" w:ascii="宋体" w:hAnsi="宋体" w:cs="宋体"/>
                <w:color w:val="auto"/>
                <w:spacing w:val="0"/>
                <w:kern w:val="2"/>
                <w:sz w:val="21"/>
                <w:szCs w:val="21"/>
                <w:highlight w:val="none"/>
                <w:lang w:val="en-US" w:eastAsia="zh-CN" w:bidi="ar-SA"/>
              </w:rPr>
              <w:t>、</w:t>
            </w:r>
            <w:r>
              <w:rPr>
                <w:rFonts w:hint="eastAsia" w:ascii="宋体" w:hAnsi="宋体" w:eastAsia="宋体" w:cs="宋体"/>
                <w:color w:val="auto"/>
                <w:spacing w:val="0"/>
                <w:kern w:val="2"/>
                <w:sz w:val="21"/>
                <w:szCs w:val="21"/>
                <w:highlight w:val="none"/>
                <w:lang w:val="en-US" w:eastAsia="zh-CN" w:bidi="ar-SA"/>
              </w:rPr>
              <w:t>钦州市政府采购中心组织下统一进行实地勘查了解现场实际情况。供应商的现场踏勘实行</w:t>
            </w:r>
            <w:r>
              <w:rPr>
                <w:rFonts w:hint="eastAsia" w:ascii="宋体" w:hAnsi="宋体" w:eastAsia="宋体" w:cs="宋体"/>
                <w:b/>
                <w:bCs/>
                <w:color w:val="auto"/>
                <w:spacing w:val="0"/>
                <w:kern w:val="2"/>
                <w:sz w:val="21"/>
                <w:szCs w:val="21"/>
                <w:highlight w:val="none"/>
                <w:lang w:val="en-US" w:eastAsia="zh-CN" w:bidi="ar-SA"/>
              </w:rPr>
              <w:t>自愿</w:t>
            </w:r>
            <w:r>
              <w:rPr>
                <w:rFonts w:hint="eastAsia" w:ascii="宋体" w:hAnsi="宋体" w:eastAsia="宋体" w:cs="宋体"/>
                <w:color w:val="auto"/>
                <w:spacing w:val="0"/>
                <w:kern w:val="2"/>
                <w:sz w:val="21"/>
                <w:szCs w:val="21"/>
                <w:highlight w:val="none"/>
                <w:lang w:val="en-US" w:eastAsia="zh-CN" w:bidi="ar-SA"/>
              </w:rPr>
              <w:t>原则，授权委托书、个人身份证原件。</w:t>
            </w:r>
          </w:p>
          <w:p>
            <w:pPr>
              <w:pStyle w:val="17"/>
              <w:spacing w:line="360" w:lineRule="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踏勘时间：2025年9月</w:t>
            </w:r>
            <w:r>
              <w:rPr>
                <w:rFonts w:hint="eastAsia" w:ascii="宋体" w:hAnsi="宋体" w:cs="宋体"/>
                <w:color w:val="auto"/>
                <w:spacing w:val="0"/>
                <w:kern w:val="2"/>
                <w:sz w:val="21"/>
                <w:szCs w:val="21"/>
                <w:highlight w:val="none"/>
                <w:lang w:val="en-US" w:eastAsia="zh-CN" w:bidi="ar-SA"/>
              </w:rPr>
              <w:t>16</w:t>
            </w:r>
            <w:r>
              <w:rPr>
                <w:rFonts w:hint="eastAsia" w:ascii="宋体" w:hAnsi="宋体" w:eastAsia="宋体" w:cs="宋体"/>
                <w:color w:val="auto"/>
                <w:spacing w:val="0"/>
                <w:kern w:val="2"/>
                <w:sz w:val="21"/>
                <w:szCs w:val="21"/>
                <w:highlight w:val="none"/>
                <w:lang w:val="en-US" w:eastAsia="zh-CN" w:bidi="ar-SA"/>
              </w:rPr>
              <w:t>日</w:t>
            </w:r>
            <w:r>
              <w:rPr>
                <w:rFonts w:hint="eastAsia" w:ascii="宋体" w:hAnsi="宋体" w:cs="宋体"/>
                <w:color w:val="auto"/>
                <w:spacing w:val="0"/>
                <w:kern w:val="2"/>
                <w:sz w:val="21"/>
                <w:szCs w:val="21"/>
                <w:highlight w:val="none"/>
                <w:lang w:val="en-US" w:eastAsia="zh-CN" w:bidi="ar-SA"/>
              </w:rPr>
              <w:t>下</w:t>
            </w:r>
            <w:r>
              <w:rPr>
                <w:rFonts w:hint="eastAsia" w:ascii="宋体" w:hAnsi="宋体" w:eastAsia="宋体" w:cs="宋体"/>
                <w:color w:val="auto"/>
                <w:spacing w:val="0"/>
                <w:kern w:val="2"/>
                <w:sz w:val="21"/>
                <w:szCs w:val="21"/>
                <w:highlight w:val="none"/>
                <w:lang w:val="en-US" w:eastAsia="zh-CN" w:bidi="ar-SA"/>
              </w:rPr>
              <w:t>午</w:t>
            </w:r>
            <w:r>
              <w:rPr>
                <w:rFonts w:hint="eastAsia" w:ascii="宋体" w:hAnsi="宋体" w:cs="宋体"/>
                <w:color w:val="auto"/>
                <w:spacing w:val="0"/>
                <w:kern w:val="2"/>
                <w:sz w:val="21"/>
                <w:szCs w:val="21"/>
                <w:highlight w:val="none"/>
                <w:lang w:val="en-US" w:eastAsia="zh-CN" w:bidi="ar-SA"/>
              </w:rPr>
              <w:t>15</w:t>
            </w:r>
            <w:r>
              <w:rPr>
                <w:rFonts w:hint="eastAsia" w:ascii="宋体" w:hAnsi="宋体" w:eastAsia="宋体" w:cs="宋体"/>
                <w:color w:val="auto"/>
                <w:spacing w:val="0"/>
                <w:kern w:val="2"/>
                <w:sz w:val="21"/>
                <w:szCs w:val="21"/>
                <w:highlight w:val="none"/>
                <w:lang w:val="en-US" w:eastAsia="zh-CN" w:bidi="ar-SA"/>
              </w:rPr>
              <w:t>:</w:t>
            </w:r>
            <w:r>
              <w:rPr>
                <w:rFonts w:hint="eastAsia" w:ascii="宋体" w:hAnsi="宋体" w:cs="宋体"/>
                <w:color w:val="auto"/>
                <w:spacing w:val="0"/>
                <w:kern w:val="2"/>
                <w:sz w:val="21"/>
                <w:szCs w:val="21"/>
                <w:highlight w:val="none"/>
                <w:lang w:val="en-US" w:eastAsia="zh-CN" w:bidi="ar-SA"/>
              </w:rPr>
              <w:t>00</w:t>
            </w:r>
            <w:r>
              <w:rPr>
                <w:rFonts w:hint="eastAsia" w:ascii="宋体" w:hAnsi="宋体" w:eastAsia="宋体" w:cs="宋体"/>
                <w:color w:val="auto"/>
                <w:spacing w:val="0"/>
                <w:kern w:val="2"/>
                <w:sz w:val="21"/>
                <w:szCs w:val="21"/>
                <w:highlight w:val="none"/>
                <w:lang w:val="en-US" w:eastAsia="zh-CN" w:bidi="ar-SA"/>
              </w:rPr>
              <w:t>分（逾期不候）</w:t>
            </w:r>
          </w:p>
          <w:p>
            <w:pPr>
              <w:pStyle w:val="17"/>
              <w:spacing w:line="360" w:lineRule="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集合地点：钦州市钦南区西环南路89号 钦州幼儿师范高等专科学校正门</w:t>
            </w:r>
          </w:p>
          <w:p>
            <w:pPr>
              <w:spacing w:line="360" w:lineRule="auto"/>
              <w:jc w:val="left"/>
              <w:rPr>
                <w:rFonts w:hint="default"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现场踏勘联系人及电话：郭文惠，19977705288</w:t>
            </w:r>
          </w:p>
        </w:tc>
      </w:tr>
      <w:tr>
        <w:tblPrEx>
          <w:tblCellMar>
            <w:top w:w="0" w:type="dxa"/>
            <w:left w:w="108" w:type="dxa"/>
            <w:bottom w:w="0" w:type="dxa"/>
            <w:right w:w="108" w:type="dxa"/>
          </w:tblCellMar>
        </w:tblPrEx>
        <w:trPr>
          <w:trHeight w:val="90" w:hRule="atLeast"/>
        </w:trPr>
        <w:tc>
          <w:tcPr>
            <w:tcW w:w="1092" w:type="dxa"/>
            <w:gridSpan w:val="2"/>
            <w:tcBorders>
              <w:top w:val="single" w:color="000000" w:sz="4" w:space="0"/>
              <w:left w:val="single" w:color="000000" w:sz="4" w:space="0"/>
              <w:bottom w:val="single" w:color="000000" w:sz="4" w:space="0"/>
              <w:right w:val="single" w:color="auto" w:sz="4" w:space="0"/>
            </w:tcBorders>
            <w:shd w:val="clear" w:color="auto" w:fill="auto"/>
          </w:tcPr>
          <w:p>
            <w:pPr>
              <w:spacing w:line="400" w:lineRule="exact"/>
              <w:jc w:val="left"/>
              <w:rPr>
                <w:rFonts w:hint="default"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其他要求</w:t>
            </w:r>
          </w:p>
        </w:tc>
        <w:tc>
          <w:tcPr>
            <w:tcW w:w="8406" w:type="dxa"/>
            <w:gridSpan w:val="4"/>
            <w:tcBorders>
              <w:top w:val="single" w:color="000000" w:sz="4" w:space="0"/>
              <w:left w:val="single" w:color="auto" w:sz="4" w:space="0"/>
              <w:bottom w:val="single" w:color="000000" w:sz="4" w:space="0"/>
              <w:right w:val="single" w:color="000000" w:sz="4" w:space="0"/>
            </w:tcBorders>
            <w:shd w:val="clear" w:color="auto" w:fill="auto"/>
            <w:vAlign w:val="top"/>
          </w:tcPr>
          <w:p>
            <w:pPr>
              <w:spacing w:line="360" w:lineRule="auto"/>
              <w:jc w:val="left"/>
              <w:rPr>
                <w:rFonts w:hint="default"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投标人在政府采购活动中提供任何虚假材料，以及提供的产品技术参数不如实说明，报监管部门查处。</w:t>
            </w:r>
          </w:p>
        </w:tc>
      </w:tr>
    </w:tbl>
    <w:p>
      <w:pPr>
        <w:spacing w:line="430" w:lineRule="exact"/>
        <w:jc w:val="left"/>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430" w:lineRule="exact"/>
        <w:jc w:val="left"/>
        <w:rPr>
          <w:rFonts w:ascii="宋体" w:hAnsi="宋体"/>
          <w:color w:val="auto"/>
          <w:szCs w:val="21"/>
          <w:highlight w:val="none"/>
        </w:rPr>
      </w:pPr>
    </w:p>
    <w:p>
      <w:pPr>
        <w:widowControl/>
        <w:jc w:val="left"/>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color w:val="auto"/>
          <w:highlight w:val="none"/>
        </w:rPr>
      </w:pPr>
    </w:p>
    <w:p>
      <w:pPr>
        <w:pStyle w:val="3"/>
        <w:spacing w:line="400" w:lineRule="exact"/>
        <w:rPr>
          <w:rFonts w:ascii="方正小标宋简体" w:eastAsia="方正小标宋简体"/>
          <w:color w:val="auto"/>
          <w:highlight w:val="none"/>
        </w:rPr>
      </w:pPr>
      <w:bookmarkStart w:id="50" w:name="_Toc92355025"/>
      <w:r>
        <w:rPr>
          <w:rFonts w:hint="eastAsia" w:ascii="方正小标宋简体" w:eastAsia="方正小标宋简体"/>
          <w:color w:val="auto"/>
          <w:highlight w:val="none"/>
        </w:rPr>
        <w:t>第三章  供应商须知</w:t>
      </w:r>
      <w:bookmarkEnd w:id="46"/>
      <w:bookmarkEnd w:id="47"/>
      <w:bookmarkEnd w:id="50"/>
    </w:p>
    <w:p>
      <w:pPr>
        <w:jc w:val="center"/>
        <w:rPr>
          <w:rFonts w:ascii="仿宋_GB2312" w:hAnsi="宋体" w:eastAsia="仿宋_GB2312"/>
          <w:b/>
          <w:color w:val="auto"/>
          <w:sz w:val="32"/>
          <w:szCs w:val="32"/>
          <w:highlight w:val="none"/>
        </w:rPr>
      </w:pPr>
      <w:bookmarkStart w:id="51" w:name="_Toc350325671"/>
      <w:bookmarkStart w:id="52" w:name="_Toc357157408"/>
      <w:bookmarkStart w:id="53" w:name="_Toc358477281"/>
      <w:bookmarkStart w:id="54" w:name="_Toc354479499"/>
      <w:r>
        <w:rPr>
          <w:rFonts w:ascii="仿宋_GB2312" w:hAnsi="宋体" w:eastAsia="仿宋_GB2312"/>
          <w:b/>
          <w:color w:val="auto"/>
          <w:sz w:val="32"/>
          <w:szCs w:val="32"/>
          <w:highlight w:val="none"/>
        </w:rPr>
        <w:br w:type="page"/>
      </w:r>
    </w:p>
    <w:p>
      <w:pPr>
        <w:rPr>
          <w:color w:val="auto"/>
          <w:highlight w:val="none"/>
        </w:rPr>
      </w:pPr>
    </w:p>
    <w:p>
      <w:pPr>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一、供应商须知前附表</w:t>
      </w:r>
    </w:p>
    <w:tbl>
      <w:tblPr>
        <w:tblStyle w:val="34"/>
        <w:tblW w:w="0" w:type="auto"/>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内    容</w:t>
            </w:r>
          </w:p>
        </w:tc>
      </w:tr>
      <w:tr>
        <w:tblPrEx>
          <w:tblCellMar>
            <w:top w:w="0" w:type="dxa"/>
            <w:left w:w="108" w:type="dxa"/>
            <w:bottom w:w="0" w:type="dxa"/>
            <w:right w:w="108" w:type="dxa"/>
          </w:tblCellMar>
        </w:tblPrEx>
        <w:trPr>
          <w:trHeight w:val="11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1"/>
                <w:rFonts w:hint="eastAsia" w:eastAsia="宋体"/>
                <w:color w:val="auto"/>
                <w:szCs w:val="21"/>
                <w:highlight w:val="none"/>
                <w:u w:val="none"/>
                <w:lang w:eastAsia="zh-CN"/>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"_一、总_则" </w:instrText>
            </w:r>
            <w:r>
              <w:rPr>
                <w:rFonts w:ascii="宋体" w:hAnsi="宋体" w:cs="宋体"/>
                <w:color w:val="auto"/>
                <w:kern w:val="0"/>
                <w:szCs w:val="21"/>
                <w:highlight w:val="none"/>
              </w:rPr>
              <w:fldChar w:fldCharType="separate"/>
            </w:r>
            <w:r>
              <w:rPr>
                <w:rStyle w:val="41"/>
                <w:rFonts w:hint="eastAsia" w:ascii="宋体" w:hAnsi="宋体" w:cs="宋体"/>
                <w:color w:val="auto"/>
                <w:kern w:val="0"/>
                <w:szCs w:val="21"/>
                <w:highlight w:val="none"/>
                <w:u w:val="none"/>
              </w:rPr>
              <w:t>项目名称：</w:t>
            </w:r>
            <w:r>
              <w:rPr>
                <w:rFonts w:hint="eastAsia"/>
                <w:color w:val="auto"/>
                <w:highlight w:val="none"/>
                <w:lang w:eastAsia="zh-CN"/>
              </w:rPr>
              <w:t>钦州幼儿师范高等专科学校医学营养专业实训室</w:t>
            </w:r>
          </w:p>
          <w:p>
            <w:pPr>
              <w:widowControl/>
              <w:spacing w:line="440" w:lineRule="exact"/>
              <w:rPr>
                <w:rFonts w:hint="eastAsia" w:ascii="宋体" w:hAnsi="宋体" w:eastAsia="宋体"/>
                <w:color w:val="auto"/>
                <w:szCs w:val="21"/>
                <w:highlight w:val="none"/>
                <w:lang w:eastAsia="zh-CN"/>
              </w:rPr>
            </w:pPr>
            <w:r>
              <w:rPr>
                <w:rStyle w:val="41"/>
                <w:rFonts w:hint="eastAsia" w:ascii="宋体" w:hAnsi="宋体"/>
                <w:color w:val="auto"/>
                <w:szCs w:val="21"/>
                <w:highlight w:val="none"/>
                <w:u w:val="none"/>
              </w:rPr>
              <w:t>项目编号：</w:t>
            </w:r>
            <w:r>
              <w:rPr>
                <w:rFonts w:ascii="宋体" w:hAnsi="宋体" w:cs="宋体"/>
                <w:color w:val="auto"/>
                <w:kern w:val="0"/>
                <w:szCs w:val="21"/>
                <w:highlight w:val="none"/>
              </w:rPr>
              <w:fldChar w:fldCharType="end"/>
            </w:r>
            <w:r>
              <w:rPr>
                <w:rFonts w:hint="eastAsia" w:ascii="宋体" w:hAnsi="宋体" w:cs="宋体"/>
                <w:color w:val="auto"/>
                <w:kern w:val="0"/>
                <w:szCs w:val="21"/>
                <w:highlight w:val="none"/>
                <w:lang w:eastAsia="zh-CN"/>
              </w:rPr>
              <w:t>QZZC2025-J1-990250-QZSZ</w:t>
            </w:r>
          </w:p>
        </w:tc>
      </w:tr>
      <w:tr>
        <w:tblPrEx>
          <w:tblCellMar>
            <w:top w:w="0" w:type="dxa"/>
            <w:left w:w="108" w:type="dxa"/>
            <w:bottom w:w="0" w:type="dxa"/>
            <w:right w:w="108" w:type="dxa"/>
          </w:tblCellMar>
        </w:tblPrEx>
        <w:trPr>
          <w:trHeight w:val="26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1"/>
                <w:rFonts w:ascii="宋体" w:hAnsi="宋体"/>
                <w:color w:val="auto"/>
                <w:highlight w:val="none"/>
                <w:u w:val="non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HYPERLINK </w:instrText>
            </w:r>
            <w:r>
              <w:rPr>
                <w:rFonts w:ascii="宋体" w:hAnsi="宋体"/>
                <w:color w:val="auto"/>
                <w:highlight w:val="none"/>
              </w:rPr>
              <w:instrText xml:space="preserve"> \l "_一、总_则" </w:instrText>
            </w:r>
            <w:r>
              <w:rPr>
                <w:rFonts w:ascii="宋体" w:hAnsi="宋体"/>
                <w:color w:val="auto"/>
                <w:highlight w:val="none"/>
              </w:rPr>
              <w:fldChar w:fldCharType="separate"/>
            </w:r>
            <w:r>
              <w:rPr>
                <w:rStyle w:val="41"/>
                <w:rFonts w:hint="eastAsia" w:ascii="宋体" w:hAnsi="宋体"/>
                <w:color w:val="auto"/>
                <w:highlight w:val="none"/>
                <w:u w:val="none"/>
              </w:rPr>
              <w:t>供应商资格：</w:t>
            </w:r>
          </w:p>
          <w:p>
            <w:pPr>
              <w:spacing w:line="440" w:lineRule="exact"/>
              <w:rPr>
                <w:rFonts w:ascii="宋体" w:hAnsi="宋体"/>
                <w:color w:val="auto"/>
                <w:highlight w:val="none"/>
              </w:rPr>
            </w:pPr>
            <w:r>
              <w:rPr>
                <w:rFonts w:ascii="宋体" w:hAnsi="宋体"/>
                <w:color w:val="auto"/>
                <w:highlight w:val="none"/>
              </w:rPr>
              <w:fldChar w:fldCharType="end"/>
            </w:r>
            <w:r>
              <w:rPr>
                <w:rFonts w:hint="eastAsia" w:ascii="宋体" w:hAnsi="宋体"/>
                <w:color w:val="auto"/>
                <w:highlight w:val="none"/>
              </w:rPr>
              <w:t>1.满足《中华人民共和国政府采购法》第二十二条规定</w:t>
            </w:r>
          </w:p>
          <w:p>
            <w:pPr>
              <w:spacing w:line="440" w:lineRule="exact"/>
              <w:rPr>
                <w:rFonts w:ascii="宋体" w:hAnsi="宋体"/>
                <w:color w:val="auto"/>
                <w:highlight w:val="none"/>
              </w:rPr>
            </w:pPr>
            <w:r>
              <w:rPr>
                <w:rFonts w:hint="eastAsia" w:ascii="宋体" w:hAnsi="宋体"/>
                <w:color w:val="auto"/>
                <w:highlight w:val="none"/>
              </w:rPr>
              <w:t>2.落实政府采购政策需满足的资格要求：</w:t>
            </w:r>
            <w:r>
              <w:rPr>
                <w:rFonts w:hint="eastAsia"/>
                <w:color w:val="auto"/>
                <w:highlight w:val="none"/>
              </w:rPr>
              <w:t>无</w:t>
            </w:r>
          </w:p>
          <w:p>
            <w:pPr>
              <w:spacing w:line="440" w:lineRule="exact"/>
              <w:rPr>
                <w:rFonts w:ascii="宋体" w:hAnsi="宋体"/>
                <w:color w:val="auto"/>
                <w:highlight w:val="none"/>
              </w:rPr>
            </w:pPr>
            <w:r>
              <w:rPr>
                <w:rFonts w:hint="eastAsia" w:ascii="宋体" w:hAnsi="宋体"/>
                <w:color w:val="auto"/>
                <w:highlight w:val="none"/>
              </w:rPr>
              <w:t>3.本项目的特定资格要求：无</w:t>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color w:val="auto"/>
                <w:highlight w:val="none"/>
              </w:rPr>
            </w:pPr>
            <w:r>
              <w:rPr>
                <w:color w:val="auto"/>
                <w:highlight w:val="none"/>
              </w:rPr>
              <w:fldChar w:fldCharType="begin"/>
            </w:r>
            <w:r>
              <w:rPr>
                <w:color w:val="auto"/>
                <w:highlight w:val="none"/>
              </w:rPr>
              <w:instrText xml:space="preserve"> HYPERLINK \l "_（五）报价" </w:instrText>
            </w:r>
            <w:r>
              <w:rPr>
                <w:color w:val="auto"/>
                <w:highlight w:val="none"/>
              </w:rPr>
              <w:fldChar w:fldCharType="separate"/>
            </w:r>
            <w:r>
              <w:rPr>
                <w:rStyle w:val="41"/>
                <w:rFonts w:hint="eastAsia" w:ascii="宋体" w:hAnsi="宋体" w:cs="宋体"/>
                <w:color w:val="auto"/>
                <w:kern w:val="0"/>
                <w:szCs w:val="21"/>
                <w:highlight w:val="none"/>
                <w:u w:val="none"/>
              </w:rPr>
              <w:t>报价：供应商的报价必须按采购文件或政府采购云平台规定的格式填写，并在规定时间内提交最后报价。</w:t>
            </w:r>
            <w:r>
              <w:rPr>
                <w:rStyle w:val="41"/>
                <w:rFonts w:hint="eastAsia" w:ascii="宋体" w:hAnsi="宋体" w:cs="宋体"/>
                <w:color w:val="auto"/>
                <w:kern w:val="0"/>
                <w:szCs w:val="21"/>
                <w:highlight w:val="none"/>
                <w:u w:val="none"/>
              </w:rPr>
              <w:fldChar w:fldCharType="end"/>
            </w:r>
          </w:p>
        </w:tc>
      </w:tr>
      <w:tr>
        <w:tblPrEx>
          <w:tblCellMar>
            <w:top w:w="0" w:type="dxa"/>
            <w:left w:w="108" w:type="dxa"/>
            <w:bottom w:w="0" w:type="dxa"/>
            <w:right w:w="108" w:type="dxa"/>
          </w:tblCellMar>
        </w:tblPrEx>
        <w:trPr>
          <w:trHeight w:val="23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1"/>
                <w:rFonts w:ascii="宋体" w:hAnsi="宋体"/>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"_四、响应文件开启" </w:instrText>
            </w:r>
            <w:r>
              <w:rPr>
                <w:rFonts w:ascii="宋体" w:hAnsi="宋体" w:cs="宋体"/>
                <w:color w:val="auto"/>
                <w:kern w:val="0"/>
                <w:szCs w:val="21"/>
                <w:highlight w:val="none"/>
              </w:rPr>
              <w:fldChar w:fldCharType="separate"/>
            </w:r>
            <w:r>
              <w:rPr>
                <w:rStyle w:val="41"/>
                <w:rFonts w:hint="eastAsia" w:ascii="宋体" w:hAnsi="宋体" w:cs="宋体"/>
                <w:color w:val="auto"/>
                <w:kern w:val="0"/>
                <w:szCs w:val="21"/>
                <w:highlight w:val="none"/>
                <w:u w:val="none"/>
              </w:rPr>
              <w:t>响应文件提交截止时间及开启时间：</w:t>
            </w:r>
            <w:r>
              <w:rPr>
                <w:rFonts w:hint="eastAsia"/>
                <w:color w:val="auto"/>
                <w:highlight w:val="none"/>
              </w:rPr>
              <w:t>2025年</w:t>
            </w:r>
            <w:r>
              <w:rPr>
                <w:rFonts w:hint="eastAsia"/>
                <w:color w:val="auto"/>
                <w:highlight w:val="none"/>
                <w:lang w:val="en-US" w:eastAsia="zh-CN"/>
              </w:rPr>
              <w:t>9</w:t>
            </w:r>
            <w:r>
              <w:rPr>
                <w:rFonts w:hint="eastAsia"/>
                <w:color w:val="auto"/>
                <w:highlight w:val="none"/>
                <w:lang w:eastAsia="zh-CN"/>
              </w:rPr>
              <w:t>月</w:t>
            </w:r>
            <w:r>
              <w:rPr>
                <w:rFonts w:hint="eastAsia"/>
                <w:color w:val="auto"/>
                <w:highlight w:val="none"/>
                <w:lang w:val="en-US" w:eastAsia="zh-CN"/>
              </w:rPr>
              <w:t>18</w:t>
            </w:r>
            <w:r>
              <w:rPr>
                <w:rFonts w:hint="eastAsia"/>
                <w:color w:val="auto"/>
                <w:highlight w:val="none"/>
              </w:rPr>
              <w:t>日</w:t>
            </w: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w:t>
            </w:r>
          </w:p>
          <w:p>
            <w:pPr>
              <w:widowControl/>
              <w:spacing w:line="440" w:lineRule="exact"/>
              <w:rPr>
                <w:color w:val="auto"/>
                <w:highlight w:val="none"/>
              </w:rPr>
            </w:pPr>
            <w:r>
              <w:rPr>
                <w:rStyle w:val="41"/>
                <w:rFonts w:hint="eastAsia"/>
                <w:b/>
                <w:color w:val="auto"/>
                <w:szCs w:val="21"/>
                <w:highlight w:val="none"/>
                <w:u w:val="none"/>
              </w:rPr>
              <w:t>注意事项：</w:t>
            </w:r>
            <w:r>
              <w:rPr>
                <w:rStyle w:val="41"/>
                <w:rFonts w:hint="eastAsia"/>
                <w:bCs/>
                <w:color w:val="auto"/>
                <w:highlight w:val="none"/>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229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1"/>
                <w:color w:val="auto"/>
                <w:highlight w:val="none"/>
                <w:u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w:instrText>
            </w:r>
            <w:r>
              <w:rPr>
                <w:color w:val="auto"/>
                <w:highlight w:val="none"/>
              </w:rPr>
              <w:instrText xml:space="preserve"> \l "</w:instrText>
            </w:r>
            <w:r>
              <w:rPr>
                <w:rFonts w:hint="eastAsia"/>
                <w:color w:val="auto"/>
                <w:highlight w:val="none"/>
              </w:rPr>
              <w:instrText xml:space="preserve">_五、评审与谈判</w:instrText>
            </w:r>
            <w:r>
              <w:rPr>
                <w:color w:val="auto"/>
                <w:highlight w:val="none"/>
              </w:rPr>
              <w:instrText xml:space="preserve">" </w:instrText>
            </w:r>
            <w:r>
              <w:rPr>
                <w:color w:val="auto"/>
                <w:highlight w:val="none"/>
              </w:rPr>
              <w:fldChar w:fldCharType="separate"/>
            </w:r>
            <w:r>
              <w:rPr>
                <w:rStyle w:val="41"/>
                <w:color w:val="auto"/>
                <w:highlight w:val="none"/>
                <w:u w:val="none"/>
              </w:rPr>
              <w:t>评审及谈判：</w:t>
            </w:r>
          </w:p>
          <w:p>
            <w:pPr>
              <w:spacing w:line="440" w:lineRule="exact"/>
              <w:rPr>
                <w:color w:val="auto"/>
                <w:highlight w:val="none"/>
              </w:rPr>
            </w:pPr>
            <w:r>
              <w:rPr>
                <w:rStyle w:val="41"/>
                <w:rFonts w:hint="eastAsia"/>
                <w:color w:val="auto"/>
                <w:highlight w:val="none"/>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rPr>
                <w:color w:val="auto"/>
                <w:highlight w:val="none"/>
              </w:rPr>
              <w:fldChar w:fldCharType="end"/>
            </w:r>
          </w:p>
        </w:tc>
      </w:tr>
      <w:tr>
        <w:tblPrEx>
          <w:tblCellMar>
            <w:top w:w="0" w:type="dxa"/>
            <w:left w:w="108" w:type="dxa"/>
            <w:bottom w:w="0" w:type="dxa"/>
            <w:right w:w="108" w:type="dxa"/>
          </w:tblCellMar>
        </w:tblPrEx>
        <w:trPr>
          <w:trHeight w:val="9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color w:val="auto"/>
                <w:kern w:val="0"/>
                <w:szCs w:val="21"/>
                <w:highlight w:val="none"/>
              </w:rPr>
            </w:pPr>
            <w:r>
              <w:rPr>
                <w:color w:val="auto"/>
                <w:highlight w:val="none"/>
              </w:rPr>
              <w:fldChar w:fldCharType="begin"/>
            </w:r>
            <w:r>
              <w:rPr>
                <w:color w:val="auto"/>
                <w:highlight w:val="none"/>
              </w:rPr>
              <w:instrText xml:space="preserve"> HYPERLINK \l "_第四章__评定标准及推荐原则" </w:instrText>
            </w:r>
            <w:r>
              <w:rPr>
                <w:color w:val="auto"/>
                <w:highlight w:val="none"/>
              </w:rPr>
              <w:fldChar w:fldCharType="separate"/>
            </w:r>
            <w:r>
              <w:rPr>
                <w:rStyle w:val="41"/>
                <w:rFonts w:hint="eastAsia" w:ascii="宋体" w:hAnsi="宋体" w:cs="宋体"/>
                <w:color w:val="auto"/>
                <w:kern w:val="0"/>
                <w:szCs w:val="21"/>
                <w:highlight w:val="none"/>
                <w:u w:val="none"/>
              </w:rPr>
              <w:t>评定方法：</w:t>
            </w:r>
            <w:r>
              <w:rPr>
                <w:rStyle w:val="41"/>
                <w:rFonts w:hint="eastAsia"/>
                <w:color w:val="auto"/>
                <w:highlight w:val="none"/>
                <w:u w:val="none"/>
              </w:rPr>
              <w:t>详见第四章《评定标准及推荐原则》。</w:t>
            </w:r>
            <w:r>
              <w:rPr>
                <w:rStyle w:val="41"/>
                <w:rFonts w:hint="eastAsia"/>
                <w:color w:val="auto"/>
                <w:highlight w:val="none"/>
                <w:u w:val="none"/>
              </w:rPr>
              <w:fldChar w:fldCharType="end"/>
            </w:r>
          </w:p>
        </w:tc>
      </w:tr>
      <w:tr>
        <w:tblPrEx>
          <w:tblCellMar>
            <w:top w:w="0" w:type="dxa"/>
            <w:left w:w="108" w:type="dxa"/>
            <w:bottom w:w="0" w:type="dxa"/>
            <w:right w:w="108" w:type="dxa"/>
          </w:tblCellMar>
        </w:tblPrEx>
        <w:trPr>
          <w:trHeight w:val="13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color w:val="auto"/>
                <w:kern w:val="0"/>
                <w:szCs w:val="21"/>
                <w:highlight w:val="none"/>
              </w:rPr>
            </w:pPr>
            <w:r>
              <w:rPr>
                <w:color w:val="auto"/>
                <w:highlight w:val="none"/>
              </w:rPr>
              <w:fldChar w:fldCharType="begin"/>
            </w:r>
            <w:r>
              <w:rPr>
                <w:color w:val="auto"/>
                <w:highlight w:val="none"/>
              </w:rPr>
              <w:instrText xml:space="preserve"> HYPERLINK \l "_十、其他事项" </w:instrText>
            </w:r>
            <w:r>
              <w:rPr>
                <w:color w:val="auto"/>
                <w:highlight w:val="none"/>
              </w:rPr>
              <w:fldChar w:fldCharType="separate"/>
            </w:r>
            <w:r>
              <w:rPr>
                <w:rStyle w:val="41"/>
                <w:rFonts w:hint="eastAsia" w:ascii="宋体" w:hAnsi="宋体" w:cs="宋体"/>
                <w:color w:val="auto"/>
                <w:kern w:val="0"/>
                <w:szCs w:val="21"/>
                <w:highlight w:val="none"/>
                <w:u w:val="none"/>
              </w:rPr>
              <w:t>代理服务费：</w:t>
            </w:r>
            <w:bookmarkStart w:id="55" w:name="OLE_LINK7"/>
            <w:r>
              <w:rPr>
                <w:rStyle w:val="41"/>
                <w:rFonts w:hint="eastAsia" w:ascii="宋体" w:hAnsi="宋体" w:cs="宋体"/>
                <w:color w:val="auto"/>
                <w:kern w:val="0"/>
                <w:szCs w:val="21"/>
                <w:highlight w:val="none"/>
                <w:u w:val="none"/>
              </w:rPr>
              <w:t>按钦州市物价局“钦市价费﹝2013﹞4号”文件，以差额定率累进法计算。成交供应商须按成交金额缴纳相应的代理服务费。</w:t>
            </w:r>
            <w:bookmarkEnd w:id="55"/>
            <w:r>
              <w:rPr>
                <w:rStyle w:val="41"/>
                <w:rFonts w:hint="eastAsia" w:ascii="宋体" w:hAnsi="宋体" w:cs="宋体"/>
                <w:color w:val="auto"/>
                <w:kern w:val="0"/>
                <w:szCs w:val="21"/>
                <w:highlight w:val="none"/>
                <w:u w:val="none"/>
              </w:rPr>
              <w:fldChar w:fldCharType="end"/>
            </w:r>
          </w:p>
        </w:tc>
      </w:tr>
    </w:tbl>
    <w:p>
      <w:pPr>
        <w:pStyle w:val="4"/>
        <w:jc w:val="center"/>
        <w:rPr>
          <w:color w:val="auto"/>
          <w:highlight w:val="none"/>
        </w:rPr>
      </w:pPr>
      <w:bookmarkStart w:id="56" w:name="_Toc420505403"/>
      <w:r>
        <w:rPr>
          <w:color w:val="auto"/>
          <w:highlight w:val="none"/>
        </w:rPr>
        <w:br w:type="page"/>
      </w:r>
    </w:p>
    <w:p>
      <w:pPr>
        <w:jc w:val="center"/>
        <w:rPr>
          <w:rFonts w:ascii="黑体" w:hAnsi="黑体" w:eastAsia="黑体"/>
          <w:b/>
          <w:bCs/>
          <w:color w:val="auto"/>
          <w:sz w:val="32"/>
          <w:szCs w:val="32"/>
          <w:highlight w:val="none"/>
        </w:rPr>
      </w:pPr>
      <w:r>
        <w:rPr>
          <w:rFonts w:hint="eastAsia" w:ascii="黑体" w:hAnsi="黑体" w:eastAsia="黑体"/>
          <w:b/>
          <w:bCs/>
          <w:color w:val="auto"/>
          <w:sz w:val="32"/>
          <w:szCs w:val="32"/>
          <w:highlight w:val="none"/>
        </w:rPr>
        <w:t>二、供应商须知</w:t>
      </w:r>
      <w:bookmarkEnd w:id="56"/>
    </w:p>
    <w:p>
      <w:pPr>
        <w:pStyle w:val="4"/>
        <w:spacing w:line="420" w:lineRule="exact"/>
        <w:rPr>
          <w:color w:val="auto"/>
          <w:highlight w:val="none"/>
        </w:rPr>
      </w:pPr>
      <w:bookmarkStart w:id="57" w:name="_一、总_则"/>
      <w:bookmarkEnd w:id="57"/>
      <w:r>
        <w:rPr>
          <w:rFonts w:hint="eastAsia"/>
          <w:color w:val="auto"/>
          <w:highlight w:val="none"/>
        </w:rPr>
        <w:t>一、总　则</w:t>
      </w:r>
    </w:p>
    <w:p>
      <w:pPr>
        <w:spacing w:line="420" w:lineRule="exact"/>
        <w:ind w:firstLine="210" w:firstLineChars="100"/>
        <w:rPr>
          <w:rFonts w:ascii="宋体" w:hAnsi="宋体"/>
          <w:color w:val="auto"/>
          <w:szCs w:val="21"/>
          <w:highlight w:val="none"/>
        </w:rPr>
      </w:pPr>
      <w:r>
        <w:rPr>
          <w:rFonts w:hint="eastAsia" w:ascii="宋体" w:hAnsi="宋体"/>
          <w:color w:val="auto"/>
          <w:szCs w:val="21"/>
          <w:highlight w:val="none"/>
        </w:rPr>
        <w:t>（一）适用范围</w:t>
      </w:r>
    </w:p>
    <w:p>
      <w:pPr>
        <w:spacing w:line="420" w:lineRule="exact"/>
        <w:ind w:right="-334" w:rightChars="-159" w:firstLine="420"/>
        <w:rPr>
          <w:rFonts w:hint="eastAsia" w:hAnsi="宋体" w:eastAsia="宋体"/>
          <w:color w:val="auto"/>
          <w:highlight w:val="none"/>
          <w:lang w:eastAsia="zh-CN"/>
        </w:rPr>
      </w:pPr>
      <w:r>
        <w:rPr>
          <w:rFonts w:hAnsi="宋体"/>
          <w:color w:val="auto"/>
          <w:highlight w:val="none"/>
        </w:rPr>
        <w:t>1.</w:t>
      </w:r>
      <w:r>
        <w:rPr>
          <w:rFonts w:hint="eastAsia" w:hAnsi="宋体"/>
          <w:color w:val="auto"/>
          <w:highlight w:val="none"/>
        </w:rPr>
        <w:t>项目名称：</w:t>
      </w:r>
      <w:r>
        <w:rPr>
          <w:rFonts w:hint="eastAsia" w:hAnsi="宋体"/>
          <w:color w:val="auto"/>
          <w:highlight w:val="none"/>
          <w:lang w:eastAsia="zh-CN"/>
        </w:rPr>
        <w:t>钦州幼儿师范高等专科学校医学营养专业实训室</w:t>
      </w:r>
    </w:p>
    <w:p>
      <w:pPr>
        <w:spacing w:line="420" w:lineRule="exact"/>
        <w:ind w:right="-334" w:rightChars="-159" w:firstLine="420"/>
        <w:rPr>
          <w:rFonts w:hint="eastAsia" w:hAnsi="宋体" w:eastAsia="宋体"/>
          <w:color w:val="auto"/>
          <w:highlight w:val="none"/>
          <w:lang w:eastAsia="zh-CN"/>
        </w:rPr>
      </w:pPr>
      <w:r>
        <w:rPr>
          <w:rFonts w:hAnsi="宋体"/>
          <w:color w:val="auto"/>
          <w:highlight w:val="none"/>
        </w:rPr>
        <w:t>2</w:t>
      </w:r>
      <w:r>
        <w:rPr>
          <w:rFonts w:hint="eastAsia" w:hAnsi="宋体"/>
          <w:color w:val="auto"/>
          <w:highlight w:val="none"/>
        </w:rPr>
        <w:t>.项目编号：</w:t>
      </w:r>
      <w:r>
        <w:rPr>
          <w:rFonts w:hint="eastAsia" w:hAnsi="宋体"/>
          <w:color w:val="auto"/>
          <w:highlight w:val="none"/>
          <w:lang w:eastAsia="zh-CN"/>
        </w:rPr>
        <w:t>QZZC2025-J1-990250-QZSZ</w:t>
      </w:r>
    </w:p>
    <w:p>
      <w:pPr>
        <w:spacing w:line="420" w:lineRule="exact"/>
        <w:ind w:right="-334" w:rightChars="-159" w:firstLine="420"/>
        <w:rPr>
          <w:color w:val="auto"/>
          <w:szCs w:val="21"/>
          <w:highlight w:val="none"/>
        </w:rPr>
      </w:pPr>
      <w:r>
        <w:rPr>
          <w:rFonts w:hint="eastAsia" w:hAnsi="宋体"/>
          <w:color w:val="auto"/>
          <w:highlight w:val="none"/>
        </w:rPr>
        <w:t>本文件仅适用于本文件中所叙述的货物、服务类政府采购项目。</w:t>
      </w:r>
    </w:p>
    <w:p>
      <w:pPr>
        <w:spacing w:line="420" w:lineRule="exact"/>
        <w:ind w:firstLine="210" w:firstLineChars="100"/>
        <w:rPr>
          <w:rFonts w:ascii="宋体" w:hAnsi="宋体"/>
          <w:color w:val="auto"/>
          <w:szCs w:val="21"/>
          <w:highlight w:val="none"/>
        </w:rPr>
      </w:pPr>
      <w:r>
        <w:rPr>
          <w:rFonts w:hint="eastAsia" w:ascii="宋体" w:hAnsi="宋体"/>
          <w:color w:val="auto"/>
          <w:szCs w:val="21"/>
          <w:highlight w:val="none"/>
        </w:rPr>
        <w:t>（二）定义</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是指依法进行政府采购的国家机关、事业单位、团体组织。</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2.“供应商”是指响应本文件要求，参加谈判的法人或其他组织。如果该供应商在本次采购项目中成交,即成为“成交供应商”。</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“采购代理机构”是指</w:t>
      </w:r>
      <w:r>
        <w:rPr>
          <w:rFonts w:hint="eastAsia" w:ascii="宋体" w:hAnsi="宋体"/>
          <w:color w:val="auto"/>
          <w:highlight w:val="none"/>
        </w:rPr>
        <w:t>钦州市政府采购中心。</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“货物和服务”是指本次采购文件中所采购的各种形态和种类的产品以及其提供的服务。</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“竞争性谈判采购文件”是指采用竞争性谈判方式进行政府采购的指导文件，简称“谈判文件”或“采购文件”。</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“响应文件”是指供应商根据采购文件要求，编制包含技术、服务和报价等所有内容的响应文件。</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“书面形式”</w:t>
      </w:r>
      <w:r>
        <w:rPr>
          <w:rFonts w:ascii="Helvetica" w:hAnsi="Helvetica"/>
          <w:color w:val="auto"/>
          <w:szCs w:val="21"/>
          <w:highlight w:val="none"/>
          <w:shd w:val="clear" w:color="auto" w:fill="FFFFFF"/>
        </w:rPr>
        <w:t>是</w:t>
      </w:r>
      <w:r>
        <w:rPr>
          <w:rFonts w:hint="eastAsia" w:ascii="Helvetica" w:hAnsi="Helvetica"/>
          <w:color w:val="auto"/>
          <w:szCs w:val="21"/>
          <w:highlight w:val="none"/>
          <w:shd w:val="clear" w:color="auto" w:fill="FFFFFF"/>
        </w:rPr>
        <w:t>指</w:t>
      </w:r>
      <w:r>
        <w:rPr>
          <w:rFonts w:ascii="Helvetica" w:hAnsi="Helvetica"/>
          <w:color w:val="auto"/>
          <w:szCs w:val="21"/>
          <w:highlight w:val="none"/>
          <w:shd w:val="clear" w:color="auto" w:fill="FFFFFF"/>
        </w:rPr>
        <w:t>合同书、信件、电报、电传、传真等可以有形地表现所载内容的形式。</w:t>
      </w:r>
    </w:p>
    <w:p>
      <w:pPr>
        <w:spacing w:line="420" w:lineRule="exact"/>
        <w:ind w:firstLine="211" w:firstLineChars="100"/>
        <w:rPr>
          <w:rFonts w:ascii="宋体" w:hAnsi="宋体"/>
          <w:b/>
          <w:color w:val="auto"/>
          <w:szCs w:val="21"/>
          <w:highlight w:val="none"/>
        </w:rPr>
      </w:pPr>
      <w:r>
        <w:rPr>
          <w:rFonts w:hint="eastAsia" w:ascii="宋体" w:hAnsi="宋体"/>
          <w:b/>
          <w:color w:val="auto"/>
          <w:szCs w:val="21"/>
          <w:highlight w:val="none"/>
        </w:rPr>
        <w:t>（三）供应商资格</w:t>
      </w:r>
    </w:p>
    <w:p>
      <w:pPr>
        <w:spacing w:line="420" w:lineRule="exact"/>
        <w:ind w:firstLine="420" w:firstLineChars="200"/>
        <w:rPr>
          <w:color w:val="auto"/>
          <w:highlight w:val="none"/>
        </w:rPr>
      </w:pPr>
      <w:r>
        <w:rPr>
          <w:rFonts w:hint="eastAsia"/>
          <w:color w:val="auto"/>
          <w:highlight w:val="none"/>
        </w:rPr>
        <w:t>1.满足《中华人民共和国政府采购法》第二十二条规定</w:t>
      </w:r>
    </w:p>
    <w:p>
      <w:pPr>
        <w:spacing w:line="420" w:lineRule="exact"/>
        <w:ind w:firstLine="420" w:firstLineChars="200"/>
        <w:rPr>
          <w:color w:val="auto"/>
          <w:highlight w:val="none"/>
        </w:rPr>
      </w:pPr>
      <w:r>
        <w:rPr>
          <w:rFonts w:hint="eastAsia"/>
          <w:color w:val="auto"/>
          <w:highlight w:val="none"/>
        </w:rPr>
        <w:t>2.落实政府采购政策需满足的资格要求：无</w:t>
      </w:r>
    </w:p>
    <w:p>
      <w:pPr>
        <w:spacing w:line="420" w:lineRule="exact"/>
        <w:ind w:firstLine="420" w:firstLineChars="200"/>
        <w:rPr>
          <w:color w:val="auto"/>
          <w:highlight w:val="none"/>
        </w:rPr>
      </w:pPr>
      <w:r>
        <w:rPr>
          <w:rFonts w:hint="eastAsia"/>
          <w:color w:val="auto"/>
          <w:highlight w:val="none"/>
        </w:rPr>
        <w:t>3.本项目的特定资格要求：无</w:t>
      </w:r>
    </w:p>
    <w:p>
      <w:pPr>
        <w:spacing w:line="420" w:lineRule="exact"/>
        <w:ind w:firstLine="422" w:firstLineChars="200"/>
        <w:rPr>
          <w:b/>
          <w:bCs/>
          <w:color w:val="auto"/>
          <w:highlight w:val="none"/>
        </w:rPr>
      </w:pPr>
      <w:r>
        <w:rPr>
          <w:rFonts w:hint="eastAsia"/>
          <w:b/>
          <w:bCs/>
          <w:color w:val="auto"/>
          <w:highlight w:val="none"/>
        </w:rPr>
        <w:t>（四）采购方式</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竞争性谈判</w:t>
      </w:r>
    </w:p>
    <w:p>
      <w:pPr>
        <w:spacing w:line="420" w:lineRule="exact"/>
        <w:ind w:firstLine="211" w:firstLineChars="100"/>
        <w:rPr>
          <w:b/>
          <w:bCs/>
          <w:color w:val="auto"/>
          <w:highlight w:val="none"/>
        </w:rPr>
      </w:pPr>
      <w:bookmarkStart w:id="58" w:name="_Toc353785281"/>
      <w:bookmarkStart w:id="59" w:name="_Toc254970671"/>
      <w:bookmarkStart w:id="60" w:name="_Toc352700410"/>
      <w:bookmarkStart w:id="61" w:name="_Toc254970530"/>
      <w:r>
        <w:rPr>
          <w:rFonts w:hint="eastAsia"/>
          <w:b/>
          <w:bCs/>
          <w:color w:val="auto"/>
          <w:highlight w:val="none"/>
        </w:rPr>
        <w:t>（五）代理委托</w:t>
      </w:r>
      <w:bookmarkEnd w:id="58"/>
      <w:bookmarkEnd w:id="59"/>
      <w:bookmarkEnd w:id="60"/>
      <w:bookmarkEnd w:id="61"/>
    </w:p>
    <w:p>
      <w:pPr>
        <w:snapToGrid w:val="0"/>
        <w:spacing w:line="42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委托谈判的供应商须提供授权委托书（格式见第六章）。</w:t>
      </w:r>
    </w:p>
    <w:p>
      <w:pPr>
        <w:spacing w:line="420" w:lineRule="exact"/>
        <w:ind w:firstLine="211" w:firstLineChars="100"/>
        <w:rPr>
          <w:b/>
          <w:bCs/>
          <w:color w:val="auto"/>
          <w:highlight w:val="none"/>
        </w:rPr>
      </w:pPr>
      <w:bookmarkStart w:id="62" w:name="_Toc353785282"/>
      <w:bookmarkStart w:id="63" w:name="_Toc254970672"/>
      <w:bookmarkStart w:id="64" w:name="_Toc352700411"/>
      <w:bookmarkStart w:id="65" w:name="_Toc254970531"/>
      <w:r>
        <w:rPr>
          <w:rFonts w:hint="eastAsia"/>
          <w:b/>
          <w:bCs/>
          <w:color w:val="auto"/>
          <w:highlight w:val="none"/>
        </w:rPr>
        <w:t>（六）谈判费用</w:t>
      </w:r>
      <w:bookmarkEnd w:id="62"/>
      <w:bookmarkEnd w:id="63"/>
      <w:bookmarkEnd w:id="64"/>
      <w:bookmarkEnd w:id="65"/>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供应商自行承担所有与谈判有关的全部费用。</w:t>
      </w:r>
    </w:p>
    <w:p>
      <w:pPr>
        <w:spacing w:line="420" w:lineRule="exact"/>
        <w:ind w:firstLine="211" w:firstLineChars="100"/>
        <w:rPr>
          <w:b/>
          <w:bCs/>
          <w:color w:val="auto"/>
          <w:highlight w:val="none"/>
        </w:rPr>
      </w:pPr>
      <w:bookmarkStart w:id="66" w:name="_Toc353785283"/>
      <w:bookmarkStart w:id="67" w:name="_Toc352700413"/>
      <w:r>
        <w:rPr>
          <w:rFonts w:hint="eastAsia"/>
          <w:b/>
          <w:bCs/>
          <w:color w:val="auto"/>
          <w:highlight w:val="none"/>
        </w:rPr>
        <w:t>（七）转包与分包</w:t>
      </w:r>
      <w:bookmarkEnd w:id="66"/>
      <w:bookmarkEnd w:id="67"/>
    </w:p>
    <w:p>
      <w:pPr>
        <w:snapToGrid w:val="0"/>
        <w:spacing w:line="42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2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w:t>
      </w:r>
    </w:p>
    <w:p>
      <w:pPr>
        <w:snapToGrid w:val="0"/>
        <w:spacing w:line="42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color w:val="auto"/>
          <w:highlight w:val="none"/>
        </w:rPr>
      </w:pPr>
      <w:bookmarkStart w:id="68" w:name="_Toc352700414"/>
      <w:bookmarkStart w:id="69" w:name="_Toc254970673"/>
      <w:bookmarkStart w:id="70" w:name="_Toc254970532"/>
      <w:bookmarkStart w:id="71" w:name="_Toc353785284"/>
      <w:r>
        <w:rPr>
          <w:rFonts w:hint="eastAsia"/>
          <w:b/>
          <w:bCs/>
          <w:color w:val="auto"/>
          <w:highlight w:val="none"/>
        </w:rPr>
        <w:t>（八）特别说明</w:t>
      </w:r>
      <w:bookmarkEnd w:id="68"/>
      <w:bookmarkEnd w:id="69"/>
      <w:bookmarkEnd w:id="70"/>
      <w:bookmarkEnd w:id="71"/>
    </w:p>
    <w:p>
      <w:pPr>
        <w:pStyle w:val="22"/>
        <w:snapToGrid w:val="0"/>
        <w:spacing w:line="420" w:lineRule="exact"/>
        <w:ind w:firstLine="420"/>
        <w:rPr>
          <w:rFonts w:hAnsi="宋体"/>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2"/>
        <w:snapToGrid w:val="0"/>
        <w:spacing w:line="420" w:lineRule="exact"/>
        <w:ind w:firstLine="420"/>
        <w:rPr>
          <w:rFonts w:hAnsi="宋体"/>
          <w:color w:val="auto"/>
          <w:highlight w:val="none"/>
        </w:rPr>
      </w:pPr>
      <w:r>
        <w:rPr>
          <w:rFonts w:hAnsi="宋体"/>
          <w:color w:val="auto"/>
          <w:highlight w:val="none"/>
        </w:rPr>
        <w:t>2.</w:t>
      </w:r>
      <w:r>
        <w:rPr>
          <w:rFonts w:hint="eastAsia" w:hAnsi="宋体"/>
          <w:color w:val="auto"/>
          <w:highlight w:val="none"/>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color w:val="auto"/>
          <w:highlight w:val="none"/>
        </w:rPr>
      </w:pPr>
      <w:bookmarkStart w:id="72" w:name="_Toc254970533"/>
      <w:bookmarkStart w:id="73" w:name="_Toc254970674"/>
      <w:bookmarkStart w:id="74" w:name="_Toc352700415"/>
      <w:bookmarkStart w:id="75" w:name="_Toc353785285"/>
      <w:r>
        <w:rPr>
          <w:rFonts w:hint="eastAsia"/>
          <w:b/>
          <w:bCs/>
          <w:color w:val="auto"/>
          <w:highlight w:val="none"/>
        </w:rPr>
        <w:t>（九）询问、质疑和投诉</w:t>
      </w:r>
      <w:bookmarkEnd w:id="72"/>
      <w:bookmarkEnd w:id="73"/>
      <w:bookmarkEnd w:id="74"/>
      <w:bookmarkEnd w:id="75"/>
    </w:p>
    <w:p>
      <w:pPr>
        <w:pStyle w:val="22"/>
        <w:snapToGrid w:val="0"/>
        <w:spacing w:line="420" w:lineRule="exact"/>
        <w:ind w:firstLine="420"/>
        <w:rPr>
          <w:rFonts w:hAnsi="宋体"/>
          <w:bCs/>
          <w:color w:val="auto"/>
          <w:highlight w:val="none"/>
        </w:rPr>
      </w:pPr>
      <w:r>
        <w:rPr>
          <w:rFonts w:hAnsi="宋体"/>
          <w:bCs/>
          <w:color w:val="auto"/>
          <w:highlight w:val="none"/>
        </w:rPr>
        <w:t>1.</w:t>
      </w:r>
      <w:r>
        <w:rPr>
          <w:rFonts w:hint="eastAsia" w:ascii="Arial" w:hAnsi="Arial" w:cs="Arial"/>
          <w:color w:val="auto"/>
          <w:kern w:val="0"/>
          <w:highlight w:val="none"/>
        </w:rPr>
        <w:t>供应商</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或本中心当在3个工作日内对供应商依法提出的询问作出答复</w:t>
      </w:r>
      <w:r>
        <w:rPr>
          <w:rFonts w:ascii="Arial" w:hAnsi="Arial" w:cs="Arial"/>
          <w:color w:val="auto"/>
          <w:kern w:val="0"/>
          <w:highlight w:val="none"/>
        </w:rPr>
        <w:t>，但答复的内容不得涉及商业秘密。</w:t>
      </w:r>
    </w:p>
    <w:p>
      <w:pPr>
        <w:pStyle w:val="22"/>
        <w:snapToGrid w:val="0"/>
        <w:spacing w:line="42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供应商认为采购文件、采购过程或成交结果使自己的合法权益受到损害的，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向采购人、</w:t>
      </w:r>
      <w:r>
        <w:rPr>
          <w:rFonts w:hint="eastAsia" w:cs="Arial"/>
          <w:color w:val="auto"/>
          <w:highlight w:val="none"/>
        </w:rPr>
        <w:t>本中心</w:t>
      </w:r>
      <w:r>
        <w:rPr>
          <w:rFonts w:cs="Arial"/>
          <w:color w:val="auto"/>
          <w:highlight w:val="none"/>
        </w:rPr>
        <w:t>提出质疑。</w:t>
      </w:r>
      <w:r>
        <w:rPr>
          <w:rFonts w:hint="eastAsia" w:hAnsi="宋体"/>
          <w:bCs/>
          <w:color w:val="auto"/>
          <w:highlight w:val="none"/>
        </w:rPr>
        <w:t>供应商必须在法定质疑期内一次性提出针对同一采购程序环节的质疑。</w:t>
      </w:r>
      <w:r>
        <w:rPr>
          <w:rFonts w:hint="eastAsia" w:hAnsi="宋体" w:cs="宋体"/>
          <w:color w:val="auto"/>
          <w:highlight w:val="none"/>
        </w:rPr>
        <w:t>供应商应知其权益受到损害之日，是指：</w:t>
      </w:r>
    </w:p>
    <w:p>
      <w:pPr>
        <w:pStyle w:val="22"/>
        <w:adjustRightInd w:val="0"/>
        <w:snapToGrid w:val="0"/>
        <w:spacing w:line="420"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对采购文件提出质疑的，为获取采购文件之日；</w:t>
      </w:r>
    </w:p>
    <w:p>
      <w:pPr>
        <w:pStyle w:val="22"/>
        <w:adjustRightInd w:val="0"/>
        <w:snapToGrid w:val="0"/>
        <w:spacing w:line="420"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对采购过程提出质疑的，为各采购程序环节结束之日；</w:t>
      </w:r>
    </w:p>
    <w:p>
      <w:pPr>
        <w:widowControl/>
        <w:adjustRightInd w:val="0"/>
        <w:snapToGrid w:val="0"/>
        <w:spacing w:line="420" w:lineRule="exact"/>
        <w:ind w:firstLine="102" w:firstLineChars="49"/>
        <w:jc w:val="left"/>
        <w:rPr>
          <w:rFonts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对成交结果提出质疑的，为成交结果公告期限届满之日。</w:t>
      </w:r>
    </w:p>
    <w:p>
      <w:pPr>
        <w:widowControl/>
        <w:adjustRightInd w:val="0"/>
        <w:snapToGrid w:val="0"/>
        <w:spacing w:line="420" w:lineRule="exact"/>
        <w:ind w:firstLine="420"/>
        <w:jc w:val="left"/>
        <w:rPr>
          <w:rFonts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供应商对采购人、本中心质疑答复不满意或者采购人、本中心未在规定时间内作出答复的，可以在答复期满后十五个工作日内向同级采购监管部门投诉。</w:t>
      </w:r>
    </w:p>
    <w:p>
      <w:pPr>
        <w:pStyle w:val="22"/>
        <w:snapToGrid w:val="0"/>
        <w:spacing w:line="42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20"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20" w:lineRule="exact"/>
        <w:ind w:firstLine="420"/>
        <w:rPr>
          <w:color w:val="auto"/>
          <w:highlight w:val="none"/>
        </w:rPr>
      </w:pPr>
      <w:r>
        <w:rPr>
          <w:rFonts w:hint="eastAsia"/>
          <w:color w:val="auto"/>
          <w:highlight w:val="none"/>
        </w:rPr>
        <w:t>采购监管部门联系方式：钦州市财政局      0777-</w:t>
      </w:r>
      <w:r>
        <w:rPr>
          <w:color w:val="auto"/>
          <w:highlight w:val="none"/>
        </w:rPr>
        <w:t>2895258</w:t>
      </w:r>
    </w:p>
    <w:p>
      <w:pPr>
        <w:spacing w:line="400" w:lineRule="exact"/>
        <w:ind w:firstLine="211" w:firstLineChars="100"/>
        <w:rPr>
          <w:b/>
          <w:bCs/>
          <w:color w:val="auto"/>
          <w:highlight w:val="none"/>
        </w:rPr>
      </w:pPr>
      <w:r>
        <w:rPr>
          <w:rFonts w:hint="eastAsia"/>
          <w:b/>
          <w:bCs/>
          <w:color w:val="auto"/>
          <w:highlight w:val="none"/>
        </w:rPr>
        <w:t xml:space="preserve">（十）查询媒体 </w:t>
      </w:r>
      <w:r>
        <w:rPr>
          <w:rFonts w:hint="eastAsia" w:hAnsi="宋体"/>
          <w:color w:val="auto"/>
          <w:highlight w:val="none"/>
        </w:rPr>
        <w:t>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1"/>
          <w:rFonts w:hint="eastAsia" w:hAnsi="宋体"/>
          <w:color w:val="auto"/>
          <w:highlight w:val="none"/>
          <w:u w:val="none"/>
        </w:rPr>
        <w:t>广西政府采购网</w:t>
      </w:r>
      <w:r>
        <w:rPr>
          <w:rStyle w:val="41"/>
          <w:rFonts w:hint="eastAsia" w:hAnsi="宋体"/>
          <w:color w:val="auto"/>
          <w:highlight w:val="none"/>
          <w:u w:val="none"/>
        </w:rPr>
        <w:fldChar w:fldCharType="end"/>
      </w:r>
      <w:r>
        <w:rPr>
          <w:rFonts w:hint="eastAsia" w:hAnsi="宋体"/>
          <w:color w:val="auto"/>
          <w:highlight w:val="none"/>
        </w:rPr>
        <w:t>。</w:t>
      </w:r>
    </w:p>
    <w:p>
      <w:pPr>
        <w:pStyle w:val="4"/>
        <w:spacing w:line="420" w:lineRule="exact"/>
        <w:rPr>
          <w:color w:val="auto"/>
          <w:highlight w:val="none"/>
        </w:rPr>
      </w:pPr>
      <w:bookmarkStart w:id="76" w:name="_Toc352700416"/>
      <w:bookmarkStart w:id="77" w:name="_Toc353785286"/>
      <w:r>
        <w:rPr>
          <w:rFonts w:hint="eastAsia"/>
          <w:color w:val="auto"/>
          <w:highlight w:val="none"/>
        </w:rPr>
        <w:t>二、竞争性谈判采购文件</w:t>
      </w:r>
      <w:bookmarkEnd w:id="76"/>
      <w:bookmarkEnd w:id="77"/>
    </w:p>
    <w:p>
      <w:pPr>
        <w:spacing w:line="420" w:lineRule="exact"/>
        <w:ind w:firstLine="211" w:firstLineChars="100"/>
        <w:rPr>
          <w:b/>
          <w:bCs/>
          <w:color w:val="auto"/>
          <w:highlight w:val="none"/>
        </w:rPr>
      </w:pPr>
      <w:bookmarkStart w:id="78" w:name="_Toc352700417"/>
      <w:bookmarkStart w:id="79" w:name="_Toc353785287"/>
      <w:r>
        <w:rPr>
          <w:rFonts w:hint="eastAsia"/>
          <w:b/>
          <w:bCs/>
          <w:color w:val="auto"/>
          <w:highlight w:val="none"/>
        </w:rPr>
        <w:t>（一）竞争性谈判采购文件的组成</w:t>
      </w:r>
      <w:bookmarkEnd w:id="78"/>
      <w:bookmarkEnd w:id="79"/>
    </w:p>
    <w:p>
      <w:pPr>
        <w:pStyle w:val="22"/>
        <w:snapToGrid w:val="0"/>
        <w:spacing w:line="420" w:lineRule="exact"/>
        <w:ind w:firstLine="420" w:firstLineChars="200"/>
        <w:rPr>
          <w:rFonts w:hAnsi="宋体"/>
          <w:color w:val="auto"/>
          <w:highlight w:val="none"/>
        </w:rPr>
      </w:pPr>
      <w:r>
        <w:rPr>
          <w:rFonts w:hint="eastAsia" w:hAnsi="宋体"/>
          <w:color w:val="auto"/>
          <w:highlight w:val="none"/>
        </w:rPr>
        <w:t>第一章 竞争性谈判公告</w:t>
      </w:r>
    </w:p>
    <w:p>
      <w:pPr>
        <w:pStyle w:val="22"/>
        <w:snapToGrid w:val="0"/>
        <w:spacing w:line="420" w:lineRule="exact"/>
        <w:ind w:firstLine="420" w:firstLineChars="200"/>
        <w:rPr>
          <w:rFonts w:hAnsi="宋体"/>
          <w:color w:val="auto"/>
          <w:highlight w:val="none"/>
        </w:rPr>
      </w:pPr>
      <w:r>
        <w:rPr>
          <w:rFonts w:hint="eastAsia" w:hAnsi="宋体"/>
          <w:color w:val="auto"/>
          <w:highlight w:val="none"/>
        </w:rPr>
        <w:t>第二章 项目需求</w:t>
      </w:r>
    </w:p>
    <w:p>
      <w:pPr>
        <w:pStyle w:val="22"/>
        <w:snapToGrid w:val="0"/>
        <w:spacing w:line="420" w:lineRule="exact"/>
        <w:ind w:firstLine="420" w:firstLineChars="200"/>
        <w:rPr>
          <w:rFonts w:hAnsi="宋体"/>
          <w:color w:val="auto"/>
          <w:highlight w:val="none"/>
        </w:rPr>
      </w:pPr>
      <w:r>
        <w:rPr>
          <w:rFonts w:hint="eastAsia" w:hAnsi="宋体"/>
          <w:color w:val="auto"/>
          <w:highlight w:val="none"/>
        </w:rPr>
        <w:t>第三章 供应商须知</w:t>
      </w:r>
    </w:p>
    <w:p>
      <w:pPr>
        <w:pStyle w:val="22"/>
        <w:snapToGrid w:val="0"/>
        <w:spacing w:line="420" w:lineRule="exact"/>
        <w:ind w:firstLine="420" w:firstLineChars="200"/>
        <w:rPr>
          <w:rFonts w:hAnsi="宋体"/>
          <w:color w:val="auto"/>
          <w:highlight w:val="none"/>
        </w:rPr>
      </w:pPr>
      <w:r>
        <w:rPr>
          <w:rFonts w:hint="eastAsia" w:hAnsi="宋体"/>
          <w:color w:val="auto"/>
          <w:highlight w:val="none"/>
        </w:rPr>
        <w:t>第四章 评定标准及推荐原则</w:t>
      </w:r>
    </w:p>
    <w:p>
      <w:pPr>
        <w:pStyle w:val="22"/>
        <w:snapToGrid w:val="0"/>
        <w:spacing w:line="420" w:lineRule="exact"/>
        <w:ind w:firstLine="420" w:firstLineChars="200"/>
        <w:rPr>
          <w:rFonts w:hAnsi="宋体"/>
          <w:color w:val="auto"/>
          <w:highlight w:val="none"/>
        </w:rPr>
      </w:pPr>
      <w:r>
        <w:rPr>
          <w:rFonts w:hint="eastAsia" w:hAnsi="宋体"/>
          <w:color w:val="auto"/>
          <w:highlight w:val="none"/>
        </w:rPr>
        <w:t>第五章 合同文本</w:t>
      </w:r>
    </w:p>
    <w:p>
      <w:pPr>
        <w:pStyle w:val="22"/>
        <w:snapToGrid w:val="0"/>
        <w:spacing w:line="420" w:lineRule="exact"/>
        <w:ind w:firstLine="420" w:firstLineChars="200"/>
        <w:rPr>
          <w:rFonts w:hAnsi="宋体"/>
          <w:color w:val="auto"/>
          <w:highlight w:val="none"/>
        </w:rPr>
      </w:pPr>
      <w:r>
        <w:rPr>
          <w:rFonts w:hint="eastAsia" w:hAnsi="宋体"/>
          <w:color w:val="auto"/>
          <w:highlight w:val="none"/>
        </w:rPr>
        <w:t>第六章 响应文件格式</w:t>
      </w:r>
    </w:p>
    <w:p>
      <w:pPr>
        <w:spacing w:line="420" w:lineRule="exact"/>
        <w:ind w:firstLine="211" w:firstLineChars="100"/>
        <w:rPr>
          <w:b/>
          <w:bCs/>
          <w:color w:val="auto"/>
          <w:highlight w:val="none"/>
        </w:rPr>
      </w:pPr>
      <w:bookmarkStart w:id="80" w:name="_Toc352700419"/>
      <w:bookmarkStart w:id="81" w:name="_Toc353785289"/>
      <w:r>
        <w:rPr>
          <w:rFonts w:hint="eastAsia"/>
          <w:b/>
          <w:bCs/>
          <w:color w:val="auto"/>
          <w:highlight w:val="none"/>
        </w:rPr>
        <w:t>（二）竞争性谈判采购文件的澄清与修改</w:t>
      </w:r>
      <w:bookmarkEnd w:id="80"/>
      <w:bookmarkEnd w:id="81"/>
    </w:p>
    <w:p>
      <w:pPr>
        <w:pStyle w:val="22"/>
        <w:snapToGrid w:val="0"/>
        <w:spacing w:line="420" w:lineRule="exact"/>
        <w:ind w:firstLine="420"/>
        <w:jc w:val="left"/>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pPr>
        <w:pStyle w:val="22"/>
        <w:snapToGrid w:val="0"/>
        <w:spacing w:line="420" w:lineRule="exact"/>
        <w:ind w:firstLine="420"/>
        <w:jc w:val="left"/>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提供期限届满后，获取谈判文件的供应商不足3家的，本中心可以顺延提供期限，并予公告。</w:t>
      </w:r>
    </w:p>
    <w:p>
      <w:pPr>
        <w:pStyle w:val="4"/>
        <w:spacing w:line="420" w:lineRule="exact"/>
        <w:rPr>
          <w:color w:val="auto"/>
          <w:highlight w:val="none"/>
        </w:rPr>
      </w:pPr>
      <w:r>
        <w:rPr>
          <w:rFonts w:hint="eastAsia"/>
          <w:color w:val="auto"/>
          <w:highlight w:val="none"/>
        </w:rPr>
        <w:t>三、响应文件</w:t>
      </w:r>
    </w:p>
    <w:p>
      <w:pPr>
        <w:spacing w:line="420" w:lineRule="exact"/>
        <w:ind w:firstLine="211" w:firstLineChars="100"/>
        <w:rPr>
          <w:rFonts w:hAnsi="宋体"/>
          <w:b/>
          <w:bCs/>
          <w:color w:val="auto"/>
          <w:highlight w:val="none"/>
        </w:rPr>
      </w:pPr>
      <w:r>
        <w:rPr>
          <w:rFonts w:hint="eastAsia" w:hAnsi="宋体"/>
          <w:b/>
          <w:bCs/>
          <w:color w:val="auto"/>
          <w:highlight w:val="none"/>
        </w:rPr>
        <w:t>（一）供应商的风险</w:t>
      </w:r>
    </w:p>
    <w:p>
      <w:pPr>
        <w:spacing w:line="420" w:lineRule="exact"/>
        <w:ind w:firstLine="420"/>
        <w:rPr>
          <w:rFonts w:hAnsi="宋体"/>
          <w:color w:val="auto"/>
          <w:highlight w:val="none"/>
        </w:rPr>
      </w:pPr>
      <w:r>
        <w:rPr>
          <w:rFonts w:hAnsi="宋体"/>
          <w:color w:val="auto"/>
          <w:highlight w:val="none"/>
        </w:rPr>
        <w:t>1.</w:t>
      </w:r>
      <w:r>
        <w:rPr>
          <w:rFonts w:hint="eastAsia" w:hAnsi="宋体"/>
          <w:color w:val="auto"/>
          <w:highlight w:val="none"/>
        </w:rPr>
        <w:t>供应商应当按照谈判文件的要求编制响应文件，并对其提交的响应文件的真实性、合法性承担法律责任。</w:t>
      </w:r>
    </w:p>
    <w:p>
      <w:pPr>
        <w:spacing w:line="420" w:lineRule="exact"/>
        <w:ind w:firstLine="420"/>
        <w:rPr>
          <w:rFonts w:hAnsi="宋体"/>
          <w:color w:val="auto"/>
          <w:highlight w:val="none"/>
        </w:rPr>
      </w:pPr>
      <w:r>
        <w:rPr>
          <w:rFonts w:hAnsi="宋体"/>
          <w:color w:val="auto"/>
          <w:highlight w:val="none"/>
        </w:rPr>
        <w:t>2.</w:t>
      </w:r>
      <w:r>
        <w:rPr>
          <w:rFonts w:hint="eastAsia" w:hAnsi="宋体"/>
          <w:color w:val="auto"/>
          <w:highlight w:val="none"/>
        </w:rPr>
        <w:t>供应商在采购活动中提供任何虚假材料的，谈判小组将报财政部门查处。</w:t>
      </w:r>
    </w:p>
    <w:p>
      <w:pPr>
        <w:snapToGrid w:val="0"/>
        <w:spacing w:line="420" w:lineRule="exact"/>
        <w:ind w:firstLine="211" w:firstLineChars="100"/>
        <w:rPr>
          <w:rFonts w:ascii="宋体" w:hAnsi="宋体"/>
          <w:b/>
          <w:color w:val="auto"/>
          <w:szCs w:val="21"/>
          <w:highlight w:val="none"/>
        </w:rPr>
      </w:pPr>
      <w:r>
        <w:rPr>
          <w:rFonts w:hint="eastAsia" w:hAnsi="宋体"/>
          <w:b/>
          <w:bCs/>
          <w:color w:val="auto"/>
          <w:highlight w:val="none"/>
        </w:rPr>
        <w:t>（二）</w:t>
      </w:r>
      <w:r>
        <w:rPr>
          <w:rFonts w:hint="eastAsia" w:ascii="宋体" w:hAnsi="宋体"/>
          <w:b/>
          <w:color w:val="auto"/>
          <w:szCs w:val="21"/>
          <w:highlight w:val="none"/>
        </w:rPr>
        <w:t>响应文件的组成</w:t>
      </w:r>
    </w:p>
    <w:p>
      <w:pPr>
        <w:snapToGrid w:val="0"/>
        <w:spacing w:line="420" w:lineRule="exact"/>
        <w:ind w:firstLine="422"/>
        <w:rPr>
          <w:rFonts w:ascii="宋体" w:hAnsi="宋体"/>
          <w:b/>
          <w:color w:val="auto"/>
          <w:szCs w:val="21"/>
          <w:highlight w:val="none"/>
        </w:rPr>
      </w:pPr>
      <w:bookmarkStart w:id="82"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20" w:lineRule="exact"/>
        <w:ind w:firstLine="420"/>
        <w:rPr>
          <w:rFonts w:ascii="宋体" w:hAnsi="宋体"/>
          <w:color w:val="auto"/>
          <w:szCs w:val="21"/>
          <w:highlight w:val="none"/>
        </w:rPr>
      </w:pPr>
      <w:r>
        <w:rPr>
          <w:rFonts w:hint="eastAsia" w:ascii="宋体" w:hAnsi="宋体" w:cs="宋体"/>
          <w:bCs/>
          <w:color w:val="auto"/>
          <w:kern w:val="0"/>
          <w:szCs w:val="21"/>
          <w:highlight w:val="none"/>
        </w:rPr>
        <w:t>★</w:t>
      </w:r>
      <w:bookmarkStart w:id="83"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83"/>
    <w:p>
      <w:pPr>
        <w:tabs>
          <w:tab w:val="left" w:pos="3870"/>
          <w:tab w:val="left" w:pos="4085"/>
        </w:tabs>
        <w:snapToGrid w:val="0"/>
        <w:spacing w:line="420" w:lineRule="exact"/>
        <w:ind w:firstLine="420"/>
        <w:rPr>
          <w:rFonts w:ascii="宋体" w:hAnsi="宋体" w:cs="宋体"/>
          <w:color w:val="auto"/>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bookmarkStart w:id="84" w:name="_Hlk147761368"/>
      <w:r>
        <w:rPr>
          <w:rFonts w:hint="eastAsia" w:ascii="宋体" w:hAnsi="宋体"/>
          <w:color w:val="auto"/>
          <w:szCs w:val="21"/>
          <w:highlight w:val="none"/>
        </w:rPr>
        <w:t>供应商具备参加政府采购活动条件的承诺书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bookmarkEnd w:id="84"/>
    </w:p>
    <w:p>
      <w:pPr>
        <w:tabs>
          <w:tab w:val="left" w:pos="3870"/>
          <w:tab w:val="left" w:pos="4085"/>
        </w:tabs>
        <w:snapToGrid w:val="0"/>
        <w:spacing w:line="420" w:lineRule="exact"/>
        <w:ind w:firstLine="42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★(3)参加政府采购活动前3年内在经营活动中没有重大违法记录的书面声明(格式见第六章)</w:t>
      </w:r>
    </w:p>
    <w:p>
      <w:pPr>
        <w:tabs>
          <w:tab w:val="left" w:pos="3870"/>
          <w:tab w:val="left" w:pos="4085"/>
        </w:tabs>
        <w:snapToGrid w:val="0"/>
        <w:spacing w:line="420" w:lineRule="exact"/>
        <w:ind w:firstLine="420" w:firstLineChars="200"/>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lang w:val="en-US" w:eastAsia="zh-CN"/>
        </w:rPr>
        <w:t>★(4)</w:t>
      </w:r>
      <w:bookmarkStart w:id="85" w:name="OLE_LINK11"/>
      <w:r>
        <w:rPr>
          <w:rFonts w:hint="eastAsia" w:ascii="宋体" w:hAnsi="宋体" w:cs="宋体"/>
          <w:bCs/>
          <w:color w:val="auto"/>
          <w:kern w:val="0"/>
          <w:szCs w:val="21"/>
          <w:highlight w:val="none"/>
          <w:lang w:val="en-US" w:eastAsia="zh-CN"/>
        </w:rPr>
        <w:t>供应商具备有效的医疗器械生产许可证或第二类医疗器械经营备案凭证，或者供应商具有《医疗器械监督管理条例》第四十三条规定的注册人凭证。</w:t>
      </w:r>
      <w:bookmarkEnd w:id="85"/>
    </w:p>
    <w:p>
      <w:pPr>
        <w:snapToGrid w:val="0"/>
        <w:spacing w:line="420" w:lineRule="exact"/>
        <w:ind w:firstLine="422"/>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tabs>
          <w:tab w:val="left" w:pos="3870"/>
          <w:tab w:val="left" w:pos="4085"/>
        </w:tabs>
        <w:snapToGrid w:val="0"/>
        <w:spacing w:line="420" w:lineRule="exact"/>
        <w:ind w:firstLine="420" w:firstLineChars="20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谈判函（格式见第六章）</w:t>
      </w:r>
    </w:p>
    <w:p>
      <w:pPr>
        <w:tabs>
          <w:tab w:val="left" w:pos="3870"/>
          <w:tab w:val="left" w:pos="4085"/>
        </w:tabs>
        <w:snapToGrid w:val="0"/>
        <w:spacing w:line="420" w:lineRule="exact"/>
        <w:ind w:firstLine="420" w:firstLineChars="20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法定代表人身份证</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法定代表人授权委托书和代理人身份证（委托代理时必须提供，格式见第六章）</w:t>
      </w:r>
    </w:p>
    <w:p>
      <w:pPr>
        <w:snapToGrid w:val="0"/>
        <w:spacing w:line="420" w:lineRule="exact"/>
        <w:ind w:firstLine="422" w:firstLineChars="200"/>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ascii="宋体" w:hAnsi="宋体"/>
          <w:color w:val="auto"/>
          <w:highlight w:val="none"/>
        </w:rPr>
        <w:t>商务响应表(格式见第六章)</w:t>
      </w:r>
    </w:p>
    <w:p>
      <w:pPr>
        <w:snapToGrid w:val="0"/>
        <w:spacing w:line="420" w:lineRule="exact"/>
        <w:ind w:firstLine="422" w:firstLineChars="200"/>
        <w:rPr>
          <w:rFonts w:ascii="宋体" w:hAnsi="宋体"/>
          <w:color w:val="auto"/>
          <w:highlight w:val="none"/>
        </w:rPr>
      </w:pPr>
      <w:bookmarkStart w:id="86" w:name="_Hlk111707698"/>
      <w:r>
        <w:rPr>
          <w:rFonts w:hint="eastAsia" w:ascii="宋体" w:hAnsi="宋体"/>
          <w:b/>
          <w:color w:val="auto"/>
          <w:szCs w:val="21"/>
          <w:highlight w:val="none"/>
        </w:rPr>
        <w:t>★</w:t>
      </w:r>
      <w:r>
        <w:rPr>
          <w:rFonts w:hint="eastAsia" w:ascii="宋体" w:hAnsi="宋体"/>
          <w:color w:val="auto"/>
          <w:highlight w:val="none"/>
        </w:rPr>
        <w:t>(5</w:t>
      </w:r>
      <w:r>
        <w:rPr>
          <w:rFonts w:ascii="宋体" w:hAnsi="宋体"/>
          <w:color w:val="auto"/>
          <w:highlight w:val="none"/>
        </w:rPr>
        <w:t>)</w:t>
      </w:r>
      <w:r>
        <w:rPr>
          <w:rFonts w:hint="eastAsia" w:ascii="宋体" w:hAnsi="宋体"/>
          <w:color w:val="auto"/>
          <w:szCs w:val="21"/>
          <w:highlight w:val="none"/>
        </w:rPr>
        <w:t>技术响应表</w:t>
      </w:r>
      <w:bookmarkStart w:id="87" w:name="_Hlk92285954"/>
      <w:r>
        <w:rPr>
          <w:rFonts w:ascii="宋体" w:hAnsi="宋体"/>
          <w:color w:val="auto"/>
          <w:highlight w:val="none"/>
        </w:rPr>
        <w:t>(格式见第六章)</w:t>
      </w:r>
      <w:bookmarkEnd w:id="87"/>
    </w:p>
    <w:p>
      <w:pPr>
        <w:snapToGrid w:val="0"/>
        <w:spacing w:line="420" w:lineRule="exact"/>
        <w:ind w:firstLine="422" w:firstLineChars="200"/>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《项目需求》中要求必须提供的材料</w:t>
      </w:r>
    </w:p>
    <w:p>
      <w:pPr>
        <w:snapToGrid w:val="0"/>
        <w:spacing w:line="420" w:lineRule="exact"/>
        <w:ind w:firstLine="422" w:firstLineChars="200"/>
        <w:rPr>
          <w:rFonts w:ascii="宋体" w:hAnsi="宋体"/>
          <w:color w:val="auto"/>
          <w:highlight w:val="none"/>
        </w:rPr>
      </w:pPr>
      <w:r>
        <w:rPr>
          <w:rFonts w:hint="eastAsia" w:ascii="宋体" w:hAnsi="宋体"/>
          <w:b/>
          <w:color w:val="auto"/>
          <w:szCs w:val="21"/>
          <w:highlight w:val="none"/>
        </w:rPr>
        <w:t xml:space="preserve"> </w:t>
      </w:r>
      <w:r>
        <w:rPr>
          <w:rFonts w:hint="eastAsia" w:ascii="宋体" w:cs="宋体"/>
          <w:bCs/>
          <w:color w:val="auto"/>
          <w:kern w:val="0"/>
          <w:szCs w:val="21"/>
          <w:highlight w:val="none"/>
        </w:rPr>
        <w:t>(7</w:t>
      </w:r>
      <w:r>
        <w:rPr>
          <w:rFonts w:ascii="宋体" w:cs="宋体"/>
          <w:bCs/>
          <w:color w:val="auto"/>
          <w:kern w:val="0"/>
          <w:szCs w:val="21"/>
          <w:highlight w:val="none"/>
        </w:rPr>
        <w:t>)</w:t>
      </w:r>
      <w:r>
        <w:rPr>
          <w:rFonts w:hint="eastAsia" w:ascii="宋体" w:cs="宋体"/>
          <w:color w:val="auto"/>
          <w:kern w:val="0"/>
          <w:szCs w:val="21"/>
          <w:highlight w:val="none"/>
        </w:rPr>
        <w:t>售后服务方案</w:t>
      </w:r>
      <w:r>
        <w:rPr>
          <w:rFonts w:hint="eastAsia" w:ascii="宋体" w:cs="宋体"/>
          <w:bCs/>
          <w:color w:val="auto"/>
          <w:kern w:val="0"/>
          <w:szCs w:val="21"/>
          <w:highlight w:val="none"/>
        </w:rPr>
        <w:t>（根据项目需求要求提供，格式自拟）</w:t>
      </w:r>
    </w:p>
    <w:bookmarkEnd w:id="86"/>
    <w:p>
      <w:pPr>
        <w:snapToGrid w:val="0"/>
        <w:spacing w:line="420" w:lineRule="exact"/>
        <w:ind w:firstLine="630" w:firstLineChars="3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highlight w:val="none"/>
        </w:rPr>
        <w:t>供应商认为有必要提供的声明或材料(中小企业、残疾人福利性单位声明函等，格式见第六章)</w:t>
      </w:r>
    </w:p>
    <w:p>
      <w:pPr>
        <w:snapToGrid w:val="0"/>
        <w:spacing w:line="420" w:lineRule="exact"/>
        <w:ind w:firstLine="422"/>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20" w:lineRule="exact"/>
        <w:rPr>
          <w:rFonts w:ascii="宋体" w:hAnsi="宋体"/>
          <w:bCs/>
          <w:color w:val="auto"/>
          <w:szCs w:val="21"/>
          <w:highlight w:val="none"/>
        </w:rPr>
      </w:pPr>
      <w:bookmarkStart w:id="88" w:name="_Hlk92265738"/>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w:t>
      </w:r>
      <w:r>
        <w:rPr>
          <w:rFonts w:hint="eastAsia" w:ascii="宋体" w:hAnsi="宋体"/>
          <w:bCs/>
          <w:color w:val="auto"/>
          <w:szCs w:val="21"/>
          <w:highlight w:val="none"/>
        </w:rPr>
        <w:t>报价明细表</w:t>
      </w:r>
      <w:bookmarkEnd w:id="88"/>
      <w:r>
        <w:rPr>
          <w:rFonts w:hint="eastAsia" w:ascii="宋体" w:hAnsi="宋体"/>
          <w:bCs/>
          <w:color w:val="auto"/>
          <w:szCs w:val="21"/>
          <w:highlight w:val="none"/>
        </w:rPr>
        <w:t>(格式见第六章)。</w:t>
      </w:r>
    </w:p>
    <w:bookmarkEnd w:id="82"/>
    <w:p>
      <w:pPr>
        <w:snapToGrid w:val="0"/>
        <w:spacing w:line="420" w:lineRule="exact"/>
        <w:ind w:firstLine="422"/>
        <w:rPr>
          <w:rFonts w:ascii="宋体" w:hAnsi="宋体"/>
          <w:color w:val="auto"/>
          <w:szCs w:val="21"/>
          <w:highlight w:val="none"/>
        </w:rPr>
      </w:pPr>
      <w:r>
        <w:rPr>
          <w:rFonts w:hint="eastAsia" w:ascii="宋体" w:hAnsi="宋体"/>
          <w:color w:val="auto"/>
          <w:szCs w:val="21"/>
          <w:highlight w:val="none"/>
        </w:rPr>
        <w:t>注：标注★号的材料均为必须提供的材料须由供应商加盖公章，授权委托书必须由法定代表人签名，否则视为无效响应文件。</w:t>
      </w:r>
    </w:p>
    <w:p>
      <w:pPr>
        <w:spacing w:line="420" w:lineRule="exact"/>
        <w:ind w:firstLine="211" w:firstLineChars="100"/>
        <w:rPr>
          <w:rFonts w:ascii="宋体" w:hAnsi="宋体"/>
          <w:b/>
          <w:bCs/>
          <w:color w:val="auto"/>
          <w:szCs w:val="21"/>
          <w:highlight w:val="none"/>
        </w:rPr>
      </w:pPr>
      <w:bookmarkStart w:id="89" w:name="_Hlk90906323"/>
      <w:r>
        <w:rPr>
          <w:rFonts w:hint="eastAsia" w:ascii="宋体" w:hAnsi="宋体"/>
          <w:b/>
          <w:color w:val="auto"/>
          <w:szCs w:val="21"/>
          <w:highlight w:val="none"/>
        </w:rPr>
        <w:t>（三）</w:t>
      </w:r>
      <w:bookmarkStart w:id="90" w:name="_Toc254970678"/>
      <w:bookmarkStart w:id="91" w:name="_Toc353785292"/>
      <w:bookmarkStart w:id="92" w:name="_Toc254970537"/>
      <w:bookmarkStart w:id="93" w:name="_Toc352700422"/>
      <w:r>
        <w:rPr>
          <w:rFonts w:hint="eastAsia" w:ascii="宋体" w:hAnsi="宋体"/>
          <w:b/>
          <w:bCs/>
          <w:color w:val="auto"/>
          <w:szCs w:val="21"/>
          <w:highlight w:val="none"/>
        </w:rPr>
        <w:t>响应文件的编制、签署及加密</w:t>
      </w:r>
    </w:p>
    <w:p>
      <w:pPr>
        <w:spacing w:line="42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供应商应认真阅读、并充分理解招标文件的全部内容(包括所有的补充、修改内容)，承诺履行其各项条款的规定并按要求编制，响应文件应为电子文件或扫描件(样品除外)。</w:t>
      </w:r>
    </w:p>
    <w:p>
      <w:pPr>
        <w:spacing w:line="42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供应商应通过广西政府采购云平台客户端编制加密响应文件。</w:t>
      </w:r>
    </w:p>
    <w:p>
      <w:pPr>
        <w:spacing w:line="42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bookmarkStart w:id="94" w:name="_Hlk112311085"/>
      <w:r>
        <w:rPr>
          <w:rFonts w:hint="eastAsia" w:ascii="宋体" w:hAnsi="宋体"/>
          <w:b/>
          <w:bCs/>
          <w:color w:val="auto"/>
          <w:szCs w:val="21"/>
          <w:highlight w:val="none"/>
        </w:rPr>
        <w:t>响应文件由供应商在规定位置由法定代表人或授权委托人签名（可为电子签名）、填写供应商名称并加盖公章(简称“盖章”，可为电子公章)，供应商名称应写全称。</w:t>
      </w:r>
      <w:bookmarkEnd w:id="94"/>
    </w:p>
    <w:p>
      <w:pPr>
        <w:snapToGrid w:val="0"/>
        <w:spacing w:line="420" w:lineRule="exact"/>
        <w:ind w:firstLine="210" w:firstLineChars="100"/>
        <w:rPr>
          <w:rFonts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响应文件内容不完整、编排混乱、不清晰等原因导致被误读或漏读的责任和后果由供应商承担。</w:t>
      </w:r>
    </w:p>
    <w:bookmarkEnd w:id="89"/>
    <w:p>
      <w:pPr>
        <w:spacing w:line="420" w:lineRule="exact"/>
        <w:ind w:firstLine="211" w:firstLineChars="100"/>
        <w:rPr>
          <w:color w:val="auto"/>
          <w:highlight w:val="none"/>
        </w:rPr>
      </w:pPr>
      <w:r>
        <w:rPr>
          <w:rFonts w:hint="eastAsia"/>
          <w:b/>
          <w:bCs/>
          <w:color w:val="auto"/>
          <w:highlight w:val="none"/>
        </w:rPr>
        <w:t>（四）响应文件的语言及计量</w:t>
      </w:r>
      <w:bookmarkEnd w:id="90"/>
      <w:bookmarkEnd w:id="91"/>
      <w:bookmarkEnd w:id="92"/>
      <w:bookmarkEnd w:id="93"/>
    </w:p>
    <w:p>
      <w:pPr>
        <w:snapToGrid w:val="0"/>
        <w:spacing w:line="42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ascii="宋体" w:hAnsi="宋体"/>
          <w:color w:val="auto"/>
          <w:szCs w:val="21"/>
          <w:highlight w:val="none"/>
        </w:rPr>
      </w:pPr>
      <w:r>
        <w:rPr>
          <w:rFonts w:ascii="宋体" w:hAnsi="宋体"/>
          <w:color w:val="auto"/>
          <w:szCs w:val="21"/>
          <w:highlight w:val="none"/>
        </w:rPr>
        <w:t>2.响应</w:t>
      </w:r>
      <w:r>
        <w:rPr>
          <w:rFonts w:hint="eastAsia" w:ascii="宋体" w:hAnsi="宋体"/>
          <w:color w:val="auto"/>
          <w:szCs w:val="21"/>
          <w:highlight w:val="none"/>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40" w:lineRule="exact"/>
        <w:ind w:firstLine="211" w:firstLineChars="100"/>
        <w:rPr>
          <w:rFonts w:ascii="宋体" w:hAnsi="宋体" w:eastAsia="宋体"/>
          <w:color w:val="auto"/>
          <w:sz w:val="21"/>
          <w:szCs w:val="21"/>
          <w:highlight w:val="none"/>
        </w:rPr>
      </w:pPr>
      <w:bookmarkStart w:id="95" w:name="_（五）报价"/>
      <w:bookmarkEnd w:id="95"/>
      <w:bookmarkStart w:id="96" w:name="_Toc254970538"/>
      <w:bookmarkStart w:id="97" w:name="_Toc254970679"/>
      <w:bookmarkStart w:id="98" w:name="_Toc353785293"/>
      <w:bookmarkStart w:id="99" w:name="_Toc352700423"/>
      <w:r>
        <w:rPr>
          <w:rFonts w:hint="eastAsia" w:ascii="宋体" w:hAnsi="宋体" w:eastAsia="宋体"/>
          <w:color w:val="auto"/>
          <w:sz w:val="21"/>
          <w:szCs w:val="21"/>
          <w:highlight w:val="none"/>
        </w:rPr>
        <w:t>（五）报价</w:t>
      </w:r>
      <w:bookmarkEnd w:id="96"/>
      <w:bookmarkEnd w:id="97"/>
      <w:bookmarkEnd w:id="98"/>
      <w:bookmarkEnd w:id="99"/>
    </w:p>
    <w:p>
      <w:pPr>
        <w:pStyle w:val="22"/>
        <w:snapToGrid w:val="0"/>
        <w:spacing w:line="420" w:lineRule="exact"/>
        <w:ind w:firstLine="420"/>
        <w:rPr>
          <w:rFonts w:hAnsi="宋体"/>
          <w:color w:val="auto"/>
          <w:highlight w:val="none"/>
        </w:rPr>
      </w:pPr>
      <w:r>
        <w:rPr>
          <w:rFonts w:hAnsi="宋体"/>
          <w:color w:val="auto"/>
          <w:highlight w:val="none"/>
        </w:rPr>
        <w:t>1.</w:t>
      </w:r>
      <w:r>
        <w:rPr>
          <w:rFonts w:hint="eastAsia" w:hAnsi="宋体"/>
          <w:color w:val="auto"/>
          <w:highlight w:val="none"/>
        </w:rPr>
        <w:t>采购文件中未列明，而供应商认为必需的费用也须列入总报价。在合同实施时，采购人将不予支付成交供应商没有列入总报价的项目费用，并认为此项费用已包含在总报价中。</w:t>
      </w:r>
    </w:p>
    <w:p>
      <w:pPr>
        <w:pStyle w:val="22"/>
        <w:snapToGrid w:val="0"/>
        <w:spacing w:line="420" w:lineRule="exact"/>
        <w:ind w:firstLine="420"/>
        <w:rPr>
          <w:color w:val="auto"/>
          <w:highlight w:val="none"/>
        </w:rPr>
      </w:pPr>
      <w:r>
        <w:rPr>
          <w:rFonts w:hAnsi="宋体"/>
          <w:color w:val="auto"/>
          <w:highlight w:val="none"/>
        </w:rPr>
        <w:t>2</w:t>
      </w:r>
      <w:r>
        <w:rPr>
          <w:rFonts w:hint="eastAsia" w:hAnsi="宋体"/>
          <w:color w:val="auto"/>
          <w:highlight w:val="none"/>
        </w:rPr>
        <w:t>供应商</w:t>
      </w:r>
      <w:r>
        <w:rPr>
          <w:rFonts w:hint="eastAsia"/>
          <w:color w:val="auto"/>
          <w:highlight w:val="none"/>
        </w:rPr>
        <w:t>必须就《项目需求》货物和服务的内容作完整唯一报价</w:t>
      </w:r>
      <w:r>
        <w:rPr>
          <w:rFonts w:hint="eastAsia" w:hAnsi="宋体"/>
          <w:color w:val="auto"/>
          <w:highlight w:val="none"/>
        </w:rPr>
        <w:t>，有选择的或有条件的报价视为无效响应文件。</w:t>
      </w:r>
    </w:p>
    <w:p>
      <w:pPr>
        <w:tabs>
          <w:tab w:val="left" w:pos="525"/>
        </w:tabs>
        <w:snapToGrid w:val="0"/>
        <w:spacing w:line="42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供应商的报价必须按采购文件或政府采购云平台规定的格式填写，并在规定时间内提交最后报价。</w:t>
      </w:r>
    </w:p>
    <w:p>
      <w:pPr>
        <w:tabs>
          <w:tab w:val="left" w:pos="525"/>
        </w:tabs>
        <w:snapToGrid w:val="0"/>
        <w:spacing w:line="420"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最后报价是供应商响应文件的有效组成部分。</w:t>
      </w:r>
    </w:p>
    <w:p>
      <w:pPr>
        <w:pStyle w:val="4"/>
        <w:spacing w:before="0" w:after="0" w:line="440" w:lineRule="exact"/>
        <w:ind w:firstLine="211" w:firstLineChars="100"/>
        <w:rPr>
          <w:rFonts w:ascii="宋体" w:hAnsi="宋体" w:eastAsia="宋体"/>
          <w:color w:val="auto"/>
          <w:sz w:val="21"/>
          <w:szCs w:val="21"/>
          <w:highlight w:val="none"/>
        </w:rPr>
      </w:pPr>
      <w:bookmarkStart w:id="100" w:name="_（六）谈判保证金"/>
      <w:bookmarkEnd w:id="100"/>
      <w:bookmarkStart w:id="101" w:name="_Toc352700425"/>
      <w:bookmarkStart w:id="102" w:name="_Toc353785295"/>
      <w:bookmarkStart w:id="103" w:name="_Toc254970682"/>
      <w:bookmarkStart w:id="104" w:name="_Toc254970541"/>
      <w:r>
        <w:rPr>
          <w:rFonts w:hint="eastAsia" w:ascii="宋体" w:hAnsi="宋体" w:eastAsia="宋体"/>
          <w:color w:val="auto"/>
          <w:sz w:val="21"/>
          <w:szCs w:val="21"/>
          <w:highlight w:val="none"/>
        </w:rPr>
        <w:t>（六）谈判保证金</w:t>
      </w:r>
      <w:bookmarkEnd w:id="101"/>
      <w:bookmarkEnd w:id="102"/>
      <w:bookmarkEnd w:id="103"/>
      <w:bookmarkEnd w:id="104"/>
    </w:p>
    <w:p>
      <w:pPr>
        <w:widowControl/>
        <w:spacing w:line="420" w:lineRule="exact"/>
        <w:ind w:firstLine="420" w:firstLineChars="200"/>
        <w:jc w:val="left"/>
        <w:rPr>
          <w:color w:val="auto"/>
          <w:highlight w:val="none"/>
        </w:rPr>
      </w:pPr>
      <w:bookmarkStart w:id="105" w:name="_Toc254970683"/>
      <w:bookmarkStart w:id="106" w:name="_Toc353785296"/>
      <w:bookmarkStart w:id="107" w:name="_Toc352700426"/>
      <w:bookmarkStart w:id="108" w:name="_Toc254970542"/>
      <w:r>
        <w:rPr>
          <w:rFonts w:hint="eastAsia" w:ascii="宋体" w:hAnsi="宋体"/>
          <w:color w:val="auto"/>
          <w:szCs w:val="21"/>
          <w:highlight w:val="none"/>
        </w:rPr>
        <w:t>本项目免收谈判保证金。</w:t>
      </w:r>
    </w:p>
    <w:bookmarkEnd w:id="105"/>
    <w:bookmarkEnd w:id="106"/>
    <w:bookmarkEnd w:id="107"/>
    <w:bookmarkEnd w:id="108"/>
    <w:p>
      <w:pPr>
        <w:spacing w:line="420" w:lineRule="exact"/>
        <w:ind w:firstLine="211" w:firstLineChars="100"/>
        <w:rPr>
          <w:b/>
          <w:bCs/>
          <w:color w:val="auto"/>
          <w:highlight w:val="none"/>
        </w:rPr>
      </w:pPr>
      <w:r>
        <w:rPr>
          <w:rFonts w:hint="eastAsia"/>
          <w:b/>
          <w:bCs/>
          <w:color w:val="auto"/>
          <w:highlight w:val="none"/>
        </w:rPr>
        <w:t>（七）响应文件的上传、提交、修改、撤回</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响应文件的上传和提交:供应商须将编制好的加密响应文件上传至政府采购云平台，并在响应文件提交截止时间前提交，否则</w:t>
      </w:r>
      <w:bookmarkStart w:id="109" w:name="_Hlk91772691"/>
      <w:r>
        <w:rPr>
          <w:rFonts w:hint="eastAsia" w:ascii="宋体" w:hAnsi="宋体"/>
          <w:color w:val="auto"/>
          <w:szCs w:val="21"/>
          <w:highlight w:val="none"/>
        </w:rPr>
        <w:t>政府采购云平台</w:t>
      </w:r>
      <w:bookmarkEnd w:id="109"/>
      <w:r>
        <w:rPr>
          <w:rFonts w:hint="eastAsia" w:ascii="宋体" w:hAnsi="宋体"/>
          <w:color w:val="auto"/>
          <w:szCs w:val="21"/>
          <w:highlight w:val="none"/>
        </w:rPr>
        <w:t>将予以拒收。</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响应文件的修改和撤回：</w:t>
      </w:r>
      <w:r>
        <w:rPr>
          <w:rFonts w:hint="eastAsia"/>
          <w:color w:val="auto"/>
          <w:szCs w:val="21"/>
          <w:highlight w:val="none"/>
        </w:rPr>
        <w:t>供应商在提交响应文件截止时间前，可以对所提交的响应文件进行补充、修改或者撤回</w:t>
      </w:r>
      <w:r>
        <w:rPr>
          <w:rFonts w:hint="eastAsia" w:ascii="宋体" w:hAnsi="宋体"/>
          <w:color w:val="auto"/>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highlight w:val="none"/>
        </w:rPr>
        <w:t>补充、修改的内容作为响应文件的组成部分。补充、修改的内容与响应文件不一致的，以补充、修改的内容为准。</w:t>
      </w:r>
    </w:p>
    <w:p>
      <w:pPr>
        <w:pStyle w:val="4"/>
        <w:spacing w:line="420" w:lineRule="exact"/>
        <w:rPr>
          <w:color w:val="auto"/>
          <w:highlight w:val="none"/>
        </w:rPr>
      </w:pPr>
      <w:bookmarkStart w:id="110" w:name="_四、响应文件开启"/>
      <w:bookmarkEnd w:id="110"/>
      <w:r>
        <w:rPr>
          <w:rFonts w:hint="eastAsia"/>
          <w:color w:val="auto"/>
          <w:highlight w:val="none"/>
        </w:rPr>
        <w:t>四、</w:t>
      </w:r>
      <w:bookmarkStart w:id="111" w:name="_Toc352700430"/>
      <w:bookmarkStart w:id="112" w:name="_Toc353785300"/>
      <w:r>
        <w:rPr>
          <w:rFonts w:hint="eastAsia"/>
          <w:color w:val="auto"/>
          <w:highlight w:val="none"/>
        </w:rPr>
        <w:t>响应文件开启</w:t>
      </w:r>
    </w:p>
    <w:bookmarkEnd w:id="111"/>
    <w:bookmarkEnd w:id="112"/>
    <w:p>
      <w:pPr>
        <w:spacing w:line="420"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（一）本中心将在响应文件提交截止时间后在</w:t>
      </w:r>
      <w:bookmarkStart w:id="113" w:name="_Hlk90300735"/>
      <w:r>
        <w:rPr>
          <w:rFonts w:hint="eastAsia"/>
          <w:color w:val="auto"/>
          <w:highlight w:val="none"/>
        </w:rPr>
        <w:t>政采云远程开标大厅</w:t>
      </w:r>
      <w:bookmarkEnd w:id="113"/>
      <w:r>
        <w:rPr>
          <w:rFonts w:hint="eastAsia"/>
          <w:color w:val="auto"/>
          <w:highlight w:val="none"/>
        </w:rPr>
        <w:t>进行响应文件开启，供应商法定代表人或委托代理人须按时登录</w:t>
      </w:r>
      <w:bookmarkStart w:id="114" w:name="_Hlk90300780"/>
      <w:r>
        <w:rPr>
          <w:rFonts w:hint="eastAsia"/>
          <w:color w:val="auto"/>
          <w:highlight w:val="none"/>
        </w:rPr>
        <w:t>政采云远程开标大厅</w:t>
      </w:r>
      <w:bookmarkEnd w:id="114"/>
      <w:r>
        <w:rPr>
          <w:rFonts w:hint="eastAsia"/>
          <w:color w:val="auto"/>
          <w:highlight w:val="none"/>
        </w:rPr>
        <w:t>（政府采购云平台-应用中心-项目采购-开标评标），保持全程在线并关注评审、谈判进度，评审期间谈判小组提出澄清等要求时，供应商须在规定时间内进行应答，否则按采购文件或政采云平台的相关规定执行。</w:t>
      </w:r>
      <w:bookmarkStart w:id="115" w:name="_Toc352700431"/>
      <w:bookmarkStart w:id="116" w:name="_Toc353785301"/>
    </w:p>
    <w:p>
      <w:pPr>
        <w:spacing w:line="420" w:lineRule="exact"/>
        <w:ind w:firstLine="210" w:firstLineChars="100"/>
        <w:rPr>
          <w:rFonts w:ascii="方正小标宋_GBK" w:hAnsi="Arial" w:eastAsia="方正小标宋_GBK"/>
          <w:bCs/>
          <w:color w:val="auto"/>
          <w:sz w:val="24"/>
          <w:highlight w:val="none"/>
        </w:rPr>
      </w:pPr>
      <w:r>
        <w:rPr>
          <w:rFonts w:hint="eastAsia"/>
          <w:color w:val="auto"/>
          <w:highlight w:val="none"/>
        </w:rPr>
        <w:t>（二）</w:t>
      </w:r>
      <w:bookmarkEnd w:id="115"/>
      <w:bookmarkEnd w:id="116"/>
      <w:r>
        <w:rPr>
          <w:rFonts w:hint="eastAsia"/>
          <w:color w:val="auto"/>
          <w:highlight w:val="none"/>
        </w:rPr>
        <w:t>解密</w:t>
      </w:r>
    </w:p>
    <w:p>
      <w:pPr>
        <w:spacing w:line="420" w:lineRule="exact"/>
        <w:ind w:firstLine="420" w:firstLineChars="200"/>
        <w:rPr>
          <w:color w:val="auto"/>
          <w:highlight w:val="none"/>
        </w:rPr>
      </w:pPr>
      <w:r>
        <w:rPr>
          <w:rFonts w:hint="eastAsia"/>
          <w:color w:val="auto"/>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color w:val="auto"/>
          <w:highlight w:val="none"/>
        </w:rPr>
      </w:pPr>
      <w:r>
        <w:rPr>
          <w:rFonts w:hint="eastAsia"/>
          <w:b/>
          <w:bCs/>
          <w:color w:val="auto"/>
          <w:highlight w:val="none"/>
        </w:rPr>
        <w:t>（三）资格审查</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采购人依法对供应商的资格进行审查，资格性审查时，如发现下列情形之一的，响应文件将被视为无效：</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(2)资格证明文件不全的，或者不符合采购文件标明的资格要求的；</w:t>
      </w:r>
    </w:p>
    <w:p>
      <w:pPr>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4"/>
        <w:spacing w:line="420" w:lineRule="exact"/>
        <w:rPr>
          <w:rFonts w:ascii="宋体" w:hAnsi="宋体"/>
          <w:color w:val="auto"/>
          <w:szCs w:val="21"/>
          <w:highlight w:val="none"/>
        </w:rPr>
      </w:pPr>
      <w:bookmarkStart w:id="117" w:name="_五、评审与谈判"/>
      <w:bookmarkEnd w:id="117"/>
      <w:bookmarkStart w:id="118" w:name="_Toc254970545"/>
      <w:bookmarkStart w:id="119" w:name="_Toc353785302"/>
      <w:bookmarkStart w:id="120" w:name="_Toc254970686"/>
      <w:bookmarkStart w:id="121" w:name="_Toc352700432"/>
      <w:r>
        <w:rPr>
          <w:rFonts w:hint="eastAsia"/>
          <w:color w:val="auto"/>
          <w:highlight w:val="none"/>
        </w:rPr>
        <w:t>五、</w:t>
      </w:r>
      <w:bookmarkEnd w:id="118"/>
      <w:bookmarkEnd w:id="119"/>
      <w:bookmarkEnd w:id="120"/>
      <w:bookmarkEnd w:id="121"/>
      <w:r>
        <w:rPr>
          <w:rFonts w:hint="eastAsia" w:ascii="宋体" w:hAnsi="宋体"/>
          <w:color w:val="auto"/>
          <w:szCs w:val="21"/>
          <w:highlight w:val="none"/>
        </w:rPr>
        <w:t>评审与谈判</w:t>
      </w:r>
    </w:p>
    <w:p>
      <w:pPr>
        <w:snapToGrid w:val="0"/>
        <w:spacing w:line="420" w:lineRule="exact"/>
        <w:ind w:firstLine="211" w:firstLineChars="100"/>
        <w:rPr>
          <w:rFonts w:ascii="宋体" w:hAnsi="宋体"/>
          <w:b/>
          <w:bCs/>
          <w:color w:val="auto"/>
          <w:szCs w:val="21"/>
          <w:highlight w:val="none"/>
        </w:rPr>
      </w:pPr>
      <w:bookmarkStart w:id="122" w:name="_Toc352700433"/>
      <w:bookmarkStart w:id="123" w:name="_Toc353785303"/>
      <w:r>
        <w:rPr>
          <w:rFonts w:hint="eastAsia" w:ascii="宋体" w:hAnsi="宋体"/>
          <w:b/>
          <w:bCs/>
          <w:color w:val="auto"/>
          <w:szCs w:val="21"/>
          <w:highlight w:val="none"/>
        </w:rPr>
        <w:t>（一）评审原则：</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本项目采用不公开方式评审，评审的依据为采购文件和响应文件。</w:t>
      </w:r>
    </w:p>
    <w:p>
      <w:pPr>
        <w:snapToGrid w:val="0"/>
        <w:spacing w:line="420" w:lineRule="exact"/>
        <w:ind w:firstLine="211" w:firstLineChars="100"/>
        <w:rPr>
          <w:rFonts w:ascii="宋体" w:hAnsi="宋体"/>
          <w:b/>
          <w:bCs/>
          <w:color w:val="auto"/>
          <w:szCs w:val="21"/>
          <w:highlight w:val="none"/>
        </w:rPr>
      </w:pPr>
      <w:r>
        <w:rPr>
          <w:rFonts w:hint="eastAsia"/>
          <w:b/>
          <w:bCs/>
          <w:color w:val="auto"/>
          <w:highlight w:val="none"/>
        </w:rPr>
        <w:t>（二）成立谈判小组</w:t>
      </w:r>
    </w:p>
    <w:p>
      <w:pPr>
        <w:snapToGrid w:val="0"/>
        <w:spacing w:line="420" w:lineRule="exact"/>
        <w:ind w:firstLine="420" w:firstLineChars="200"/>
        <w:rPr>
          <w:rFonts w:ascii="宋体" w:hAnsi="宋体"/>
          <w:color w:val="auto"/>
          <w:szCs w:val="21"/>
          <w:highlight w:val="none"/>
        </w:rPr>
      </w:pPr>
      <w:r>
        <w:rPr>
          <w:rFonts w:hint="eastAsia" w:ascii="宋体" w:hAnsi="宋体" w:cs="Courier New"/>
          <w:bCs/>
          <w:color w:val="auto"/>
          <w:szCs w:val="21"/>
          <w:highlight w:val="none"/>
        </w:rPr>
        <w:t>谈判小组</w:t>
      </w:r>
      <w:bookmarkEnd w:id="122"/>
      <w:bookmarkEnd w:id="123"/>
      <w:r>
        <w:rPr>
          <w:rFonts w:hint="eastAsia" w:ascii="宋体" w:hAnsi="宋体" w:cs="Courier New"/>
          <w:bCs/>
          <w:color w:val="auto"/>
          <w:szCs w:val="21"/>
          <w:highlight w:val="none"/>
        </w:rPr>
        <w:t>由采购人代表和评审专家共3人以上单数组成，其中评审专家人数不得少于谈判小组成员总数的2/3。</w:t>
      </w:r>
    </w:p>
    <w:p>
      <w:pPr>
        <w:spacing w:line="420" w:lineRule="exact"/>
        <w:ind w:firstLine="211" w:firstLineChars="100"/>
        <w:rPr>
          <w:rFonts w:ascii="宋体" w:hAnsi="宋体"/>
          <w:b/>
          <w:bCs/>
          <w:color w:val="auto"/>
          <w:szCs w:val="21"/>
          <w:highlight w:val="none"/>
        </w:rPr>
      </w:pPr>
      <w:r>
        <w:rPr>
          <w:rFonts w:hint="eastAsia" w:ascii="宋体" w:hAnsi="宋体"/>
          <w:b/>
          <w:bCs/>
          <w:color w:val="auto"/>
          <w:szCs w:val="21"/>
          <w:highlight w:val="none"/>
        </w:rPr>
        <w:t>（三）确认谈判文件</w:t>
      </w:r>
    </w:p>
    <w:p>
      <w:pPr>
        <w:spacing w:line="420" w:lineRule="exact"/>
        <w:ind w:firstLine="420" w:firstLineChars="200"/>
        <w:rPr>
          <w:rFonts w:ascii="宋体" w:hAnsi="宋体"/>
          <w:b/>
          <w:bCs/>
          <w:color w:val="auto"/>
          <w:szCs w:val="21"/>
          <w:highlight w:val="none"/>
        </w:rPr>
      </w:pPr>
      <w:r>
        <w:rPr>
          <w:rFonts w:hint="eastAsia" w:hAnsi="宋体"/>
          <w:color w:val="auto"/>
          <w:highlight w:val="none"/>
        </w:rPr>
        <w:t>谈判小组对谈判文件进行确认，认可谈判文件的内容，符合法律法规的规定、不存在歧视性或排他性内容。</w:t>
      </w:r>
    </w:p>
    <w:p>
      <w:pPr>
        <w:spacing w:line="420" w:lineRule="exact"/>
        <w:ind w:firstLine="211" w:firstLineChars="100"/>
        <w:rPr>
          <w:rFonts w:ascii="宋体" w:hAnsi="宋体" w:cs="Courier New"/>
          <w:color w:val="auto"/>
          <w:szCs w:val="21"/>
          <w:highlight w:val="none"/>
        </w:rPr>
      </w:pPr>
      <w:r>
        <w:rPr>
          <w:rFonts w:hint="eastAsia" w:ascii="宋体" w:hAnsi="宋体"/>
          <w:b/>
          <w:bCs/>
          <w:color w:val="auto"/>
          <w:szCs w:val="21"/>
          <w:highlight w:val="none"/>
        </w:rPr>
        <w:t>（四）实质性审查</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实质性审查时，如发现下列情形之一的，响应文件将被视为无效：</w:t>
      </w:r>
    </w:p>
    <w:p>
      <w:pPr>
        <w:snapToGrid w:val="0"/>
        <w:spacing w:line="420" w:lineRule="exact"/>
        <w:ind w:firstLine="525" w:firstLineChars="250"/>
        <w:rPr>
          <w:rFonts w:ascii="宋体" w:hAnsi="宋体"/>
          <w:color w:val="auto"/>
          <w:szCs w:val="21"/>
          <w:highlight w:val="none"/>
        </w:rPr>
      </w:pPr>
      <w:bookmarkStart w:id="124" w:name="_Hlk112311783"/>
      <w:r>
        <w:rPr>
          <w:rFonts w:hint="eastAsia" w:ascii="宋体" w:hAnsi="宋体"/>
          <w:color w:val="auto"/>
          <w:szCs w:val="21"/>
          <w:highlight w:val="none"/>
        </w:rPr>
        <w:t>①响应文件未按响应文件编制要求提供或内容虚假的；</w:t>
      </w:r>
    </w:p>
    <w:p>
      <w:pPr>
        <w:snapToGrid w:val="0"/>
        <w:spacing w:line="420" w:lineRule="exact"/>
        <w:ind w:firstLine="525" w:firstLineChars="250"/>
        <w:rPr>
          <w:rFonts w:ascii="宋体" w:hAnsi="宋体"/>
          <w:color w:val="auto"/>
          <w:szCs w:val="21"/>
          <w:highlight w:val="none"/>
        </w:rPr>
      </w:pPr>
      <w:r>
        <w:rPr>
          <w:rFonts w:hint="eastAsia" w:ascii="宋体" w:hAnsi="宋体"/>
          <w:color w:val="auto"/>
          <w:szCs w:val="21"/>
          <w:highlight w:val="none"/>
        </w:rPr>
        <w:t>②响应文件无法定代表人或其委托代理人签署、未提供授权委托书，或未按规定盖章的；</w:t>
      </w:r>
    </w:p>
    <w:p>
      <w:pPr>
        <w:snapToGrid w:val="0"/>
        <w:spacing w:line="420" w:lineRule="exact"/>
        <w:ind w:firstLine="525" w:firstLineChars="250"/>
        <w:rPr>
          <w:rFonts w:ascii="宋体" w:hAnsi="宋体"/>
          <w:color w:val="auto"/>
          <w:szCs w:val="21"/>
          <w:highlight w:val="none"/>
        </w:rPr>
      </w:pPr>
      <w:r>
        <w:rPr>
          <w:rFonts w:hint="eastAsia" w:ascii="宋体" w:hAnsi="宋体"/>
          <w:color w:val="auto"/>
          <w:szCs w:val="21"/>
          <w:highlight w:val="none"/>
        </w:rPr>
        <w:t>③供应商代表未能出具身份证明或与法定代表人委托代理人身份不符的；</w:t>
      </w:r>
    </w:p>
    <w:p>
      <w:pPr>
        <w:snapToGrid w:val="0"/>
        <w:spacing w:line="420" w:lineRule="exact"/>
        <w:ind w:firstLine="525" w:firstLineChars="250"/>
        <w:rPr>
          <w:rFonts w:ascii="宋体" w:hAnsi="宋体"/>
          <w:color w:val="auto"/>
          <w:szCs w:val="21"/>
          <w:highlight w:val="none"/>
        </w:rPr>
      </w:pPr>
      <w:r>
        <w:rPr>
          <w:rFonts w:hint="eastAsia" w:ascii="宋体" w:hAnsi="宋体"/>
          <w:color w:val="auto"/>
          <w:szCs w:val="21"/>
          <w:highlight w:val="none"/>
        </w:rPr>
        <w:t>④未实质性响应采购文件采购需求的技术、服务要求的；</w:t>
      </w:r>
    </w:p>
    <w:p>
      <w:pPr>
        <w:snapToGrid w:val="0"/>
        <w:spacing w:line="420" w:lineRule="exact"/>
        <w:ind w:firstLine="525" w:firstLineChars="250"/>
        <w:rPr>
          <w:rFonts w:ascii="宋体" w:hAnsi="宋体"/>
          <w:color w:val="auto"/>
          <w:szCs w:val="21"/>
          <w:highlight w:val="none"/>
        </w:rPr>
      </w:pPr>
      <w:r>
        <w:rPr>
          <w:rFonts w:hint="eastAsia" w:ascii="宋体" w:hAnsi="宋体"/>
          <w:color w:val="auto"/>
          <w:szCs w:val="21"/>
          <w:highlight w:val="none"/>
        </w:rPr>
        <w:t>⑤</w:t>
      </w:r>
      <w:r>
        <w:rPr>
          <w:rFonts w:hint="eastAsia" w:ascii="宋体" w:hAnsi="宋体"/>
          <w:color w:val="auto"/>
          <w:spacing w:val="-4"/>
          <w:szCs w:val="21"/>
          <w:highlight w:val="none"/>
        </w:rPr>
        <w:t>不符合采购文件要求的质量标准，或者与采购文件中的技术指标、功能、服务事项发生较大偏离，已不符合采购人需求的；</w:t>
      </w:r>
    </w:p>
    <w:p>
      <w:pPr>
        <w:snapToGrid w:val="0"/>
        <w:spacing w:line="420" w:lineRule="exact"/>
        <w:ind w:firstLine="525" w:firstLineChars="250"/>
        <w:rPr>
          <w:rFonts w:ascii="宋体" w:hAnsi="宋体"/>
          <w:color w:val="auto"/>
          <w:szCs w:val="21"/>
          <w:highlight w:val="none"/>
        </w:rPr>
      </w:pPr>
      <w:r>
        <w:rPr>
          <w:rFonts w:hint="eastAsia" w:ascii="宋体" w:hAnsi="宋体"/>
          <w:color w:val="auto"/>
          <w:szCs w:val="21"/>
          <w:highlight w:val="none"/>
        </w:rPr>
        <w:t>⑥响应文件有采购人不能接受的附加条件的。</w:t>
      </w:r>
    </w:p>
    <w:p>
      <w:pPr>
        <w:snapToGrid w:val="0"/>
        <w:spacing w:line="42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⑦响应文件技术方案不明确，存在一个或一个以上备选(替代)响应方案的；</w:t>
      </w:r>
    </w:p>
    <w:p>
      <w:pPr>
        <w:snapToGrid w:val="0"/>
        <w:spacing w:line="420" w:lineRule="exact"/>
        <w:ind w:firstLine="525" w:firstLineChars="250"/>
        <w:rPr>
          <w:rFonts w:ascii="宋体" w:hAnsi="宋体"/>
          <w:color w:val="auto"/>
          <w:szCs w:val="21"/>
          <w:highlight w:val="none"/>
        </w:rPr>
      </w:pPr>
      <w:r>
        <w:rPr>
          <w:rFonts w:hint="eastAsia" w:ascii="宋体" w:hAnsi="宋体"/>
          <w:color w:val="auto"/>
          <w:szCs w:val="21"/>
          <w:highlight w:val="none"/>
        </w:rPr>
        <w:t>⑧响应文件的实质性内容未使用中文表述、意思表述不明确、前后矛盾或者使用计量单位不符合采购文件要求的。</w:t>
      </w:r>
    </w:p>
    <w:bookmarkEnd w:id="124"/>
    <w:p>
      <w:pPr>
        <w:spacing w:line="420" w:lineRule="exact"/>
        <w:ind w:firstLine="211" w:firstLineChars="100"/>
        <w:rPr>
          <w:b/>
          <w:bCs/>
          <w:color w:val="auto"/>
          <w:highlight w:val="none"/>
        </w:rPr>
      </w:pPr>
      <w:r>
        <w:rPr>
          <w:rFonts w:hint="eastAsia"/>
          <w:b/>
          <w:bCs/>
          <w:color w:val="auto"/>
          <w:highlight w:val="none"/>
        </w:rPr>
        <w:t>（五）谈判</w:t>
      </w:r>
    </w:p>
    <w:p>
      <w:pPr>
        <w:pStyle w:val="22"/>
        <w:spacing w:line="420" w:lineRule="exact"/>
        <w:ind w:firstLine="420" w:firstLineChars="200"/>
        <w:rPr>
          <w:color w:val="auto"/>
          <w:highlight w:val="none"/>
        </w:rPr>
      </w:pPr>
      <w:r>
        <w:rPr>
          <w:rFonts w:hint="eastAsia" w:hAnsi="宋体"/>
          <w:bCs/>
          <w:color w:val="auto"/>
          <w:highlight w:val="none"/>
        </w:rPr>
        <w:t>1</w:t>
      </w:r>
      <w:r>
        <w:rPr>
          <w:rFonts w:hAnsi="宋体"/>
          <w:bCs/>
          <w:color w:val="auto"/>
          <w:highlight w:val="none"/>
        </w:rPr>
        <w:t>.</w:t>
      </w:r>
      <w:r>
        <w:rPr>
          <w:rFonts w:hint="eastAsia"/>
          <w:color w:val="auto"/>
          <w:highlight w:val="none"/>
        </w:rPr>
        <w:t>谈判小组所有成员应当集中与单一供应商分别进行谈判，并给予所有参加谈判的供应商平等的谈判机会。</w:t>
      </w:r>
    </w:p>
    <w:p>
      <w:pPr>
        <w:pStyle w:val="22"/>
        <w:spacing w:line="420" w:lineRule="exact"/>
        <w:ind w:firstLine="420" w:firstLineChars="200"/>
        <w:rPr>
          <w:rFonts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谈判小组可以根据谈判文件和谈判情况实质性变动采购需求中的技术、服务要求以及合同草案条款，但不得变动谈判文件中的其他内容。实质性变动的内容，须经采购人代表确认。</w:t>
      </w:r>
    </w:p>
    <w:p>
      <w:pPr>
        <w:pStyle w:val="22"/>
        <w:spacing w:line="420" w:lineRule="exact"/>
        <w:ind w:firstLine="420" w:firstLineChars="200"/>
        <w:rPr>
          <w:rFonts w:hAnsi="宋体"/>
          <w:bCs/>
          <w:color w:val="auto"/>
          <w:highlight w:val="none"/>
        </w:rPr>
      </w:pPr>
      <w:r>
        <w:rPr>
          <w:rFonts w:hAnsi="宋体"/>
          <w:bCs/>
          <w:color w:val="auto"/>
          <w:highlight w:val="none"/>
        </w:rPr>
        <w:t>3.</w:t>
      </w:r>
      <w:r>
        <w:rPr>
          <w:rFonts w:hint="eastAsia" w:hAnsi="宋体"/>
          <w:bCs/>
          <w:color w:val="auto"/>
          <w:highlight w:val="none"/>
        </w:rPr>
        <w:t>对谈判文件作出的实质性变动是谈判文件的有效组成部分，谈判小组应当及时以书面形式同时通知所有参加谈判的供应商。</w:t>
      </w:r>
    </w:p>
    <w:p>
      <w:pPr>
        <w:pStyle w:val="22"/>
        <w:spacing w:line="420" w:lineRule="exact"/>
        <w:ind w:firstLine="420" w:firstLineChars="200"/>
        <w:rPr>
          <w:rFonts w:hAnsi="宋体"/>
          <w:bCs/>
          <w:color w:val="auto"/>
          <w:highlight w:val="none"/>
        </w:rPr>
      </w:pPr>
      <w:r>
        <w:rPr>
          <w:rFonts w:hint="eastAsia" w:hAnsi="宋体"/>
          <w:bCs/>
          <w:color w:val="auto"/>
          <w:highlight w:val="none"/>
        </w:rPr>
        <w:t>4</w:t>
      </w:r>
      <w:r>
        <w:rPr>
          <w:rFonts w:hAnsi="宋体"/>
          <w:bCs/>
          <w:color w:val="auto"/>
          <w:highlight w:val="none"/>
        </w:rPr>
        <w:t>.</w:t>
      </w:r>
      <w:r>
        <w:rPr>
          <w:rFonts w:hint="eastAsia" w:hAnsi="宋体"/>
          <w:bCs/>
          <w:color w:val="auto"/>
          <w:highlight w:val="none"/>
        </w:rPr>
        <w:t>供应商应当按照谈判文件的变动情况和谈判小组的要求重新提交响应文件，并由其法定代表人或授权代表签名或者加盖公章。由授权代表签名的，应当附法定代表人授权书。</w:t>
      </w:r>
      <w:bookmarkStart w:id="125" w:name="_Hlk92985140"/>
      <w:r>
        <w:rPr>
          <w:rFonts w:hint="eastAsia" w:hAnsi="宋体"/>
          <w:bCs/>
          <w:color w:val="auto"/>
          <w:highlight w:val="none"/>
        </w:rPr>
        <w:t>供应商为自然人的，应当由本人签名并附身份证明。</w:t>
      </w:r>
      <w:bookmarkEnd w:id="125"/>
      <w:r>
        <w:rPr>
          <w:rFonts w:hint="eastAsia" w:hAnsi="宋体"/>
          <w:bCs/>
          <w:color w:val="auto"/>
          <w:highlight w:val="none"/>
        </w:rPr>
        <w:t>逾时不提交的，视同放弃谈判。</w:t>
      </w:r>
    </w:p>
    <w:p>
      <w:pPr>
        <w:pStyle w:val="22"/>
        <w:spacing w:line="420" w:lineRule="exact"/>
        <w:ind w:firstLine="420" w:firstLineChars="200"/>
        <w:rPr>
          <w:rFonts w:hAnsi="宋体"/>
          <w:bCs/>
          <w:color w:val="auto"/>
          <w:highlight w:val="none"/>
        </w:rPr>
      </w:pPr>
      <w:r>
        <w:rPr>
          <w:rFonts w:hint="eastAsia" w:hAnsi="宋体"/>
          <w:bCs/>
          <w:color w:val="auto"/>
          <w:highlight w:val="none"/>
        </w:rPr>
        <w:t>5</w:t>
      </w:r>
      <w:r>
        <w:rPr>
          <w:rFonts w:hAnsi="宋体"/>
          <w:bCs/>
          <w:color w:val="auto"/>
          <w:highlight w:val="none"/>
        </w:rPr>
        <w:t>.</w:t>
      </w:r>
      <w:r>
        <w:rPr>
          <w:rFonts w:hint="eastAsia"/>
          <w:color w:val="auto"/>
          <w:highlight w:val="none"/>
        </w:rPr>
        <w:t>已提交响应文件的供应商，在提交最后报价之前，可以根据谈判情况退出谈判。</w:t>
      </w:r>
    </w:p>
    <w:p>
      <w:pPr>
        <w:spacing w:line="420" w:lineRule="exact"/>
        <w:ind w:firstLine="211" w:firstLineChars="100"/>
        <w:rPr>
          <w:b/>
          <w:bCs/>
          <w:color w:val="auto"/>
          <w:highlight w:val="none"/>
        </w:rPr>
      </w:pPr>
      <w:r>
        <w:rPr>
          <w:rFonts w:hint="eastAsia"/>
          <w:b/>
          <w:bCs/>
          <w:color w:val="auto"/>
          <w:highlight w:val="none"/>
        </w:rPr>
        <w:t>（六）最后报价</w:t>
      </w:r>
    </w:p>
    <w:p>
      <w:pPr>
        <w:spacing w:line="420" w:lineRule="exact"/>
        <w:ind w:firstLine="420" w:firstLineChars="200"/>
        <w:rPr>
          <w:color w:val="auto"/>
          <w:highlight w:val="none"/>
        </w:rPr>
      </w:pPr>
      <w:r>
        <w:rPr>
          <w:color w:val="auto"/>
          <w:highlight w:val="none"/>
        </w:rPr>
        <w:t>1.</w:t>
      </w:r>
      <w:r>
        <w:rPr>
          <w:rFonts w:hint="eastAsia"/>
          <w:color w:val="auto"/>
          <w:highlight w:val="none"/>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rPr>
          <w:color w:val="auto"/>
          <w:highlight w:val="none"/>
        </w:rPr>
      </w:pPr>
      <w:r>
        <w:rPr>
          <w:rFonts w:hint="eastAsia"/>
          <w:color w:val="auto"/>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rPr>
          <w:color w:val="auto"/>
          <w:highlight w:val="none"/>
        </w:rPr>
      </w:pPr>
      <w:r>
        <w:rPr>
          <w:color w:val="auto"/>
          <w:highlight w:val="none"/>
        </w:rPr>
        <w:t>2.</w:t>
      </w:r>
      <w:r>
        <w:rPr>
          <w:rFonts w:hint="eastAsia"/>
          <w:color w:val="auto"/>
          <w:highlight w:val="none"/>
        </w:rPr>
        <w:t>最后报价应由其法定代表人或授权代表签名或者加盖公章，最后报价即系供应商响应报价。</w:t>
      </w:r>
    </w:p>
    <w:p>
      <w:pPr>
        <w:spacing w:line="420" w:lineRule="exact"/>
        <w:ind w:firstLine="422" w:firstLineChars="200"/>
        <w:rPr>
          <w:color w:val="auto"/>
          <w:highlight w:val="none"/>
        </w:rPr>
      </w:pPr>
      <w:r>
        <w:rPr>
          <w:rFonts w:hint="eastAsia"/>
          <w:b/>
          <w:bCs/>
          <w:color w:val="auto"/>
          <w:highlight w:val="none"/>
        </w:rPr>
        <w:t>3</w:t>
      </w:r>
      <w:r>
        <w:rPr>
          <w:rFonts w:hint="eastAsia" w:ascii="宋体" w:hAnsi="宋体" w:cs="Courier New"/>
          <w:b/>
          <w:color w:val="auto"/>
          <w:szCs w:val="21"/>
          <w:highlight w:val="none"/>
        </w:rPr>
        <w:t>.在报价评审时，如发现下列情形之一的，响应文件将被视为无效：</w:t>
      </w:r>
    </w:p>
    <w:p>
      <w:pPr>
        <w:snapToGrid w:val="0"/>
        <w:spacing w:line="420" w:lineRule="exact"/>
        <w:ind w:firstLine="420" w:firstLineChars="200"/>
        <w:rPr>
          <w:rFonts w:ascii="宋体" w:hAnsi="宋体"/>
          <w:color w:val="auto"/>
          <w:szCs w:val="21"/>
          <w:highlight w:val="none"/>
        </w:rPr>
      </w:pPr>
      <w:bookmarkStart w:id="126" w:name="_Hlk112312387"/>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报价未采用人民币或者未按照采购文件标明的币种报价的；</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报价明细表中货物品牌、规格、型号、服务事项未明确或与响应文件中相应内容不一致的；</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报价具有选择性的；</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报价未按采购文件或政府采购云平台规定的格式填写，或未在规定时间内提交最后报价的。</w:t>
      </w:r>
    </w:p>
    <w:bookmarkEnd w:id="126"/>
    <w:p>
      <w:pPr>
        <w:spacing w:line="420" w:lineRule="exact"/>
        <w:ind w:firstLine="211" w:firstLineChars="100"/>
        <w:rPr>
          <w:b/>
          <w:bCs/>
          <w:color w:val="auto"/>
          <w:highlight w:val="none"/>
        </w:rPr>
      </w:pPr>
      <w:r>
        <w:rPr>
          <w:rFonts w:hint="eastAsia"/>
          <w:b/>
          <w:bCs/>
          <w:color w:val="auto"/>
          <w:highlight w:val="none"/>
        </w:rPr>
        <w:t>（七）澄清、说明或者更正的形式</w:t>
      </w:r>
    </w:p>
    <w:p>
      <w:pPr>
        <w:pStyle w:val="22"/>
        <w:spacing w:line="420" w:lineRule="exact"/>
        <w:ind w:firstLine="420"/>
        <w:rPr>
          <w:rFonts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谈判小组在对响应文件的有效性、完整性和响应程度进行审查时，可以要求供应商对响应文件中含义不明确、同类问题表述不一致或者有明显文字和计算错误的内容等作出必要的</w:t>
      </w:r>
      <w:bookmarkStart w:id="127" w:name="_Hlk92462362"/>
      <w:r>
        <w:rPr>
          <w:rFonts w:hint="eastAsia" w:hAnsi="宋体"/>
          <w:bCs/>
          <w:color w:val="auto"/>
          <w:highlight w:val="none"/>
        </w:rPr>
        <w:t>澄清、说明或者更正</w:t>
      </w:r>
      <w:bookmarkEnd w:id="127"/>
      <w:r>
        <w:rPr>
          <w:rFonts w:hint="eastAsia" w:hAnsi="宋体"/>
          <w:bCs/>
          <w:color w:val="auto"/>
          <w:highlight w:val="none"/>
        </w:rPr>
        <w:t>。供应商的澄清、说明或者更正不得超出响应文件的范围或者改变响应文件的实质性内容。</w:t>
      </w:r>
    </w:p>
    <w:p>
      <w:pPr>
        <w:pStyle w:val="22"/>
        <w:spacing w:line="420" w:lineRule="exact"/>
        <w:ind w:firstLine="420"/>
        <w:rPr>
          <w:rFonts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color w:val="auto"/>
          <w:highlight w:val="none"/>
        </w:rPr>
      </w:pPr>
      <w:r>
        <w:rPr>
          <w:rFonts w:hint="eastAsia"/>
          <w:b/>
          <w:bCs/>
          <w:color w:val="auto"/>
          <w:highlight w:val="none"/>
        </w:rPr>
        <w:t>（八）评定标准及推荐原则</w:t>
      </w:r>
    </w:p>
    <w:p>
      <w:pPr>
        <w:spacing w:line="420" w:lineRule="exact"/>
        <w:ind w:firstLine="420" w:firstLineChars="200"/>
        <w:rPr>
          <w:color w:val="auto"/>
          <w:highlight w:val="none"/>
        </w:rPr>
      </w:pPr>
      <w:r>
        <w:rPr>
          <w:rFonts w:hint="eastAsia" w:ascii="宋体" w:hAnsi="Courier New" w:cs="Courier New"/>
          <w:color w:val="auto"/>
          <w:szCs w:val="21"/>
          <w:highlight w:val="none"/>
        </w:rPr>
        <w:t>详见第四章《评定标准及推荐原则》。</w:t>
      </w:r>
    </w:p>
    <w:p>
      <w:pPr>
        <w:pStyle w:val="22"/>
        <w:spacing w:line="420" w:lineRule="exact"/>
        <w:ind w:firstLine="211" w:firstLineChars="100"/>
        <w:rPr>
          <w:rFonts w:hAnsi="宋体"/>
          <w:b/>
          <w:color w:val="auto"/>
          <w:highlight w:val="none"/>
        </w:rPr>
      </w:pPr>
      <w:r>
        <w:rPr>
          <w:rFonts w:hint="eastAsia" w:hAnsi="宋体"/>
          <w:b/>
          <w:color w:val="auto"/>
          <w:highlight w:val="none"/>
        </w:rPr>
        <w:t>（九）供应商有下列情形之一的，属于恶意串通：</w:t>
      </w:r>
    </w:p>
    <w:p>
      <w:pPr>
        <w:pStyle w:val="22"/>
        <w:spacing w:line="420" w:lineRule="exact"/>
        <w:ind w:firstLine="420" w:firstLineChars="200"/>
        <w:rPr>
          <w:rFonts w:hAnsi="宋体" w:cs="Times New Roman"/>
          <w:color w:val="auto"/>
          <w:highlight w:val="none"/>
        </w:rPr>
      </w:pPr>
      <w:r>
        <w:rPr>
          <w:rFonts w:hint="eastAsia" w:hAnsi="宋体" w:cs="Times New Roman"/>
          <w:color w:val="auto"/>
          <w:highlight w:val="none"/>
        </w:rPr>
        <w:t>1</w:t>
      </w:r>
      <w:r>
        <w:rPr>
          <w:rFonts w:hAnsi="宋体" w:cs="Times New Roman"/>
          <w:color w:val="auto"/>
          <w:highlight w:val="none"/>
        </w:rPr>
        <w:t>.</w:t>
      </w:r>
      <w:r>
        <w:rPr>
          <w:rFonts w:hint="eastAsia" w:hAnsi="宋体" w:cs="Times New Roman"/>
          <w:color w:val="auto"/>
          <w:highlight w:val="none"/>
        </w:rPr>
        <w:t>供应商直接或者间接从采购人或者采购代理机构处获得其他供应商的相关情况并修改其响应文件；</w:t>
      </w:r>
    </w:p>
    <w:p>
      <w:pPr>
        <w:pStyle w:val="22"/>
        <w:spacing w:line="420" w:lineRule="exact"/>
        <w:ind w:firstLine="420" w:firstLineChars="200"/>
        <w:rPr>
          <w:rFonts w:hAnsi="宋体" w:cs="Times New Roman"/>
          <w:color w:val="auto"/>
          <w:highlight w:val="none"/>
        </w:rPr>
      </w:pPr>
      <w:r>
        <w:rPr>
          <w:rFonts w:hint="eastAsia" w:hAnsi="宋体" w:cs="Times New Roman"/>
          <w:color w:val="auto"/>
          <w:highlight w:val="none"/>
        </w:rPr>
        <w:t>2</w:t>
      </w:r>
      <w:r>
        <w:rPr>
          <w:rFonts w:hAnsi="宋体" w:cs="Times New Roman"/>
          <w:color w:val="auto"/>
          <w:highlight w:val="none"/>
        </w:rPr>
        <w:t>.</w:t>
      </w:r>
      <w:r>
        <w:rPr>
          <w:rFonts w:hint="eastAsia" w:hAnsi="宋体" w:cs="Times New Roman"/>
          <w:color w:val="auto"/>
          <w:highlight w:val="none"/>
        </w:rPr>
        <w:t>供应商按照采购人或者采购代理机构的授意撤换、修改响应文件；</w:t>
      </w:r>
    </w:p>
    <w:p>
      <w:pPr>
        <w:pStyle w:val="22"/>
        <w:spacing w:line="420" w:lineRule="exact"/>
        <w:ind w:firstLine="420" w:firstLineChars="200"/>
        <w:rPr>
          <w:rFonts w:hAnsi="宋体" w:cs="Times New Roman"/>
          <w:color w:val="auto"/>
          <w:highlight w:val="none"/>
        </w:rPr>
      </w:pPr>
      <w:r>
        <w:rPr>
          <w:rFonts w:hint="eastAsia" w:hAnsi="宋体" w:cs="Times New Roman"/>
          <w:color w:val="auto"/>
          <w:highlight w:val="none"/>
        </w:rPr>
        <w:t>3</w:t>
      </w:r>
      <w:r>
        <w:rPr>
          <w:rFonts w:hAnsi="宋体" w:cs="Times New Roman"/>
          <w:color w:val="auto"/>
          <w:highlight w:val="none"/>
        </w:rPr>
        <w:t>.</w:t>
      </w:r>
      <w:r>
        <w:rPr>
          <w:rFonts w:hint="eastAsia" w:hAnsi="宋体" w:cs="Times New Roman"/>
          <w:color w:val="auto"/>
          <w:highlight w:val="none"/>
        </w:rPr>
        <w:t>供应商之间协商报价、技术方案等响应文件的实质性内容；</w:t>
      </w:r>
    </w:p>
    <w:p>
      <w:pPr>
        <w:pStyle w:val="22"/>
        <w:spacing w:line="420" w:lineRule="exact"/>
        <w:ind w:firstLine="420" w:firstLineChars="200"/>
        <w:rPr>
          <w:rFonts w:hAnsi="宋体" w:cs="Times New Roman"/>
          <w:color w:val="auto"/>
          <w:highlight w:val="none"/>
        </w:rPr>
      </w:pPr>
      <w:r>
        <w:rPr>
          <w:rFonts w:hint="eastAsia" w:hAnsi="宋体" w:cs="Times New Roman"/>
          <w:color w:val="auto"/>
          <w:highlight w:val="none"/>
        </w:rPr>
        <w:t>4</w:t>
      </w:r>
      <w:r>
        <w:rPr>
          <w:rFonts w:hAnsi="宋体" w:cs="Times New Roman"/>
          <w:color w:val="auto"/>
          <w:highlight w:val="none"/>
        </w:rPr>
        <w:t>.</w:t>
      </w:r>
      <w:r>
        <w:rPr>
          <w:rFonts w:hint="eastAsia" w:hAnsi="宋体" w:cs="Times New Roman"/>
          <w:color w:val="auto"/>
          <w:highlight w:val="none"/>
        </w:rPr>
        <w:t>属于同一集团、协会、商会等组织成员的供应商按照该组织要求协同参加政府采购活动；</w:t>
      </w:r>
    </w:p>
    <w:p>
      <w:pPr>
        <w:pStyle w:val="22"/>
        <w:spacing w:line="420" w:lineRule="exact"/>
        <w:ind w:firstLine="420" w:firstLineChars="200"/>
        <w:rPr>
          <w:rFonts w:hAnsi="宋体" w:cs="Times New Roman"/>
          <w:color w:val="auto"/>
          <w:highlight w:val="none"/>
        </w:rPr>
      </w:pPr>
      <w:r>
        <w:rPr>
          <w:rFonts w:hint="eastAsia" w:hAnsi="宋体" w:cs="Times New Roman"/>
          <w:color w:val="auto"/>
          <w:highlight w:val="none"/>
        </w:rPr>
        <w:t>5</w:t>
      </w:r>
      <w:r>
        <w:rPr>
          <w:rFonts w:hAnsi="宋体" w:cs="Times New Roman"/>
          <w:color w:val="auto"/>
          <w:highlight w:val="none"/>
        </w:rPr>
        <w:t>.</w:t>
      </w:r>
      <w:r>
        <w:rPr>
          <w:rFonts w:hint="eastAsia" w:hAnsi="宋体" w:cs="Times New Roman"/>
          <w:color w:val="auto"/>
          <w:highlight w:val="none"/>
        </w:rPr>
        <w:t>供应商之间事先约定由某一特定供应商成交；</w:t>
      </w:r>
    </w:p>
    <w:p>
      <w:pPr>
        <w:pStyle w:val="22"/>
        <w:spacing w:line="420" w:lineRule="exact"/>
        <w:ind w:firstLine="420" w:firstLineChars="200"/>
        <w:rPr>
          <w:rFonts w:hAnsi="宋体" w:cs="Times New Roman"/>
          <w:color w:val="auto"/>
          <w:highlight w:val="none"/>
        </w:rPr>
      </w:pPr>
      <w:r>
        <w:rPr>
          <w:rFonts w:hint="eastAsia" w:hAnsi="宋体" w:cs="Times New Roman"/>
          <w:color w:val="auto"/>
          <w:highlight w:val="none"/>
        </w:rPr>
        <w:t>6</w:t>
      </w:r>
      <w:r>
        <w:rPr>
          <w:rFonts w:hAnsi="宋体" w:cs="Times New Roman"/>
          <w:color w:val="auto"/>
          <w:highlight w:val="none"/>
        </w:rPr>
        <w:t>.</w:t>
      </w:r>
      <w:r>
        <w:rPr>
          <w:rFonts w:hint="eastAsia" w:hAnsi="宋体" w:cs="Times New Roman"/>
          <w:color w:val="auto"/>
          <w:highlight w:val="none"/>
        </w:rPr>
        <w:t>供应商之间商定部分供应商放弃参加政府采购活动或者放弃成交；</w:t>
      </w:r>
    </w:p>
    <w:p>
      <w:pPr>
        <w:pStyle w:val="22"/>
        <w:spacing w:line="420" w:lineRule="exact"/>
        <w:ind w:firstLine="420" w:firstLineChars="200"/>
        <w:rPr>
          <w:rFonts w:hAnsi="宋体" w:cs="Times New Roman"/>
          <w:color w:val="auto"/>
          <w:highlight w:val="none"/>
        </w:rPr>
      </w:pPr>
      <w:r>
        <w:rPr>
          <w:rFonts w:hint="eastAsia" w:hAnsi="宋体" w:cs="Times New Roman"/>
          <w:color w:val="auto"/>
          <w:highlight w:val="none"/>
        </w:rPr>
        <w:t>7</w:t>
      </w:r>
      <w:r>
        <w:rPr>
          <w:rFonts w:hAnsi="宋体" w:cs="Times New Roman"/>
          <w:color w:val="auto"/>
          <w:highlight w:val="none"/>
        </w:rPr>
        <w:t>.</w:t>
      </w:r>
      <w:r>
        <w:rPr>
          <w:rFonts w:hint="eastAsia" w:hAnsi="宋体" w:cs="Times New Roman"/>
          <w:color w:val="auto"/>
          <w:highlight w:val="none"/>
        </w:rPr>
        <w:t>供应商与采购人或者采购代理机构之间、供应商相互之间，为谋求特定供应商成交或者排斥其他供应商的其他串通行为。</w:t>
      </w:r>
    </w:p>
    <w:p>
      <w:pPr>
        <w:pStyle w:val="22"/>
        <w:spacing w:line="420" w:lineRule="exact"/>
        <w:ind w:firstLine="211" w:firstLineChars="100"/>
        <w:rPr>
          <w:rFonts w:hAnsi="宋体"/>
          <w:b/>
          <w:color w:val="auto"/>
          <w:highlight w:val="none"/>
        </w:rPr>
      </w:pPr>
      <w:r>
        <w:rPr>
          <w:rFonts w:hint="eastAsia" w:hAnsi="宋体"/>
          <w:b/>
          <w:color w:val="auto"/>
          <w:highlight w:val="none"/>
        </w:rPr>
        <w:t>（十）评审报告</w:t>
      </w:r>
    </w:p>
    <w:p>
      <w:pPr>
        <w:widowControl/>
        <w:tabs>
          <w:tab w:val="left" w:pos="540"/>
        </w:tabs>
        <w:spacing w:line="420" w:lineRule="exact"/>
        <w:ind w:firstLine="420" w:firstLineChars="200"/>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谈判小组应当根据评审记录和评审结果编写评审报告，主要内容包括：</w:t>
      </w:r>
    </w:p>
    <w:p>
      <w:pPr>
        <w:widowControl/>
        <w:tabs>
          <w:tab w:val="left" w:pos="540"/>
        </w:tabs>
        <w:spacing w:line="420"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邀请供应商参加采购活动的具体方式和相关情况，以及参加采购活动的供应商名单；</w:t>
      </w:r>
    </w:p>
    <w:p>
      <w:pPr>
        <w:widowControl/>
        <w:tabs>
          <w:tab w:val="left" w:pos="540"/>
        </w:tabs>
        <w:spacing w:line="420"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评审日期和地点，谈判小组成员名单；</w:t>
      </w:r>
    </w:p>
    <w:p>
      <w:pPr>
        <w:widowControl/>
        <w:tabs>
          <w:tab w:val="left" w:pos="540"/>
        </w:tabs>
        <w:spacing w:line="420"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rPr>
          <w:color w:val="auto"/>
          <w:szCs w:val="21"/>
          <w:highlight w:val="none"/>
        </w:rPr>
      </w:pPr>
      <w:r>
        <w:rPr>
          <w:rFonts w:hint="eastAsia"/>
          <w:color w:val="auto"/>
          <w:highlight w:val="none"/>
        </w:rPr>
        <w:t>(</w:t>
      </w:r>
      <w:r>
        <w:rPr>
          <w:color w:val="auto"/>
          <w:highlight w:val="none"/>
        </w:rPr>
        <w:t>4)</w:t>
      </w:r>
      <w:r>
        <w:rPr>
          <w:rFonts w:hint="eastAsia"/>
          <w:color w:val="auto"/>
          <w:highlight w:val="none"/>
        </w:rPr>
        <w:t>提出的成交候选人的名单及理由。</w:t>
      </w:r>
      <w:r>
        <w:rPr>
          <w:rFonts w:hint="eastAsia"/>
          <w:color w:val="auto"/>
          <w:highlight w:val="none"/>
        </w:rPr>
        <w:br w:type="textWrapping"/>
      </w:r>
      <w:r>
        <w:rPr>
          <w:rFonts w:hint="eastAsia"/>
          <w:color w:val="auto"/>
          <w:highlight w:val="none"/>
        </w:rPr>
        <w:t>　　2</w:t>
      </w:r>
      <w:r>
        <w:rPr>
          <w:color w:val="auto"/>
          <w:highlight w:val="none"/>
        </w:rPr>
        <w:t>.</w:t>
      </w:r>
      <w:r>
        <w:rPr>
          <w:rFonts w:hint="eastAsia"/>
          <w:color w:val="auto"/>
          <w:highlight w:val="none"/>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2"/>
        <w:spacing w:line="420" w:lineRule="exact"/>
        <w:ind w:firstLine="211" w:firstLineChars="100"/>
        <w:rPr>
          <w:rFonts w:hAnsi="宋体"/>
          <w:color w:val="auto"/>
          <w:highlight w:val="none"/>
        </w:rPr>
      </w:pPr>
      <w:r>
        <w:rPr>
          <w:rFonts w:hint="eastAsia" w:hAnsi="宋体"/>
          <w:b/>
          <w:bCs/>
          <w:color w:val="auto"/>
          <w:highlight w:val="none"/>
        </w:rPr>
        <w:t>（十一）</w:t>
      </w:r>
      <w:r>
        <w:rPr>
          <w:rFonts w:hint="eastAsia" w:hAnsi="宋体"/>
          <w:b/>
          <w:color w:val="auto"/>
          <w:highlight w:val="none"/>
        </w:rPr>
        <w:t>出现下列情形之一的，本中心将终止竞争性谈判采购活动：</w:t>
      </w:r>
    </w:p>
    <w:p>
      <w:pPr>
        <w:pStyle w:val="22"/>
        <w:spacing w:line="420" w:lineRule="exact"/>
        <w:ind w:firstLine="420" w:firstLineChars="20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因情况变化，不再符合规定的竞争性谈判采购方式适用情形的；</w:t>
      </w:r>
    </w:p>
    <w:p>
      <w:pPr>
        <w:pStyle w:val="22"/>
        <w:spacing w:line="420" w:lineRule="exact"/>
        <w:ind w:firstLine="420" w:firstLineChars="200"/>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出现影响采购公正的违法、违规行为的；</w:t>
      </w:r>
    </w:p>
    <w:p>
      <w:pPr>
        <w:pStyle w:val="22"/>
        <w:spacing w:line="420" w:lineRule="exact"/>
        <w:ind w:firstLine="420" w:firstLineChars="200"/>
        <w:rPr>
          <w:rFonts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在采购过程中符合竞争要求的供应商或者报价未超过采购预算的供应商不足3家的。</w:t>
      </w:r>
    </w:p>
    <w:p>
      <w:pPr>
        <w:pStyle w:val="4"/>
        <w:spacing w:line="420" w:lineRule="exact"/>
        <w:rPr>
          <w:color w:val="auto"/>
          <w:highlight w:val="none"/>
        </w:rPr>
      </w:pPr>
      <w:r>
        <w:rPr>
          <w:rFonts w:hint="eastAsia"/>
          <w:color w:val="auto"/>
          <w:highlight w:val="none"/>
        </w:rPr>
        <w:t>六、确定成交供应商</w:t>
      </w:r>
    </w:p>
    <w:p>
      <w:pPr>
        <w:pStyle w:val="22"/>
        <w:spacing w:line="420" w:lineRule="exact"/>
        <w:ind w:firstLine="42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本中心应当在评审结束后2个工作日内将评审报告送采购人确认。</w:t>
      </w:r>
    </w:p>
    <w:p>
      <w:pPr>
        <w:pStyle w:val="22"/>
        <w:spacing w:line="420" w:lineRule="exact"/>
        <w:ind w:firstLine="420"/>
        <w:rPr>
          <w:rFonts w:hAnsi="宋体"/>
          <w:color w:val="auto"/>
          <w:highlight w:val="none"/>
        </w:rPr>
      </w:pPr>
      <w:r>
        <w:rPr>
          <w:rFonts w:hAnsi="宋体"/>
          <w:color w:val="auto"/>
          <w:highlight w:val="none"/>
        </w:rPr>
        <w:t>2.</w:t>
      </w:r>
      <w:r>
        <w:rPr>
          <w:rFonts w:hint="eastAsia" w:hAnsi="宋体"/>
          <w:color w:val="auto"/>
          <w:highlight w:val="none"/>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4"/>
        <w:spacing w:line="420" w:lineRule="exact"/>
        <w:rPr>
          <w:color w:val="auto"/>
          <w:highlight w:val="none"/>
        </w:rPr>
      </w:pPr>
      <w:r>
        <w:rPr>
          <w:rFonts w:hint="eastAsia"/>
          <w:color w:val="auto"/>
          <w:highlight w:val="none"/>
        </w:rPr>
        <w:t>七、结果公告</w:t>
      </w:r>
    </w:p>
    <w:p>
      <w:pPr>
        <w:pStyle w:val="22"/>
        <w:spacing w:line="420" w:lineRule="exact"/>
        <w:ind w:firstLine="420" w:firstLineChars="200"/>
        <w:rPr>
          <w:rFonts w:hAnsi="宋体"/>
          <w:color w:val="auto"/>
          <w:highlight w:val="none"/>
        </w:rPr>
      </w:pPr>
      <w:r>
        <w:rPr>
          <w:rFonts w:hint="eastAsia" w:hAnsi="宋体"/>
          <w:color w:val="auto"/>
          <w:highlight w:val="none"/>
        </w:rPr>
        <w:t>本中心在成交供应商确定后2个工作日内，</w:t>
      </w:r>
      <w:r>
        <w:rPr>
          <w:rFonts w:hint="eastAsia"/>
          <w:color w:val="auto"/>
          <w:highlight w:val="none"/>
        </w:rPr>
        <w:t>在省级以上财政部门指定的媒体上公告</w:t>
      </w:r>
      <w:r>
        <w:rPr>
          <w:rFonts w:hint="eastAsia" w:hAnsi="宋体"/>
          <w:color w:val="auto"/>
          <w:highlight w:val="none"/>
        </w:rPr>
        <w:t>成交结果，同时向成交供应商发出成交通知书。</w:t>
      </w:r>
    </w:p>
    <w:p>
      <w:pPr>
        <w:pStyle w:val="4"/>
        <w:spacing w:line="420" w:lineRule="exact"/>
        <w:rPr>
          <w:color w:val="auto"/>
          <w:highlight w:val="none"/>
        </w:rPr>
      </w:pPr>
      <w:r>
        <w:rPr>
          <w:rFonts w:hint="eastAsia"/>
          <w:color w:val="auto"/>
          <w:highlight w:val="none"/>
        </w:rPr>
        <w:t>八、签订合同</w:t>
      </w:r>
    </w:p>
    <w:p>
      <w:pPr>
        <w:spacing w:line="420" w:lineRule="exact"/>
        <w:ind w:firstLine="210" w:firstLineChars="100"/>
        <w:rPr>
          <w:rFonts w:ascii="宋体" w:hAnsi="宋体" w:cs="Courier New"/>
          <w:color w:val="auto"/>
          <w:szCs w:val="21"/>
          <w:highlight w:val="none"/>
        </w:rPr>
      </w:pPr>
      <w:r>
        <w:rPr>
          <w:rFonts w:hint="eastAsia" w:ascii="宋体" w:hAnsi="宋体"/>
          <w:color w:val="auto"/>
          <w:szCs w:val="21"/>
          <w:highlight w:val="none"/>
        </w:rPr>
        <w:t>（一）</w:t>
      </w:r>
      <w:r>
        <w:rPr>
          <w:rFonts w:hint="eastAsia" w:ascii="宋体" w:hAnsi="宋体" w:cs="Courier New"/>
          <w:color w:val="auto"/>
          <w:szCs w:val="21"/>
          <w:highlight w:val="none"/>
        </w:rPr>
        <w:t>采购人与成交供应商应当在成交通知书发出之日起</w:t>
      </w:r>
      <w:r>
        <w:rPr>
          <w:rFonts w:ascii="宋体" w:hAnsi="宋体" w:cs="Courier New"/>
          <w:color w:val="auto"/>
          <w:szCs w:val="21"/>
          <w:highlight w:val="none"/>
        </w:rPr>
        <w:t>15</w:t>
      </w:r>
      <w:r>
        <w:rPr>
          <w:rFonts w:hint="eastAsia" w:ascii="宋体" w:hAnsi="宋体" w:cs="Courier New"/>
          <w:color w:val="auto"/>
          <w:szCs w:val="21"/>
          <w:highlight w:val="none"/>
        </w:rPr>
        <w:t>日内，</w:t>
      </w:r>
      <w:r>
        <w:rPr>
          <w:rFonts w:hint="eastAsia"/>
          <w:color w:val="auto"/>
          <w:szCs w:val="21"/>
          <w:highlight w:val="none"/>
        </w:rPr>
        <w:t>按照采购文件确定的合同文本以及采购标的、规格型号、采购金额、采购数量、技术和服务要求等事项签订政府采购合同。</w:t>
      </w:r>
    </w:p>
    <w:p>
      <w:pPr>
        <w:widowControl/>
        <w:spacing w:line="420" w:lineRule="exact"/>
        <w:ind w:firstLine="210" w:firstLineChars="100"/>
        <w:jc w:val="left"/>
        <w:rPr>
          <w:rFonts w:ascii="宋体" w:hAnsi="宋体" w:cs="宋体"/>
          <w:color w:val="auto"/>
          <w:kern w:val="0"/>
          <w:szCs w:val="21"/>
          <w:highlight w:val="none"/>
        </w:rPr>
      </w:pPr>
      <w:r>
        <w:rPr>
          <w:rFonts w:hint="eastAsia" w:ascii="宋体" w:hAnsi="宋体" w:cs="Courier New"/>
          <w:color w:val="auto"/>
          <w:szCs w:val="21"/>
          <w:highlight w:val="none"/>
        </w:rPr>
        <w:t>（二）</w:t>
      </w:r>
      <w:r>
        <w:rPr>
          <w:rFonts w:hint="eastAsia" w:ascii="宋体" w:hAnsi="宋体" w:cs="宋体"/>
          <w:color w:val="auto"/>
          <w:kern w:val="0"/>
          <w:szCs w:val="21"/>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（五）</w:t>
      </w:r>
      <w:r>
        <w:rPr>
          <w:rFonts w:ascii="Arial" w:hAnsi="Arial" w:cs="Arial"/>
          <w:color w:val="auto"/>
          <w:kern w:val="0"/>
          <w:szCs w:val="21"/>
          <w:highlight w:val="none"/>
        </w:rPr>
        <w:t>政府采购合同</w:t>
      </w:r>
      <w:r>
        <w:rPr>
          <w:rFonts w:hint="eastAsia" w:ascii="Arial" w:hAnsi="Arial" w:cs="Arial"/>
          <w:color w:val="auto"/>
          <w:kern w:val="0"/>
          <w:szCs w:val="21"/>
          <w:highlight w:val="none"/>
        </w:rPr>
        <w:t>适用《中华人民共和国民法典》</w:t>
      </w:r>
      <w:r>
        <w:rPr>
          <w:rFonts w:ascii="Arial" w:hAnsi="Arial" w:cs="Arial"/>
          <w:color w:val="auto"/>
          <w:kern w:val="0"/>
          <w:szCs w:val="21"/>
          <w:highlight w:val="none"/>
        </w:rPr>
        <w:t>。</w:t>
      </w:r>
    </w:p>
    <w:p>
      <w:pPr>
        <w:widowControl/>
        <w:spacing w:line="420"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20" w:lineRule="exact"/>
        <w:rPr>
          <w:color w:val="auto"/>
          <w:highlight w:val="none"/>
        </w:rPr>
      </w:pPr>
      <w:r>
        <w:rPr>
          <w:rFonts w:hint="eastAsia"/>
          <w:color w:val="auto"/>
          <w:highlight w:val="none"/>
        </w:rPr>
        <w:t>九、适用法律</w:t>
      </w:r>
    </w:p>
    <w:p>
      <w:pPr>
        <w:spacing w:line="420" w:lineRule="exact"/>
        <w:ind w:firstLine="420" w:firstLineChars="200"/>
        <w:rPr>
          <w:rFonts w:ascii="宋体" w:hAnsi="宋体"/>
          <w:color w:val="auto"/>
          <w:szCs w:val="21"/>
          <w:highlight w:val="none"/>
        </w:rPr>
      </w:pPr>
      <w:bookmarkStart w:id="128" w:name="_Hlk92794186"/>
      <w:r>
        <w:rPr>
          <w:rFonts w:hint="eastAsia" w:ascii="宋体" w:hAnsi="宋体"/>
          <w:color w:val="auto"/>
          <w:szCs w:val="21"/>
          <w:highlight w:val="none"/>
        </w:rPr>
        <w:t>本项目采购活动适用于《中华人民共和国政府采购法》及其实施条例、《政府采购非招标采购方式管理办法》等规定。</w:t>
      </w:r>
    </w:p>
    <w:bookmarkEnd w:id="128"/>
    <w:p>
      <w:pPr>
        <w:pStyle w:val="4"/>
        <w:spacing w:line="420" w:lineRule="exact"/>
        <w:rPr>
          <w:color w:val="auto"/>
          <w:highlight w:val="none"/>
        </w:rPr>
      </w:pPr>
      <w:bookmarkStart w:id="129" w:name="_十、其他事项"/>
      <w:bookmarkEnd w:id="129"/>
      <w:r>
        <w:rPr>
          <w:rFonts w:hint="eastAsia"/>
          <w:color w:val="auto"/>
          <w:highlight w:val="none"/>
        </w:rPr>
        <w:t>十、其他事项</w:t>
      </w:r>
    </w:p>
    <w:p>
      <w:pPr>
        <w:spacing w:line="420" w:lineRule="exact"/>
        <w:ind w:firstLine="210" w:firstLineChars="100"/>
        <w:rPr>
          <w:rFonts w:hAnsi="宋体"/>
          <w:color w:val="auto"/>
          <w:highlight w:val="none"/>
        </w:rPr>
      </w:pPr>
      <w:r>
        <w:rPr>
          <w:rFonts w:hint="eastAsia" w:hAnsi="宋体"/>
          <w:color w:val="auto"/>
          <w:highlight w:val="none"/>
        </w:rPr>
        <w:t>（一）代理服务费</w:t>
      </w:r>
    </w:p>
    <w:p>
      <w:pPr>
        <w:spacing w:line="420" w:lineRule="exact"/>
        <w:ind w:firstLine="420" w:firstLineChars="20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本中心按钦州市物价局“钦市价费﹝2013﹞4号”文件规定向成交供应商收取代理服务费，成交供应商须向本中心一次付清代理服务费。</w:t>
      </w:r>
    </w:p>
    <w:p>
      <w:pPr>
        <w:spacing w:line="420" w:lineRule="exact"/>
        <w:ind w:firstLine="420" w:firstLineChars="200"/>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bCs/>
          <w:color w:val="auto"/>
          <w:highlight w:val="none"/>
        </w:rPr>
        <w:t>代理服务收费标准：</w:t>
      </w:r>
    </w:p>
    <w:tbl>
      <w:tblPr>
        <w:tblStyle w:val="3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highlight w:val="none"/>
              </w:rPr>
              <w:t>采购类型</w:t>
            </w:r>
          </w:p>
          <w:p>
            <w:pPr>
              <w:spacing w:line="330" w:lineRule="exact"/>
              <w:rPr>
                <w:rFonts w:hAnsi="宋体"/>
                <w:color w:val="auto"/>
                <w:highlight w:val="none"/>
              </w:rPr>
            </w:pPr>
          </w:p>
          <w:p>
            <w:pPr>
              <w:spacing w:line="330" w:lineRule="exact"/>
              <w:ind w:firstLine="1575" w:firstLineChars="750"/>
              <w:jc w:val="left"/>
              <w:rPr>
                <w:rFonts w:hAnsi="宋体"/>
                <w:color w:val="auto"/>
                <w:highlight w:val="none"/>
              </w:rPr>
            </w:pPr>
            <w:r>
              <w:rPr>
                <w:rFonts w:hint="eastAsia" w:hAnsi="宋体"/>
                <w:color w:val="auto"/>
                <w:highlight w:val="none"/>
              </w:rPr>
              <w:t>费率</w:t>
            </w:r>
          </w:p>
          <w:p>
            <w:pPr>
              <w:spacing w:line="330" w:lineRule="exact"/>
              <w:ind w:leftChars="-1" w:hanging="2" w:hangingChars="1"/>
              <w:jc w:val="left"/>
              <w:rPr>
                <w:rFonts w:hAnsi="宋体"/>
                <w:color w:val="auto"/>
                <w:highlight w:val="none"/>
              </w:rPr>
            </w:pPr>
          </w:p>
          <w:p>
            <w:pPr>
              <w:spacing w:line="330" w:lineRule="exact"/>
              <w:ind w:leftChars="-1" w:hanging="2" w:hangingChars="1"/>
              <w:jc w:val="left"/>
              <w:rPr>
                <w:rFonts w:hAnsi="宋体"/>
                <w:color w:val="auto"/>
                <w:highlight w:val="none"/>
              </w:rPr>
            </w:pPr>
          </w:p>
          <w:p>
            <w:pPr>
              <w:spacing w:line="330" w:lineRule="exact"/>
              <w:jc w:val="left"/>
              <w:rPr>
                <w:rFonts w:hAnsi="宋体"/>
                <w:color w:val="auto"/>
                <w:highlight w:val="none"/>
              </w:rPr>
            </w:pPr>
            <w:r>
              <w:rPr>
                <w:rFonts w:hint="eastAsia" w:hAnsi="宋体"/>
                <w:color w:val="auto"/>
                <w:highlight w:val="none"/>
              </w:rPr>
              <w:t>成交金额（万元）</w:t>
            </w:r>
          </w:p>
        </w:tc>
        <w:tc>
          <w:tcPr>
            <w:tcW w:w="5708" w:type="dxa"/>
            <w:gridSpan w:val="3"/>
            <w:vAlign w:val="center"/>
          </w:tcPr>
          <w:p>
            <w:pPr>
              <w:spacing w:line="330" w:lineRule="exact"/>
              <w:rPr>
                <w:rFonts w:hAnsi="宋体"/>
                <w:color w:val="auto"/>
                <w:highlight w:val="none"/>
              </w:rPr>
            </w:pPr>
            <w:r>
              <w:rPr>
                <w:rFonts w:hint="eastAsia" w:hAnsi="宋体"/>
                <w:color w:val="auto"/>
                <w:highlight w:val="none"/>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color w:val="auto"/>
                <w:highlight w:val="none"/>
              </w:rPr>
            </w:pPr>
          </w:p>
        </w:tc>
        <w:tc>
          <w:tcPr>
            <w:tcW w:w="1932" w:type="dxa"/>
            <w:vAlign w:val="center"/>
          </w:tcPr>
          <w:p>
            <w:pPr>
              <w:spacing w:line="330" w:lineRule="exact"/>
              <w:jc w:val="center"/>
              <w:rPr>
                <w:rFonts w:hAnsi="宋体"/>
                <w:color w:val="auto"/>
                <w:highlight w:val="none"/>
              </w:rPr>
            </w:pPr>
            <w:r>
              <w:rPr>
                <w:rFonts w:hint="eastAsia" w:hAnsi="宋体"/>
                <w:color w:val="auto"/>
                <w:highlight w:val="none"/>
              </w:rPr>
              <w:t>货物类</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服务类</w:t>
            </w:r>
          </w:p>
        </w:tc>
        <w:tc>
          <w:tcPr>
            <w:tcW w:w="1976" w:type="dxa"/>
            <w:vAlign w:val="center"/>
          </w:tcPr>
          <w:p>
            <w:pPr>
              <w:widowControl/>
              <w:spacing w:line="330" w:lineRule="exact"/>
              <w:jc w:val="center"/>
              <w:rPr>
                <w:rFonts w:hAnsi="宋体"/>
                <w:color w:val="auto"/>
                <w:highlight w:val="none"/>
              </w:rPr>
            </w:pPr>
            <w:r>
              <w:rPr>
                <w:rFonts w:hint="eastAsia" w:hAnsi="宋体"/>
                <w:color w:val="auto"/>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100以下</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1.2%</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1.2%</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100-500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0.88%</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0.64%</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500-1000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0.64%</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0.36%</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1000-5000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0.4%</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0.2%</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5000-10000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0.2%</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0.08%</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10000-100000</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0.04%</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0.04%</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color w:val="auto"/>
                <w:highlight w:val="none"/>
              </w:rPr>
            </w:pPr>
            <w:r>
              <w:rPr>
                <w:rFonts w:hint="eastAsia" w:hAnsi="宋体"/>
                <w:color w:val="auto"/>
                <w:highlight w:val="none"/>
              </w:rPr>
              <w:t>100000以上</w:t>
            </w:r>
          </w:p>
        </w:tc>
        <w:tc>
          <w:tcPr>
            <w:tcW w:w="1932" w:type="dxa"/>
            <w:vAlign w:val="center"/>
          </w:tcPr>
          <w:p>
            <w:pPr>
              <w:spacing w:line="330" w:lineRule="exact"/>
              <w:jc w:val="center"/>
              <w:rPr>
                <w:rFonts w:hAnsi="宋体"/>
                <w:color w:val="auto"/>
                <w:highlight w:val="none"/>
              </w:rPr>
            </w:pPr>
            <w:r>
              <w:rPr>
                <w:rFonts w:hint="eastAsia" w:hAnsi="宋体"/>
                <w:color w:val="auto"/>
                <w:highlight w:val="none"/>
              </w:rPr>
              <w:t>0.008%</w:t>
            </w:r>
          </w:p>
        </w:tc>
        <w:tc>
          <w:tcPr>
            <w:tcW w:w="1800" w:type="dxa"/>
            <w:vAlign w:val="center"/>
          </w:tcPr>
          <w:p>
            <w:pPr>
              <w:spacing w:line="330" w:lineRule="exact"/>
              <w:jc w:val="center"/>
              <w:rPr>
                <w:rFonts w:hAnsi="宋体"/>
                <w:color w:val="auto"/>
                <w:highlight w:val="none"/>
              </w:rPr>
            </w:pPr>
            <w:r>
              <w:rPr>
                <w:rFonts w:hint="eastAsia" w:hAnsi="宋体"/>
                <w:color w:val="auto"/>
                <w:highlight w:val="none"/>
              </w:rPr>
              <w:t>0.008%</w:t>
            </w:r>
          </w:p>
        </w:tc>
        <w:tc>
          <w:tcPr>
            <w:tcW w:w="1976" w:type="dxa"/>
            <w:vAlign w:val="center"/>
          </w:tcPr>
          <w:p>
            <w:pPr>
              <w:spacing w:line="330" w:lineRule="exact"/>
              <w:jc w:val="center"/>
              <w:rPr>
                <w:rFonts w:hAnsi="宋体"/>
                <w:color w:val="auto"/>
                <w:highlight w:val="none"/>
              </w:rPr>
            </w:pPr>
            <w:r>
              <w:rPr>
                <w:rFonts w:hint="eastAsia" w:hAnsi="宋体"/>
                <w:color w:val="auto"/>
                <w:highlight w:val="none"/>
              </w:rPr>
              <w:t>0.008%</w:t>
            </w:r>
          </w:p>
        </w:tc>
      </w:tr>
    </w:tbl>
    <w:p>
      <w:pPr>
        <w:pStyle w:val="22"/>
        <w:spacing w:line="400" w:lineRule="exact"/>
        <w:ind w:firstLine="420" w:firstLineChars="200"/>
        <w:rPr>
          <w:rFonts w:hAnsi="宋体"/>
          <w:color w:val="auto"/>
          <w:highlight w:val="none"/>
        </w:rPr>
      </w:pPr>
      <w:r>
        <w:rPr>
          <w:rFonts w:hint="eastAsia" w:hAnsi="宋体"/>
          <w:color w:val="auto"/>
          <w:highlight w:val="none"/>
        </w:rPr>
        <w:t>注：代理服务收费按差额定率累进法计算。</w:t>
      </w:r>
    </w:p>
    <w:p>
      <w:pPr>
        <w:pStyle w:val="22"/>
        <w:spacing w:line="400" w:lineRule="exact"/>
        <w:ind w:firstLine="420" w:firstLineChars="200"/>
        <w:rPr>
          <w:rFonts w:hAnsi="宋体"/>
          <w:bCs/>
          <w:color w:val="auto"/>
          <w:highlight w:val="none"/>
        </w:rPr>
      </w:pPr>
      <w:r>
        <w:rPr>
          <w:rFonts w:hint="eastAsia" w:hAnsi="宋体"/>
          <w:bCs/>
          <w:color w:val="auto"/>
          <w:highlight w:val="none"/>
        </w:rPr>
        <w:t>3.缴纳代理服务费银行账户：</w:t>
      </w:r>
    </w:p>
    <w:p>
      <w:pPr>
        <w:pStyle w:val="22"/>
        <w:spacing w:line="400" w:lineRule="exact"/>
        <w:ind w:firstLine="420" w:firstLineChars="200"/>
        <w:rPr>
          <w:rFonts w:hAnsi="宋体"/>
          <w:bCs/>
          <w:color w:val="auto"/>
          <w:highlight w:val="none"/>
        </w:rPr>
      </w:pPr>
      <w:r>
        <w:rPr>
          <w:rFonts w:hint="eastAsia" w:hAnsi="宋体"/>
          <w:bCs/>
          <w:color w:val="auto"/>
          <w:highlight w:val="none"/>
        </w:rPr>
        <w:t>开户名称:钦州市政府采购中心</w:t>
      </w:r>
    </w:p>
    <w:p>
      <w:pPr>
        <w:pStyle w:val="22"/>
        <w:spacing w:line="400" w:lineRule="exact"/>
        <w:ind w:firstLine="420" w:firstLineChars="200"/>
        <w:rPr>
          <w:rFonts w:hAnsi="宋体"/>
          <w:bCs/>
          <w:color w:val="auto"/>
          <w:highlight w:val="none"/>
        </w:rPr>
      </w:pPr>
      <w:r>
        <w:rPr>
          <w:rFonts w:hint="eastAsia" w:hAnsi="宋体"/>
          <w:bCs/>
          <w:color w:val="auto"/>
          <w:highlight w:val="none"/>
        </w:rPr>
        <w:t>开户银行:兴业银行钦州支行</w:t>
      </w:r>
    </w:p>
    <w:p>
      <w:pPr>
        <w:pStyle w:val="22"/>
        <w:spacing w:line="400" w:lineRule="exact"/>
        <w:ind w:firstLine="420" w:firstLineChars="200"/>
        <w:rPr>
          <w:rFonts w:hAnsi="宋体"/>
          <w:bCs/>
          <w:color w:val="auto"/>
          <w:highlight w:val="none"/>
        </w:rPr>
      </w:pPr>
      <w:r>
        <w:rPr>
          <w:rFonts w:hint="eastAsia" w:hAnsi="宋体"/>
          <w:bCs/>
          <w:color w:val="auto"/>
          <w:highlight w:val="none"/>
        </w:rPr>
        <w:t>银行账号:554010100100129709</w:t>
      </w:r>
    </w:p>
    <w:p>
      <w:pPr>
        <w:pStyle w:val="22"/>
        <w:spacing w:line="400" w:lineRule="exact"/>
        <w:ind w:firstLine="210" w:firstLineChars="100"/>
        <w:rPr>
          <w:rFonts w:hAnsi="宋体"/>
          <w:color w:val="auto"/>
          <w:spacing w:val="-4"/>
          <w:highlight w:val="none"/>
        </w:rPr>
      </w:pPr>
      <w:r>
        <w:rPr>
          <w:rFonts w:hint="eastAsia" w:hAnsi="宋体"/>
          <w:bCs/>
          <w:color w:val="auto"/>
          <w:highlight w:val="none"/>
        </w:rPr>
        <w:t>（二）解释权：</w:t>
      </w:r>
      <w:r>
        <w:rPr>
          <w:rFonts w:hint="eastAsia" w:hAnsi="宋体"/>
          <w:color w:val="auto"/>
          <w:spacing w:val="-4"/>
          <w:highlight w:val="none"/>
        </w:rPr>
        <w:t>本采购文件解释权属本中心。</w:t>
      </w:r>
    </w:p>
    <w:p>
      <w:pPr>
        <w:pStyle w:val="22"/>
        <w:spacing w:line="400" w:lineRule="exact"/>
        <w:ind w:firstLine="210" w:firstLineChars="100"/>
        <w:rPr>
          <w:rFonts w:hAnsi="宋体"/>
          <w:color w:val="auto"/>
          <w:spacing w:val="-4"/>
          <w:highlight w:val="none"/>
        </w:rPr>
      </w:pPr>
      <w:r>
        <w:rPr>
          <w:rFonts w:hint="eastAsia" w:hAnsi="宋体"/>
          <w:bCs/>
          <w:color w:val="auto"/>
          <w:highlight w:val="none"/>
        </w:rPr>
        <w:t>（三）有关事宜</w:t>
      </w:r>
    </w:p>
    <w:p>
      <w:pPr>
        <w:spacing w:line="400" w:lineRule="exact"/>
        <w:ind w:firstLine="420" w:firstLineChars="200"/>
        <w:rPr>
          <w:color w:val="auto"/>
          <w:highlight w:val="none"/>
        </w:rPr>
      </w:pPr>
      <w:r>
        <w:rPr>
          <w:rFonts w:hint="eastAsia"/>
          <w:color w:val="auto"/>
          <w:highlight w:val="none"/>
        </w:rPr>
        <w:t>所有与采购文件有关的函件请按下列通讯地址联系：</w:t>
      </w:r>
    </w:p>
    <w:p>
      <w:pPr>
        <w:widowControl/>
        <w:spacing w:line="400" w:lineRule="exact"/>
        <w:ind w:firstLine="420" w:firstLineChars="200"/>
        <w:jc w:val="left"/>
        <w:rPr>
          <w:color w:val="auto"/>
          <w:highlight w:val="none"/>
        </w:rPr>
      </w:pPr>
      <w:r>
        <w:rPr>
          <w:rFonts w:hint="eastAsia"/>
          <w:color w:val="auto"/>
          <w:highlight w:val="none"/>
        </w:rPr>
        <w:t>钦州市政府采购中心</w:t>
      </w:r>
    </w:p>
    <w:p>
      <w:pPr>
        <w:widowControl/>
        <w:spacing w:line="400" w:lineRule="exact"/>
        <w:ind w:firstLine="420" w:firstLineChars="200"/>
        <w:jc w:val="left"/>
        <w:rPr>
          <w:color w:val="auto"/>
          <w:highlight w:val="none"/>
        </w:rPr>
      </w:pPr>
      <w:r>
        <w:rPr>
          <w:rFonts w:hint="eastAsia"/>
          <w:color w:val="auto"/>
          <w:highlight w:val="none"/>
        </w:rPr>
        <w:t>通讯地址：钦州市金海湾东大街8号</w:t>
      </w:r>
    </w:p>
    <w:p>
      <w:pPr>
        <w:widowControl/>
        <w:spacing w:line="400" w:lineRule="exact"/>
        <w:ind w:firstLine="420" w:firstLineChars="200"/>
        <w:jc w:val="left"/>
        <w:rPr>
          <w:color w:val="auto"/>
          <w:highlight w:val="none"/>
        </w:rPr>
      </w:pPr>
      <w:r>
        <w:rPr>
          <w:rFonts w:hint="eastAsia"/>
          <w:color w:val="auto"/>
          <w:highlight w:val="none"/>
        </w:rPr>
        <w:t>邮政编码：535000</w:t>
      </w:r>
    </w:p>
    <w:p>
      <w:pPr>
        <w:widowControl/>
        <w:spacing w:line="400" w:lineRule="exact"/>
        <w:ind w:firstLine="420" w:firstLineChars="200"/>
        <w:jc w:val="left"/>
        <w:rPr>
          <w:color w:val="auto"/>
          <w:highlight w:val="none"/>
        </w:rPr>
      </w:pPr>
      <w:r>
        <w:rPr>
          <w:rFonts w:hint="eastAsia"/>
          <w:color w:val="auto"/>
          <w:highlight w:val="none"/>
        </w:rPr>
        <w:t>钦州市政府采购中心联系方式：</w:t>
      </w:r>
    </w:p>
    <w:p>
      <w:pPr>
        <w:widowControl/>
        <w:spacing w:line="400" w:lineRule="exact"/>
        <w:ind w:firstLine="420" w:firstLineChars="200"/>
        <w:jc w:val="left"/>
        <w:rPr>
          <w:color w:val="auto"/>
          <w:highlight w:val="none"/>
        </w:rPr>
      </w:pPr>
      <w:r>
        <w:rPr>
          <w:rFonts w:hint="eastAsia"/>
          <w:color w:val="auto"/>
          <w:highlight w:val="none"/>
        </w:rPr>
        <w:t>(1)采购部(采购文件)</w:t>
      </w:r>
    </w:p>
    <w:p>
      <w:pPr>
        <w:widowControl/>
        <w:spacing w:line="400" w:lineRule="exact"/>
        <w:ind w:firstLine="420" w:firstLineChars="200"/>
        <w:jc w:val="left"/>
        <w:rPr>
          <w:color w:val="auto"/>
          <w:highlight w:val="none"/>
        </w:rPr>
      </w:pPr>
      <w:r>
        <w:rPr>
          <w:rFonts w:hint="eastAsia"/>
          <w:color w:val="auto"/>
          <w:highlight w:val="none"/>
        </w:rPr>
        <w:t xml:space="preserve">联系人：黄忠秀 </w:t>
      </w:r>
      <w:r>
        <w:rPr>
          <w:color w:val="auto"/>
          <w:highlight w:val="none"/>
        </w:rPr>
        <w:t xml:space="preserve"> </w:t>
      </w:r>
      <w:r>
        <w:rPr>
          <w:rFonts w:hint="eastAsia"/>
          <w:color w:val="auto"/>
          <w:highlight w:val="none"/>
        </w:rPr>
        <w:t xml:space="preserve"> 联系方式：0777-2886022</w:t>
      </w:r>
    </w:p>
    <w:p>
      <w:pPr>
        <w:widowControl/>
        <w:spacing w:line="400" w:lineRule="exact"/>
        <w:ind w:firstLine="420" w:firstLineChars="200"/>
        <w:jc w:val="left"/>
        <w:rPr>
          <w:color w:val="auto"/>
          <w:highlight w:val="none"/>
        </w:rPr>
      </w:pPr>
      <w:r>
        <w:rPr>
          <w:rFonts w:hint="eastAsia"/>
          <w:color w:val="auto"/>
          <w:highlight w:val="none"/>
        </w:rPr>
        <w:t>(2)综合二部(评审、谈判、成交及合同管理)</w:t>
      </w:r>
    </w:p>
    <w:p>
      <w:pPr>
        <w:widowControl/>
        <w:spacing w:line="400" w:lineRule="exact"/>
        <w:ind w:firstLine="420" w:firstLineChars="200"/>
        <w:jc w:val="left"/>
        <w:rPr>
          <w:color w:val="auto"/>
          <w:highlight w:val="none"/>
        </w:rPr>
      </w:pPr>
      <w:r>
        <w:rPr>
          <w:rFonts w:hint="eastAsia"/>
          <w:color w:val="auto"/>
          <w:highlight w:val="none"/>
        </w:rPr>
        <w:t>联系人：陈侃</w:t>
      </w:r>
      <w:r>
        <w:rPr>
          <w:rFonts w:hint="eastAsia"/>
          <w:color w:val="auto"/>
          <w:highlight w:val="none"/>
          <w:lang w:eastAsia="zh-CN"/>
        </w:rPr>
        <w:t>、陈启梅</w:t>
      </w:r>
      <w:r>
        <w:rPr>
          <w:rFonts w:hint="eastAsia"/>
          <w:color w:val="auto"/>
          <w:highlight w:val="none"/>
        </w:rPr>
        <w:t xml:space="preserve"> </w:t>
      </w:r>
      <w:r>
        <w:rPr>
          <w:color w:val="auto"/>
          <w:highlight w:val="none"/>
        </w:rPr>
        <w:t xml:space="preserve">  </w:t>
      </w:r>
      <w:r>
        <w:rPr>
          <w:rFonts w:hint="eastAsia"/>
          <w:color w:val="auto"/>
          <w:highlight w:val="none"/>
        </w:rPr>
        <w:t>联系方式：0777-2886006</w:t>
      </w:r>
    </w:p>
    <w:p>
      <w:pPr>
        <w:widowControl/>
        <w:spacing w:line="400" w:lineRule="exact"/>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政采云技术支持热线：</w:t>
      </w:r>
      <w:r>
        <w:rPr>
          <w:rFonts w:hAnsi="宋体"/>
          <w:color w:val="auto"/>
          <w:highlight w:val="none"/>
        </w:rPr>
        <w:t>95763</w:t>
      </w:r>
    </w:p>
    <w:p>
      <w:pPr>
        <w:widowControl/>
        <w:jc w:val="left"/>
        <w:rPr>
          <w:color w:val="auto"/>
          <w:highlight w:val="none"/>
        </w:rPr>
      </w:pPr>
      <w:r>
        <w:rPr>
          <w:color w:val="auto"/>
          <w:highlight w:val="none"/>
        </w:rPr>
        <w:br w:type="page"/>
      </w:r>
    </w:p>
    <w:p>
      <w:pPr>
        <w:widowControl/>
        <w:spacing w:line="400" w:lineRule="exact"/>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hAnsi="宋体" w:eastAsia="方正小标宋_GBK"/>
          <w:color w:val="auto"/>
          <w:highlight w:val="none"/>
        </w:rPr>
      </w:pPr>
      <w:bookmarkStart w:id="130" w:name="_第四章__评定标准及推荐原则"/>
      <w:bookmarkEnd w:id="130"/>
      <w:bookmarkStart w:id="131" w:name="_Toc92355026"/>
      <w:r>
        <w:rPr>
          <w:rFonts w:hint="eastAsia" w:ascii="方正小标宋_GBK" w:hAnsi="宋体" w:eastAsia="方正小标宋_GBK"/>
          <w:color w:val="auto"/>
          <w:highlight w:val="none"/>
        </w:rPr>
        <w:t>第四章  评定标准及推荐原则</w:t>
      </w:r>
      <w:bookmarkEnd w:id="131"/>
    </w:p>
    <w:p>
      <w:pPr>
        <w:pStyle w:val="22"/>
        <w:spacing w:line="280" w:lineRule="exact"/>
        <w:jc w:val="center"/>
        <w:rPr>
          <w:rFonts w:hAnsi="宋体"/>
          <w:b/>
          <w:bCs/>
          <w:color w:val="auto"/>
          <w:sz w:val="30"/>
          <w:szCs w:val="30"/>
          <w:highlight w:val="none"/>
        </w:rPr>
      </w:pPr>
      <w:r>
        <w:rPr>
          <w:rFonts w:hAnsi="宋体"/>
          <w:b/>
          <w:bCs/>
          <w:color w:val="auto"/>
          <w:highlight w:val="none"/>
        </w:rPr>
        <w:br w:type="page"/>
      </w:r>
    </w:p>
    <w:p>
      <w:pPr>
        <w:rPr>
          <w:color w:val="auto"/>
          <w:highlight w:val="none"/>
        </w:rPr>
      </w:pPr>
    </w:p>
    <w:p>
      <w:pPr>
        <w:pStyle w:val="22"/>
        <w:spacing w:line="500" w:lineRule="exact"/>
        <w:jc w:val="center"/>
        <w:rPr>
          <w:rFonts w:hAnsi="宋体"/>
          <w:b/>
          <w:bCs/>
          <w:color w:val="auto"/>
          <w:sz w:val="44"/>
          <w:szCs w:val="44"/>
          <w:highlight w:val="none"/>
        </w:rPr>
      </w:pPr>
      <w:bookmarkStart w:id="132" w:name="_Hlk92463826"/>
      <w:r>
        <w:rPr>
          <w:rFonts w:hint="eastAsia" w:hAnsi="宋体"/>
          <w:b/>
          <w:bCs/>
          <w:color w:val="auto"/>
          <w:sz w:val="44"/>
          <w:szCs w:val="44"/>
          <w:highlight w:val="none"/>
        </w:rPr>
        <w:t>评定标准及推荐原则</w:t>
      </w:r>
    </w:p>
    <w:bookmarkEnd w:id="132"/>
    <w:p>
      <w:pPr>
        <w:rPr>
          <w:color w:val="auto"/>
          <w:highlight w:val="none"/>
        </w:rPr>
      </w:pPr>
    </w:p>
    <w:p>
      <w:pPr>
        <w:pStyle w:val="22"/>
        <w:spacing w:line="540" w:lineRule="exact"/>
        <w:rPr>
          <w:rFonts w:hAnsi="宋体"/>
          <w:b/>
          <w:bCs/>
          <w:color w:val="auto"/>
          <w:highlight w:val="none"/>
        </w:rPr>
      </w:pPr>
      <w:r>
        <w:rPr>
          <w:rFonts w:hint="eastAsia" w:hAnsi="宋体"/>
          <w:b/>
          <w:bCs/>
          <w:color w:val="auto"/>
          <w:highlight w:val="none"/>
        </w:rPr>
        <w:t>一、评审原则</w:t>
      </w:r>
    </w:p>
    <w:p>
      <w:pPr>
        <w:pStyle w:val="22"/>
        <w:spacing w:line="540" w:lineRule="exact"/>
        <w:ind w:firstLine="420" w:firstLineChars="200"/>
        <w:rPr>
          <w:rFonts w:hAnsi="宋体"/>
          <w:bCs/>
          <w:color w:val="auto"/>
          <w:highlight w:val="none"/>
        </w:rPr>
      </w:pPr>
      <w:r>
        <w:rPr>
          <w:rFonts w:hint="eastAsia" w:hAnsi="宋体"/>
          <w:bCs/>
          <w:color w:val="auto"/>
          <w:highlight w:val="none"/>
        </w:rPr>
        <w:t>(一)谈判小组组成：</w:t>
      </w:r>
      <w:bookmarkStart w:id="133" w:name="_Hlk89353643"/>
      <w:r>
        <w:rPr>
          <w:rFonts w:hint="eastAsia" w:hAnsi="宋体"/>
          <w:bCs/>
          <w:color w:val="auto"/>
          <w:highlight w:val="none"/>
        </w:rPr>
        <w:t>谈判小组由采购人代表和评审专家共3人以上单数组成，其中评审专家人数不得少于谈判小组成员总数的2/3。</w:t>
      </w:r>
      <w:bookmarkEnd w:id="133"/>
    </w:p>
    <w:p>
      <w:pPr>
        <w:pStyle w:val="22"/>
        <w:spacing w:line="540" w:lineRule="exact"/>
        <w:ind w:firstLine="420" w:firstLineChars="200"/>
        <w:rPr>
          <w:rFonts w:hAnsi="宋体"/>
          <w:b/>
          <w:bCs/>
          <w:color w:val="auto"/>
          <w:highlight w:val="none"/>
        </w:rPr>
      </w:pPr>
      <w:r>
        <w:rPr>
          <w:rFonts w:hint="eastAsia" w:hAnsi="宋体"/>
          <w:bCs/>
          <w:color w:val="auto"/>
          <w:highlight w:val="none"/>
        </w:rPr>
        <w:t>(二)评审依据：以竞争性谈判采购文件和响应文件为评定依据。</w:t>
      </w:r>
    </w:p>
    <w:p>
      <w:pPr>
        <w:pStyle w:val="22"/>
        <w:spacing w:line="540" w:lineRule="exact"/>
        <w:rPr>
          <w:rFonts w:hAnsi="宋体"/>
          <w:b/>
          <w:bCs/>
          <w:color w:val="auto"/>
          <w:highlight w:val="none"/>
        </w:rPr>
      </w:pPr>
      <w:r>
        <w:rPr>
          <w:rFonts w:hint="eastAsia" w:hAnsi="宋体"/>
          <w:b/>
          <w:bCs/>
          <w:color w:val="auto"/>
          <w:highlight w:val="none"/>
        </w:rPr>
        <w:t>二、评定标准</w:t>
      </w:r>
    </w:p>
    <w:p>
      <w:pPr>
        <w:pStyle w:val="22"/>
        <w:spacing w:line="540" w:lineRule="exact"/>
        <w:ind w:firstLine="420" w:firstLineChars="200"/>
        <w:rPr>
          <w:color w:val="auto"/>
          <w:highlight w:val="none"/>
        </w:rPr>
      </w:pPr>
      <w:r>
        <w:rPr>
          <w:rFonts w:hint="eastAsia"/>
          <w:color w:val="auto"/>
          <w:highlight w:val="none"/>
        </w:rPr>
        <w:t>（一）成交候选人的推荐原则：</w:t>
      </w:r>
    </w:p>
    <w:p>
      <w:pPr>
        <w:pStyle w:val="22"/>
        <w:spacing w:line="540" w:lineRule="exact"/>
        <w:ind w:firstLine="420" w:firstLineChars="200"/>
        <w:rPr>
          <w:color w:val="auto"/>
          <w:highlight w:val="none"/>
        </w:rPr>
      </w:pPr>
      <w:r>
        <w:rPr>
          <w:rFonts w:hint="eastAsia"/>
          <w:color w:val="auto"/>
          <w:highlight w:val="none"/>
        </w:rPr>
        <w:t>谈判小组从质量和服务均能满足采购文件实质性响应要求的供应商中，按照最后报价由低到高的顺序提出3名以上成交候选人（最后报价相同的，由谈判小组集体讨论确定排序）。</w:t>
      </w:r>
    </w:p>
    <w:p>
      <w:pPr>
        <w:pStyle w:val="22"/>
        <w:spacing w:line="540" w:lineRule="exact"/>
        <w:ind w:firstLine="420" w:firstLineChars="200"/>
        <w:rPr>
          <w:color w:val="auto"/>
          <w:highlight w:val="none"/>
        </w:rPr>
      </w:pPr>
      <w:r>
        <w:rPr>
          <w:rFonts w:hint="eastAsia"/>
          <w:color w:val="auto"/>
          <w:highlight w:val="none"/>
        </w:rPr>
        <w:t>（二）落实政府采购政策：</w:t>
      </w:r>
    </w:p>
    <w:p>
      <w:pPr>
        <w:pStyle w:val="22"/>
        <w:spacing w:line="540" w:lineRule="exact"/>
        <w:ind w:firstLine="420" w:firstLineChars="200"/>
        <w:rPr>
          <w:color w:val="auto"/>
          <w:highlight w:val="none"/>
        </w:rPr>
      </w:pPr>
      <w:r>
        <w:rPr>
          <w:rFonts w:hint="eastAsia"/>
          <w:color w:val="auto"/>
          <w:highlight w:val="none"/>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pPr>
        <w:pStyle w:val="22"/>
        <w:spacing w:line="540" w:lineRule="exact"/>
        <w:ind w:firstLine="420" w:firstLineChars="200"/>
        <w:rPr>
          <w:color w:val="auto"/>
          <w:highlight w:val="none"/>
        </w:rPr>
      </w:pPr>
      <w:r>
        <w:rPr>
          <w:rFonts w:hint="eastAsia"/>
          <w:color w:val="auto"/>
          <w:highlight w:val="none"/>
        </w:rPr>
        <w:t>2.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2"/>
        <w:spacing w:line="540" w:lineRule="exact"/>
        <w:ind w:firstLine="420" w:firstLineChars="200"/>
        <w:rPr>
          <w:color w:val="auto"/>
          <w:highlight w:val="none"/>
        </w:rPr>
      </w:pPr>
      <w:r>
        <w:rPr>
          <w:rFonts w:hint="eastAsia"/>
          <w:color w:val="auto"/>
          <w:highlight w:val="none"/>
        </w:rPr>
        <w:t>3.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pPr>
        <w:pStyle w:val="22"/>
        <w:spacing w:line="540" w:lineRule="exact"/>
        <w:ind w:firstLine="420" w:firstLineChars="200"/>
        <w:rPr>
          <w:color w:val="auto"/>
          <w:highlight w:val="none"/>
        </w:rPr>
      </w:pPr>
      <w:r>
        <w:rPr>
          <w:rFonts w:hint="eastAsia"/>
          <w:color w:val="auto"/>
          <w:highlight w:val="none"/>
        </w:rPr>
        <w:t>4.采购人采购的产品属于《节能产品政府采购品目清单》《环境标志产品政府采购品目清单》中品目的，在性能、技术、服务等指标同等条件下，应当依据国家确定的认证机构出具的、处于有效期之内的节能产品、环境标志产品认证证书，对获得证书的产品实施政府优先采购。</w:t>
      </w:r>
      <w:r>
        <w:rPr>
          <w:color w:val="auto"/>
          <w:highlight w:val="none"/>
        </w:rPr>
        <w:br w:type="page"/>
      </w:r>
    </w:p>
    <w:p>
      <w:pPr>
        <w:widowControl/>
        <w:jc w:val="left"/>
        <w:rPr>
          <w:rFonts w:ascii="宋体" w:hAnsi="Courier New" w:cs="Courier New"/>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eastAsia="方正小标宋_GBK"/>
          <w:color w:val="auto"/>
          <w:highlight w:val="none"/>
        </w:rPr>
      </w:pPr>
      <w:bookmarkStart w:id="134" w:name="_Toc92355027"/>
      <w:r>
        <w:rPr>
          <w:rFonts w:hint="eastAsia" w:ascii="方正小标宋_GBK" w:eastAsia="方正小标宋_GBK"/>
          <w:color w:val="auto"/>
          <w:highlight w:val="none"/>
        </w:rPr>
        <w:t>第五章  合同文本</w:t>
      </w:r>
      <w:bookmarkEnd w:id="134"/>
    </w:p>
    <w:p>
      <w:pPr>
        <w:widowControl/>
        <w:jc w:val="left"/>
        <w:rPr>
          <w:color w:val="auto"/>
          <w:highlight w:val="none"/>
        </w:rPr>
      </w:pPr>
      <w:r>
        <w:rPr>
          <w:color w:val="auto"/>
          <w:highlight w:val="none"/>
        </w:rPr>
        <w:br w:type="page"/>
      </w:r>
    </w:p>
    <w:p>
      <w:pPr>
        <w:spacing w:line="400" w:lineRule="exact"/>
        <w:jc w:val="left"/>
        <w:rPr>
          <w:rFonts w:ascii="宋体" w:hAnsi="Courier New" w:cs="Courier New"/>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钦州市政府采购货物买卖合同</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left="420" w:leftChars="200" w:firstLine="1600" w:firstLineChars="5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rPr>
          <w:color w:val="auto"/>
          <w:highlight w:val="none"/>
        </w:rPr>
      </w:pPr>
    </w:p>
    <w:p>
      <w:pPr>
        <w:spacing w:line="400" w:lineRule="exact"/>
        <w:rPr>
          <w:color w:val="auto"/>
          <w:highlight w:val="none"/>
        </w:rPr>
      </w:pPr>
      <w:r>
        <w:rPr>
          <w:rFonts w:eastAsia="黑体"/>
          <w:color w:val="auto"/>
          <w:sz w:val="44"/>
          <w:szCs w:val="44"/>
          <w:highlight w:val="none"/>
        </w:rPr>
        <w:br w:type="page"/>
      </w:r>
    </w:p>
    <w:p>
      <w:pPr>
        <w:jc w:val="center"/>
        <w:rPr>
          <w:rFonts w:eastAsia="黑体"/>
          <w:color w:val="auto"/>
          <w:sz w:val="44"/>
          <w:szCs w:val="44"/>
          <w:highlight w:val="none"/>
        </w:rPr>
      </w:pPr>
      <w:r>
        <w:rPr>
          <w:rFonts w:hint="eastAsia" w:eastAsia="黑体"/>
          <w:color w:val="auto"/>
          <w:sz w:val="44"/>
          <w:szCs w:val="44"/>
          <w:highlight w:val="none"/>
        </w:rPr>
        <w:t>使 用 说 明</w:t>
      </w:r>
    </w:p>
    <w:p>
      <w:pPr>
        <w:spacing w:line="400" w:lineRule="exact"/>
        <w:rPr>
          <w:color w:val="auto"/>
          <w:highlight w:val="none"/>
        </w:rPr>
      </w:pPr>
    </w:p>
    <w:p>
      <w:pPr>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1.本合同标准文本适用于购买现成货物的采购项目，不包括需要供应商定制开发、创新研发的货物采购项目。</w:t>
      </w:r>
    </w:p>
    <w:p>
      <w:pPr>
        <w:rPr>
          <w:rFonts w:eastAsia="黑体"/>
          <w:color w:val="auto"/>
          <w:sz w:val="30"/>
          <w:szCs w:val="30"/>
          <w:highlight w:val="none"/>
        </w:rPr>
      </w:pPr>
      <w:r>
        <w:rPr>
          <w:rFonts w:hint="eastAsia" w:eastAsia="黑体"/>
          <w:color w:val="auto"/>
          <w:sz w:val="30"/>
          <w:szCs w:val="30"/>
          <w:highlight w:val="none"/>
        </w:rPr>
        <w:t xml:space="preserve">   </w:t>
      </w:r>
      <w:r>
        <w:rPr>
          <w:rFonts w:hint="eastAsia" w:ascii="仿宋_GB2312" w:hAnsi="仿宋_GB2312" w:eastAsia="仿宋_GB2312" w:cs="仿宋_GB2312"/>
          <w:color w:val="auto"/>
          <w:sz w:val="30"/>
          <w:szCs w:val="30"/>
          <w:highlight w:val="none"/>
        </w:rPr>
        <w:t>2.本合同标准文本为政府采购货物买卖合同编制提供参考，可以结合采购项目具体情况，对文本作必要的调整修订后使用。</w:t>
      </w:r>
    </w:p>
    <w:p>
      <w:pPr>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3.本合同标准文本各条款中，如涉及填写多家供应商、制造商，多种采购标的、分包主要内容等信息的，可根据采购项目具体情况添加信息项。</w:t>
      </w:r>
    </w:p>
    <w:p>
      <w:pPr>
        <w:keepNext/>
        <w:keepLines/>
        <w:adjustRightInd w:val="0"/>
        <w:snapToGrid w:val="0"/>
        <w:spacing w:line="400" w:lineRule="exact"/>
        <w:jc w:val="center"/>
        <w:outlineLvl w:val="1"/>
        <w:rPr>
          <w:rFonts w:ascii="黑体" w:hAnsi="黑体" w:eastAsia="黑体"/>
          <w:b/>
          <w:bCs/>
          <w:color w:val="auto"/>
          <w:sz w:val="28"/>
          <w:szCs w:val="28"/>
          <w:highlight w:val="none"/>
        </w:rPr>
      </w:pPr>
      <w:bookmarkStart w:id="135" w:name="_Toc22209"/>
    </w:p>
    <w:p>
      <w:pPr>
        <w:keepNext/>
        <w:keepLines/>
        <w:adjustRightInd w:val="0"/>
        <w:snapToGrid w:val="0"/>
        <w:spacing w:line="400" w:lineRule="exact"/>
        <w:jc w:val="center"/>
        <w:outlineLvl w:val="1"/>
        <w:rPr>
          <w:rFonts w:ascii="黑体" w:hAnsi="华文中宋" w:eastAsia="黑体"/>
          <w:color w:val="auto"/>
          <w:sz w:val="28"/>
          <w:szCs w:val="28"/>
          <w:highlight w:val="none"/>
        </w:rPr>
      </w:pPr>
      <w:r>
        <w:rPr>
          <w:rFonts w:hint="eastAsia" w:ascii="黑体" w:hAnsi="黑体" w:eastAsia="黑体"/>
          <w:color w:val="auto"/>
          <w:sz w:val="28"/>
          <w:szCs w:val="28"/>
          <w:highlight w:val="none"/>
        </w:rPr>
        <w:t xml:space="preserve">第一节 </w:t>
      </w:r>
      <w:r>
        <w:rPr>
          <w:rFonts w:hint="eastAsia" w:ascii="黑体" w:hAnsi="华文中宋" w:eastAsia="黑体"/>
          <w:color w:val="auto"/>
          <w:sz w:val="28"/>
          <w:szCs w:val="28"/>
          <w:highlight w:val="none"/>
        </w:rPr>
        <w:t>政府采购合同协议书</w:t>
      </w:r>
      <w:bookmarkEnd w:id="135"/>
    </w:p>
    <w:p>
      <w:pPr>
        <w:keepNext/>
        <w:keepLines/>
        <w:adjustRightInd w:val="0"/>
        <w:snapToGrid w:val="0"/>
        <w:spacing w:line="400" w:lineRule="exact"/>
        <w:jc w:val="center"/>
        <w:outlineLvl w:val="1"/>
        <w:rPr>
          <w:rFonts w:ascii="黑体" w:hAnsi="华文中宋" w:eastAsia="黑体"/>
          <w:color w:val="auto"/>
          <w:sz w:val="28"/>
          <w:szCs w:val="28"/>
          <w:highlight w:val="none"/>
        </w:rPr>
      </w:pPr>
    </w:p>
    <w:p>
      <w:pPr>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（采购人、受采购人委托签订合同的单位或采购文件约定的合同甲方） </w:t>
      </w:r>
    </w:p>
    <w:p>
      <w:pPr>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line="42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line="420" w:lineRule="exact"/>
        <w:rPr>
          <w:color w:val="auto"/>
          <w:highlight w:val="none"/>
        </w:rPr>
      </w:pPr>
    </w:p>
    <w:p>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17"/>
        </w:numPr>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pPr>
        <w:adjustRightInd w:val="0"/>
        <w:snapToGrid w:val="0"/>
        <w:spacing w:line="420" w:lineRule="exact"/>
        <w:ind w:firstLine="210" w:firstLineChars="100"/>
        <w:rPr>
          <w:rFonts w:ascii="宋体" w:hAnsi="宋体"/>
          <w:color w:val="auto"/>
          <w:szCs w:val="21"/>
          <w:highlight w:val="none"/>
          <w:u w:val="single"/>
        </w:rPr>
      </w:pPr>
      <w:r>
        <w:rPr>
          <w:rFonts w:hint="eastAsia" w:ascii="宋体" w:hAnsi="宋体"/>
          <w:color w:val="auto"/>
          <w:szCs w:val="21"/>
          <w:highlight w:val="none"/>
        </w:rPr>
        <w:t>（1）采购项目名称：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numPr>
          <w:ilvl w:val="255"/>
          <w:numId w:val="0"/>
        </w:numPr>
        <w:tabs>
          <w:tab w:val="left" w:pos="999"/>
        </w:tabs>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pPr>
        <w:adjustRightInd w:val="0"/>
        <w:snapToGrid w:val="0"/>
        <w:spacing w:line="420" w:lineRule="exact"/>
        <w:ind w:firstLine="199" w:firstLineChars="95"/>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line="420" w:lineRule="exact"/>
        <w:ind w:firstLine="199" w:firstLineChars="95"/>
        <w:rPr>
          <w:rFonts w:ascii="宋体" w:hAnsi="宋体"/>
          <w:color w:val="auto"/>
          <w:szCs w:val="21"/>
          <w:highlight w:val="none"/>
        </w:rPr>
      </w:pPr>
      <w:r>
        <w:rPr>
          <w:rFonts w:hint="eastAsia" w:ascii="宋体" w:hAnsi="宋体"/>
          <w:color w:val="auto"/>
          <w:szCs w:val="21"/>
          <w:highlight w:val="none"/>
        </w:rPr>
        <w:t>（3）项目内容：</w:t>
      </w:r>
    </w:p>
    <w:p>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numPr>
          <w:ilvl w:val="255"/>
          <w:numId w:val="0"/>
        </w:numPr>
        <w:adjustRightInd w:val="0"/>
        <w:snapToGrid w:val="0"/>
        <w:spacing w:line="42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pPr>
        <w:numPr>
          <w:ilvl w:val="255"/>
          <w:numId w:val="0"/>
        </w:numPr>
        <w:adjustRightInd w:val="0"/>
        <w:snapToGrid w:val="0"/>
        <w:spacing w:line="420" w:lineRule="exact"/>
        <w:ind w:firstLine="735" w:firstLineChars="350"/>
        <w:rPr>
          <w:rFonts w:ascii="宋体" w:hAnsi="宋体" w:cs="宋体"/>
          <w:color w:val="auto"/>
          <w:szCs w:val="21"/>
          <w:highlight w:val="none"/>
          <w:lang w:val="en"/>
        </w:rPr>
      </w:pPr>
      <w:r>
        <w:rPr>
          <w:rFonts w:hint="eastAsia" w:ascii="宋体" w:hAnsi="宋体"/>
          <w:color w:val="auto"/>
          <w:szCs w:val="21"/>
          <w:highlight w:val="none"/>
        </w:rPr>
        <w:t>采购标的的技术要求、商务要求具体见附件。</w:t>
      </w:r>
    </w:p>
    <w:p>
      <w:pPr>
        <w:numPr>
          <w:ilvl w:val="255"/>
          <w:numId w:val="0"/>
        </w:numPr>
        <w:adjustRightInd w:val="0"/>
        <w:snapToGrid w:val="0"/>
        <w:spacing w:line="420" w:lineRule="exact"/>
        <w:ind w:firstLine="735" w:firstLineChars="3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pPr>
        <w:numPr>
          <w:ilvl w:val="255"/>
          <w:numId w:val="0"/>
        </w:numPr>
        <w:adjustRightInd w:val="0"/>
        <w:snapToGrid w:val="0"/>
        <w:spacing w:line="42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pPr>
        <w:numPr>
          <w:ilvl w:val="255"/>
          <w:numId w:val="0"/>
        </w:numPr>
        <w:adjustRightInd w:val="0"/>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p>
    <w:p>
      <w:pPr>
        <w:widowControl/>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关键部件</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汉仪书宋二S" w:hAnsi="汉仪书宋二S" w:eastAsia="汉仪书宋二S" w:cs="汉仪书宋二S"/>
          <w:color w:val="auto"/>
          <w:kern w:val="0"/>
          <w:szCs w:val="21"/>
          <w:highlight w:val="none"/>
        </w:rPr>
        <w:t>②</w:t>
      </w:r>
      <w:r>
        <w:rPr>
          <w:rFonts w:hint="eastAsia" w:ascii="宋体" w:hAnsi="宋体" w:cs="宋体"/>
          <w:color w:val="auto"/>
          <w:kern w:val="0"/>
          <w:szCs w:val="21"/>
          <w:highlight w:val="none"/>
        </w:rPr>
        <w:t>涉及车辆采购，请填写是否属于新能源汽车：</w:t>
      </w:r>
    </w:p>
    <w:p>
      <w:pPr>
        <w:widowControl/>
        <w:numPr>
          <w:ilvl w:val="255"/>
          <w:numId w:val="0"/>
        </w:numPr>
        <w:autoSpaceDE w:val="0"/>
        <w:autoSpaceDN w:val="0"/>
        <w:adjustRightInd w:val="0"/>
        <w:snapToGrid w:val="0"/>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是，《政府采购品目分类目录》底级品目名称：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数量：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金额：</w:t>
      </w:r>
      <w:r>
        <w:rPr>
          <w:rFonts w:hint="eastAsia" w:ascii="宋体" w:hAnsi="宋体" w:cs="宋体"/>
          <w:color w:val="auto"/>
          <w:kern w:val="0"/>
          <w:szCs w:val="21"/>
          <w:highlight w:val="none"/>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p>
    <w:p>
      <w:pPr>
        <w:widowControl/>
        <w:numPr>
          <w:ilvl w:val="255"/>
          <w:numId w:val="0"/>
        </w:numPr>
        <w:autoSpaceDE w:val="0"/>
        <w:autoSpaceDN w:val="0"/>
        <w:adjustRightInd w:val="0"/>
        <w:snapToGrid w:val="0"/>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）政府采购组织形式：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政府集中采购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部门集中采购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分散采购</w:t>
      </w:r>
    </w:p>
    <w:p>
      <w:pPr>
        <w:widowControl/>
        <w:numPr>
          <w:ilvl w:val="255"/>
          <w:numId w:val="0"/>
        </w:numPr>
        <w:autoSpaceDE w:val="0"/>
        <w:autoSpaceDN w:val="0"/>
        <w:adjustRightInd w:val="0"/>
        <w:snapToGrid w:val="0"/>
        <w:spacing w:line="420" w:lineRule="exact"/>
        <w:ind w:firstLine="283" w:firstLineChars="135"/>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）政府采购方式：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公开招标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邀请招标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竞争性谈判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竞争性磋商</w:t>
      </w:r>
    </w:p>
    <w:p>
      <w:pPr>
        <w:widowControl/>
        <w:numPr>
          <w:ilvl w:val="255"/>
          <w:numId w:val="0"/>
        </w:numPr>
        <w:autoSpaceDE w:val="0"/>
        <w:autoSpaceDN w:val="0"/>
        <w:adjustRightInd w:val="0"/>
        <w:snapToGrid w:val="0"/>
        <w:spacing w:line="420" w:lineRule="exact"/>
        <w:ind w:firstLine="420"/>
        <w:jc w:val="left"/>
        <w:rPr>
          <w:rFonts w:ascii="宋体" w:hAnsi="宋体" w:cs="宋体"/>
          <w:color w:val="auto"/>
          <w:kern w:val="0"/>
          <w:szCs w:val="21"/>
          <w:highlight w:val="none"/>
          <w:u w:val="single"/>
        </w:rPr>
      </w:pPr>
      <w:r>
        <w:rPr>
          <w:rFonts w:hint="eastAsia" w:ascii="宋体" w:hAnsi="宋体" w:eastAsia="华文楷体" w:cs="宋体"/>
          <w:color w:val="auto"/>
          <w:kern w:val="0"/>
          <w:sz w:val="22"/>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询价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单一来源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框架协议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其他：</w:t>
      </w:r>
      <w:r>
        <w:rPr>
          <w:rFonts w:hint="eastAsia" w:ascii="宋体" w:hAnsi="宋体" w:cs="宋体"/>
          <w:color w:val="auto"/>
          <w:kern w:val="0"/>
          <w:szCs w:val="21"/>
          <w:highlight w:val="none"/>
          <w:u w:val="single"/>
        </w:rPr>
        <w:t xml:space="preserve">          </w:t>
      </w:r>
    </w:p>
    <w:p>
      <w:pPr>
        <w:widowControl/>
        <w:numPr>
          <w:ilvl w:val="255"/>
          <w:numId w:val="0"/>
        </w:numPr>
        <w:autoSpaceDE w:val="0"/>
        <w:autoSpaceDN w:val="0"/>
        <w:adjustRightInd w:val="0"/>
        <w:snapToGrid w:val="0"/>
        <w:spacing w:line="420" w:lineRule="exact"/>
        <w:ind w:firstLine="283" w:firstLineChars="135"/>
        <w:jc w:val="left"/>
        <w:rPr>
          <w:rFonts w:ascii="宋体" w:hAnsi="宋体"/>
          <w:color w:val="auto"/>
          <w:szCs w:val="21"/>
          <w:highlight w:val="none"/>
        </w:rPr>
      </w:pPr>
      <w:r>
        <w:rPr>
          <w:rFonts w:hint="eastAsia" w:ascii="宋体" w:hAnsi="宋体" w:cs="华文楷体"/>
          <w:color w:val="auto"/>
          <w:kern w:val="0"/>
          <w:szCs w:val="21"/>
          <w:highlight w:val="none"/>
        </w:rPr>
        <w:t>（6）</w:t>
      </w:r>
      <w:r>
        <w:rPr>
          <w:rFonts w:hint="eastAsia" w:ascii="宋体" w:hAnsi="宋体"/>
          <w:color w:val="auto"/>
          <w:szCs w:val="21"/>
          <w:highlight w:val="none"/>
        </w:rPr>
        <w:t>中标（成交）采购标的制造商是否为中小企业：</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adjustRightInd w:val="0"/>
        <w:snapToGrid w:val="0"/>
        <w:spacing w:line="42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255"/>
          <w:numId w:val="0"/>
        </w:numPr>
        <w:adjustRightInd w:val="0"/>
        <w:snapToGrid w:val="0"/>
        <w:spacing w:line="42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255"/>
          <w:numId w:val="0"/>
        </w:numPr>
        <w:adjustRightInd w:val="0"/>
        <w:snapToGrid w:val="0"/>
        <w:spacing w:line="42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snapToGrid w:val="0"/>
        <w:spacing w:line="42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409" w:firstLineChars="195"/>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ascii="宋体" w:hAnsi="宋体"/>
          <w:color w:val="auto"/>
          <w:szCs w:val="21"/>
          <w:highlight w:val="none"/>
        </w:rPr>
        <w:t>）</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840" w:firstLineChars="400"/>
        <w:rPr>
          <w:rFonts w:ascii="宋体" w:hAnsi="宋体"/>
          <w:color w:val="auto"/>
          <w:szCs w:val="21"/>
          <w:highlight w:val="none"/>
          <w:u w:val="single"/>
        </w:rPr>
      </w:pP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ascii="宋体" w:hAnsi="宋体"/>
          <w:color w:val="auto"/>
          <w:szCs w:val="21"/>
          <w:highlight w:val="none"/>
        </w:rPr>
      </w:pPr>
      <w:r>
        <w:rPr>
          <w:rFonts w:hint="eastAsia" w:ascii="宋体" w:hAnsi="宋体"/>
          <w:color w:val="auto"/>
          <w:szCs w:val="21"/>
          <w:highlight w:val="none"/>
        </w:rPr>
        <w:t>分包供应商/制造商名称（如供应商和制造商不同，请分别填写）：</w:t>
      </w:r>
    </w:p>
    <w:p>
      <w:pPr>
        <w:adjustRightInd w:val="0"/>
        <w:snapToGrid w:val="0"/>
        <w:spacing w:line="42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ascii="宋体" w:hAnsi="宋体"/>
          <w:color w:val="auto"/>
          <w:szCs w:val="21"/>
          <w:highlight w:val="none"/>
        </w:rPr>
      </w:pPr>
      <w:r>
        <w:rPr>
          <w:rFonts w:hint="eastAsia" w:ascii="宋体" w:hAnsi="宋体"/>
          <w:color w:val="auto"/>
          <w:szCs w:val="21"/>
          <w:highlight w:val="none"/>
        </w:rPr>
        <w:t>分包供应商/制造商类型（如果供应商和制造商不同，只填写制造商类型）：</w:t>
      </w:r>
    </w:p>
    <w:p>
      <w:pPr>
        <w:adjustRightInd w:val="0"/>
        <w:snapToGrid w:val="0"/>
        <w:spacing w:line="420" w:lineRule="exact"/>
        <w:ind w:firstLine="840" w:firstLineChars="400"/>
        <w:rPr>
          <w:rFonts w:ascii="宋体" w:hAnsi="宋体"/>
          <w:iCs/>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p>
    <w:p>
      <w:pPr>
        <w:adjustRightInd w:val="0"/>
        <w:snapToGrid w:val="0"/>
        <w:spacing w:line="420" w:lineRule="exact"/>
        <w:ind w:firstLine="735" w:firstLineChars="35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pPr>
        <w:numPr>
          <w:ilvl w:val="255"/>
          <w:numId w:val="0"/>
        </w:numPr>
        <w:adjustRightInd w:val="0"/>
        <w:snapToGrid w:val="0"/>
        <w:spacing w:line="42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widowControl/>
        <w:tabs>
          <w:tab w:val="left" w:pos="1340"/>
        </w:tabs>
        <w:autoSpaceDE w:val="0"/>
        <w:autoSpaceDN w:val="0"/>
        <w:adjustRightInd w:val="0"/>
        <w:spacing w:line="42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外商投资企业类型：</w:t>
      </w:r>
      <w:r>
        <w:rPr>
          <w:rFonts w:hint="eastAsia" w:ascii="宋体" w:hAnsi="宋体" w:cs="宋体"/>
          <w:iCs/>
          <w:color w:val="auto"/>
          <w:kern w:val="0"/>
          <w:szCs w:val="21"/>
          <w:highlight w:val="none"/>
        </w:rPr>
        <w:sym w:font="Wingdings" w:char="00A8"/>
      </w:r>
      <w:r>
        <w:rPr>
          <w:rFonts w:hint="eastAsia" w:ascii="宋体" w:hAnsi="宋体" w:cs="宋体"/>
          <w:color w:val="auto"/>
          <w:kern w:val="0"/>
          <w:szCs w:val="21"/>
          <w:highlight w:val="none"/>
        </w:rPr>
        <w:t xml:space="preserve">全部由外国投资者投资  </w:t>
      </w:r>
      <w:r>
        <w:rPr>
          <w:rFonts w:hint="eastAsia" w:ascii="宋体" w:hAnsi="宋体" w:cs="宋体"/>
          <w:iCs/>
          <w:color w:val="auto"/>
          <w:kern w:val="0"/>
          <w:szCs w:val="21"/>
          <w:highlight w:val="none"/>
        </w:rPr>
        <w:sym w:font="Wingdings" w:char="00A8"/>
      </w:r>
      <w:r>
        <w:rPr>
          <w:rFonts w:hint="eastAsia" w:ascii="宋体" w:hAnsi="宋体" w:cs="宋体"/>
          <w:iCs/>
          <w:color w:val="auto"/>
          <w:kern w:val="0"/>
          <w:szCs w:val="21"/>
          <w:highlight w:val="none"/>
        </w:rPr>
        <w:t>部分由外国投资者投资</w:t>
      </w:r>
    </w:p>
    <w:p>
      <w:pPr>
        <w:numPr>
          <w:ilvl w:val="255"/>
          <w:numId w:val="0"/>
        </w:numPr>
        <w:adjustRightInd w:val="0"/>
        <w:snapToGrid w:val="0"/>
        <w:spacing w:line="420" w:lineRule="exact"/>
        <w:ind w:firstLine="304" w:firstLineChars="145"/>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pPr>
        <w:numPr>
          <w:ilvl w:val="255"/>
          <w:numId w:val="0"/>
        </w:numPr>
        <w:adjustRightInd w:val="0"/>
        <w:snapToGrid w:val="0"/>
        <w:spacing w:line="420" w:lineRule="exact"/>
        <w:ind w:firstLine="735" w:firstLineChars="35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pPr>
        <w:numPr>
          <w:ilvl w:val="255"/>
          <w:numId w:val="0"/>
        </w:numPr>
        <w:adjustRightInd w:val="0"/>
        <w:snapToGrid w:val="0"/>
        <w:spacing w:line="420" w:lineRule="exact"/>
        <w:ind w:firstLine="840" w:firstLineChars="400"/>
        <w:rPr>
          <w:rFonts w:ascii="宋体" w:hAnsi="宋体"/>
          <w:color w:val="auto"/>
          <w:szCs w:val="21"/>
          <w:highlight w:val="none"/>
        </w:rPr>
      </w:pPr>
      <w:r>
        <w:rPr>
          <w:rFonts w:hint="eastAsia" w:ascii="宋体" w:hAnsi="宋体" w:cs="宋体"/>
          <w:color w:val="auto"/>
          <w:szCs w:val="21"/>
          <w:highlight w:val="none"/>
        </w:rPr>
        <w:t>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tabs>
          <w:tab w:val="left" w:pos="740"/>
        </w:tabs>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pPr>
        <w:numPr>
          <w:ilvl w:val="255"/>
          <w:numId w:val="0"/>
        </w:numPr>
        <w:tabs>
          <w:tab w:val="left" w:pos="740"/>
        </w:tabs>
        <w:adjustRightInd w:val="0"/>
        <w:snapToGrid w:val="0"/>
        <w:spacing w:line="42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p>
    <w:p>
      <w:pPr>
        <w:numPr>
          <w:ilvl w:val="255"/>
          <w:numId w:val="0"/>
        </w:numPr>
        <w:tabs>
          <w:tab w:val="left" w:pos="740"/>
        </w:tabs>
        <w:adjustRightInd w:val="0"/>
        <w:snapToGrid w:val="0"/>
        <w:spacing w:line="42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tabs>
          <w:tab w:val="left" w:pos="740"/>
        </w:tabs>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pPr>
        <w:numPr>
          <w:ilvl w:val="255"/>
          <w:numId w:val="0"/>
        </w:numPr>
        <w:tabs>
          <w:tab w:val="left" w:pos="740"/>
        </w:tabs>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p>
    <w:p>
      <w:pPr>
        <w:numPr>
          <w:ilvl w:val="255"/>
          <w:numId w:val="0"/>
        </w:numPr>
        <w:tabs>
          <w:tab w:val="left" w:pos="740"/>
        </w:tabs>
        <w:adjustRightInd w:val="0"/>
        <w:snapToGrid w:val="0"/>
        <w:spacing w:line="42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widowControl/>
        <w:numPr>
          <w:ilvl w:val="255"/>
          <w:numId w:val="0"/>
        </w:numPr>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eastAsia="华文楷体" w:cs="华文楷体"/>
          <w:color w:val="auto"/>
          <w:kern w:val="0"/>
          <w:szCs w:val="21"/>
          <w:highlight w:val="none"/>
        </w:rPr>
        <w:t xml:space="preserve">        </w:t>
      </w:r>
      <w:r>
        <w:rPr>
          <w:rFonts w:hint="eastAsia" w:ascii="宋体" w:hAnsi="宋体"/>
          <w:color w:val="auto"/>
          <w:szCs w:val="21"/>
          <w:highlight w:val="none"/>
        </w:rPr>
        <w:t xml:space="preserve">是否涉及绿色产品： </w:t>
      </w:r>
    </w:p>
    <w:p>
      <w:pPr>
        <w:widowControl/>
        <w:autoSpaceDE w:val="0"/>
        <w:autoSpaceDN w:val="0"/>
        <w:adjustRightInd w:val="0"/>
        <w:spacing w:line="420" w:lineRule="exact"/>
        <w:ind w:firstLine="420"/>
        <w:jc w:val="left"/>
        <w:rPr>
          <w:rFonts w:ascii="宋体" w:hAnsi="宋体" w:cs="华文楷体"/>
          <w:color w:val="auto"/>
          <w:kern w:val="0"/>
          <w:sz w:val="22"/>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是，绿色产品政府采购相关政策确定的底级品目名称：</w:t>
      </w:r>
      <w:r>
        <w:rPr>
          <w:rFonts w:hint="eastAsia" w:ascii="宋体" w:hAnsi="宋体" w:cs="华文楷体"/>
          <w:color w:val="auto"/>
          <w:kern w:val="0"/>
          <w:sz w:val="22"/>
          <w:szCs w:val="21"/>
          <w:highlight w:val="none"/>
          <w:u w:val="single"/>
        </w:rPr>
        <w:t xml:space="preserve">                    </w:t>
      </w:r>
    </w:p>
    <w:p>
      <w:pPr>
        <w:numPr>
          <w:ilvl w:val="255"/>
          <w:numId w:val="0"/>
        </w:numPr>
        <w:tabs>
          <w:tab w:val="left" w:pos="740"/>
        </w:tabs>
        <w:adjustRightInd w:val="0"/>
        <w:snapToGrid w:val="0"/>
        <w:spacing w:line="42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adjustRightInd w:val="0"/>
        <w:snapToGrid w:val="0"/>
        <w:spacing w:line="42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pPr>
        <w:numPr>
          <w:ilvl w:val="0"/>
          <w:numId w:val="17"/>
        </w:numPr>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pPr>
        <w:adjustRightInd w:val="0"/>
        <w:snapToGrid w:val="0"/>
        <w:spacing w:line="42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pPr>
        <w:adjustRightInd w:val="0"/>
        <w:snapToGrid w:val="0"/>
        <w:spacing w:line="42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pPr>
        <w:numPr>
          <w:ilvl w:val="255"/>
          <w:numId w:val="0"/>
        </w:numPr>
        <w:adjustRightInd w:val="0"/>
        <w:snapToGrid w:val="0"/>
        <w:spacing w:line="42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pPr>
        <w:adjustRightInd w:val="0"/>
        <w:snapToGrid w:val="0"/>
        <w:spacing w:line="42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pPr>
        <w:spacing w:line="420" w:lineRule="exact"/>
        <w:ind w:firstLine="420" w:firstLineChars="200"/>
        <w:rPr>
          <w:color w:val="auto"/>
          <w:szCs w:val="21"/>
          <w:highlight w:val="none"/>
        </w:rPr>
      </w:pPr>
      <w:r>
        <w:rPr>
          <w:rFonts w:hint="eastAsia" w:ascii="宋体" w:hAnsi="宋体"/>
          <w:color w:val="auto"/>
          <w:szCs w:val="21"/>
          <w:highlight w:val="none"/>
        </w:rPr>
        <w:t>（3）付款方式（按项目实际勾选填写）：</w:t>
      </w:r>
    </w:p>
    <w:p>
      <w:pPr>
        <w:adjustRightInd w:val="0"/>
        <w:snapToGrid w:val="0"/>
        <w:spacing w:line="42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pPr>
        <w:snapToGrid w:val="0"/>
        <w:spacing w:line="42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w:t>
      </w:r>
    </w:p>
    <w:p>
      <w:pPr>
        <w:adjustRightInd w:val="0"/>
        <w:snapToGrid w:val="0"/>
        <w:spacing w:line="42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line="42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17"/>
        </w:numPr>
        <w:adjustRightInd w:val="0"/>
        <w:snapToGrid w:val="0"/>
        <w:spacing w:line="42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pPr>
        <w:adjustRightInd w:val="0"/>
        <w:snapToGrid w:val="0"/>
        <w:spacing w:line="420" w:lineRule="exact"/>
        <w:ind w:firstLine="199" w:firstLineChars="95"/>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420" w:lineRule="exact"/>
        <w:ind w:firstLine="199" w:firstLineChars="95"/>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line="420" w:lineRule="exact"/>
        <w:ind w:firstLine="199" w:firstLineChars="95"/>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pPr>
        <w:widowControl/>
        <w:autoSpaceDE w:val="0"/>
        <w:autoSpaceDN w:val="0"/>
        <w:adjustRightInd w:val="0"/>
        <w:spacing w:line="420" w:lineRule="exact"/>
        <w:ind w:firstLine="440" w:firstLineChars="200"/>
        <w:jc w:val="left"/>
        <w:rPr>
          <w:rFonts w:ascii="宋体" w:hAnsi="宋体" w:cs="宋体"/>
          <w:color w:val="auto"/>
          <w:kern w:val="0"/>
          <w:szCs w:val="21"/>
          <w:highlight w:val="none"/>
        </w:rPr>
      </w:pPr>
      <w:r>
        <w:rPr>
          <w:rFonts w:hint="eastAsia" w:ascii="宋体" w:hAnsi="宋体" w:eastAsia="华文楷体" w:cs="宋体"/>
          <w:bCs/>
          <w:color w:val="auto"/>
          <w:kern w:val="0"/>
          <w:sz w:val="22"/>
          <w:szCs w:val="21"/>
          <w:highlight w:val="none"/>
        </w:rPr>
        <w:t xml:space="preserve"> </w:t>
      </w:r>
      <w:r>
        <w:rPr>
          <w:rFonts w:hint="eastAsia" w:ascii="宋体" w:hAnsi="宋体" w:cs="宋体"/>
          <w:color w:val="auto"/>
          <w:kern w:val="0"/>
          <w:szCs w:val="21"/>
          <w:highlight w:val="none"/>
        </w:rPr>
        <w:t xml:space="preserve">  收取履约保证金形式：</w:t>
      </w:r>
      <w:r>
        <w:rPr>
          <w:rFonts w:hint="eastAsia" w:ascii="宋体" w:hAnsi="宋体" w:cs="宋体"/>
          <w:bCs/>
          <w:color w:val="auto"/>
          <w:kern w:val="0"/>
          <w:szCs w:val="21"/>
          <w:highlight w:val="none"/>
          <w:u w:val="single"/>
        </w:rPr>
        <w:t xml:space="preserve">                                  </w:t>
      </w:r>
    </w:p>
    <w:p>
      <w:pPr>
        <w:widowControl/>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收取履约保证金金额：</w:t>
      </w:r>
      <w:r>
        <w:rPr>
          <w:rFonts w:hint="eastAsia" w:ascii="宋体" w:hAnsi="宋体" w:cs="宋体"/>
          <w:bCs/>
          <w:color w:val="auto"/>
          <w:kern w:val="0"/>
          <w:szCs w:val="21"/>
          <w:highlight w:val="none"/>
          <w:u w:val="single"/>
        </w:rPr>
        <w:t xml:space="preserve">                                  </w:t>
      </w:r>
    </w:p>
    <w:p>
      <w:pPr>
        <w:snapToGrid w:val="0"/>
        <w:spacing w:line="42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pPr>
        <w:numPr>
          <w:ilvl w:val="0"/>
          <w:numId w:val="17"/>
        </w:numPr>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pPr>
        <w:adjustRightInd w:val="0"/>
        <w:snapToGrid w:val="0"/>
        <w:spacing w:line="420" w:lineRule="exact"/>
        <w:ind w:firstLine="210" w:firstLineChars="100"/>
        <w:rPr>
          <w:rFonts w:ascii="宋体" w:hAnsi="宋体"/>
          <w:bCs/>
          <w:color w:val="auto"/>
          <w:szCs w:val="21"/>
          <w:highlight w:val="none"/>
        </w:rPr>
      </w:pPr>
      <w:r>
        <w:rPr>
          <w:rFonts w:hint="eastAsia" w:ascii="宋体" w:hAnsi="宋体"/>
          <w:bCs/>
          <w:color w:val="auto"/>
          <w:szCs w:val="21"/>
          <w:highlight w:val="none"/>
        </w:rPr>
        <w:t>（1）验收组织方式：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pPr>
        <w:adjustRightInd w:val="0"/>
        <w:snapToGrid w:val="0"/>
        <w:spacing w:line="42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pPr>
        <w:adjustRightInd w:val="0"/>
        <w:snapToGrid w:val="0"/>
        <w:spacing w:line="42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pPr>
        <w:adjustRightInd w:val="0"/>
        <w:snapToGrid w:val="0"/>
        <w:spacing w:line="420" w:lineRule="exact"/>
        <w:ind w:firstLine="210" w:firstLineChars="1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一次性验收</w:t>
      </w:r>
    </w:p>
    <w:p>
      <w:pPr>
        <w:adjustRightInd w:val="0"/>
        <w:snapToGrid w:val="0"/>
        <w:spacing w:line="42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widowControl/>
        <w:autoSpaceDE w:val="0"/>
        <w:autoSpaceDN w:val="0"/>
        <w:adjustRightInd w:val="0"/>
        <w:spacing w:line="420" w:lineRule="exact"/>
        <w:ind w:firstLine="210" w:firstLineChars="100"/>
        <w:jc w:val="left"/>
        <w:rPr>
          <w:rFonts w:ascii="宋体" w:hAnsi="宋体" w:cs="宋体"/>
          <w:color w:val="auto"/>
          <w:kern w:val="0"/>
          <w:szCs w:val="21"/>
          <w:highlight w:val="none"/>
        </w:rPr>
      </w:pPr>
      <w:r>
        <w:rPr>
          <w:rFonts w:hint="eastAsia" w:ascii="宋体" w:hAnsi="宋体" w:cs="宋体"/>
          <w:bCs/>
          <w:color w:val="auto"/>
          <w:kern w:val="0"/>
          <w:szCs w:val="21"/>
          <w:highlight w:val="none"/>
        </w:rPr>
        <w:t>（7）是否以采购活动中供应商提供的样品作为参考：</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 xml:space="preserve">是  </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否</w:t>
      </w:r>
    </w:p>
    <w:p>
      <w:pPr>
        <w:adjustRightInd w:val="0"/>
        <w:snapToGrid w:val="0"/>
        <w:spacing w:line="420" w:lineRule="exact"/>
        <w:ind w:firstLine="210" w:firstLineChars="1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pPr>
        <w:numPr>
          <w:ilvl w:val="0"/>
          <w:numId w:val="17"/>
        </w:numPr>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line="420" w:lineRule="exact"/>
        <w:ind w:firstLine="210" w:firstLineChars="100"/>
        <w:rPr>
          <w:rFonts w:ascii="宋体" w:hAnsi="宋体"/>
          <w:color w:val="auto"/>
          <w:szCs w:val="21"/>
          <w:highlight w:val="none"/>
        </w:rPr>
      </w:pPr>
      <w:r>
        <w:rPr>
          <w:rFonts w:hint="eastAsia" w:ascii="宋体" w:hAnsi="宋体"/>
          <w:color w:val="auto"/>
          <w:szCs w:val="21"/>
          <w:highlight w:val="none"/>
        </w:rPr>
        <w:t>（1）政府采购合同协议书及其变更、补充协议</w:t>
      </w:r>
    </w:p>
    <w:p>
      <w:pPr>
        <w:adjustRightInd w:val="0"/>
        <w:snapToGrid w:val="0"/>
        <w:spacing w:line="420" w:lineRule="exact"/>
        <w:ind w:firstLine="210" w:firstLineChars="100"/>
        <w:rPr>
          <w:rFonts w:ascii="宋体" w:hAnsi="宋体"/>
          <w:color w:val="auto"/>
          <w:szCs w:val="21"/>
          <w:highlight w:val="none"/>
        </w:rPr>
      </w:pPr>
      <w:r>
        <w:rPr>
          <w:rFonts w:hint="eastAsia" w:ascii="宋体" w:hAnsi="宋体"/>
          <w:color w:val="auto"/>
          <w:szCs w:val="21"/>
          <w:highlight w:val="none"/>
        </w:rPr>
        <w:t>（2）政府采购合同专用条款</w:t>
      </w:r>
    </w:p>
    <w:p>
      <w:pPr>
        <w:adjustRightInd w:val="0"/>
        <w:snapToGrid w:val="0"/>
        <w:spacing w:line="420" w:lineRule="exact"/>
        <w:ind w:firstLine="210" w:firstLineChars="100"/>
        <w:rPr>
          <w:rFonts w:ascii="宋体" w:hAnsi="宋体"/>
          <w:color w:val="auto"/>
          <w:szCs w:val="21"/>
          <w:highlight w:val="none"/>
        </w:rPr>
      </w:pPr>
      <w:r>
        <w:rPr>
          <w:rFonts w:hint="eastAsia" w:ascii="宋体" w:hAnsi="宋体"/>
          <w:color w:val="auto"/>
          <w:szCs w:val="21"/>
          <w:highlight w:val="none"/>
        </w:rPr>
        <w:t>（3）政府采购合同通用条款</w:t>
      </w:r>
    </w:p>
    <w:p>
      <w:pPr>
        <w:adjustRightInd w:val="0"/>
        <w:snapToGrid w:val="0"/>
        <w:spacing w:line="420" w:lineRule="exact"/>
        <w:ind w:firstLine="210" w:firstLineChars="100"/>
        <w:rPr>
          <w:rFonts w:ascii="宋体" w:hAnsi="宋体"/>
          <w:color w:val="auto"/>
          <w:szCs w:val="21"/>
          <w:highlight w:val="none"/>
        </w:rPr>
      </w:pPr>
      <w:r>
        <w:rPr>
          <w:rFonts w:hint="eastAsia" w:ascii="宋体" w:hAnsi="宋体"/>
          <w:color w:val="auto"/>
          <w:szCs w:val="21"/>
          <w:highlight w:val="none"/>
        </w:rPr>
        <w:t>（4）中标（成交）通知书</w:t>
      </w:r>
    </w:p>
    <w:p>
      <w:pPr>
        <w:adjustRightInd w:val="0"/>
        <w:snapToGrid w:val="0"/>
        <w:spacing w:line="420" w:lineRule="exact"/>
        <w:ind w:firstLine="210" w:firstLineChars="100"/>
        <w:rPr>
          <w:rFonts w:ascii="宋体" w:hAnsi="宋体"/>
          <w:color w:val="auto"/>
          <w:szCs w:val="21"/>
          <w:highlight w:val="none"/>
        </w:rPr>
      </w:pPr>
      <w:r>
        <w:rPr>
          <w:rFonts w:hint="eastAsia" w:ascii="宋体" w:hAnsi="宋体"/>
          <w:color w:val="auto"/>
          <w:szCs w:val="21"/>
          <w:highlight w:val="none"/>
        </w:rPr>
        <w:t>（5）投标（响应）文件</w:t>
      </w:r>
    </w:p>
    <w:p>
      <w:pPr>
        <w:adjustRightInd w:val="0"/>
        <w:snapToGrid w:val="0"/>
        <w:spacing w:line="420" w:lineRule="exact"/>
        <w:ind w:firstLine="210" w:firstLineChars="100"/>
        <w:rPr>
          <w:rFonts w:ascii="宋体" w:hAnsi="宋体"/>
          <w:color w:val="auto"/>
          <w:szCs w:val="21"/>
          <w:highlight w:val="none"/>
        </w:rPr>
      </w:pPr>
      <w:r>
        <w:rPr>
          <w:rFonts w:hint="eastAsia" w:ascii="宋体" w:hAnsi="宋体"/>
          <w:color w:val="auto"/>
          <w:szCs w:val="21"/>
          <w:highlight w:val="none"/>
        </w:rPr>
        <w:t>（6）采购文件</w:t>
      </w:r>
    </w:p>
    <w:p>
      <w:pPr>
        <w:adjustRightInd w:val="0"/>
        <w:snapToGrid w:val="0"/>
        <w:spacing w:line="420" w:lineRule="exact"/>
        <w:ind w:firstLine="210" w:firstLineChars="100"/>
        <w:rPr>
          <w:rFonts w:ascii="宋体" w:hAnsi="宋体"/>
          <w:color w:val="auto"/>
          <w:szCs w:val="21"/>
          <w:highlight w:val="none"/>
        </w:rPr>
      </w:pPr>
      <w:r>
        <w:rPr>
          <w:rFonts w:hint="eastAsia" w:ascii="宋体" w:hAnsi="宋体"/>
          <w:color w:val="auto"/>
          <w:szCs w:val="21"/>
          <w:highlight w:val="none"/>
        </w:rPr>
        <w:t>（7）有关技术文件，图纸</w:t>
      </w:r>
    </w:p>
    <w:p>
      <w:pPr>
        <w:widowControl/>
        <w:autoSpaceDE w:val="0"/>
        <w:autoSpaceDN w:val="0"/>
        <w:adjustRightInd w:val="0"/>
        <w:spacing w:line="420" w:lineRule="exact"/>
        <w:ind w:firstLine="210" w:firstLineChars="100"/>
        <w:jc w:val="left"/>
        <w:rPr>
          <w:rFonts w:ascii="宋体" w:hAnsi="宋体" w:cs="宋体"/>
          <w:color w:val="auto"/>
          <w:szCs w:val="21"/>
          <w:highlight w:val="none"/>
        </w:rPr>
      </w:pPr>
      <w:r>
        <w:rPr>
          <w:rFonts w:hint="eastAsia" w:ascii="宋体" w:hAnsi="宋体" w:cs="宋体"/>
          <w:color w:val="auto"/>
          <w:kern w:val="0"/>
          <w:szCs w:val="21"/>
          <w:highlight w:val="none"/>
        </w:rPr>
        <w:t>（8）</w:t>
      </w:r>
      <w:r>
        <w:rPr>
          <w:rFonts w:hint="eastAsia" w:ascii="宋体" w:hAnsi="宋体" w:cs="宋体"/>
          <w:color w:val="auto"/>
          <w:szCs w:val="21"/>
          <w:highlight w:val="none"/>
        </w:rPr>
        <w:t>国家法律、行政法规和规章制度规定或合同约定的作为合同组成部分的其他文件</w:t>
      </w:r>
    </w:p>
    <w:p>
      <w:pPr>
        <w:numPr>
          <w:ilvl w:val="0"/>
          <w:numId w:val="17"/>
        </w:numPr>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17"/>
        </w:numPr>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line="42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pPr>
        <w:widowControl/>
        <w:spacing w:line="420" w:lineRule="exact"/>
        <w:jc w:val="left"/>
        <w:rPr>
          <w:color w:val="auto"/>
          <w:szCs w:val="21"/>
          <w:highlight w:val="none"/>
        </w:rPr>
      </w:pPr>
      <w:r>
        <w:rPr>
          <w:color w:val="auto"/>
          <w:szCs w:val="21"/>
          <w:highlight w:val="none"/>
        </w:rPr>
        <w:br w:type="page"/>
      </w:r>
    </w:p>
    <w:tbl>
      <w:tblPr>
        <w:tblStyle w:val="34"/>
        <w:tblW w:w="4927" w:type="pct"/>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5000" w:type="pct"/>
            <w:gridSpan w:val="4"/>
            <w:tcBorders>
              <w:top w:val="single" w:color="auto" w:sz="2" w:space="0"/>
            </w:tcBorders>
            <w:vAlign w:val="center"/>
          </w:tcPr>
          <w:p>
            <w:pPr>
              <w:adjustRightInd w:val="0"/>
              <w:snapToGrid w:val="0"/>
              <w:spacing w:before="156" w:beforeLines="50" w:line="360" w:lineRule="auto"/>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keepNext/>
        <w:keepLines/>
        <w:adjustRightInd w:val="0"/>
        <w:snapToGrid w:val="0"/>
        <w:spacing w:before="156" w:beforeLines="50" w:line="360" w:lineRule="auto"/>
        <w:jc w:val="center"/>
        <w:outlineLvl w:val="1"/>
        <w:rPr>
          <w:rFonts w:ascii="黑体" w:hAnsi="黑体" w:eastAsia="黑体"/>
          <w:b/>
          <w:bCs/>
          <w:color w:val="auto"/>
          <w:sz w:val="28"/>
          <w:szCs w:val="28"/>
          <w:highlight w:val="none"/>
        </w:rPr>
      </w:pPr>
      <w:r>
        <w:rPr>
          <w:rFonts w:ascii="宋体" w:hAnsi="宋体"/>
          <w:b/>
          <w:bCs/>
          <w:color w:val="auto"/>
          <w:szCs w:val="21"/>
          <w:highlight w:val="none"/>
          <w:u w:val="single"/>
        </w:rPr>
        <w:br w:type="page"/>
      </w:r>
      <w:bookmarkStart w:id="136" w:name="_Toc27624"/>
      <w:r>
        <w:rPr>
          <w:rFonts w:hint="eastAsia" w:ascii="黑体" w:hAnsi="黑体" w:eastAsia="黑体"/>
          <w:color w:val="auto"/>
          <w:sz w:val="28"/>
          <w:szCs w:val="28"/>
          <w:highlight w:val="none"/>
        </w:rPr>
        <w:t>第二节 政府采购合同通用条款</w:t>
      </w:r>
      <w:bookmarkEnd w:id="136"/>
    </w:p>
    <w:p>
      <w:pPr>
        <w:tabs>
          <w:tab w:val="left" w:pos="8820"/>
          <w:tab w:val="left" w:pos="9345"/>
          <w:tab w:val="left" w:pos="9765"/>
        </w:tabs>
        <w:adjustRightInd w:val="0"/>
        <w:snapToGrid w:val="0"/>
        <w:spacing w:line="42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18"/>
        </w:numPr>
        <w:autoSpaceDE w:val="0"/>
        <w:autoSpaceDN w:val="0"/>
        <w:adjustRightInd w:val="0"/>
        <w:snapToGrid w:val="0"/>
        <w:spacing w:line="406" w:lineRule="exact"/>
        <w:ind w:firstLine="482" w:firstLineChars="200"/>
        <w:jc w:val="left"/>
        <w:rPr>
          <w:rFonts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line="406"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line="406"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pPr>
        <w:autoSpaceDE w:val="0"/>
        <w:autoSpaceDN w:val="0"/>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06"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pPr>
        <w:autoSpaceDE w:val="0"/>
        <w:autoSpaceDN w:val="0"/>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pPr>
        <w:spacing w:line="406"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pPr>
        <w:spacing w:line="406"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pPr>
        <w:numPr>
          <w:ilvl w:val="0"/>
          <w:numId w:val="19"/>
        </w:numPr>
        <w:autoSpaceDE w:val="0"/>
        <w:autoSpaceDN w:val="0"/>
        <w:adjustRightInd w:val="0"/>
        <w:snapToGrid w:val="0"/>
        <w:spacing w:line="406"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合同履行</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line="406"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pPr>
        <w:widowControl/>
        <w:autoSpaceDE w:val="0"/>
        <w:autoSpaceDN w:val="0"/>
        <w:adjustRightInd w:val="0"/>
        <w:spacing w:line="406" w:lineRule="exact"/>
        <w:ind w:firstLine="420" w:firstLineChars="200"/>
        <w:jc w:val="left"/>
        <w:rPr>
          <w:rFonts w:ascii="华文楷体" w:hAnsi="华文楷体" w:eastAsia="华文楷体" w:cs="华文楷体"/>
          <w:color w:val="auto"/>
          <w:kern w:val="0"/>
          <w:szCs w:val="21"/>
          <w:highlight w:val="none"/>
        </w:rPr>
      </w:pPr>
      <w:r>
        <w:rPr>
          <w:rFonts w:hint="eastAsia" w:ascii="宋体" w:hAnsi="宋体"/>
          <w:color w:val="auto"/>
          <w:szCs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06" w:lineRule="exact"/>
        <w:jc w:val="left"/>
        <w:rPr>
          <w:rFonts w:ascii="宋体" w:hAnsi="宋体"/>
          <w:b/>
          <w:color w:val="auto"/>
          <w:sz w:val="24"/>
          <w:highlight w:val="none"/>
        </w:rPr>
      </w:pPr>
      <w:r>
        <w:rPr>
          <w:rFonts w:hint="eastAsia" w:ascii="宋体" w:hAnsi="宋体"/>
          <w:b/>
          <w:color w:val="auto"/>
          <w:sz w:val="24"/>
          <w:highlight w:val="none"/>
        </w:rPr>
        <w:t>8. 质量标准和保证</w:t>
      </w:r>
    </w:p>
    <w:p>
      <w:pPr>
        <w:adjustRightInd w:val="0"/>
        <w:snapToGrid w:val="0"/>
        <w:spacing w:line="406" w:lineRule="exact"/>
        <w:ind w:firstLine="420" w:firstLineChars="200"/>
        <w:jc w:val="left"/>
        <w:rPr>
          <w:rFonts w:ascii="宋体" w:hAnsi="宋体" w:cs="Courier New"/>
          <w:b/>
          <w:color w:val="auto"/>
          <w:szCs w:val="21"/>
          <w:highlight w:val="none"/>
        </w:rPr>
      </w:pPr>
      <w:r>
        <w:rPr>
          <w:rFonts w:hint="eastAsia" w:ascii="宋体" w:hAnsi="宋体" w:cs="Courier New"/>
          <w:color w:val="auto"/>
          <w:szCs w:val="21"/>
          <w:highlight w:val="none"/>
        </w:rPr>
        <w:t>8.1 质量标准</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6" w:lineRule="exact"/>
        <w:ind w:firstLine="420" w:firstLineChars="200"/>
        <w:jc w:val="left"/>
        <w:rPr>
          <w:rFonts w:ascii="宋体" w:hAnsi="宋体" w:cs="Courier New"/>
          <w:color w:val="auto"/>
          <w:szCs w:val="21"/>
          <w:highlight w:val="none"/>
        </w:rPr>
      </w:pPr>
      <w:r>
        <w:rPr>
          <w:rFonts w:hint="eastAsia" w:ascii="宋体" w:hAnsi="宋体" w:cs="Courier New"/>
          <w:color w:val="auto"/>
          <w:szCs w:val="21"/>
          <w:highlight w:val="none"/>
        </w:rPr>
        <w:t>（2）采用中华人民共和国法定计量单位。</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6"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pPr>
        <w:autoSpaceDE w:val="0"/>
        <w:autoSpaceDN w:val="0"/>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137"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137"/>
      <w:r>
        <w:rPr>
          <w:rFonts w:hint="eastAsia" w:ascii="宋体" w:hAnsi="宋体"/>
          <w:color w:val="auto"/>
          <w:szCs w:val="21"/>
          <w:highlight w:val="none"/>
        </w:rPr>
        <w:t>。</w:t>
      </w:r>
    </w:p>
    <w:p>
      <w:pPr>
        <w:autoSpaceDE w:val="0"/>
        <w:autoSpaceDN w:val="0"/>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adjustRightInd w:val="0"/>
        <w:snapToGrid w:val="0"/>
        <w:spacing w:line="406"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pPr>
        <w:autoSpaceDE w:val="0"/>
        <w:autoSpaceDN w:val="0"/>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pPr>
        <w:keepNext/>
        <w:keepLines/>
        <w:spacing w:line="406" w:lineRule="exact"/>
        <w:ind w:firstLine="420" w:firstLineChars="200"/>
        <w:outlineLvl w:val="1"/>
        <w:rPr>
          <w:rFonts w:ascii="Arial" w:hAnsi="Arial"/>
          <w:b/>
          <w:bCs/>
          <w:color w:val="auto"/>
          <w:sz w:val="24"/>
          <w:szCs w:val="32"/>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Cs w:val="21"/>
          <w:highlight w:val="none"/>
        </w:rPr>
        <w:t>政府采购合同专用条款</w:t>
      </w:r>
      <w:r>
        <w:rPr>
          <w:rFonts w:hint="eastAsia" w:ascii="宋体" w:hAnsi="宋体"/>
          <w:color w:val="auto"/>
          <w:szCs w:val="21"/>
          <w:highlight w:val="none"/>
        </w:rPr>
        <w:t>】中约定。</w:t>
      </w:r>
    </w:p>
    <w:p>
      <w:pPr>
        <w:spacing w:line="406" w:lineRule="exact"/>
        <w:rPr>
          <w:rFonts w:ascii="宋体" w:hAnsi="宋体"/>
          <w:b/>
          <w:bCs/>
          <w:color w:val="auto"/>
          <w:sz w:val="24"/>
          <w:highlight w:val="none"/>
        </w:rPr>
      </w:pPr>
      <w:r>
        <w:rPr>
          <w:rFonts w:hint="eastAsia" w:ascii="宋体" w:hAnsi="宋体"/>
          <w:b/>
          <w:bCs/>
          <w:color w:val="auto"/>
          <w:sz w:val="24"/>
          <w:highlight w:val="none"/>
        </w:rPr>
        <w:t>13. 履约保证金</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6"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line="406"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pPr>
        <w:widowControl/>
        <w:autoSpaceDE w:val="0"/>
        <w:autoSpaceDN w:val="0"/>
        <w:adjustRightInd w:val="0"/>
        <w:spacing w:line="406"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（5）依照法律、行政法规的规定或者按照</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约定，货物在有效使用年限届满后应予回收的，乙方负有自行或者委托第三人对货物予以回收的义务；</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pPr>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15. 违约责任</w:t>
      </w:r>
    </w:p>
    <w:p>
      <w:pPr>
        <w:adjustRightInd w:val="0"/>
        <w:snapToGrid w:val="0"/>
        <w:spacing w:line="406"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pPr>
        <w:autoSpaceDE w:val="0"/>
        <w:autoSpaceDN w:val="0"/>
        <w:adjustRightInd w:val="0"/>
        <w:snapToGrid w:val="0"/>
        <w:spacing w:line="406"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20"/>
        </w:numPr>
        <w:autoSpaceDE w:val="0"/>
        <w:autoSpaceDN w:val="0"/>
        <w:adjustRightInd w:val="0"/>
        <w:snapToGrid w:val="0"/>
        <w:spacing w:line="406"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合同变更、中止与终止</w:t>
      </w:r>
    </w:p>
    <w:p>
      <w:pPr>
        <w:adjustRightInd w:val="0"/>
        <w:snapToGrid w:val="0"/>
        <w:spacing w:line="406"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6" w:lineRule="exact"/>
        <w:ind w:firstLine="420" w:firstLineChars="200"/>
        <w:rPr>
          <w:rFonts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6"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6"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pPr>
        <w:widowControl/>
        <w:autoSpaceDE w:val="0"/>
        <w:autoSpaceDN w:val="0"/>
        <w:adjustRightInd w:val="0"/>
        <w:spacing w:line="406" w:lineRule="exact"/>
        <w:ind w:firstLine="440" w:firstLineChars="200"/>
        <w:jc w:val="left"/>
        <w:rPr>
          <w:rFonts w:ascii="宋体" w:hAnsi="宋体" w:eastAsia="华文楷体" w:cs="华文楷体"/>
          <w:color w:val="auto"/>
          <w:kern w:val="0"/>
          <w:sz w:val="22"/>
          <w:szCs w:val="21"/>
          <w:highlight w:val="none"/>
        </w:rPr>
      </w:pPr>
      <w:r>
        <w:rPr>
          <w:rFonts w:hint="eastAsia" w:ascii="宋体" w:hAnsi="宋体" w:eastAsia="华文楷体" w:cs="华文楷体"/>
          <w:color w:val="auto"/>
          <w:kern w:val="0"/>
          <w:sz w:val="22"/>
          <w:szCs w:val="21"/>
          <w:highlight w:val="none"/>
        </w:rPr>
        <w:t xml:space="preserve">16.4 </w:t>
      </w:r>
      <w:r>
        <w:rPr>
          <w:rFonts w:hint="eastAsia" w:ascii="宋体" w:hAnsi="宋体"/>
          <w:color w:val="auto"/>
          <w:szCs w:val="21"/>
          <w:highlight w:val="none"/>
        </w:rPr>
        <w:t>涉及国家利益、社会公共利益的情形</w:t>
      </w:r>
    </w:p>
    <w:p>
      <w:pPr>
        <w:widowControl/>
        <w:autoSpaceDE w:val="0"/>
        <w:autoSpaceDN w:val="0"/>
        <w:adjustRightInd w:val="0"/>
        <w:spacing w:line="406" w:lineRule="exact"/>
        <w:ind w:firstLine="420" w:firstLineChars="200"/>
        <w:rPr>
          <w:rFonts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6"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adjustRightInd w:val="0"/>
        <w:spacing w:line="40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19.2 选择仲裁的，应在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中明确仲裁机构及仲裁地；通过诉讼方式解决的，可以在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中进一步约定选择与争议有实际联系的地点的人民法院管辖，但管辖法院的约定不得违反级别管辖和专属管辖的规定。</w:t>
      </w:r>
    </w:p>
    <w:p>
      <w:pPr>
        <w:widowControl/>
        <w:autoSpaceDE w:val="0"/>
        <w:autoSpaceDN w:val="0"/>
        <w:adjustRightInd w:val="0"/>
        <w:spacing w:line="40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 如甲乙双方有争议的事项不影响合同其他部分的履行，在争议解决期间，合同其他部分应当继续履行。</w:t>
      </w:r>
    </w:p>
    <w:p>
      <w:pPr>
        <w:autoSpaceDE w:val="0"/>
        <w:autoSpaceDN w:val="0"/>
        <w:adjustRightInd w:val="0"/>
        <w:snapToGrid w:val="0"/>
        <w:spacing w:line="406" w:lineRule="exact"/>
        <w:jc w:val="left"/>
        <w:rPr>
          <w:rFonts w:ascii="宋体" w:hAnsi="宋体"/>
          <w:color w:val="auto"/>
          <w:sz w:val="24"/>
          <w:highlight w:val="none"/>
        </w:rPr>
      </w:pPr>
      <w:r>
        <w:rPr>
          <w:rFonts w:hint="eastAsia" w:ascii="宋体" w:hAnsi="宋体"/>
          <w:b/>
          <w:color w:val="auto"/>
          <w:sz w:val="24"/>
          <w:highlight w:val="none"/>
        </w:rPr>
        <w:t>20. 政府采购政策</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pPr>
        <w:autoSpaceDE w:val="0"/>
        <w:autoSpaceDN w:val="0"/>
        <w:adjustRightInd w:val="0"/>
        <w:snapToGrid w:val="0"/>
        <w:spacing w:line="406"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spacing w:line="406" w:lineRule="exact"/>
        <w:ind w:firstLine="420" w:firstLineChars="200"/>
        <w:rPr>
          <w:rFonts w:ascii="Calibri" w:hAnsi="Calibri"/>
          <w:color w:val="auto"/>
          <w:szCs w:val="22"/>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6" w:lineRule="exact"/>
        <w:jc w:val="left"/>
        <w:rPr>
          <w:rFonts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adjustRightInd w:val="0"/>
        <w:spacing w:line="40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 本合同的订立、生效、解释、履行及与本合同有关的争议解决，均适用法律、行政法规。</w:t>
      </w:r>
    </w:p>
    <w:p>
      <w:pPr>
        <w:widowControl/>
        <w:autoSpaceDE w:val="0"/>
        <w:autoSpaceDN w:val="0"/>
        <w:adjustRightInd w:val="0"/>
        <w:spacing w:line="40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6" w:lineRule="exact"/>
        <w:jc w:val="left"/>
        <w:rPr>
          <w:rFonts w:ascii="宋体" w:hAnsi="宋体"/>
          <w:b/>
          <w:color w:val="auto"/>
          <w:sz w:val="24"/>
          <w:highlight w:val="none"/>
        </w:rPr>
      </w:pPr>
      <w:r>
        <w:rPr>
          <w:rFonts w:hint="eastAsia" w:ascii="宋体" w:hAnsi="宋体"/>
          <w:b/>
          <w:color w:val="auto"/>
          <w:sz w:val="24"/>
          <w:highlight w:val="none"/>
        </w:rPr>
        <w:t>22. 通知</w:t>
      </w:r>
    </w:p>
    <w:p>
      <w:pPr>
        <w:widowControl/>
        <w:autoSpaceDE w:val="0"/>
        <w:autoSpaceDN w:val="0"/>
        <w:adjustRightInd w:val="0"/>
        <w:spacing w:line="406"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6" w:lineRule="exact"/>
        <w:rPr>
          <w:rFonts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pPr>
        <w:adjustRightInd w:val="0"/>
        <w:snapToGrid w:val="0"/>
        <w:spacing w:line="406"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pPr>
        <w:numPr>
          <w:ilvl w:val="0"/>
          <w:numId w:val="21"/>
        </w:numPr>
        <w:adjustRightInd w:val="0"/>
        <w:snapToGrid w:val="0"/>
        <w:spacing w:line="406"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line="406"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6"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138" w:name="_Toc20313"/>
    </w:p>
    <w:p>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pPr>
        <w:keepNext/>
        <w:keepLines/>
        <w:adjustRightInd w:val="0"/>
        <w:snapToGrid w:val="0"/>
        <w:spacing w:line="360" w:lineRule="auto"/>
        <w:jc w:val="center"/>
        <w:outlineLvl w:val="1"/>
        <w:rPr>
          <w:rFonts w:ascii="黑体" w:hAnsi="华文中宋" w:eastAsia="黑体"/>
          <w:color w:val="auto"/>
          <w:sz w:val="28"/>
          <w:szCs w:val="28"/>
          <w:highlight w:val="none"/>
        </w:rPr>
      </w:pPr>
      <w:r>
        <w:rPr>
          <w:rFonts w:hint="eastAsia" w:ascii="黑体" w:hAnsi="华文中宋" w:eastAsia="黑体"/>
          <w:color w:val="auto"/>
          <w:sz w:val="28"/>
          <w:szCs w:val="28"/>
          <w:highlight w:val="none"/>
        </w:rPr>
        <w:t>第三节 政府采购合同专用条款</w:t>
      </w:r>
      <w:bookmarkEnd w:id="138"/>
    </w:p>
    <w:tbl>
      <w:tblPr>
        <w:tblStyle w:val="34"/>
        <w:tblW w:w="10065" w:type="dxa"/>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8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snapToGrid w:val="0"/>
              <w:jc w:val="center"/>
              <w:rPr>
                <w:color w:val="auto"/>
                <w:highlight w:val="none"/>
              </w:rPr>
            </w:pPr>
            <w:r>
              <w:rPr>
                <w:rFonts w:hint="eastAsia" w:ascii="宋体" w:hAnsi="宋体"/>
                <w:color w:val="auto"/>
                <w:szCs w:val="21"/>
                <w:highlight w:val="none"/>
              </w:rPr>
              <w:t>第5.4款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831"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vAlign w:val="center"/>
          </w:tcPr>
          <w:p>
            <w:pPr>
              <w:adjustRightInd w:val="0"/>
              <w:snapToGrid w:val="0"/>
              <w:jc w:val="center"/>
              <w:rPr>
                <w:rFonts w:ascii="宋体" w:hAnsi="宋体"/>
                <w:color w:val="auto"/>
                <w:szCs w:val="21"/>
                <w:highlight w:val="none"/>
              </w:rPr>
            </w:pP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831"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831"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831"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831" w:type="dxa"/>
            <w:vAlign w:val="center"/>
          </w:tcPr>
          <w:p>
            <w:pPr>
              <w:autoSpaceDE w:val="0"/>
              <w:autoSpaceDN w:val="0"/>
              <w:adjustRightInd w:val="0"/>
              <w:snapToGrid w:val="0"/>
              <w:ind w:firstLine="420" w:firstLineChars="20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pPr>
              <w:widowControl/>
              <w:autoSpaceDE w:val="0"/>
              <w:autoSpaceDN w:val="0"/>
              <w:adjustRightInd w:val="0"/>
              <w:spacing w:line="400" w:lineRule="exact"/>
              <w:jc w:val="center"/>
              <w:rPr>
                <w:rFonts w:ascii="华文楷体" w:hAnsi="华文楷体" w:eastAsia="华文楷体" w:cs="华文楷体"/>
                <w:color w:val="auto"/>
                <w:kern w:val="0"/>
                <w:sz w:val="22"/>
                <w:szCs w:val="21"/>
                <w:highlight w:val="none"/>
              </w:rPr>
            </w:pPr>
            <w:r>
              <w:rPr>
                <w:rFonts w:hint="eastAsia" w:ascii="宋体" w:hAnsi="宋体" w:cs="宋体"/>
                <w:color w:val="auto"/>
                <w:kern w:val="0"/>
                <w:sz w:val="22"/>
                <w:szCs w:val="21"/>
                <w:highlight w:val="none"/>
              </w:rPr>
              <w:t>第11.1款</w:t>
            </w:r>
          </w:p>
        </w:tc>
        <w:tc>
          <w:tcPr>
            <w:tcW w:w="2362" w:type="dxa"/>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831"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831" w:type="dxa"/>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831" w:type="dxa"/>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236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831" w:type="dxa"/>
            <w:tcBorders>
              <w:left w:val="single" w:color="auto" w:sz="2" w:space="0"/>
              <w:bottom w:val="single" w:color="auto" w:sz="2" w:space="0"/>
            </w:tcBorders>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236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831"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72"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2362" w:type="dxa"/>
            <w:vAlign w:val="center"/>
          </w:tcPr>
          <w:p>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831" w:type="dxa"/>
            <w:vAlign w:val="center"/>
          </w:tcPr>
          <w:p>
            <w:pPr>
              <w:adjustRightInd w:val="0"/>
              <w:snapToGrid w:val="0"/>
              <w:jc w:val="left"/>
              <w:rPr>
                <w:rFonts w:ascii="宋体" w:hAnsi="宋体"/>
                <w:color w:val="auto"/>
                <w:szCs w:val="21"/>
                <w:highlight w:val="none"/>
              </w:rPr>
            </w:pPr>
          </w:p>
        </w:tc>
      </w:tr>
    </w:tbl>
    <w:p>
      <w:pPr>
        <w:rPr>
          <w:color w:val="auto"/>
          <w:highlight w:val="none"/>
        </w:rPr>
      </w:pPr>
      <w:r>
        <w:rPr>
          <w:color w:val="auto"/>
          <w:highlight w:val="none"/>
        </w:rPr>
        <w:br w:type="page"/>
      </w:r>
    </w:p>
    <w:p>
      <w:pPr>
        <w:pStyle w:val="22"/>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hAnsi="方正小标宋_GBK" w:eastAsia="方正小标宋_GBK"/>
          <w:color w:val="auto"/>
          <w:highlight w:val="none"/>
        </w:rPr>
      </w:pPr>
      <w:bookmarkStart w:id="139" w:name="_Toc397585460"/>
      <w:bookmarkStart w:id="140" w:name="_Toc92355028"/>
      <w:r>
        <w:rPr>
          <w:rFonts w:hint="eastAsia" w:ascii="方正小标宋_GBK" w:hAnsi="方正小标宋_GBK" w:eastAsia="方正小标宋_GBK"/>
          <w:color w:val="auto"/>
          <w:highlight w:val="none"/>
        </w:rPr>
        <w:t>第六章  响应文件格式</w:t>
      </w:r>
      <w:bookmarkEnd w:id="139"/>
      <w:bookmarkEnd w:id="140"/>
    </w:p>
    <w:p>
      <w:pPr>
        <w:jc w:val="left"/>
        <w:rPr>
          <w:rFonts w:hAnsi="宋体"/>
          <w:color w:val="auto"/>
          <w:sz w:val="36"/>
          <w:szCs w:val="36"/>
          <w:highlight w:val="none"/>
        </w:rPr>
      </w:pPr>
      <w:r>
        <w:rPr>
          <w:b/>
          <w:color w:val="auto"/>
          <w:sz w:val="30"/>
          <w:szCs w:val="30"/>
          <w:highlight w:val="none"/>
        </w:rPr>
        <w:br w:type="page"/>
      </w:r>
      <w:r>
        <w:rPr>
          <w:rFonts w:hint="eastAsia" w:ascii="仿宋_GB2312"/>
          <w:b/>
          <w:bCs/>
          <w:color w:val="auto"/>
          <w:sz w:val="36"/>
          <w:szCs w:val="36"/>
          <w:highlight w:val="none"/>
        </w:rPr>
        <w:t>一、供应商资格文件</w:t>
      </w:r>
    </w:p>
    <w:p>
      <w:pPr>
        <w:tabs>
          <w:tab w:val="left" w:pos="3402"/>
        </w:tabs>
        <w:ind w:firstLine="602"/>
        <w:jc w:val="center"/>
        <w:rPr>
          <w:rFonts w:ascii="仿宋_GB2312" w:hAnsi="Adobe 仿宋 Std R" w:eastAsia="仿宋_GB2312"/>
          <w:b/>
          <w:color w:val="auto"/>
          <w:spacing w:val="10"/>
          <w:sz w:val="32"/>
          <w:szCs w:val="32"/>
          <w:highlight w:val="none"/>
        </w:rPr>
      </w:pPr>
      <w:bookmarkStart w:id="141" w:name="_Hlk111728366"/>
      <w:r>
        <w:rPr>
          <w:rFonts w:hint="eastAsia" w:ascii="仿宋_GB2312" w:hAnsi="Adobe 仿宋 Std R" w:eastAsia="仿宋_GB2312"/>
          <w:b/>
          <w:color w:val="auto"/>
          <w:spacing w:val="10"/>
          <w:sz w:val="32"/>
          <w:szCs w:val="32"/>
          <w:highlight w:val="none"/>
        </w:rPr>
        <w:t>供应商具备参加政府采购活动条件的承诺书</w:t>
      </w:r>
      <w:r>
        <w:rPr>
          <w:rFonts w:hint="eastAsia" w:ascii="仿宋_GB2312" w:hAnsi="Adobe 仿宋 Std R" w:eastAsia="仿宋_GB2312" w:cs="黑体"/>
          <w:bCs/>
          <w:color w:val="auto"/>
          <w:sz w:val="24"/>
          <w:highlight w:val="none"/>
        </w:rPr>
        <w:t>(格式)</w:t>
      </w:r>
    </w:p>
    <w:p>
      <w:pPr>
        <w:tabs>
          <w:tab w:val="left" w:pos="3402"/>
        </w:tabs>
        <w:jc w:val="left"/>
        <w:rPr>
          <w:rFonts w:ascii="仿宋_GB2312" w:hAnsi="仿宋" w:eastAsia="仿宋_GB2312"/>
          <w:b/>
          <w:color w:val="auto"/>
          <w:spacing w:val="10"/>
          <w:szCs w:val="21"/>
          <w:highlight w:val="none"/>
        </w:rPr>
      </w:pPr>
    </w:p>
    <w:p>
      <w:pPr>
        <w:spacing w:line="520" w:lineRule="exact"/>
        <w:rPr>
          <w:rFonts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rPr>
          <w:rFonts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rPr>
          <w:rFonts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供应商名称)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rPr>
          <w:rFonts w:ascii="宋体" w:hAnsi="宋体"/>
          <w:bCs/>
          <w:color w:val="auto"/>
          <w:szCs w:val="22"/>
          <w:highlight w:val="none"/>
        </w:rPr>
      </w:pPr>
      <w:r>
        <w:rPr>
          <w:rFonts w:hint="eastAsia" w:ascii="宋体" w:hAnsi="宋体"/>
          <w:bCs/>
          <w:color w:val="auto"/>
          <w:szCs w:val="22"/>
          <w:highlight w:val="none"/>
        </w:rPr>
        <w:t>特此承诺。</w:t>
      </w:r>
    </w:p>
    <w:p>
      <w:pPr>
        <w:ind w:firstLine="420"/>
        <w:rPr>
          <w:rFonts w:ascii="宋体" w:hAnsi="宋体"/>
          <w:bCs/>
          <w:color w:val="auto"/>
          <w:szCs w:val="22"/>
          <w:highlight w:val="none"/>
        </w:rPr>
      </w:pPr>
    </w:p>
    <w:p>
      <w:pPr>
        <w:ind w:firstLine="420"/>
        <w:rPr>
          <w:rFonts w:ascii="宋体" w:hAnsi="宋体"/>
          <w:bCs/>
          <w:color w:val="auto"/>
          <w:szCs w:val="22"/>
          <w:highlight w:val="none"/>
        </w:rPr>
      </w:pPr>
    </w:p>
    <w:p>
      <w:pPr>
        <w:spacing w:line="440" w:lineRule="exact"/>
        <w:ind w:right="1050" w:rightChars="500" w:firstLine="5250" w:firstLineChars="2500"/>
        <w:jc w:val="left"/>
        <w:rPr>
          <w:rFonts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40" w:lineRule="exact"/>
        <w:ind w:right="420"/>
        <w:jc w:val="center"/>
        <w:rPr>
          <w:rFonts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bookmarkEnd w:id="141"/>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402"/>
        </w:tabs>
        <w:spacing w:line="460" w:lineRule="exact"/>
        <w:jc w:val="center"/>
        <w:rPr>
          <w:rFonts w:ascii="仿宋_GB2312" w:hAnsi="仿宋" w:eastAsia="仿宋_GB2312"/>
          <w:b/>
          <w:color w:val="auto"/>
          <w:spacing w:val="10"/>
          <w:sz w:val="32"/>
          <w:szCs w:val="32"/>
          <w:highlight w:val="none"/>
        </w:rPr>
      </w:pPr>
      <w:r>
        <w:rPr>
          <w:rFonts w:hint="eastAsia" w:ascii="仿宋_GB2312" w:hAnsi="仿宋" w:eastAsia="仿宋_GB2312"/>
          <w:b/>
          <w:color w:val="auto"/>
          <w:spacing w:val="10"/>
          <w:sz w:val="32"/>
          <w:szCs w:val="32"/>
          <w:highlight w:val="none"/>
        </w:rPr>
        <w:t>无重大违法记录的书面声明</w:t>
      </w:r>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pPr>
        <w:spacing w:line="400" w:lineRule="exact"/>
        <w:rPr>
          <w:rFonts w:ascii="宋体" w:hAnsi="宋体"/>
          <w:b/>
          <w:color w:val="auto"/>
          <w:highlight w:val="none"/>
        </w:rPr>
      </w:pPr>
    </w:p>
    <w:p>
      <w:pPr>
        <w:spacing w:line="520" w:lineRule="exact"/>
        <w:rPr>
          <w:rFonts w:ascii="宋体" w:hAnsi="宋体"/>
          <w:bCs/>
          <w:color w:val="auto"/>
          <w:highlight w:val="none"/>
        </w:rPr>
      </w:pPr>
      <w:r>
        <w:rPr>
          <w:rFonts w:hint="eastAsia" w:ascii="宋体" w:hAnsi="宋体"/>
          <w:bCs/>
          <w:color w:val="auto"/>
          <w:highlight w:val="none"/>
        </w:rPr>
        <w:t>钦州市政府采购中心：</w:t>
      </w:r>
    </w:p>
    <w:p>
      <w:pPr>
        <w:spacing w:line="520" w:lineRule="exact"/>
        <w:ind w:firstLine="420"/>
        <w:rPr>
          <w:rFonts w:ascii="宋体" w:hAnsi="宋体"/>
          <w:bCs/>
          <w:color w:val="auto"/>
          <w:highlight w:val="none"/>
        </w:rPr>
      </w:pPr>
      <w:r>
        <w:rPr>
          <w:rFonts w:hint="eastAsia" w:ascii="宋体" w:hAnsi="宋体"/>
          <w:bCs/>
          <w:color w:val="auto"/>
          <w:highlight w:val="none"/>
        </w:rPr>
        <w:t>根据《中华人民共和国政府采购法实施条例》第十七条第一款第(四</w:t>
      </w:r>
      <w:r>
        <w:rPr>
          <w:rFonts w:ascii="宋体" w:hAnsi="宋体"/>
          <w:bCs/>
          <w:color w:val="auto"/>
          <w:highlight w:val="none"/>
        </w:rPr>
        <w:t>）</w:t>
      </w:r>
      <w:r>
        <w:rPr>
          <w:rFonts w:hint="eastAsia" w:ascii="宋体" w:hAnsi="宋体"/>
          <w:bCs/>
          <w:color w:val="auto"/>
          <w:highlight w:val="none"/>
        </w:rPr>
        <w:t>项的规定，现郑重声明：</w:t>
      </w:r>
    </w:p>
    <w:p>
      <w:pPr>
        <w:spacing w:line="520" w:lineRule="exact"/>
        <w:ind w:firstLine="420"/>
        <w:rPr>
          <w:rFonts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供应商名称)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520" w:lineRule="exact"/>
        <w:ind w:firstLine="420"/>
        <w:rPr>
          <w:rFonts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spacing w:line="520" w:lineRule="exact"/>
        <w:ind w:firstLine="420"/>
        <w:rPr>
          <w:rFonts w:ascii="宋体" w:hAnsi="宋体"/>
          <w:bCs/>
          <w:color w:val="auto"/>
          <w:highlight w:val="none"/>
        </w:rPr>
      </w:pPr>
      <w:r>
        <w:rPr>
          <w:rFonts w:hint="eastAsia" w:ascii="宋体" w:hAnsi="宋体"/>
          <w:bCs/>
          <w:color w:val="auto"/>
          <w:highlight w:val="none"/>
        </w:rPr>
        <w:t>特此声明。</w:t>
      </w:r>
    </w:p>
    <w:p>
      <w:pPr>
        <w:rPr>
          <w:rFonts w:ascii="宋体" w:hAnsi="宋体"/>
          <w:bCs/>
          <w:color w:val="auto"/>
          <w:szCs w:val="22"/>
          <w:highlight w:val="none"/>
        </w:rPr>
      </w:pPr>
    </w:p>
    <w:p>
      <w:pPr>
        <w:rPr>
          <w:rFonts w:ascii="宋体" w:hAnsi="宋体"/>
          <w:bCs/>
          <w:color w:val="auto"/>
          <w:szCs w:val="22"/>
          <w:highlight w:val="none"/>
        </w:rPr>
      </w:pPr>
    </w:p>
    <w:p>
      <w:pPr>
        <w:spacing w:line="440" w:lineRule="exact"/>
        <w:ind w:right="1050" w:rightChars="500" w:firstLine="5670" w:firstLineChars="2700"/>
        <w:jc w:val="left"/>
        <w:rPr>
          <w:rFonts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40" w:lineRule="exact"/>
        <w:ind w:right="420"/>
        <w:jc w:val="center"/>
        <w:rPr>
          <w:rFonts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spacing w:line="400" w:lineRule="exact"/>
        <w:ind w:right="1050" w:rightChars="500"/>
        <w:jc w:val="right"/>
        <w:rPr>
          <w:rFonts w:ascii="黑体" w:hAnsi="黑体" w:eastAsia="黑体" w:cs="黑体"/>
          <w:b/>
          <w:color w:val="auto"/>
          <w:sz w:val="32"/>
          <w:szCs w:val="32"/>
          <w:highlight w:val="none"/>
        </w:rPr>
      </w:pPr>
    </w:p>
    <w:p>
      <w:pPr>
        <w:widowControl/>
        <w:jc w:val="left"/>
        <w:rPr>
          <w:rFonts w:ascii="黑体" w:hAnsi="黑体" w:eastAsia="黑体" w:cs="黑体"/>
          <w:b/>
          <w:color w:val="auto"/>
          <w:sz w:val="32"/>
          <w:szCs w:val="32"/>
          <w:highlight w:val="none"/>
        </w:rPr>
      </w:pPr>
      <w:r>
        <w:rPr>
          <w:rFonts w:ascii="黑体" w:hAnsi="黑体" w:eastAsia="黑体" w:cs="黑体"/>
          <w:b/>
          <w:color w:val="auto"/>
          <w:sz w:val="32"/>
          <w:szCs w:val="32"/>
          <w:highlight w:val="none"/>
        </w:rPr>
        <w:br w:type="page"/>
      </w:r>
      <w:r>
        <w:rPr>
          <w:rFonts w:hint="eastAsia" w:ascii="仿宋" w:hAnsi="仿宋" w:eastAsia="仿宋"/>
          <w:b/>
          <w:color w:val="auto"/>
          <w:sz w:val="36"/>
          <w:szCs w:val="36"/>
          <w:highlight w:val="none"/>
        </w:rPr>
        <w:t>二、商务技术文件</w:t>
      </w:r>
    </w:p>
    <w:p>
      <w:pPr>
        <w:widowControl/>
        <w:jc w:val="center"/>
        <w:rPr>
          <w:rFonts w:ascii="仿宋" w:hAnsi="仿宋" w:eastAsia="仿宋" w:cs="黑体"/>
          <w:b/>
          <w:color w:val="auto"/>
          <w:sz w:val="32"/>
          <w:szCs w:val="32"/>
          <w:highlight w:val="none"/>
        </w:rPr>
      </w:pPr>
      <w:bookmarkStart w:id="142" w:name="_Hlk92702324"/>
      <w:r>
        <w:rPr>
          <w:rFonts w:hint="eastAsia" w:ascii="仿宋" w:hAnsi="仿宋" w:eastAsia="仿宋" w:cs="黑体"/>
          <w:b/>
          <w:color w:val="auto"/>
          <w:sz w:val="32"/>
          <w:szCs w:val="32"/>
          <w:highlight w:val="none"/>
        </w:rPr>
        <w:t>谈 判 函</w:t>
      </w:r>
      <w:bookmarkEnd w:id="142"/>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pPr>
        <w:spacing w:line="360" w:lineRule="exact"/>
        <w:jc w:val="center"/>
        <w:rPr>
          <w:rFonts w:ascii="宋体" w:hAnsi="宋体"/>
          <w:b/>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致：钦州市政府采购中心：</w:t>
      </w:r>
    </w:p>
    <w:p>
      <w:pPr>
        <w:pStyle w:val="22"/>
        <w:spacing w:line="480" w:lineRule="exact"/>
        <w:ind w:firstLine="420"/>
        <w:rPr>
          <w:rFonts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项目竞争性谈判采购文件，我方</w:t>
      </w:r>
      <w:r>
        <w:rPr>
          <w:rFonts w:hint="eastAsia" w:hAnsi="宋体"/>
          <w:color w:val="auto"/>
          <w:highlight w:val="none"/>
          <w:u w:val="single"/>
        </w:rPr>
        <w:t xml:space="preserve"> （供应商名称） </w:t>
      </w:r>
      <w:r>
        <w:rPr>
          <w:rFonts w:hint="eastAsia" w:hAnsi="宋体"/>
          <w:color w:val="auto"/>
          <w:highlight w:val="none"/>
        </w:rPr>
        <w:t>经正式授权代表</w:t>
      </w:r>
      <w:r>
        <w:rPr>
          <w:rFonts w:hint="eastAsia" w:hAnsi="宋体"/>
          <w:color w:val="auto"/>
          <w:highlight w:val="none"/>
          <w:u w:val="single"/>
        </w:rPr>
        <w:t xml:space="preserve">   （被授权人）</w:t>
      </w:r>
      <w:r>
        <w:rPr>
          <w:rFonts w:hint="eastAsia" w:hAnsi="宋体"/>
          <w:color w:val="auto"/>
          <w:highlight w:val="none"/>
        </w:rPr>
        <w:t>提交响应文件。</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据此函，我公司承诺：</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我方在谈判之前已经与贵方进行了充分的沟通，完全理解并接受采购文件的各项规定和要求，对采购文件的合理性、合法性不再有异议。</w:t>
      </w:r>
    </w:p>
    <w:p>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4</w:t>
      </w:r>
      <w:r>
        <w:rPr>
          <w:rFonts w:hint="eastAsia" w:ascii="宋体" w:hAnsi="宋体"/>
          <w:color w:val="auto"/>
          <w:szCs w:val="21"/>
          <w:highlight w:val="none"/>
        </w:rPr>
        <w:t>.我方根据采购文件的规定，承担完成合同的责任和义务。</w:t>
      </w:r>
    </w:p>
    <w:p>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.同意向贵方提供贵方可能要求的与本项目采购有关的人员、数据和资料。</w:t>
      </w:r>
    </w:p>
    <w:p>
      <w:pPr>
        <w:spacing w:line="400" w:lineRule="exact"/>
        <w:ind w:firstLine="424" w:firstLineChars="202"/>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我方向贵方提交的所有响应文件、资料都是准确的和真实的。</w:t>
      </w:r>
    </w:p>
    <w:p>
      <w:pPr>
        <w:spacing w:line="400" w:lineRule="exact"/>
        <w:rPr>
          <w:rFonts w:ascii="宋体" w:hAnsi="宋体"/>
          <w:color w:val="auto"/>
          <w:szCs w:val="21"/>
          <w:highlight w:val="none"/>
        </w:rPr>
      </w:pPr>
    </w:p>
    <w:p>
      <w:pPr>
        <w:spacing w:line="400" w:lineRule="exact"/>
        <w:ind w:firstLine="426"/>
        <w:rPr>
          <w:rFonts w:ascii="宋体" w:hAnsi="宋体"/>
          <w:color w:val="auto"/>
          <w:szCs w:val="21"/>
          <w:highlight w:val="none"/>
        </w:rPr>
      </w:pPr>
      <w:r>
        <w:rPr>
          <w:rFonts w:hint="eastAsia" w:ascii="宋体" w:hAnsi="宋体"/>
          <w:color w:val="auto"/>
          <w:szCs w:val="21"/>
          <w:highlight w:val="none"/>
        </w:rPr>
        <w:t>与我公司有关的正式通讯方式：</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widowControl/>
        <w:jc w:val="left"/>
        <w:rPr>
          <w:color w:val="auto"/>
          <w:highlight w:val="none"/>
        </w:rPr>
      </w:pPr>
      <w:r>
        <w:rPr>
          <w:color w:val="auto"/>
          <w:highlight w:val="none"/>
        </w:rPr>
        <w:br w:type="page"/>
      </w:r>
    </w:p>
    <w:p>
      <w:pPr>
        <w:rPr>
          <w:color w:val="auto"/>
          <w:highlight w:val="none"/>
        </w:rPr>
      </w:pPr>
    </w:p>
    <w:p>
      <w:pPr>
        <w:jc w:val="center"/>
        <w:rPr>
          <w:rFonts w:ascii="仿宋" w:hAnsi="仿宋" w:eastAsia="仿宋"/>
          <w:color w:val="auto"/>
          <w:sz w:val="32"/>
          <w:szCs w:val="32"/>
          <w:highlight w:val="none"/>
        </w:rPr>
      </w:pPr>
      <w:r>
        <w:rPr>
          <w:rFonts w:hint="eastAsia" w:ascii="仿宋" w:hAnsi="仿宋" w:eastAsia="仿宋"/>
          <w:b/>
          <w:color w:val="auto"/>
          <w:sz w:val="32"/>
          <w:szCs w:val="32"/>
          <w:highlight w:val="none"/>
        </w:rPr>
        <w:t>授权委托书</w:t>
      </w:r>
      <w:bookmarkStart w:id="143" w:name="_Hlk92703623"/>
      <w:r>
        <w:rPr>
          <w:rFonts w:hint="eastAsia" w:ascii="仿宋" w:hAnsi="仿宋" w:eastAsia="仿宋"/>
          <w:color w:val="auto"/>
          <w:sz w:val="24"/>
          <w:highlight w:val="none"/>
        </w:rPr>
        <w:t>(格式</w:t>
      </w:r>
      <w:r>
        <w:rPr>
          <w:rFonts w:ascii="仿宋" w:hAnsi="仿宋" w:eastAsia="仿宋"/>
          <w:color w:val="auto"/>
          <w:sz w:val="24"/>
          <w:highlight w:val="none"/>
        </w:rPr>
        <w:t>)</w:t>
      </w:r>
      <w:bookmarkEnd w:id="143"/>
    </w:p>
    <w:p>
      <w:pPr>
        <w:snapToGrid w:val="0"/>
        <w:spacing w:before="156" w:beforeLines="50" w:after="50" w:line="500" w:lineRule="exact"/>
        <w:rPr>
          <w:rFonts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line="500" w:lineRule="exact"/>
        <w:ind w:firstLine="420" w:firstLineChars="2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的谈判活动，并代表我方全权办理针对上述项目的谈判、签约等具体事务和签署相关文件。</w:t>
      </w:r>
    </w:p>
    <w:p>
      <w:pPr>
        <w:snapToGrid w:val="0"/>
        <w:spacing w:before="156" w:beforeLines="50" w:after="50"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line="5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500" w:lineRule="exact"/>
        <w:ind w:firstLine="420" w:firstLineChars="20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ind w:firstLine="420" w:firstLineChars="200"/>
        <w:rPr>
          <w:rFonts w:ascii="宋体" w:hAnsi="宋体"/>
          <w:color w:val="auto"/>
          <w:szCs w:val="21"/>
          <w:highlight w:val="none"/>
          <w:u w:val="single"/>
        </w:rPr>
      </w:pPr>
    </w:p>
    <w:p>
      <w:pPr>
        <w:snapToGrid w:val="0"/>
        <w:spacing w:before="156" w:beforeLines="50" w:after="50" w:line="300" w:lineRule="exact"/>
        <w:ind w:firstLine="420" w:firstLineChars="200"/>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firstLineChars="200"/>
        <w:rPr>
          <w:rFonts w:hAnsi="宋体"/>
          <w:color w:val="auto"/>
          <w:highlight w:val="none"/>
        </w:rPr>
      </w:pPr>
      <w:r>
        <w:rPr>
          <w:rFonts w:hint="eastAsia" w:hAnsi="宋体"/>
          <w:color w:val="auto"/>
          <w:highlight w:val="none"/>
        </w:rPr>
        <w:t>附：委托代理人身份证(正反面</w:t>
      </w:r>
      <w:r>
        <w:rPr>
          <w:rFonts w:hAnsi="宋体"/>
          <w:color w:val="auto"/>
          <w:highlight w:val="none"/>
        </w:rPr>
        <w:t>)</w:t>
      </w:r>
    </w:p>
    <w:p>
      <w:pPr>
        <w:rPr>
          <w:color w:val="auto"/>
          <w:highlight w:val="none"/>
        </w:rPr>
      </w:pPr>
    </w:p>
    <w:p>
      <w:pPr>
        <w:rPr>
          <w:color w:val="auto"/>
          <w:highlight w:val="none"/>
        </w:rPr>
      </w:pPr>
    </w:p>
    <w:p>
      <w:pPr>
        <w:snapToGrid w:val="0"/>
        <w:spacing w:before="156" w:beforeLines="50" w:after="50" w:line="200" w:lineRule="exact"/>
        <w:ind w:firstLine="4620" w:firstLineChars="2200"/>
        <w:rPr>
          <w:rFonts w:ascii="宋体" w:hAnsi="宋体"/>
          <w:color w:val="auto"/>
          <w:szCs w:val="21"/>
          <w:highlight w:val="none"/>
          <w:u w:val="single"/>
        </w:rPr>
      </w:pPr>
      <w:r>
        <w:rPr>
          <w:rFonts w:hint="eastAsia" w:ascii="宋体" w:hAnsi="宋体"/>
          <w:color w:val="auto"/>
          <w:szCs w:val="21"/>
          <w:highlight w:val="none"/>
        </w:rPr>
        <w:t xml:space="preserve">       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jc w:val="left"/>
        <w:rPr>
          <w:rFonts w:ascii="宋体" w:hAnsi="Courier New" w:cs="Courier New"/>
          <w:b/>
          <w:bCs/>
          <w:color w:val="auto"/>
          <w:szCs w:val="21"/>
          <w:highlight w:val="none"/>
        </w:rPr>
      </w:pPr>
      <w:r>
        <w:rPr>
          <w:b/>
          <w:bCs/>
          <w:color w:val="auto"/>
          <w:highlight w:val="none"/>
        </w:rPr>
        <w:br w:type="page"/>
      </w:r>
    </w:p>
    <w:p>
      <w:pPr>
        <w:rPr>
          <w:color w:val="auto"/>
          <w:highlight w:val="none"/>
        </w:rPr>
      </w:pPr>
    </w:p>
    <w:p>
      <w:pPr>
        <w:snapToGrid w:val="0"/>
        <w:spacing w:before="156" w:beforeLines="50" w:after="50" w:line="36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商务响应表</w:t>
      </w:r>
      <w:r>
        <w:rPr>
          <w:rFonts w:hint="eastAsia" w:ascii="仿宋" w:hAnsi="仿宋" w:eastAsia="仿宋"/>
          <w:color w:val="auto"/>
          <w:sz w:val="24"/>
          <w:highlight w:val="none"/>
        </w:rPr>
        <w:t>(格式</w:t>
      </w:r>
      <w:r>
        <w:rPr>
          <w:rFonts w:ascii="仿宋" w:hAnsi="仿宋" w:eastAsia="仿宋"/>
          <w:color w:val="auto"/>
          <w:sz w:val="24"/>
          <w:highlight w:val="none"/>
        </w:rPr>
        <w:t>)</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bl>
    <w:p>
      <w:pPr>
        <w:tabs>
          <w:tab w:val="left" w:pos="3870"/>
          <w:tab w:val="left" w:pos="4085"/>
        </w:tabs>
        <w:snapToGrid w:val="0"/>
        <w:spacing w:line="400" w:lineRule="exact"/>
        <w:rPr>
          <w:rFonts w:ascii="宋体" w:hAnsi="宋体"/>
          <w:b/>
          <w:color w:val="auto"/>
          <w:szCs w:val="21"/>
          <w:highlight w:val="none"/>
        </w:rPr>
      </w:pPr>
    </w:p>
    <w:p>
      <w:pPr>
        <w:tabs>
          <w:tab w:val="left" w:pos="3870"/>
          <w:tab w:val="left" w:pos="4085"/>
        </w:tabs>
        <w:snapToGrid w:val="0"/>
        <w:spacing w:line="400" w:lineRule="exact"/>
        <w:rPr>
          <w:rFonts w:ascii="宋体" w:hAnsi="宋体"/>
          <w:b/>
          <w:color w:val="auto"/>
          <w:szCs w:val="21"/>
          <w:highlight w:val="none"/>
        </w:rPr>
      </w:pPr>
    </w:p>
    <w:p>
      <w:pPr>
        <w:snapToGrid w:val="0"/>
        <w:spacing w:before="50" w:after="50" w:line="350" w:lineRule="exact"/>
        <w:ind w:right="-817" w:rightChars="-389"/>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p>
    <w:p>
      <w:pPr>
        <w:snapToGrid w:val="0"/>
        <w:spacing w:before="50" w:after="50" w:line="350" w:lineRule="exact"/>
        <w:ind w:right="-817" w:rightChars="-389"/>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50" w:after="50" w:line="350" w:lineRule="exact"/>
        <w:ind w:right="-817" w:rightChars="-389"/>
        <w:rPr>
          <w:rFonts w:ascii="宋体" w:hAnsi="宋体"/>
          <w:color w:val="auto"/>
          <w:szCs w:val="21"/>
          <w:highlight w:val="none"/>
        </w:rPr>
      </w:pPr>
    </w:p>
    <w:p>
      <w:pPr>
        <w:snapToGrid w:val="0"/>
        <w:spacing w:before="50" w:after="50" w:line="350" w:lineRule="exact"/>
        <w:ind w:right="-817" w:rightChars="-389"/>
        <w:rPr>
          <w:rFonts w:ascii="宋体" w:hAnsi="宋体"/>
          <w:color w:val="auto"/>
          <w:szCs w:val="21"/>
          <w:highlight w:val="none"/>
        </w:rPr>
      </w:pPr>
    </w:p>
    <w:p>
      <w:pPr>
        <w:pStyle w:val="22"/>
        <w:spacing w:line="440" w:lineRule="exact"/>
        <w:ind w:firstLine="840"/>
        <w:jc w:val="center"/>
        <w:rPr>
          <w:rFonts w:ascii="仿宋" w:hAnsi="仿宋" w:eastAsia="仿宋"/>
          <w:color w:val="auto"/>
          <w:highlight w:val="none"/>
        </w:rPr>
      </w:pPr>
      <w:r>
        <w:rPr>
          <w:rFonts w:hint="eastAsia" w:ascii="仿宋" w:hAnsi="仿宋" w:eastAsia="仿宋" w:cs="黑体"/>
          <w:b/>
          <w:color w:val="auto"/>
          <w:sz w:val="32"/>
          <w:szCs w:val="32"/>
          <w:highlight w:val="none"/>
        </w:rPr>
        <w:t>技术响应表</w:t>
      </w:r>
      <w:r>
        <w:rPr>
          <w:rFonts w:hint="eastAsia" w:ascii="仿宋" w:hAnsi="仿宋" w:eastAsia="仿宋"/>
          <w:color w:val="auto"/>
          <w:sz w:val="24"/>
          <w:szCs w:val="24"/>
          <w:highlight w:val="none"/>
        </w:rPr>
        <w:t>(格式</w:t>
      </w:r>
      <w:r>
        <w:rPr>
          <w:rFonts w:ascii="仿宋" w:hAnsi="仿宋" w:eastAsia="仿宋"/>
          <w:color w:val="auto"/>
          <w:sz w:val="24"/>
          <w:szCs w:val="24"/>
          <w:highlight w:val="none"/>
        </w:rPr>
        <w:t>)</w:t>
      </w:r>
    </w:p>
    <w:p>
      <w:pPr>
        <w:rPr>
          <w:color w:val="auto"/>
          <w:highlight w:val="none"/>
        </w:rPr>
      </w:pPr>
    </w:p>
    <w:p>
      <w:pPr>
        <w:rPr>
          <w:color w:val="auto"/>
          <w:highlight w:val="none"/>
        </w:rPr>
      </w:pPr>
      <w:r>
        <w:rPr>
          <w:rFonts w:hint="eastAsia"/>
          <w:color w:val="auto"/>
          <w:highlight w:val="none"/>
        </w:rPr>
        <w:t>采购项目编号：</w:t>
      </w:r>
      <w:r>
        <w:rPr>
          <w:rFonts w:hint="eastAsia"/>
          <w:color w:val="auto"/>
          <w:highlight w:val="none"/>
          <w:u w:val="single"/>
        </w:rPr>
        <w:t xml:space="preserve">                 </w:t>
      </w:r>
    </w:p>
    <w:p>
      <w:pPr>
        <w:rPr>
          <w:color w:val="auto"/>
          <w:highlight w:val="none"/>
        </w:rPr>
      </w:pPr>
      <w:r>
        <w:rPr>
          <w:rFonts w:hint="eastAsia"/>
          <w:color w:val="auto"/>
          <w:highlight w:val="none"/>
        </w:rPr>
        <w:t>采购项目名称：</w:t>
      </w:r>
      <w:r>
        <w:rPr>
          <w:rFonts w:hint="eastAsia"/>
          <w:color w:val="auto"/>
          <w:highlight w:val="none"/>
          <w:u w:val="single"/>
        </w:rPr>
        <w:t xml:space="preserve">                 </w:t>
      </w:r>
    </w:p>
    <w:tbl>
      <w:tblPr>
        <w:tblStyle w:val="34"/>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rPr>
                <w:color w:val="auto"/>
                <w:highlight w:val="none"/>
              </w:rPr>
            </w:pPr>
            <w:r>
              <w:rPr>
                <w:rFonts w:hint="eastAsia"/>
                <w:color w:val="auto"/>
                <w:highlight w:val="none"/>
              </w:rPr>
              <w:t>序号</w:t>
            </w:r>
          </w:p>
        </w:tc>
        <w:tc>
          <w:tcPr>
            <w:tcW w:w="1480" w:type="dxa"/>
            <w:vAlign w:val="center"/>
          </w:tcPr>
          <w:p>
            <w:pPr>
              <w:jc w:val="center"/>
              <w:rPr>
                <w:color w:val="auto"/>
                <w:highlight w:val="none"/>
              </w:rPr>
            </w:pPr>
            <w:r>
              <w:rPr>
                <w:rFonts w:hint="eastAsia"/>
                <w:color w:val="auto"/>
                <w:highlight w:val="none"/>
              </w:rPr>
              <w:t>标的名称</w:t>
            </w:r>
          </w:p>
        </w:tc>
        <w:tc>
          <w:tcPr>
            <w:tcW w:w="2835" w:type="dxa"/>
            <w:vAlign w:val="center"/>
          </w:tcPr>
          <w:p>
            <w:pPr>
              <w:jc w:val="center"/>
              <w:rPr>
                <w:color w:val="auto"/>
                <w:highlight w:val="none"/>
              </w:rPr>
            </w:pPr>
            <w:r>
              <w:rPr>
                <w:rFonts w:hint="eastAsia"/>
                <w:color w:val="auto"/>
                <w:highlight w:val="none"/>
              </w:rPr>
              <w:t>竞争性谈判采购文件要求</w:t>
            </w:r>
          </w:p>
        </w:tc>
        <w:tc>
          <w:tcPr>
            <w:tcW w:w="2268" w:type="dxa"/>
            <w:vAlign w:val="center"/>
          </w:tcPr>
          <w:p>
            <w:pPr>
              <w:jc w:val="center"/>
              <w:rPr>
                <w:color w:val="auto"/>
                <w:highlight w:val="none"/>
              </w:rPr>
            </w:pPr>
            <w:r>
              <w:rPr>
                <w:rFonts w:hint="eastAsia"/>
                <w:color w:val="auto"/>
                <w:highlight w:val="none"/>
              </w:rPr>
              <w:t>响应文件具体响应</w:t>
            </w:r>
          </w:p>
        </w:tc>
        <w:tc>
          <w:tcPr>
            <w:tcW w:w="1418" w:type="dxa"/>
            <w:vAlign w:val="center"/>
          </w:tcPr>
          <w:p>
            <w:pPr>
              <w:jc w:val="center"/>
              <w:rPr>
                <w:color w:val="auto"/>
                <w:highlight w:val="none"/>
              </w:rPr>
            </w:pPr>
            <w:r>
              <w:rPr>
                <w:rFonts w:hint="eastAsia"/>
                <w:color w:val="auto"/>
                <w:highlight w:val="none"/>
              </w:rPr>
              <w:t>响应/偏离</w:t>
            </w:r>
          </w:p>
        </w:tc>
        <w:tc>
          <w:tcPr>
            <w:tcW w:w="709" w:type="dxa"/>
            <w:vAlign w:val="center"/>
          </w:tcPr>
          <w:p>
            <w:pPr>
              <w:jc w:val="center"/>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1</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2</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3</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4</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5</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tcBorders>
              <w:right w:val="single" w:color="auto" w:sz="4" w:space="0"/>
            </w:tcBorders>
            <w:vAlign w:val="center"/>
          </w:tcPr>
          <w:p>
            <w:pPr>
              <w:rPr>
                <w:color w:val="auto"/>
                <w:highlight w:val="none"/>
              </w:rPr>
            </w:pPr>
          </w:p>
        </w:tc>
        <w:tc>
          <w:tcPr>
            <w:tcW w:w="709" w:type="dxa"/>
            <w:tcBorders>
              <w:left w:val="single" w:color="auto" w:sz="4" w:space="0"/>
            </w:tcBorders>
            <w:vAlign w:val="center"/>
          </w:tcPr>
          <w:p>
            <w:pPr>
              <w:rPr>
                <w:color w:val="auto"/>
                <w:highlight w:val="none"/>
              </w:rPr>
            </w:pPr>
          </w:p>
        </w:tc>
      </w:tr>
    </w:tbl>
    <w:p>
      <w:pPr>
        <w:pStyle w:val="19"/>
        <w:spacing w:line="300" w:lineRule="auto"/>
        <w:ind w:firstLine="105" w:firstLineChars="50"/>
        <w:rPr>
          <w:rFonts w:ascii="宋体" w:hAnsi="宋体" w:eastAsia="宋体"/>
          <w:color w:val="auto"/>
          <w:sz w:val="21"/>
          <w:szCs w:val="21"/>
          <w:highlight w:val="none"/>
        </w:rPr>
      </w:pPr>
      <w:r>
        <w:rPr>
          <w:rFonts w:hint="eastAsia" w:ascii="宋体" w:hAnsi="宋体" w:eastAsia="宋体"/>
          <w:color w:val="auto"/>
          <w:sz w:val="21"/>
          <w:szCs w:val="21"/>
          <w:highlight w:val="none"/>
        </w:rPr>
        <w:t>注：供应商须对照竞争性谈判采购文件第二章《项目需求》，逐条说明所提供货物和服务对项目需求中货物的</w:t>
      </w:r>
      <w:bookmarkStart w:id="144" w:name="_Hlk92703260"/>
      <w:r>
        <w:rPr>
          <w:rFonts w:hint="eastAsia" w:ascii="宋体" w:hAnsi="宋体" w:eastAsia="宋体"/>
          <w:color w:val="auto"/>
          <w:sz w:val="21"/>
          <w:szCs w:val="21"/>
          <w:highlight w:val="none"/>
        </w:rPr>
        <w:t>技术参数及其性能（规格）</w:t>
      </w:r>
      <w:bookmarkEnd w:id="144"/>
      <w:r>
        <w:rPr>
          <w:rFonts w:hint="eastAsia" w:ascii="宋体" w:hAnsi="宋体" w:eastAsia="宋体"/>
          <w:color w:val="auto"/>
          <w:sz w:val="21"/>
          <w:szCs w:val="21"/>
          <w:highlight w:val="none"/>
        </w:rPr>
        <w:t>及服务要求作出的响应，并申明偏离情况。对有具体参数要求的指标，供应商须提供所供设备的具体技术参数及其性能（规格）。</w:t>
      </w:r>
    </w:p>
    <w:p>
      <w:pPr>
        <w:pStyle w:val="19"/>
        <w:spacing w:line="300" w:lineRule="auto"/>
        <w:ind w:firstLine="0" w:firstLineChars="0"/>
        <w:rPr>
          <w:rFonts w:ascii="宋体" w:hAnsi="宋体" w:eastAsia="宋体"/>
          <w:color w:val="auto"/>
          <w:sz w:val="21"/>
          <w:szCs w:val="21"/>
          <w:highlight w:val="none"/>
        </w:rPr>
      </w:pPr>
    </w:p>
    <w:p>
      <w:pPr>
        <w:pStyle w:val="22"/>
        <w:spacing w:line="300" w:lineRule="auto"/>
        <w:rPr>
          <w:rFonts w:hAnsi="宋体"/>
          <w:color w:val="auto"/>
          <w:highlight w:val="none"/>
        </w:rPr>
      </w:pPr>
    </w:p>
    <w:p>
      <w:pPr>
        <w:pStyle w:val="22"/>
        <w:spacing w:line="300" w:lineRule="auto"/>
        <w:ind w:firstLine="5880" w:firstLineChars="2800"/>
        <w:rPr>
          <w:rFonts w:hAnsi="宋体"/>
          <w:color w:val="auto"/>
          <w:highlight w:val="non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pStyle w:val="22"/>
        <w:spacing w:line="300" w:lineRule="auto"/>
        <w:ind w:firstLine="5880" w:firstLineChars="2800"/>
        <w:rPr>
          <w:rFonts w:hAnsi="宋体"/>
          <w:color w:val="auto"/>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bookmarkEnd w:id="51"/>
    <w:bookmarkEnd w:id="52"/>
    <w:bookmarkEnd w:id="53"/>
    <w:bookmarkEnd w:id="54"/>
    <w:p>
      <w:pPr>
        <w:rPr>
          <w:color w:val="auto"/>
          <w:highlight w:val="none"/>
        </w:rPr>
      </w:pPr>
    </w:p>
    <w:p>
      <w:pPr>
        <w:spacing w:line="440" w:lineRule="exact"/>
        <w:ind w:left="420" w:hanging="420"/>
        <w:jc w:val="center"/>
        <w:rPr>
          <w:rFonts w:ascii="仿宋" w:hAnsi="仿宋" w:eastAsia="仿宋"/>
          <w:b/>
          <w:color w:val="auto"/>
          <w:sz w:val="32"/>
          <w:szCs w:val="32"/>
          <w:highlight w:val="none"/>
        </w:rPr>
      </w:pPr>
      <w:bookmarkStart w:id="145" w:name="_Hlk94194102"/>
      <w:r>
        <w:rPr>
          <w:rFonts w:hint="eastAsia" w:ascii="仿宋" w:hAnsi="仿宋" w:eastAsia="仿宋"/>
          <w:b/>
          <w:color w:val="auto"/>
          <w:sz w:val="32"/>
          <w:szCs w:val="32"/>
          <w:highlight w:val="none"/>
        </w:rPr>
        <w:t>中小企业声明函</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本公司郑重声明，根据</w:t>
      </w:r>
      <w:bookmarkStart w:id="146" w:name="_Hlk82091685"/>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HYPERLINK "http://www.gov.cn/zhengce/zhengceku/2020-12/29/content_5574611.htm"</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Style w:val="41"/>
          <w:rFonts w:hint="eastAsia" w:ascii="宋体" w:hAnsi="宋体"/>
          <w:bCs/>
          <w:color w:val="auto"/>
          <w:szCs w:val="21"/>
          <w:highlight w:val="none"/>
          <w:u w:val="none"/>
        </w:rPr>
        <w:t>《政府采购促进中小企业发展管理办法》</w:t>
      </w:r>
      <w:bookmarkStart w:id="147" w:name="_Hlk60836554"/>
      <w:r>
        <w:rPr>
          <w:rStyle w:val="41"/>
          <w:rFonts w:hint="eastAsia" w:ascii="宋体" w:hAnsi="宋体"/>
          <w:bCs/>
          <w:color w:val="auto"/>
          <w:szCs w:val="21"/>
          <w:highlight w:val="none"/>
          <w:u w:val="none"/>
        </w:rPr>
        <w:t>（财库﹝2020﹞46号）</w:t>
      </w:r>
      <w:bookmarkEnd w:id="146"/>
      <w:bookmarkEnd w:id="147"/>
      <w:r>
        <w:rPr>
          <w:rFonts w:ascii="宋体" w:hAnsi="宋体"/>
          <w:bCs/>
          <w:color w:val="auto"/>
          <w:szCs w:val="21"/>
          <w:highlight w:val="none"/>
        </w:rPr>
        <w:fldChar w:fldCharType="end"/>
      </w:r>
      <w:r>
        <w:rPr>
          <w:rFonts w:hint="eastAsia" w:ascii="宋体" w:hAnsi="宋体"/>
          <w:bCs/>
          <w:color w:val="auto"/>
          <w:szCs w:val="21"/>
          <w:highlight w:val="none"/>
        </w:rPr>
        <w:t>的规定，本公司参加</w:t>
      </w:r>
      <w:bookmarkStart w:id="148" w:name="_Hlk82091228"/>
      <w:r>
        <w:rPr>
          <w:rFonts w:hint="eastAsia" w:ascii="宋体" w:hAnsi="宋体"/>
          <w:bCs/>
          <w:color w:val="auto"/>
          <w:szCs w:val="21"/>
          <w:highlight w:val="none"/>
        </w:rPr>
        <w:t>（</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w:t>
      </w:r>
      <w:bookmarkEnd w:id="148"/>
      <w:r>
        <w:rPr>
          <w:rFonts w:hint="eastAsia" w:ascii="宋体" w:hAnsi="宋体"/>
          <w:bCs/>
          <w:color w:val="auto"/>
          <w:szCs w:val="21"/>
          <w:highlight w:val="none"/>
        </w:rPr>
        <w:t>采购活动，提供的货物全部由符合政策要求的中小企业制造。相关企业的具体情况如下：</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1.</w:t>
      </w:r>
      <w:bookmarkStart w:id="149"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ascii="宋体" w:hAnsi="宋体"/>
          <w:bCs/>
          <w:color w:val="auto"/>
          <w:szCs w:val="21"/>
          <w:highlight w:val="none"/>
        </w:rPr>
        <w:t>）</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ascii="宋体" w:hAnsi="宋体"/>
          <w:bCs/>
          <w:color w:val="auto"/>
          <w:szCs w:val="21"/>
          <w:highlight w:val="none"/>
        </w:rPr>
        <w:t>）</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ascii="宋体" w:hAnsi="宋体"/>
          <w:bCs/>
          <w:color w:val="auto"/>
          <w:szCs w:val="21"/>
          <w:highlight w:val="none"/>
        </w:rPr>
        <w:t>）</w:t>
      </w:r>
      <w:r>
        <w:rPr>
          <w:rFonts w:hint="eastAsia" w:ascii="宋体" w:hAnsi="宋体"/>
          <w:bCs/>
          <w:color w:val="auto"/>
          <w:szCs w:val="21"/>
          <w:highlight w:val="none"/>
        </w:rPr>
        <w:t>，从业人员</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149"/>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企业名称（盖章）：</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日 期：</w:t>
      </w:r>
      <w:r>
        <w:rPr>
          <w:rFonts w:hint="eastAsia" w:hAnsi="宋体"/>
          <w:color w:val="auto"/>
          <w:szCs w:val="21"/>
          <w:highlight w:val="none"/>
          <w:u w:val="single"/>
        </w:rPr>
        <w:t xml:space="preserve"> </w:t>
      </w:r>
      <w:r>
        <w:rPr>
          <w:rFonts w:hAnsi="宋体"/>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20" w:lineRule="exact"/>
        <w:jc w:val="left"/>
        <w:rPr>
          <w:rFonts w:hAnsi="宋体"/>
          <w:bCs/>
          <w:color w:val="auto"/>
          <w:sz w:val="18"/>
          <w:szCs w:val="18"/>
          <w:highlight w:val="none"/>
        </w:rPr>
      </w:pPr>
      <w:bookmarkStart w:id="150" w:name="_Hlk82091879"/>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),从)</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),人)</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),员)</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),收)</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),资)</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),产)</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),总)</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),额)</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),填)</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),报)</w:instrText>
      </w:r>
      <w:r>
        <w:rPr>
          <w:rFonts w:hAnsi="宋体"/>
          <w:bCs/>
          <w:color w:val="auto"/>
          <w:sz w:val="18"/>
          <w:szCs w:val="18"/>
          <w:highlight w:val="none"/>
        </w:rPr>
        <w:fldChar w:fldCharType="end"/>
      </w:r>
      <w:bookmarkEnd w:id="150"/>
      <w:r>
        <w:rPr>
          <w:rFonts w:hint="eastAsia" w:hAnsi="宋体"/>
          <w:bCs/>
          <w:color w:val="auto"/>
          <w:sz w:val="18"/>
          <w:szCs w:val="18"/>
          <w:highlight w:val="none"/>
        </w:rPr>
        <w:t>上一年度数据，无上一年度数据的新成立企业可不填报。</w:t>
      </w:r>
    </w:p>
    <w:tbl>
      <w:tblPr>
        <w:tblStyle w:val="34"/>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cs="Helvetica"/>
                <w:b/>
                <w:bCs/>
                <w:color w:val="auto"/>
                <w:kern w:val="0"/>
                <w:szCs w:val="21"/>
                <w:highlight w:val="none"/>
              </w:rPr>
            </w:pPr>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ind w:firstLine="480"/>
        <w:jc w:val="left"/>
        <w:rPr>
          <w:rFonts w:ascii="Helvetica" w:hAnsi="Helvetica" w:cs="Helvetica"/>
          <w:color w:val="auto"/>
          <w:kern w:val="0"/>
          <w:szCs w:val="21"/>
          <w:highlight w:val="none"/>
        </w:rPr>
      </w:pPr>
    </w:p>
    <w:p>
      <w:pPr>
        <w:widowControl/>
        <w:jc w:val="left"/>
        <w:rPr>
          <w:rFonts w:ascii="Helvetica" w:hAnsi="Helvetica" w:cs="Helvetica"/>
          <w:color w:val="auto"/>
          <w:kern w:val="0"/>
          <w:szCs w:val="21"/>
          <w:highlight w:val="none"/>
        </w:rPr>
      </w:pPr>
      <w:r>
        <w:rPr>
          <w:rFonts w:ascii="Helvetica" w:hAnsi="Helvetica" w:cs="Helvetica"/>
          <w:color w:val="auto"/>
          <w:kern w:val="0"/>
          <w:szCs w:val="21"/>
          <w:highlight w:val="none"/>
        </w:rPr>
        <w:br w:type="page"/>
      </w:r>
    </w:p>
    <w:p>
      <w:pPr>
        <w:widowControl/>
        <w:shd w:val="clear" w:color="auto" w:fill="FFFFFF"/>
        <w:spacing w:line="360" w:lineRule="atLeast"/>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说明：</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highlight w:val="none"/>
        </w:rPr>
        <w:fldChar w:fldCharType="begin"/>
      </w:r>
      <w:r>
        <w:rPr>
          <w:color w:val="auto"/>
          <w:highlight w:val="none"/>
        </w:rPr>
        <w:instrText xml:space="preserve"> HYPERLINK "https://baike.baidu.com/item/%E5%A4%9A%E5%BC%8F%E8%81%94%E8%BF%90/3342240?fromModule=lemma_inlink"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和运输代理业、</w:t>
      </w:r>
      <w:r>
        <w:rPr>
          <w:color w:val="auto"/>
          <w:highlight w:val="none"/>
        </w:rPr>
        <w:fldChar w:fldCharType="begin"/>
      </w:r>
      <w:r>
        <w:rPr>
          <w:color w:val="auto"/>
          <w:highlight w:val="none"/>
        </w:rPr>
        <w:instrText xml:space="preserve"> HYPERLINK "https://baike.baidu.com/item/%E8%A3%85%E5%8D%B8%E6%90%AC%E8%BF%90/6511400?fromModule=lemma_inlink"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，不包括铁路运输业；</w:t>
      </w:r>
      <w:r>
        <w:rPr>
          <w:color w:val="auto"/>
          <w:highlight w:val="none"/>
        </w:rPr>
        <w:fldChar w:fldCharType="begin"/>
      </w:r>
      <w:r>
        <w:rPr>
          <w:color w:val="auto"/>
          <w:highlight w:val="none"/>
        </w:rPr>
        <w:instrText xml:space="preserve"> HYPERLINK "https://baike.baidu.com/item/%E4%BB%93%E5%82%A8%E4%B8%9A/3487863?fromModule=lemma_inlink"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color w:val="auto"/>
          <w:highlight w:val="none"/>
        </w:rPr>
        <w:fldChar w:fldCharType="begin"/>
      </w:r>
      <w:r>
        <w:rPr>
          <w:color w:val="auto"/>
          <w:highlight w:val="none"/>
        </w:rPr>
        <w:instrText xml:space="preserve"> HYPERLINK "https://baike.baidu.com/item/%E4%BF%A1%E6%81%AF%E4%BC%A0%E8%BE%93%E4%B8%9A/61331990?fromModule=lemma_inlink"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color w:val="auto"/>
          <w:highlight w:val="none"/>
        </w:rPr>
        <w:fldChar w:fldCharType="begin"/>
      </w:r>
      <w:r>
        <w:rPr>
          <w:color w:val="auto"/>
          <w:highlight w:val="none"/>
        </w:rPr>
        <w:instrText xml:space="preserve"> HYPERLINK "https://baike.baidu.com/item/%E7%BB%9F%E8%AE%A1%E5%88%B6%E5%BA%A6/917165?fromModule=lemma_inlink"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color w:val="auto"/>
          <w:highlight w:val="none"/>
        </w:rPr>
        <w:fldChar w:fldCharType="begin"/>
      </w:r>
      <w:r>
        <w:rPr>
          <w:color w:val="auto"/>
          <w:highlight w:val="none"/>
        </w:rPr>
        <w:instrText xml:space="preserve"> HYPERLINK "https://baike.baidu.com/item/%E8%90%A5%E4%B8%9A%E6%94%B6%E5%85%A5/5099832?fromModule=lemma_inlink"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highlight w:val="none"/>
        </w:rPr>
        <w:fldChar w:fldCharType="begin"/>
      </w:r>
      <w:r>
        <w:rPr>
          <w:color w:val="auto"/>
          <w:highlight w:val="none"/>
        </w:rPr>
        <w:instrText xml:space="preserve"> HYPERLINK "https://baike.baidu.com/item/%E8%B5%84%E4%BA%A7%E6%80%BB%E9%A2%9D/716517?fromModule=lemma_inlink"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，采用资产总计代替。</w:t>
      </w:r>
    </w:p>
    <w:p>
      <w:pPr>
        <w:widowControl/>
        <w:jc w:val="left"/>
        <w:rPr>
          <w:rFonts w:hAnsi="宋体"/>
          <w:bCs/>
          <w:color w:val="auto"/>
          <w:sz w:val="18"/>
          <w:szCs w:val="18"/>
          <w:highlight w:val="none"/>
        </w:rPr>
      </w:pPr>
      <w:r>
        <w:rPr>
          <w:rFonts w:hAnsi="宋体"/>
          <w:bCs/>
          <w:color w:val="auto"/>
          <w:sz w:val="18"/>
          <w:szCs w:val="18"/>
          <w:highlight w:val="none"/>
        </w:rPr>
        <w:br w:type="page"/>
      </w:r>
    </w:p>
    <w:p>
      <w:pPr>
        <w:spacing w:line="320" w:lineRule="exact"/>
        <w:jc w:val="left"/>
        <w:rPr>
          <w:rFonts w:hAnsi="宋体"/>
          <w:bCs/>
          <w:color w:val="auto"/>
          <w:sz w:val="18"/>
          <w:szCs w:val="18"/>
          <w:highlight w:val="none"/>
        </w:rPr>
      </w:pPr>
    </w:p>
    <w:p>
      <w:pPr>
        <w:pStyle w:val="22"/>
        <w:spacing w:line="440" w:lineRule="exact"/>
        <w:jc w:val="center"/>
        <w:rPr>
          <w:rFonts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残疾人福利性单位声明函</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6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本单位郑重声明，根据</w:t>
      </w:r>
      <w:bookmarkStart w:id="151" w:name="_Hlk82091361"/>
      <w:r>
        <w:rPr>
          <w:rFonts w:hint="eastAsia" w:ascii="宋体" w:hAnsi="宋体" w:cs="Courier New"/>
          <w:color w:val="auto"/>
          <w:kern w:val="0"/>
          <w:szCs w:val="21"/>
          <w:highlight w:val="none"/>
        </w:rPr>
        <w:t>《</w:t>
      </w:r>
      <w:r>
        <w:rPr>
          <w:color w:val="auto"/>
          <w:highlight w:val="none"/>
        </w:rPr>
        <w:fldChar w:fldCharType="begin"/>
      </w:r>
      <w:r>
        <w:rPr>
          <w:color w:val="auto"/>
          <w:highlight w:val="none"/>
        </w:rPr>
        <w:instrText xml:space="preserve"> HYPERLINK "http://www.mof.gov.cn/gp/xxgkml/gks/201709/t20170901_2689542.htm" </w:instrText>
      </w:r>
      <w:r>
        <w:rPr>
          <w:color w:val="auto"/>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hint="eastAsia" w:ascii="宋体" w:hAnsi="Courier New" w:cs="Courier New"/>
          <w:color w:val="auto"/>
          <w:kern w:val="0"/>
          <w:szCs w:val="21"/>
          <w:highlight w:val="none"/>
        </w:rPr>
        <w:fldChar w:fldCharType="end"/>
      </w:r>
      <w:bookmarkEnd w:id="151"/>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40" w:lineRule="exact"/>
        <w:ind w:firstLine="5250" w:firstLineChars="2500"/>
        <w:rPr>
          <w:rFonts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440" w:lineRule="exact"/>
        <w:ind w:firstLine="5250" w:firstLineChars="2500"/>
        <w:rPr>
          <w:rFonts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bookmarkEnd w:id="145"/>
    <w:p>
      <w:pPr>
        <w:widowControl/>
        <w:jc w:val="left"/>
        <w:rPr>
          <w:rFonts w:ascii="宋体" w:hAnsi="Courier New" w:cs="Courier New"/>
          <w:color w:val="auto"/>
          <w:sz w:val="18"/>
          <w:szCs w:val="18"/>
          <w:highlight w:val="none"/>
        </w:rPr>
      </w:pPr>
      <w:r>
        <w:rPr>
          <w:rFonts w:ascii="宋体" w:hAnsi="Courier New" w:cs="Courier New"/>
          <w:color w:val="auto"/>
          <w:sz w:val="18"/>
          <w:szCs w:val="18"/>
          <w:highlight w:val="none"/>
        </w:rPr>
        <w:br w:type="page"/>
      </w:r>
    </w:p>
    <w:p>
      <w:pPr>
        <w:jc w:val="left"/>
        <w:rPr>
          <w:rFonts w:ascii="宋体" w:hAnsi="宋体"/>
          <w:b/>
          <w:bCs/>
          <w:color w:val="auto"/>
          <w:sz w:val="36"/>
          <w:szCs w:val="36"/>
          <w:highlight w:val="none"/>
        </w:rPr>
      </w:pPr>
      <w:r>
        <w:rPr>
          <w:rFonts w:hint="eastAsia" w:ascii="宋体" w:hAnsi="宋体"/>
          <w:b/>
          <w:bCs/>
          <w:color w:val="auto"/>
          <w:sz w:val="36"/>
          <w:szCs w:val="36"/>
          <w:highlight w:val="none"/>
        </w:rPr>
        <w:t>三、报价文件</w:t>
      </w:r>
    </w:p>
    <w:p>
      <w:pPr>
        <w:jc w:val="center"/>
        <w:rPr>
          <w:rFonts w:ascii="仿宋" w:hAnsi="仿宋" w:eastAsia="仿宋"/>
          <w:b/>
          <w:bCs/>
          <w:color w:val="auto"/>
          <w:sz w:val="30"/>
          <w:szCs w:val="30"/>
          <w:highlight w:val="none"/>
        </w:rPr>
      </w:pPr>
      <w:r>
        <w:rPr>
          <w:rFonts w:hint="eastAsia" w:ascii="仿宋" w:hAnsi="仿宋" w:eastAsia="仿宋"/>
          <w:b/>
          <w:bCs/>
          <w:color w:val="auto"/>
          <w:sz w:val="32"/>
          <w:szCs w:val="32"/>
          <w:highlight w:val="none"/>
        </w:rPr>
        <w:t>报价明细表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单位：元</w:t>
      </w:r>
    </w:p>
    <w:tbl>
      <w:tblPr>
        <w:tblStyle w:val="34"/>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ascii="宋体" w:hAnsi="宋体" w:cs="Courier New"/>
                <w:color w:val="auto"/>
                <w:szCs w:val="21"/>
                <w:highlight w:val="none"/>
              </w:rPr>
            </w:pPr>
            <w:bookmarkStart w:id="152" w:name="_Hlk97823529"/>
            <w:r>
              <w:rPr>
                <w:rFonts w:hint="eastAsia" w:ascii="宋体" w:hAnsi="宋体" w:cs="Courier New"/>
                <w:color w:val="auto"/>
                <w:szCs w:val="21"/>
                <w:highlight w:val="none"/>
              </w:rPr>
              <w:t>序号</w:t>
            </w:r>
          </w:p>
        </w:tc>
        <w:tc>
          <w:tcPr>
            <w:tcW w:w="1145" w:type="dxa"/>
            <w:tcBorders>
              <w:bottom w:val="single" w:color="auto" w:sz="4" w:space="0"/>
            </w:tcBorders>
            <w:vAlign w:val="center"/>
          </w:tcPr>
          <w:p>
            <w:pPr>
              <w:tabs>
                <w:tab w:val="left" w:pos="180"/>
                <w:tab w:val="left" w:pos="1620"/>
              </w:tabs>
              <w:spacing w:line="30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698" w:type="dxa"/>
            <w:tcBorders>
              <w:bottom w:val="single" w:color="auto" w:sz="4" w:space="0"/>
            </w:tcBorders>
            <w:vAlign w:val="center"/>
          </w:tcPr>
          <w:p>
            <w:pPr>
              <w:tabs>
                <w:tab w:val="left" w:pos="180"/>
                <w:tab w:val="left" w:pos="1620"/>
              </w:tabs>
              <w:spacing w:line="300" w:lineRule="exact"/>
              <w:jc w:val="center"/>
              <w:rPr>
                <w:rFonts w:ascii="宋体" w:hAnsi="宋体"/>
                <w:color w:val="auto"/>
                <w:szCs w:val="21"/>
                <w:highlight w:val="none"/>
              </w:rPr>
            </w:pPr>
            <w:r>
              <w:rPr>
                <w:rFonts w:hint="eastAsia" w:ascii="宋体" w:hAnsi="宋体"/>
                <w:color w:val="auto"/>
                <w:szCs w:val="21"/>
                <w:highlight w:val="none"/>
              </w:rPr>
              <w:t>品牌</w:t>
            </w:r>
          </w:p>
        </w:tc>
        <w:tc>
          <w:tcPr>
            <w:tcW w:w="709" w:type="dxa"/>
            <w:tcBorders>
              <w:bottom w:val="single" w:color="auto" w:sz="4" w:space="0"/>
            </w:tcBorders>
            <w:vAlign w:val="center"/>
          </w:tcPr>
          <w:p>
            <w:pPr>
              <w:tabs>
                <w:tab w:val="left" w:pos="180"/>
                <w:tab w:val="left" w:pos="1620"/>
              </w:tabs>
              <w:spacing w:line="300" w:lineRule="exact"/>
              <w:jc w:val="center"/>
              <w:rPr>
                <w:rFonts w:ascii="宋体" w:hAnsi="宋体"/>
                <w:color w:val="auto"/>
                <w:szCs w:val="21"/>
                <w:highlight w:val="none"/>
              </w:rPr>
            </w:pPr>
            <w:r>
              <w:rPr>
                <w:rFonts w:hint="eastAsia" w:ascii="宋体" w:hAnsi="宋体"/>
                <w:color w:val="auto"/>
                <w:szCs w:val="21"/>
                <w:highlight w:val="none"/>
              </w:rPr>
              <w:t>型号</w:t>
            </w:r>
          </w:p>
        </w:tc>
        <w:tc>
          <w:tcPr>
            <w:tcW w:w="708" w:type="dxa"/>
            <w:tcBorders>
              <w:bottom w:val="single" w:color="auto" w:sz="4" w:space="0"/>
            </w:tcBorders>
            <w:vAlign w:val="center"/>
          </w:tcPr>
          <w:p>
            <w:pPr>
              <w:tabs>
                <w:tab w:val="left" w:pos="180"/>
                <w:tab w:val="left" w:pos="1620"/>
              </w:tabs>
              <w:spacing w:line="300" w:lineRule="exact"/>
              <w:jc w:val="center"/>
              <w:rPr>
                <w:rFonts w:ascii="宋体" w:hAnsi="宋体"/>
                <w:color w:val="auto"/>
                <w:szCs w:val="21"/>
                <w:highlight w:val="none"/>
              </w:rPr>
            </w:pPr>
            <w:r>
              <w:rPr>
                <w:rFonts w:hint="eastAsia" w:ascii="宋体" w:hAnsi="宋体"/>
                <w:color w:val="auto"/>
                <w:szCs w:val="21"/>
                <w:highlight w:val="none"/>
              </w:rPr>
              <w:t>产地</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color w:val="auto"/>
                <w:szCs w:val="21"/>
                <w:highlight w:val="none"/>
              </w:rPr>
            </w:pPr>
            <w:r>
              <w:rPr>
                <w:rFonts w:hint="eastAsia" w:ascii="宋体" w:hAnsi="宋体"/>
                <w:color w:val="auto"/>
                <w:szCs w:val="21"/>
                <w:highlight w:val="none"/>
              </w:rPr>
              <w:t>技术参数及性能（规格）</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color w:val="auto"/>
                <w:szCs w:val="21"/>
                <w:highlight w:val="none"/>
              </w:rPr>
            </w:pPr>
            <w:r>
              <w:rPr>
                <w:rFonts w:hint="eastAsia" w:ascii="宋体" w:hAnsi="宋体"/>
                <w:color w:val="auto"/>
                <w:szCs w:val="21"/>
                <w:highlight w:val="none"/>
              </w:rPr>
              <w:t>数量、单位</w:t>
            </w:r>
            <w:r>
              <w:rPr>
                <w:rFonts w:hint="eastAsia" w:hAnsi="宋体"/>
                <w:color w:val="auto"/>
                <w:highlight w:val="none"/>
              </w:rPr>
              <w:t>①</w:t>
            </w:r>
          </w:p>
        </w:tc>
        <w:tc>
          <w:tcPr>
            <w:tcW w:w="851" w:type="dxa"/>
            <w:tcBorders>
              <w:bottom w:val="single" w:color="auto" w:sz="4" w:space="0"/>
            </w:tcBorders>
            <w:vAlign w:val="center"/>
          </w:tcPr>
          <w:p>
            <w:pPr>
              <w:tabs>
                <w:tab w:val="left" w:pos="180"/>
                <w:tab w:val="left" w:pos="1620"/>
              </w:tabs>
              <w:spacing w:line="300" w:lineRule="exact"/>
              <w:jc w:val="center"/>
              <w:rPr>
                <w:rFonts w:ascii="宋体" w:hAnsi="宋体"/>
                <w:color w:val="auto"/>
                <w:szCs w:val="21"/>
                <w:highlight w:val="none"/>
              </w:rPr>
            </w:pPr>
            <w:r>
              <w:rPr>
                <w:rFonts w:hint="eastAsia" w:ascii="宋体" w:hAnsi="宋体"/>
                <w:color w:val="auto"/>
                <w:szCs w:val="21"/>
                <w:highlight w:val="none"/>
              </w:rPr>
              <w:t>单价</w:t>
            </w:r>
            <w:r>
              <w:rPr>
                <w:rFonts w:hint="eastAsia" w:hAnsi="宋体"/>
                <w:color w:val="auto"/>
                <w:highlight w:val="none"/>
              </w:rPr>
              <w:t>②</w:t>
            </w:r>
          </w:p>
        </w:tc>
        <w:tc>
          <w:tcPr>
            <w:tcW w:w="1340" w:type="dxa"/>
            <w:tcBorders>
              <w:bottom w:val="single" w:color="auto" w:sz="4" w:space="0"/>
            </w:tcBorders>
            <w:vAlign w:val="center"/>
          </w:tcPr>
          <w:p>
            <w:pPr>
              <w:spacing w:line="300" w:lineRule="exact"/>
              <w:jc w:val="center"/>
              <w:rPr>
                <w:rFonts w:ascii="宋体" w:hAnsi="宋体" w:cs="Courier New"/>
                <w:color w:val="auto"/>
                <w:szCs w:val="21"/>
                <w:highlight w:val="none"/>
              </w:rPr>
            </w:pPr>
            <w:r>
              <w:rPr>
                <w:rFonts w:hint="eastAsia" w:ascii="宋体" w:hAnsi="宋体" w:cs="Courier New"/>
                <w:color w:val="auto"/>
                <w:szCs w:val="21"/>
                <w:highlight w:val="none"/>
              </w:rPr>
              <w:t>单项合价</w:t>
            </w:r>
          </w:p>
          <w:p>
            <w:pPr>
              <w:spacing w:line="300" w:lineRule="exact"/>
              <w:jc w:val="center"/>
              <w:rPr>
                <w:rFonts w:ascii="宋体" w:hAnsi="宋体" w:cs="Courier New"/>
                <w:color w:val="auto"/>
                <w:szCs w:val="21"/>
                <w:highlight w:val="none"/>
              </w:rPr>
            </w:pPr>
            <w:r>
              <w:rPr>
                <w:rFonts w:hint="eastAsia" w:ascii="宋体" w:hAnsi="宋体" w:cs="Courier New"/>
                <w:color w:val="auto"/>
                <w:szCs w:val="21"/>
                <w:highlight w:val="none"/>
              </w:rPr>
              <w:t>③</w:t>
            </w:r>
            <w:r>
              <w:rPr>
                <w:rFonts w:ascii="宋体" w:hAnsi="宋体" w:cs="Courier New"/>
                <w:color w:val="auto"/>
                <w:szCs w:val="21"/>
                <w:highlight w:val="none"/>
              </w:rPr>
              <w:t>=</w:t>
            </w:r>
            <w:r>
              <w:rPr>
                <w:rFonts w:hint="eastAsia" w:ascii="宋体" w:hAnsi="宋体" w:cs="Courier New"/>
                <w:color w:val="auto"/>
                <w:szCs w:val="21"/>
                <w:highlight w:val="none"/>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ascii="宋体" w:hAnsi="宋体"/>
                <w:color w:val="auto"/>
                <w:sz w:val="24"/>
                <w:highlight w:val="none"/>
              </w:rPr>
            </w:pPr>
            <w:r>
              <w:rPr>
                <w:rFonts w:hint="eastAsia" w:ascii="宋体" w:hAnsi="宋体"/>
                <w:color w:val="auto"/>
                <w:sz w:val="24"/>
                <w:highlight w:val="none"/>
              </w:rPr>
              <w:t>1</w:t>
            </w:r>
          </w:p>
        </w:tc>
        <w:tc>
          <w:tcPr>
            <w:tcW w:w="1145" w:type="dxa"/>
            <w:vAlign w:val="center"/>
          </w:tcPr>
          <w:p>
            <w:pPr>
              <w:spacing w:line="440" w:lineRule="exact"/>
              <w:ind w:firstLine="33" w:firstLineChars="16"/>
              <w:jc w:val="center"/>
              <w:rPr>
                <w:rFonts w:ascii="宋体" w:hAnsi="宋体"/>
                <w:color w:val="auto"/>
                <w:highlight w:val="none"/>
              </w:rPr>
            </w:pPr>
          </w:p>
        </w:tc>
        <w:tc>
          <w:tcPr>
            <w:tcW w:w="698" w:type="dxa"/>
            <w:vAlign w:val="center"/>
          </w:tcPr>
          <w:p>
            <w:pPr>
              <w:spacing w:line="440" w:lineRule="exact"/>
              <w:ind w:firstLine="35" w:firstLineChars="17"/>
              <w:jc w:val="center"/>
              <w:rPr>
                <w:rFonts w:ascii="宋体" w:hAnsi="宋体"/>
                <w:color w:val="auto"/>
                <w:highlight w:val="none"/>
              </w:rPr>
            </w:pPr>
          </w:p>
        </w:tc>
        <w:tc>
          <w:tcPr>
            <w:tcW w:w="709" w:type="dxa"/>
            <w:vAlign w:val="center"/>
          </w:tcPr>
          <w:p>
            <w:pPr>
              <w:spacing w:line="440" w:lineRule="exact"/>
              <w:jc w:val="center"/>
              <w:rPr>
                <w:rFonts w:ascii="宋体" w:hAnsi="宋体"/>
                <w:color w:val="auto"/>
                <w:highlight w:val="none"/>
              </w:rPr>
            </w:pPr>
          </w:p>
        </w:tc>
        <w:tc>
          <w:tcPr>
            <w:tcW w:w="708" w:type="dxa"/>
            <w:vAlign w:val="center"/>
          </w:tcPr>
          <w:p>
            <w:pPr>
              <w:spacing w:line="440" w:lineRule="exact"/>
              <w:ind w:firstLine="23" w:firstLineChars="11"/>
              <w:jc w:val="center"/>
              <w:rPr>
                <w:rFonts w:ascii="宋体" w:hAnsi="宋体"/>
                <w:color w:val="auto"/>
                <w:highlight w:val="none"/>
              </w:rPr>
            </w:pPr>
          </w:p>
        </w:tc>
        <w:tc>
          <w:tcPr>
            <w:tcW w:w="1701" w:type="dxa"/>
            <w:vAlign w:val="center"/>
          </w:tcPr>
          <w:p>
            <w:pPr>
              <w:spacing w:line="440" w:lineRule="exact"/>
              <w:ind w:firstLine="23" w:firstLineChars="11"/>
              <w:jc w:val="center"/>
              <w:rPr>
                <w:rFonts w:ascii="宋体" w:hAnsi="宋体"/>
                <w:color w:val="auto"/>
                <w:highlight w:val="none"/>
              </w:rPr>
            </w:pPr>
          </w:p>
        </w:tc>
        <w:tc>
          <w:tcPr>
            <w:tcW w:w="1701" w:type="dxa"/>
            <w:vAlign w:val="center"/>
          </w:tcPr>
          <w:p>
            <w:pPr>
              <w:spacing w:line="440" w:lineRule="exact"/>
              <w:jc w:val="center"/>
              <w:rPr>
                <w:rFonts w:ascii="宋体" w:hAnsi="宋体"/>
                <w:color w:val="auto"/>
                <w:highlight w:val="none"/>
              </w:rPr>
            </w:pPr>
          </w:p>
        </w:tc>
        <w:tc>
          <w:tcPr>
            <w:tcW w:w="851" w:type="dxa"/>
            <w:vAlign w:val="center"/>
          </w:tcPr>
          <w:p>
            <w:pPr>
              <w:spacing w:line="440" w:lineRule="exact"/>
              <w:jc w:val="center"/>
              <w:rPr>
                <w:rFonts w:ascii="宋体" w:hAnsi="宋体"/>
                <w:color w:val="auto"/>
                <w:highlight w:val="none"/>
              </w:rPr>
            </w:pPr>
          </w:p>
        </w:tc>
        <w:tc>
          <w:tcPr>
            <w:tcW w:w="1340" w:type="dxa"/>
            <w:vAlign w:val="center"/>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2</w:t>
            </w:r>
          </w:p>
        </w:tc>
        <w:tc>
          <w:tcPr>
            <w:tcW w:w="1145" w:type="dxa"/>
            <w:vAlign w:val="center"/>
          </w:tcPr>
          <w:p>
            <w:pPr>
              <w:spacing w:line="440" w:lineRule="exact"/>
              <w:ind w:firstLine="33" w:firstLineChars="16"/>
              <w:jc w:val="center"/>
              <w:rPr>
                <w:rFonts w:ascii="宋体" w:hAnsi="宋体"/>
                <w:color w:val="auto"/>
                <w:highlight w:val="none"/>
              </w:rPr>
            </w:pPr>
          </w:p>
        </w:tc>
        <w:tc>
          <w:tcPr>
            <w:tcW w:w="698" w:type="dxa"/>
            <w:vAlign w:val="center"/>
          </w:tcPr>
          <w:p>
            <w:pPr>
              <w:spacing w:line="440" w:lineRule="exact"/>
              <w:ind w:firstLine="35" w:firstLineChars="17"/>
              <w:jc w:val="center"/>
              <w:rPr>
                <w:rFonts w:ascii="宋体" w:hAnsi="宋体"/>
                <w:color w:val="auto"/>
                <w:highlight w:val="none"/>
              </w:rPr>
            </w:pPr>
          </w:p>
        </w:tc>
        <w:tc>
          <w:tcPr>
            <w:tcW w:w="709" w:type="dxa"/>
            <w:vAlign w:val="center"/>
          </w:tcPr>
          <w:p>
            <w:pPr>
              <w:spacing w:line="440" w:lineRule="exact"/>
              <w:jc w:val="center"/>
              <w:rPr>
                <w:rFonts w:ascii="宋体" w:hAnsi="宋体"/>
                <w:color w:val="auto"/>
                <w:highlight w:val="none"/>
              </w:rPr>
            </w:pPr>
          </w:p>
        </w:tc>
        <w:tc>
          <w:tcPr>
            <w:tcW w:w="708" w:type="dxa"/>
            <w:vAlign w:val="center"/>
          </w:tcPr>
          <w:p>
            <w:pPr>
              <w:spacing w:line="440" w:lineRule="exact"/>
              <w:ind w:firstLine="23" w:firstLineChars="11"/>
              <w:jc w:val="center"/>
              <w:rPr>
                <w:rFonts w:ascii="宋体" w:hAnsi="宋体"/>
                <w:color w:val="auto"/>
                <w:highlight w:val="none"/>
              </w:rPr>
            </w:pPr>
          </w:p>
        </w:tc>
        <w:tc>
          <w:tcPr>
            <w:tcW w:w="1701" w:type="dxa"/>
            <w:vAlign w:val="center"/>
          </w:tcPr>
          <w:p>
            <w:pPr>
              <w:spacing w:line="440" w:lineRule="exact"/>
              <w:ind w:firstLine="23" w:firstLineChars="11"/>
              <w:jc w:val="center"/>
              <w:rPr>
                <w:rFonts w:ascii="宋体" w:hAnsi="宋体"/>
                <w:color w:val="auto"/>
                <w:highlight w:val="none"/>
              </w:rPr>
            </w:pPr>
          </w:p>
        </w:tc>
        <w:tc>
          <w:tcPr>
            <w:tcW w:w="1701" w:type="dxa"/>
            <w:vAlign w:val="center"/>
          </w:tcPr>
          <w:p>
            <w:pPr>
              <w:spacing w:line="440" w:lineRule="exact"/>
              <w:jc w:val="center"/>
              <w:rPr>
                <w:rFonts w:ascii="宋体" w:hAnsi="宋体"/>
                <w:color w:val="auto"/>
                <w:highlight w:val="none"/>
              </w:rPr>
            </w:pPr>
          </w:p>
        </w:tc>
        <w:tc>
          <w:tcPr>
            <w:tcW w:w="851" w:type="dxa"/>
            <w:vAlign w:val="center"/>
          </w:tcPr>
          <w:p>
            <w:pPr>
              <w:spacing w:line="440" w:lineRule="exact"/>
              <w:jc w:val="center"/>
              <w:rPr>
                <w:rFonts w:ascii="宋体" w:hAnsi="宋体"/>
                <w:color w:val="auto"/>
                <w:highlight w:val="none"/>
              </w:rPr>
            </w:pPr>
          </w:p>
        </w:tc>
        <w:tc>
          <w:tcPr>
            <w:tcW w:w="1340" w:type="dxa"/>
            <w:vAlign w:val="center"/>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1145" w:type="dxa"/>
            <w:vAlign w:val="center"/>
          </w:tcPr>
          <w:p>
            <w:pPr>
              <w:spacing w:line="440" w:lineRule="exact"/>
              <w:ind w:firstLine="33" w:firstLineChars="16"/>
              <w:jc w:val="center"/>
              <w:rPr>
                <w:rFonts w:ascii="宋体" w:hAnsi="宋体"/>
                <w:color w:val="auto"/>
                <w:highlight w:val="none"/>
              </w:rPr>
            </w:pPr>
          </w:p>
        </w:tc>
        <w:tc>
          <w:tcPr>
            <w:tcW w:w="698" w:type="dxa"/>
            <w:vAlign w:val="center"/>
          </w:tcPr>
          <w:p>
            <w:pPr>
              <w:spacing w:line="440" w:lineRule="exact"/>
              <w:ind w:firstLine="35" w:firstLineChars="17"/>
              <w:jc w:val="center"/>
              <w:rPr>
                <w:rFonts w:ascii="宋体" w:hAnsi="宋体"/>
                <w:color w:val="auto"/>
                <w:highlight w:val="none"/>
              </w:rPr>
            </w:pPr>
          </w:p>
        </w:tc>
        <w:tc>
          <w:tcPr>
            <w:tcW w:w="709" w:type="dxa"/>
            <w:vAlign w:val="center"/>
          </w:tcPr>
          <w:p>
            <w:pPr>
              <w:spacing w:line="440" w:lineRule="exact"/>
              <w:jc w:val="center"/>
              <w:rPr>
                <w:rFonts w:ascii="宋体" w:hAnsi="宋体"/>
                <w:color w:val="auto"/>
                <w:highlight w:val="none"/>
              </w:rPr>
            </w:pPr>
          </w:p>
        </w:tc>
        <w:tc>
          <w:tcPr>
            <w:tcW w:w="708" w:type="dxa"/>
            <w:vAlign w:val="center"/>
          </w:tcPr>
          <w:p>
            <w:pPr>
              <w:spacing w:line="440" w:lineRule="exact"/>
              <w:ind w:firstLine="23" w:firstLineChars="11"/>
              <w:jc w:val="center"/>
              <w:rPr>
                <w:rFonts w:ascii="宋体" w:hAnsi="宋体"/>
                <w:color w:val="auto"/>
                <w:highlight w:val="none"/>
              </w:rPr>
            </w:pPr>
          </w:p>
        </w:tc>
        <w:tc>
          <w:tcPr>
            <w:tcW w:w="1701" w:type="dxa"/>
            <w:vAlign w:val="center"/>
          </w:tcPr>
          <w:p>
            <w:pPr>
              <w:spacing w:line="440" w:lineRule="exact"/>
              <w:ind w:firstLine="23" w:firstLineChars="11"/>
              <w:jc w:val="center"/>
              <w:rPr>
                <w:rFonts w:ascii="宋体" w:hAnsi="宋体"/>
                <w:color w:val="auto"/>
                <w:highlight w:val="none"/>
              </w:rPr>
            </w:pPr>
          </w:p>
        </w:tc>
        <w:tc>
          <w:tcPr>
            <w:tcW w:w="1701" w:type="dxa"/>
            <w:vAlign w:val="center"/>
          </w:tcPr>
          <w:p>
            <w:pPr>
              <w:spacing w:line="440" w:lineRule="exact"/>
              <w:jc w:val="center"/>
              <w:rPr>
                <w:rFonts w:ascii="宋体" w:hAnsi="宋体"/>
                <w:color w:val="auto"/>
                <w:highlight w:val="none"/>
              </w:rPr>
            </w:pPr>
          </w:p>
        </w:tc>
        <w:tc>
          <w:tcPr>
            <w:tcW w:w="851" w:type="dxa"/>
            <w:vAlign w:val="center"/>
          </w:tcPr>
          <w:p>
            <w:pPr>
              <w:spacing w:line="440" w:lineRule="exact"/>
              <w:jc w:val="center"/>
              <w:rPr>
                <w:rFonts w:ascii="宋体" w:hAnsi="宋体"/>
                <w:color w:val="auto"/>
                <w:highlight w:val="none"/>
              </w:rPr>
            </w:pPr>
          </w:p>
        </w:tc>
        <w:tc>
          <w:tcPr>
            <w:tcW w:w="1340" w:type="dxa"/>
            <w:vAlign w:val="center"/>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color w:val="auto"/>
                <w:sz w:val="24"/>
                <w:highlight w:val="none"/>
              </w:rPr>
            </w:pPr>
            <w:r>
              <w:rPr>
                <w:rFonts w:ascii="宋体" w:hAnsi="宋体"/>
                <w:color w:val="auto"/>
                <w:sz w:val="24"/>
                <w:highlight w:val="none"/>
              </w:rPr>
              <w:t>…</w:t>
            </w:r>
          </w:p>
        </w:tc>
        <w:tc>
          <w:tcPr>
            <w:tcW w:w="1145" w:type="dxa"/>
            <w:vAlign w:val="center"/>
          </w:tcPr>
          <w:p>
            <w:pPr>
              <w:spacing w:line="440" w:lineRule="exact"/>
              <w:ind w:firstLine="33" w:firstLineChars="16"/>
              <w:jc w:val="center"/>
              <w:rPr>
                <w:rFonts w:ascii="宋体" w:hAnsi="宋体"/>
                <w:color w:val="auto"/>
                <w:highlight w:val="none"/>
              </w:rPr>
            </w:pPr>
          </w:p>
        </w:tc>
        <w:tc>
          <w:tcPr>
            <w:tcW w:w="698" w:type="dxa"/>
            <w:vAlign w:val="center"/>
          </w:tcPr>
          <w:p>
            <w:pPr>
              <w:spacing w:line="440" w:lineRule="exact"/>
              <w:ind w:firstLine="35" w:firstLineChars="17"/>
              <w:jc w:val="center"/>
              <w:rPr>
                <w:rFonts w:ascii="宋体" w:hAnsi="宋体"/>
                <w:color w:val="auto"/>
                <w:highlight w:val="none"/>
              </w:rPr>
            </w:pPr>
          </w:p>
        </w:tc>
        <w:tc>
          <w:tcPr>
            <w:tcW w:w="709" w:type="dxa"/>
            <w:vAlign w:val="center"/>
          </w:tcPr>
          <w:p>
            <w:pPr>
              <w:spacing w:line="440" w:lineRule="exact"/>
              <w:jc w:val="center"/>
              <w:rPr>
                <w:rFonts w:ascii="宋体" w:hAnsi="宋体"/>
                <w:color w:val="auto"/>
                <w:highlight w:val="none"/>
              </w:rPr>
            </w:pPr>
          </w:p>
        </w:tc>
        <w:tc>
          <w:tcPr>
            <w:tcW w:w="708" w:type="dxa"/>
            <w:vAlign w:val="center"/>
          </w:tcPr>
          <w:p>
            <w:pPr>
              <w:spacing w:line="440" w:lineRule="exact"/>
              <w:ind w:firstLine="23" w:firstLineChars="11"/>
              <w:jc w:val="center"/>
              <w:rPr>
                <w:rFonts w:ascii="宋体" w:hAnsi="宋体"/>
                <w:color w:val="auto"/>
                <w:highlight w:val="none"/>
              </w:rPr>
            </w:pPr>
          </w:p>
        </w:tc>
        <w:tc>
          <w:tcPr>
            <w:tcW w:w="1701" w:type="dxa"/>
            <w:vAlign w:val="center"/>
          </w:tcPr>
          <w:p>
            <w:pPr>
              <w:spacing w:line="440" w:lineRule="exact"/>
              <w:ind w:firstLine="23" w:firstLineChars="11"/>
              <w:jc w:val="center"/>
              <w:rPr>
                <w:rFonts w:ascii="宋体" w:hAnsi="宋体"/>
                <w:color w:val="auto"/>
                <w:highlight w:val="none"/>
              </w:rPr>
            </w:pPr>
          </w:p>
        </w:tc>
        <w:tc>
          <w:tcPr>
            <w:tcW w:w="1701" w:type="dxa"/>
            <w:vAlign w:val="center"/>
          </w:tcPr>
          <w:p>
            <w:pPr>
              <w:spacing w:line="440" w:lineRule="exact"/>
              <w:jc w:val="center"/>
              <w:rPr>
                <w:rFonts w:ascii="宋体" w:hAnsi="宋体"/>
                <w:color w:val="auto"/>
                <w:highlight w:val="none"/>
              </w:rPr>
            </w:pPr>
          </w:p>
        </w:tc>
        <w:tc>
          <w:tcPr>
            <w:tcW w:w="851" w:type="dxa"/>
            <w:vAlign w:val="center"/>
          </w:tcPr>
          <w:p>
            <w:pPr>
              <w:spacing w:line="440" w:lineRule="exact"/>
              <w:jc w:val="center"/>
              <w:rPr>
                <w:rFonts w:ascii="宋体" w:hAnsi="宋体"/>
                <w:color w:val="auto"/>
                <w:highlight w:val="none"/>
              </w:rPr>
            </w:pPr>
          </w:p>
        </w:tc>
        <w:tc>
          <w:tcPr>
            <w:tcW w:w="1340" w:type="dxa"/>
            <w:vAlign w:val="center"/>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pPr>
              <w:spacing w:line="440" w:lineRule="exact"/>
              <w:ind w:firstLine="27" w:firstLineChars="14"/>
              <w:rPr>
                <w:rFonts w:ascii="宋体" w:hAnsi="宋体" w:cs="Courier New"/>
                <w:color w:val="auto"/>
                <w:spacing w:val="-6"/>
                <w:szCs w:val="21"/>
                <w:highlight w:val="none"/>
              </w:rPr>
            </w:pPr>
            <w:r>
              <w:rPr>
                <w:rFonts w:hint="eastAsia" w:ascii="宋体" w:hAnsi="宋体" w:cs="Courier New"/>
                <w:color w:val="auto"/>
                <w:spacing w:val="-6"/>
                <w:szCs w:val="21"/>
                <w:highlight w:val="none"/>
              </w:rPr>
              <w:t>总报价（人民币大写）：</w:t>
            </w:r>
            <w:r>
              <w:rPr>
                <w:rFonts w:hint="eastAsia"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bookmarkEnd w:id="152"/>
    </w:tbl>
    <w:p>
      <w:pPr>
        <w:spacing w:line="440" w:lineRule="exact"/>
        <w:rPr>
          <w:rFonts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2.总报价应包含货物、货物标准附件、备品备件、专用工具、设备安装辅材、包装、运输、保险等各种费用以及安装、调试、税金、售后服务、技术培训费、更新升级其所有成本费用。</w:t>
      </w:r>
    </w:p>
    <w:p>
      <w:pPr>
        <w:rPr>
          <w:color w:val="auto"/>
          <w:highlight w:val="none"/>
        </w:rPr>
      </w:pPr>
    </w:p>
    <w:p>
      <w:pPr>
        <w:rPr>
          <w:color w:val="auto"/>
          <w:highlight w:val="none"/>
        </w:rPr>
      </w:pPr>
    </w:p>
    <w:p>
      <w:pPr>
        <w:pStyle w:val="22"/>
        <w:spacing w:line="440" w:lineRule="exact"/>
        <w:ind w:firstLine="3675" w:firstLineChars="1750"/>
        <w:rPr>
          <w:rFonts w:hAnsi="宋体"/>
          <w:color w:val="auto"/>
          <w:highlight w:val="none"/>
          <w:u w:val="single"/>
        </w:rPr>
      </w:pPr>
      <w:r>
        <w:rPr>
          <w:rFonts w:hint="eastAsia" w:hAnsi="宋体"/>
          <w:color w:val="auto"/>
          <w:highlight w:val="none"/>
        </w:rPr>
        <w:t>法定代表人或授权代表（签名）：</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pPr>
        <w:pStyle w:val="22"/>
        <w:spacing w:line="440" w:lineRule="exact"/>
        <w:ind w:firstLine="3675" w:firstLineChars="1750"/>
        <w:rPr>
          <w:rFonts w:hAnsi="宋体"/>
          <w:color w:val="auto"/>
          <w:highlight w:val="none"/>
          <w:u w:val="singl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spacing w:line="440" w:lineRule="exact"/>
        <w:ind w:firstLine="3675" w:firstLineChars="1750"/>
        <w:rPr>
          <w:rFonts w:ascii="宋体" w:hAnsi="宋体"/>
          <w:color w:val="auto"/>
          <w:szCs w:val="21"/>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
          <w:jc w:val="center"/>
        </w:pPr>
        <w:r>
          <w:fldChar w:fldCharType="begin"/>
        </w:r>
        <w:r>
          <w:instrText xml:space="preserve">PAGE   \* MERGEFORMAT</w:instrText>
        </w:r>
        <w:r>
          <w:fldChar w:fldCharType="separate"/>
        </w:r>
        <w:r>
          <w:t>11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rPr>
      <w:t xml:space="preserve">钦州市政府采购中心                  </w:t>
    </w:r>
    <w:r>
      <w:t xml:space="preserve">    </w:t>
    </w:r>
    <w:r>
      <w:rPr>
        <w:rFonts w:hint="eastAsia"/>
      </w:rPr>
      <w:t xml:space="preserve"> </w:t>
    </w:r>
    <w:r>
      <w:rPr>
        <w:rFonts w:hint="eastAsia"/>
        <w:lang w:eastAsia="zh-CN"/>
      </w:rPr>
      <w:t>钦州幼儿师范高等专科学校医学营养专业实训室</w:t>
    </w:r>
    <w:r>
      <w:rPr>
        <w:rFonts w:hint="eastAsia"/>
      </w:rPr>
      <w:t xml:space="preserve"> (</w:t>
    </w:r>
    <w:r>
      <w:rPr>
        <w:rFonts w:hint="eastAsia"/>
        <w:lang w:eastAsia="zh-CN"/>
      </w:rPr>
      <w:t>QZZC2025-J1-990250-QZSZ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E487D"/>
    <w:multiLevelType w:val="singleLevel"/>
    <w:tmpl w:val="9A5E487D"/>
    <w:lvl w:ilvl="0" w:tentative="0">
      <w:start w:val="1"/>
      <w:numFmt w:val="decimal"/>
      <w:suff w:val="nothing"/>
      <w:lvlText w:val="%1、"/>
      <w:lvlJc w:val="left"/>
    </w:lvl>
  </w:abstractNum>
  <w:abstractNum w:abstractNumId="1">
    <w:nsid w:val="A78D74F6"/>
    <w:multiLevelType w:val="singleLevel"/>
    <w:tmpl w:val="A78D74F6"/>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49F5B9F"/>
    <w:multiLevelType w:val="singleLevel"/>
    <w:tmpl w:val="C49F5B9F"/>
    <w:lvl w:ilvl="0" w:tentative="0">
      <w:start w:val="1"/>
      <w:numFmt w:val="decimal"/>
      <w:suff w:val="nothing"/>
      <w:lvlText w:val="%1、"/>
      <w:lvlJc w:val="left"/>
    </w:lvl>
  </w:abstractNum>
  <w:abstractNum w:abstractNumId="4">
    <w:nsid w:val="D4AD55AF"/>
    <w:multiLevelType w:val="singleLevel"/>
    <w:tmpl w:val="D4AD55AF"/>
    <w:lvl w:ilvl="0" w:tentative="0">
      <w:start w:val="1"/>
      <w:numFmt w:val="decimal"/>
      <w:suff w:val="nothing"/>
      <w:lvlText w:val="%1、"/>
      <w:lvlJc w:val="left"/>
    </w:lvl>
  </w:abstractNum>
  <w:abstractNum w:abstractNumId="5">
    <w:nsid w:val="D93B78D5"/>
    <w:multiLevelType w:val="singleLevel"/>
    <w:tmpl w:val="D93B78D5"/>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00000007"/>
    <w:multiLevelType w:val="multilevel"/>
    <w:tmpl w:val="00000007"/>
    <w:lvl w:ilvl="0" w:tentative="0">
      <w:start w:val="1"/>
      <w:numFmt w:val="chineseCountingThousand"/>
      <w:pStyle w:val="20"/>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0">
    <w:nsid w:val="0593E0A8"/>
    <w:multiLevelType w:val="singleLevel"/>
    <w:tmpl w:val="0593E0A8"/>
    <w:lvl w:ilvl="0" w:tentative="0">
      <w:start w:val="1"/>
      <w:numFmt w:val="decimal"/>
      <w:suff w:val="nothing"/>
      <w:lvlText w:val="%1、"/>
      <w:lvlJc w:val="left"/>
    </w:lvl>
  </w:abstractNum>
  <w:abstractNum w:abstractNumId="11">
    <w:nsid w:val="05EB0719"/>
    <w:multiLevelType w:val="singleLevel"/>
    <w:tmpl w:val="05EB0719"/>
    <w:lvl w:ilvl="0" w:tentative="0">
      <w:start w:val="1"/>
      <w:numFmt w:val="decimal"/>
      <w:suff w:val="nothing"/>
      <w:lvlText w:val="%1、"/>
      <w:lvlJc w:val="left"/>
    </w:lvl>
  </w:abstractNum>
  <w:abstractNum w:abstractNumId="12">
    <w:nsid w:val="0840EA57"/>
    <w:multiLevelType w:val="singleLevel"/>
    <w:tmpl w:val="0840EA57"/>
    <w:lvl w:ilvl="0" w:tentative="0">
      <w:start w:val="1"/>
      <w:numFmt w:val="decimal"/>
      <w:suff w:val="nothing"/>
      <w:lvlText w:val="%1、"/>
      <w:lvlJc w:val="left"/>
    </w:lvl>
  </w:abstractNum>
  <w:abstractNum w:abstractNumId="13">
    <w:nsid w:val="14514982"/>
    <w:multiLevelType w:val="singleLevel"/>
    <w:tmpl w:val="14514982"/>
    <w:lvl w:ilvl="0" w:tentative="0">
      <w:start w:val="1"/>
      <w:numFmt w:val="decimal"/>
      <w:lvlText w:val="%1."/>
      <w:lvlJc w:val="left"/>
      <w:pPr>
        <w:tabs>
          <w:tab w:val="left" w:pos="312"/>
        </w:tabs>
      </w:pPr>
    </w:lvl>
  </w:abstractNum>
  <w:abstractNum w:abstractNumId="14">
    <w:nsid w:val="1C546019"/>
    <w:multiLevelType w:val="singleLevel"/>
    <w:tmpl w:val="1C546019"/>
    <w:lvl w:ilvl="0" w:tentative="0">
      <w:start w:val="1"/>
      <w:numFmt w:val="decimal"/>
      <w:suff w:val="nothing"/>
      <w:lvlText w:val="%1、"/>
      <w:lvlJc w:val="left"/>
    </w:lvl>
  </w:abstractNum>
  <w:abstractNum w:abstractNumId="15">
    <w:nsid w:val="297665BC"/>
    <w:multiLevelType w:val="singleLevel"/>
    <w:tmpl w:val="297665BC"/>
    <w:lvl w:ilvl="0" w:tentative="0">
      <w:start w:val="1"/>
      <w:numFmt w:val="decimal"/>
      <w:suff w:val="nothing"/>
      <w:lvlText w:val="%1、"/>
      <w:lvlJc w:val="left"/>
    </w:lvl>
  </w:abstractNum>
  <w:abstractNum w:abstractNumId="16">
    <w:nsid w:val="373D359F"/>
    <w:multiLevelType w:val="singleLevel"/>
    <w:tmpl w:val="373D359F"/>
    <w:lvl w:ilvl="0" w:tentative="0">
      <w:start w:val="1"/>
      <w:numFmt w:val="decimal"/>
      <w:suff w:val="nothing"/>
      <w:lvlText w:val="%1、"/>
      <w:lvlJc w:val="left"/>
    </w:lvl>
  </w:abstractNum>
  <w:abstractNum w:abstractNumId="17">
    <w:nsid w:val="517D4110"/>
    <w:multiLevelType w:val="singleLevel"/>
    <w:tmpl w:val="517D4110"/>
    <w:lvl w:ilvl="0" w:tentative="0">
      <w:start w:val="1"/>
      <w:numFmt w:val="decimal"/>
      <w:suff w:val="nothing"/>
      <w:lvlText w:val="%1、"/>
      <w:lvlJc w:val="left"/>
    </w:lvl>
  </w:abstractNum>
  <w:abstractNum w:abstractNumId="18">
    <w:nsid w:val="5D4AB51F"/>
    <w:multiLevelType w:val="singleLevel"/>
    <w:tmpl w:val="5D4AB51F"/>
    <w:lvl w:ilvl="0" w:tentative="0">
      <w:start w:val="1"/>
      <w:numFmt w:val="decimal"/>
      <w:suff w:val="nothing"/>
      <w:lvlText w:val="%1、"/>
      <w:lvlJc w:val="left"/>
    </w:lvl>
  </w:abstractNum>
  <w:abstractNum w:abstractNumId="19">
    <w:nsid w:val="672A2238"/>
    <w:multiLevelType w:val="singleLevel"/>
    <w:tmpl w:val="672A2238"/>
    <w:lvl w:ilvl="0" w:tentative="0">
      <w:start w:val="1"/>
      <w:numFmt w:val="decimal"/>
      <w:suff w:val="nothing"/>
      <w:lvlText w:val="%1、"/>
      <w:lvlJc w:val="left"/>
    </w:lvl>
  </w:abstractNum>
  <w:abstractNum w:abstractNumId="20">
    <w:nsid w:val="7A0F6431"/>
    <w:multiLevelType w:val="singleLevel"/>
    <w:tmpl w:val="7A0F6431"/>
    <w:lvl w:ilvl="0" w:tentative="0">
      <w:start w:val="1"/>
      <w:numFmt w:val="decimal"/>
      <w:suff w:val="space"/>
      <w:lvlText w:val="%1."/>
      <w:lvlJc w:val="left"/>
    </w:lvl>
  </w:abstractNum>
  <w:num w:numId="1">
    <w:abstractNumId w:val="9"/>
  </w:num>
  <w:num w:numId="2">
    <w:abstractNumId w:val="1"/>
  </w:num>
  <w:num w:numId="3">
    <w:abstractNumId w:val="14"/>
  </w:num>
  <w:num w:numId="4">
    <w:abstractNumId w:val="10"/>
  </w:num>
  <w:num w:numId="5">
    <w:abstractNumId w:val="18"/>
  </w:num>
  <w:num w:numId="6">
    <w:abstractNumId w:val="15"/>
  </w:num>
  <w:num w:numId="7">
    <w:abstractNumId w:val="3"/>
  </w:num>
  <w:num w:numId="8">
    <w:abstractNumId w:val="5"/>
  </w:num>
  <w:num w:numId="9">
    <w:abstractNumId w:val="19"/>
  </w:num>
  <w:num w:numId="10">
    <w:abstractNumId w:val="13"/>
  </w:num>
  <w:num w:numId="11">
    <w:abstractNumId w:val="4"/>
  </w:num>
  <w:num w:numId="12">
    <w:abstractNumId w:val="12"/>
  </w:num>
  <w:num w:numId="13">
    <w:abstractNumId w:val="17"/>
  </w:num>
  <w:num w:numId="14">
    <w:abstractNumId w:val="16"/>
  </w:num>
  <w:num w:numId="15">
    <w:abstractNumId w:val="0"/>
  </w:num>
  <w:num w:numId="16">
    <w:abstractNumId w:val="11"/>
  </w:num>
  <w:num w:numId="17">
    <w:abstractNumId w:val="20"/>
  </w:num>
  <w:num w:numId="18">
    <w:abstractNumId w:val="7"/>
  </w:num>
  <w:num w:numId="19">
    <w:abstractNumId w:val="6"/>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34DD"/>
    <w:rsid w:val="000248E5"/>
    <w:rsid w:val="0002594F"/>
    <w:rsid w:val="00025985"/>
    <w:rsid w:val="00025AC0"/>
    <w:rsid w:val="00026612"/>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01EC"/>
    <w:rsid w:val="0006170C"/>
    <w:rsid w:val="00061972"/>
    <w:rsid w:val="00061AC4"/>
    <w:rsid w:val="00063151"/>
    <w:rsid w:val="00063CE9"/>
    <w:rsid w:val="00064127"/>
    <w:rsid w:val="0006432D"/>
    <w:rsid w:val="00064B46"/>
    <w:rsid w:val="00064E81"/>
    <w:rsid w:val="000656B5"/>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BC2"/>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963"/>
    <w:rsid w:val="000B2AB7"/>
    <w:rsid w:val="000B2F6F"/>
    <w:rsid w:val="000B3976"/>
    <w:rsid w:val="000B3C2D"/>
    <w:rsid w:val="000B46A8"/>
    <w:rsid w:val="000B470D"/>
    <w:rsid w:val="000B4E66"/>
    <w:rsid w:val="000B5395"/>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77"/>
    <w:rsid w:val="00122899"/>
    <w:rsid w:val="00123679"/>
    <w:rsid w:val="001236BF"/>
    <w:rsid w:val="001236EB"/>
    <w:rsid w:val="00123ACC"/>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526C"/>
    <w:rsid w:val="001356B6"/>
    <w:rsid w:val="001365F4"/>
    <w:rsid w:val="0013661A"/>
    <w:rsid w:val="00136E07"/>
    <w:rsid w:val="001372D1"/>
    <w:rsid w:val="001374A2"/>
    <w:rsid w:val="00137EAE"/>
    <w:rsid w:val="00140295"/>
    <w:rsid w:val="00141121"/>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778"/>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6C19"/>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377"/>
    <w:rsid w:val="0019768C"/>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B03"/>
    <w:rsid w:val="001F53DC"/>
    <w:rsid w:val="001F612B"/>
    <w:rsid w:val="001F69C1"/>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17F6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0DF3"/>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BC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19C"/>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0C8A"/>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15F"/>
    <w:rsid w:val="0033295D"/>
    <w:rsid w:val="00332B79"/>
    <w:rsid w:val="00333CAB"/>
    <w:rsid w:val="00333D3B"/>
    <w:rsid w:val="00334C5E"/>
    <w:rsid w:val="00334F81"/>
    <w:rsid w:val="00335E06"/>
    <w:rsid w:val="00336AC2"/>
    <w:rsid w:val="00336FD3"/>
    <w:rsid w:val="00337B76"/>
    <w:rsid w:val="00337BB7"/>
    <w:rsid w:val="00341DE7"/>
    <w:rsid w:val="00341FEE"/>
    <w:rsid w:val="003430E1"/>
    <w:rsid w:val="0034324B"/>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55B2"/>
    <w:rsid w:val="00395890"/>
    <w:rsid w:val="003959A5"/>
    <w:rsid w:val="00395F26"/>
    <w:rsid w:val="00395FAA"/>
    <w:rsid w:val="00397827"/>
    <w:rsid w:val="00397BEE"/>
    <w:rsid w:val="003A063A"/>
    <w:rsid w:val="003A0B73"/>
    <w:rsid w:val="003A104E"/>
    <w:rsid w:val="003A13C4"/>
    <w:rsid w:val="003A14AF"/>
    <w:rsid w:val="003A289D"/>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27F"/>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2C6"/>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91CDE"/>
    <w:rsid w:val="0049200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C7F15"/>
    <w:rsid w:val="004D00C0"/>
    <w:rsid w:val="004D0448"/>
    <w:rsid w:val="004D0BA0"/>
    <w:rsid w:val="004D0BD0"/>
    <w:rsid w:val="004D1D79"/>
    <w:rsid w:val="004D34C3"/>
    <w:rsid w:val="004D45C4"/>
    <w:rsid w:val="004D487B"/>
    <w:rsid w:val="004D4D09"/>
    <w:rsid w:val="004D5652"/>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8D3"/>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1007E"/>
    <w:rsid w:val="00510BB6"/>
    <w:rsid w:val="00511D79"/>
    <w:rsid w:val="0051305D"/>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5239"/>
    <w:rsid w:val="005454E5"/>
    <w:rsid w:val="00546B8A"/>
    <w:rsid w:val="00546D05"/>
    <w:rsid w:val="00547244"/>
    <w:rsid w:val="00547933"/>
    <w:rsid w:val="005508AD"/>
    <w:rsid w:val="0055098D"/>
    <w:rsid w:val="00550B24"/>
    <w:rsid w:val="00550FD2"/>
    <w:rsid w:val="005513B4"/>
    <w:rsid w:val="00552031"/>
    <w:rsid w:val="005528E7"/>
    <w:rsid w:val="00553018"/>
    <w:rsid w:val="0055382B"/>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3B8A"/>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60B0"/>
    <w:rsid w:val="0057769E"/>
    <w:rsid w:val="00580435"/>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039"/>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8E4"/>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4B6"/>
    <w:rsid w:val="005D0A54"/>
    <w:rsid w:val="005D0B56"/>
    <w:rsid w:val="005D0F20"/>
    <w:rsid w:val="005D10E6"/>
    <w:rsid w:val="005D1294"/>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84D"/>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0901"/>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3DD"/>
    <w:rsid w:val="006327BB"/>
    <w:rsid w:val="00632FD3"/>
    <w:rsid w:val="006335EF"/>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0445"/>
    <w:rsid w:val="00651109"/>
    <w:rsid w:val="006517A0"/>
    <w:rsid w:val="00651A1C"/>
    <w:rsid w:val="006536AF"/>
    <w:rsid w:val="00654230"/>
    <w:rsid w:val="00655371"/>
    <w:rsid w:val="00655DFD"/>
    <w:rsid w:val="006562D8"/>
    <w:rsid w:val="00656B2E"/>
    <w:rsid w:val="00656B88"/>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01A"/>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E7B"/>
    <w:rsid w:val="006A4D9B"/>
    <w:rsid w:val="006A6950"/>
    <w:rsid w:val="006A7210"/>
    <w:rsid w:val="006A757D"/>
    <w:rsid w:val="006A7B32"/>
    <w:rsid w:val="006B002A"/>
    <w:rsid w:val="006B130C"/>
    <w:rsid w:val="006B15F2"/>
    <w:rsid w:val="006B28B5"/>
    <w:rsid w:val="006B32C8"/>
    <w:rsid w:val="006B3A46"/>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2F0"/>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57BB3"/>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4F17"/>
    <w:rsid w:val="0081696A"/>
    <w:rsid w:val="00816EBB"/>
    <w:rsid w:val="008170CE"/>
    <w:rsid w:val="00817642"/>
    <w:rsid w:val="00821C08"/>
    <w:rsid w:val="00821D78"/>
    <w:rsid w:val="0082313D"/>
    <w:rsid w:val="00823153"/>
    <w:rsid w:val="008235A6"/>
    <w:rsid w:val="00823718"/>
    <w:rsid w:val="008240B3"/>
    <w:rsid w:val="00824186"/>
    <w:rsid w:val="008248CE"/>
    <w:rsid w:val="00826265"/>
    <w:rsid w:val="00826288"/>
    <w:rsid w:val="00826980"/>
    <w:rsid w:val="008277D5"/>
    <w:rsid w:val="008303D2"/>
    <w:rsid w:val="008313D1"/>
    <w:rsid w:val="008325BF"/>
    <w:rsid w:val="00832658"/>
    <w:rsid w:val="00832E14"/>
    <w:rsid w:val="00833150"/>
    <w:rsid w:val="00834231"/>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093E"/>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BA0"/>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081"/>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2EDB"/>
    <w:rsid w:val="008F3209"/>
    <w:rsid w:val="008F3A03"/>
    <w:rsid w:val="008F3FDD"/>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5267"/>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B30"/>
    <w:rsid w:val="00916EFB"/>
    <w:rsid w:val="009201EE"/>
    <w:rsid w:val="009209BD"/>
    <w:rsid w:val="009212C2"/>
    <w:rsid w:val="00921361"/>
    <w:rsid w:val="0092191C"/>
    <w:rsid w:val="00922464"/>
    <w:rsid w:val="00922D98"/>
    <w:rsid w:val="00923600"/>
    <w:rsid w:val="0092394D"/>
    <w:rsid w:val="00923AB8"/>
    <w:rsid w:val="00923AC1"/>
    <w:rsid w:val="00923BAC"/>
    <w:rsid w:val="00923E46"/>
    <w:rsid w:val="00923E7D"/>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5728"/>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21"/>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0993"/>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67"/>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54"/>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E75"/>
    <w:rsid w:val="00A86002"/>
    <w:rsid w:val="00A86104"/>
    <w:rsid w:val="00A86836"/>
    <w:rsid w:val="00A8687B"/>
    <w:rsid w:val="00A87773"/>
    <w:rsid w:val="00A877E2"/>
    <w:rsid w:val="00A87C20"/>
    <w:rsid w:val="00A90992"/>
    <w:rsid w:val="00A90C4D"/>
    <w:rsid w:val="00A918BA"/>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579"/>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E14"/>
    <w:rsid w:val="00BB2E88"/>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87F"/>
    <w:rsid w:val="00BE2C6C"/>
    <w:rsid w:val="00BE34DB"/>
    <w:rsid w:val="00BE3CD6"/>
    <w:rsid w:val="00BE3D65"/>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5AD0"/>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5E23"/>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30"/>
    <w:rsid w:val="00C967BD"/>
    <w:rsid w:val="00C96A9B"/>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011"/>
    <w:rsid w:val="00D224E7"/>
    <w:rsid w:val="00D22FB3"/>
    <w:rsid w:val="00D236C2"/>
    <w:rsid w:val="00D23814"/>
    <w:rsid w:val="00D251AB"/>
    <w:rsid w:val="00D25292"/>
    <w:rsid w:val="00D25507"/>
    <w:rsid w:val="00D256E5"/>
    <w:rsid w:val="00D25A2C"/>
    <w:rsid w:val="00D26E1C"/>
    <w:rsid w:val="00D274D2"/>
    <w:rsid w:val="00D2786B"/>
    <w:rsid w:val="00D27D85"/>
    <w:rsid w:val="00D30D41"/>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D1C"/>
    <w:rsid w:val="00DB127E"/>
    <w:rsid w:val="00DB1C28"/>
    <w:rsid w:val="00DB288F"/>
    <w:rsid w:val="00DB2AAD"/>
    <w:rsid w:val="00DB3094"/>
    <w:rsid w:val="00DB3431"/>
    <w:rsid w:val="00DB3972"/>
    <w:rsid w:val="00DB3F40"/>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F79"/>
    <w:rsid w:val="00DE0573"/>
    <w:rsid w:val="00DE27E3"/>
    <w:rsid w:val="00DE2840"/>
    <w:rsid w:val="00DE2A9B"/>
    <w:rsid w:val="00DE348F"/>
    <w:rsid w:val="00DE3907"/>
    <w:rsid w:val="00DE3A0D"/>
    <w:rsid w:val="00DE4ACE"/>
    <w:rsid w:val="00DE5120"/>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5D"/>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3CC2"/>
    <w:rsid w:val="00E748B6"/>
    <w:rsid w:val="00E74950"/>
    <w:rsid w:val="00E753B5"/>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1E5B"/>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5EC"/>
    <w:rsid w:val="00EB0C1A"/>
    <w:rsid w:val="00EB15FB"/>
    <w:rsid w:val="00EB1E31"/>
    <w:rsid w:val="00EB1EA2"/>
    <w:rsid w:val="00EB21C2"/>
    <w:rsid w:val="00EB2466"/>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14A2"/>
    <w:rsid w:val="00F323A5"/>
    <w:rsid w:val="00F32894"/>
    <w:rsid w:val="00F32A44"/>
    <w:rsid w:val="00F32D4D"/>
    <w:rsid w:val="00F32F58"/>
    <w:rsid w:val="00F333B8"/>
    <w:rsid w:val="00F33A07"/>
    <w:rsid w:val="00F33B22"/>
    <w:rsid w:val="00F33B6F"/>
    <w:rsid w:val="00F34415"/>
    <w:rsid w:val="00F3478A"/>
    <w:rsid w:val="00F353BC"/>
    <w:rsid w:val="00F35686"/>
    <w:rsid w:val="00F3614C"/>
    <w:rsid w:val="00F3738D"/>
    <w:rsid w:val="00F37786"/>
    <w:rsid w:val="00F377DB"/>
    <w:rsid w:val="00F37AA3"/>
    <w:rsid w:val="00F37E99"/>
    <w:rsid w:val="00F40CD4"/>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682E"/>
    <w:rsid w:val="00F57DA4"/>
    <w:rsid w:val="00F603F8"/>
    <w:rsid w:val="00F6062F"/>
    <w:rsid w:val="00F606A7"/>
    <w:rsid w:val="00F606C2"/>
    <w:rsid w:val="00F60715"/>
    <w:rsid w:val="00F60B09"/>
    <w:rsid w:val="00F61877"/>
    <w:rsid w:val="00F61ABE"/>
    <w:rsid w:val="00F61ACE"/>
    <w:rsid w:val="00F61D84"/>
    <w:rsid w:val="00F62810"/>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9B1"/>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500"/>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670F"/>
    <w:rsid w:val="00FF72F4"/>
    <w:rsid w:val="00FF7454"/>
    <w:rsid w:val="00FF7ED8"/>
    <w:rsid w:val="01DF58FF"/>
    <w:rsid w:val="01FB5C4F"/>
    <w:rsid w:val="0248546F"/>
    <w:rsid w:val="0256548E"/>
    <w:rsid w:val="02890D36"/>
    <w:rsid w:val="029370C7"/>
    <w:rsid w:val="02FF41F8"/>
    <w:rsid w:val="0314419D"/>
    <w:rsid w:val="032327D8"/>
    <w:rsid w:val="04E24159"/>
    <w:rsid w:val="04E81B1A"/>
    <w:rsid w:val="05097AD0"/>
    <w:rsid w:val="056B1C11"/>
    <w:rsid w:val="05CC0E93"/>
    <w:rsid w:val="05E5389B"/>
    <w:rsid w:val="06443FD4"/>
    <w:rsid w:val="06922C55"/>
    <w:rsid w:val="06EE427E"/>
    <w:rsid w:val="070E32C1"/>
    <w:rsid w:val="07277E4A"/>
    <w:rsid w:val="0751471C"/>
    <w:rsid w:val="07B039F2"/>
    <w:rsid w:val="08073E22"/>
    <w:rsid w:val="08822685"/>
    <w:rsid w:val="08D97BB9"/>
    <w:rsid w:val="08FA104A"/>
    <w:rsid w:val="08FA57C7"/>
    <w:rsid w:val="091E45B4"/>
    <w:rsid w:val="0933542B"/>
    <w:rsid w:val="09AA1547"/>
    <w:rsid w:val="09F96B44"/>
    <w:rsid w:val="0A765FB8"/>
    <w:rsid w:val="0A814349"/>
    <w:rsid w:val="0AF8308E"/>
    <w:rsid w:val="0B6F08F7"/>
    <w:rsid w:val="0BD72DB1"/>
    <w:rsid w:val="0C3F0E27"/>
    <w:rsid w:val="0C483CB5"/>
    <w:rsid w:val="0C5F0057"/>
    <w:rsid w:val="0C701528"/>
    <w:rsid w:val="0C72663C"/>
    <w:rsid w:val="0D146D32"/>
    <w:rsid w:val="0D8D654B"/>
    <w:rsid w:val="0D9553DC"/>
    <w:rsid w:val="0DA914DF"/>
    <w:rsid w:val="0E263246"/>
    <w:rsid w:val="0E3015D7"/>
    <w:rsid w:val="0E6A02CB"/>
    <w:rsid w:val="0E710BCE"/>
    <w:rsid w:val="0EEC2402"/>
    <w:rsid w:val="101500B2"/>
    <w:rsid w:val="102E7D98"/>
    <w:rsid w:val="10507C42"/>
    <w:rsid w:val="10525C37"/>
    <w:rsid w:val="105A7962"/>
    <w:rsid w:val="109C3C4F"/>
    <w:rsid w:val="115C57C9"/>
    <w:rsid w:val="11AC2EE9"/>
    <w:rsid w:val="11F62C07"/>
    <w:rsid w:val="124F3295"/>
    <w:rsid w:val="12AA447F"/>
    <w:rsid w:val="134921CE"/>
    <w:rsid w:val="13737B75"/>
    <w:rsid w:val="13B43E61"/>
    <w:rsid w:val="1470076F"/>
    <w:rsid w:val="147719A1"/>
    <w:rsid w:val="148C1946"/>
    <w:rsid w:val="14B7376E"/>
    <w:rsid w:val="14B8240A"/>
    <w:rsid w:val="154C7218"/>
    <w:rsid w:val="15777179"/>
    <w:rsid w:val="17707100"/>
    <w:rsid w:val="17853822"/>
    <w:rsid w:val="17856795"/>
    <w:rsid w:val="17E06C0C"/>
    <w:rsid w:val="18071A18"/>
    <w:rsid w:val="18947263"/>
    <w:rsid w:val="18F373D0"/>
    <w:rsid w:val="196C36C2"/>
    <w:rsid w:val="196C5A40"/>
    <w:rsid w:val="19AB6A2A"/>
    <w:rsid w:val="19C2556A"/>
    <w:rsid w:val="19C41B53"/>
    <w:rsid w:val="1A2608F3"/>
    <w:rsid w:val="1A336B23"/>
    <w:rsid w:val="1A936D28"/>
    <w:rsid w:val="1B2A271F"/>
    <w:rsid w:val="1BCD57AB"/>
    <w:rsid w:val="1BE753BD"/>
    <w:rsid w:val="1C0E1A98"/>
    <w:rsid w:val="1C237A06"/>
    <w:rsid w:val="1C490289"/>
    <w:rsid w:val="1C6F4FB4"/>
    <w:rsid w:val="1CA6768D"/>
    <w:rsid w:val="1CDB5968"/>
    <w:rsid w:val="1D1F6145"/>
    <w:rsid w:val="1D54432D"/>
    <w:rsid w:val="1E2D620F"/>
    <w:rsid w:val="1E422931"/>
    <w:rsid w:val="1F573F7F"/>
    <w:rsid w:val="1F5E4382"/>
    <w:rsid w:val="202D3756"/>
    <w:rsid w:val="20621846"/>
    <w:rsid w:val="208244E5"/>
    <w:rsid w:val="20DC5E78"/>
    <w:rsid w:val="21BD09EA"/>
    <w:rsid w:val="21C734F7"/>
    <w:rsid w:val="21D2510C"/>
    <w:rsid w:val="226650A3"/>
    <w:rsid w:val="22B60C01"/>
    <w:rsid w:val="231879A1"/>
    <w:rsid w:val="239A46F7"/>
    <w:rsid w:val="2411343C"/>
    <w:rsid w:val="249F6523"/>
    <w:rsid w:val="25B84A72"/>
    <w:rsid w:val="264B53EC"/>
    <w:rsid w:val="2678274F"/>
    <w:rsid w:val="26CA35AD"/>
    <w:rsid w:val="26F91E7B"/>
    <w:rsid w:val="279A2A09"/>
    <w:rsid w:val="28B1694E"/>
    <w:rsid w:val="28BC0562"/>
    <w:rsid w:val="28D00B27"/>
    <w:rsid w:val="293F68E6"/>
    <w:rsid w:val="29747D10"/>
    <w:rsid w:val="297D6669"/>
    <w:rsid w:val="2A2D713F"/>
    <w:rsid w:val="2A423861"/>
    <w:rsid w:val="2A5D75B2"/>
    <w:rsid w:val="2A63541A"/>
    <w:rsid w:val="2A8F5EDF"/>
    <w:rsid w:val="2AA84B6D"/>
    <w:rsid w:val="2AB11E8F"/>
    <w:rsid w:val="2ABF0192"/>
    <w:rsid w:val="2AFB6893"/>
    <w:rsid w:val="2B1C6E47"/>
    <w:rsid w:val="2B937D0B"/>
    <w:rsid w:val="2D6C1D53"/>
    <w:rsid w:val="2E1E06B9"/>
    <w:rsid w:val="2EB61B31"/>
    <w:rsid w:val="2EF8259B"/>
    <w:rsid w:val="2F2954D5"/>
    <w:rsid w:val="2F3F27D7"/>
    <w:rsid w:val="2F6241C8"/>
    <w:rsid w:val="2F9959A7"/>
    <w:rsid w:val="2FAF42C8"/>
    <w:rsid w:val="2FDE4A00"/>
    <w:rsid w:val="30A957E4"/>
    <w:rsid w:val="30B5232B"/>
    <w:rsid w:val="30C56DD2"/>
    <w:rsid w:val="30F068D5"/>
    <w:rsid w:val="318556DB"/>
    <w:rsid w:val="3198766B"/>
    <w:rsid w:val="319D0DD6"/>
    <w:rsid w:val="31F314D0"/>
    <w:rsid w:val="31F55F59"/>
    <w:rsid w:val="32294115"/>
    <w:rsid w:val="32DE1F01"/>
    <w:rsid w:val="331630E9"/>
    <w:rsid w:val="335F6FD7"/>
    <w:rsid w:val="347F6C2F"/>
    <w:rsid w:val="348B76F3"/>
    <w:rsid w:val="34C131AF"/>
    <w:rsid w:val="34E87C04"/>
    <w:rsid w:val="3543500D"/>
    <w:rsid w:val="35476355"/>
    <w:rsid w:val="356928AF"/>
    <w:rsid w:val="35BC2091"/>
    <w:rsid w:val="35D579E0"/>
    <w:rsid w:val="35EA0847"/>
    <w:rsid w:val="35F90E99"/>
    <w:rsid w:val="36013D27"/>
    <w:rsid w:val="36025D97"/>
    <w:rsid w:val="36E47B9D"/>
    <w:rsid w:val="38733E42"/>
    <w:rsid w:val="38C2712E"/>
    <w:rsid w:val="397C7955"/>
    <w:rsid w:val="39A62C24"/>
    <w:rsid w:val="3A29797A"/>
    <w:rsid w:val="3A32459E"/>
    <w:rsid w:val="3A3E409C"/>
    <w:rsid w:val="3A5B7D04"/>
    <w:rsid w:val="3B1D351E"/>
    <w:rsid w:val="3B2575DE"/>
    <w:rsid w:val="3B7C2C0B"/>
    <w:rsid w:val="3BB6283D"/>
    <w:rsid w:val="3BC66EAB"/>
    <w:rsid w:val="3C0E122F"/>
    <w:rsid w:val="3C682428"/>
    <w:rsid w:val="3CD742D5"/>
    <w:rsid w:val="3D417B8C"/>
    <w:rsid w:val="3D4C5F1D"/>
    <w:rsid w:val="3DF93FBC"/>
    <w:rsid w:val="3E1A5671"/>
    <w:rsid w:val="3E667CEF"/>
    <w:rsid w:val="3ED34AA0"/>
    <w:rsid w:val="3F2A54AE"/>
    <w:rsid w:val="3F6E789D"/>
    <w:rsid w:val="3FE04FF8"/>
    <w:rsid w:val="3FED2FEE"/>
    <w:rsid w:val="3FF22C00"/>
    <w:rsid w:val="40B118C6"/>
    <w:rsid w:val="412874F2"/>
    <w:rsid w:val="41965843"/>
    <w:rsid w:val="41A05EB7"/>
    <w:rsid w:val="42014C57"/>
    <w:rsid w:val="42161379"/>
    <w:rsid w:val="42AF6075"/>
    <w:rsid w:val="42B44FC7"/>
    <w:rsid w:val="42CF43AB"/>
    <w:rsid w:val="42EE6E5E"/>
    <w:rsid w:val="43204EC2"/>
    <w:rsid w:val="435D2698"/>
    <w:rsid w:val="43A6660D"/>
    <w:rsid w:val="43C845C3"/>
    <w:rsid w:val="44973C18"/>
    <w:rsid w:val="463D1F7B"/>
    <w:rsid w:val="463E02DC"/>
    <w:rsid w:val="46737A24"/>
    <w:rsid w:val="468E028A"/>
    <w:rsid w:val="46CA0433"/>
    <w:rsid w:val="47520E10"/>
    <w:rsid w:val="47753731"/>
    <w:rsid w:val="484E3524"/>
    <w:rsid w:val="48516FB5"/>
    <w:rsid w:val="48B459D5"/>
    <w:rsid w:val="48C01F80"/>
    <w:rsid w:val="49497D40"/>
    <w:rsid w:val="4A053FE3"/>
    <w:rsid w:val="4A9216E3"/>
    <w:rsid w:val="4AE820F1"/>
    <w:rsid w:val="4B315D69"/>
    <w:rsid w:val="4D890305"/>
    <w:rsid w:val="4E634927"/>
    <w:rsid w:val="4ED85BEA"/>
    <w:rsid w:val="4F105D44"/>
    <w:rsid w:val="4F355850"/>
    <w:rsid w:val="4F5C4B3F"/>
    <w:rsid w:val="4F8B14B0"/>
    <w:rsid w:val="4FB671CF"/>
    <w:rsid w:val="4FFD7F4B"/>
    <w:rsid w:val="501F5F01"/>
    <w:rsid w:val="50BF05A8"/>
    <w:rsid w:val="5133771D"/>
    <w:rsid w:val="51A66A0C"/>
    <w:rsid w:val="52077FA0"/>
    <w:rsid w:val="529F178F"/>
    <w:rsid w:val="52F61E27"/>
    <w:rsid w:val="53372305"/>
    <w:rsid w:val="535316C2"/>
    <w:rsid w:val="53C44BA8"/>
    <w:rsid w:val="53E259A0"/>
    <w:rsid w:val="541909C0"/>
    <w:rsid w:val="545C6276"/>
    <w:rsid w:val="552E0C4B"/>
    <w:rsid w:val="556C60B3"/>
    <w:rsid w:val="55763369"/>
    <w:rsid w:val="561A74D1"/>
    <w:rsid w:val="565463B1"/>
    <w:rsid w:val="56D86652"/>
    <w:rsid w:val="57283E0B"/>
    <w:rsid w:val="574A1DC1"/>
    <w:rsid w:val="57C00B06"/>
    <w:rsid w:val="57E52089"/>
    <w:rsid w:val="58021570"/>
    <w:rsid w:val="580E5197"/>
    <w:rsid w:val="5831455A"/>
    <w:rsid w:val="5863030F"/>
    <w:rsid w:val="589A668A"/>
    <w:rsid w:val="58F22B40"/>
    <w:rsid w:val="5906339C"/>
    <w:rsid w:val="592616D2"/>
    <w:rsid w:val="59341B00"/>
    <w:rsid w:val="59DE0E81"/>
    <w:rsid w:val="59F55223"/>
    <w:rsid w:val="59FF35B4"/>
    <w:rsid w:val="5A4B7380"/>
    <w:rsid w:val="5AD444AA"/>
    <w:rsid w:val="5AE470AA"/>
    <w:rsid w:val="5B301727"/>
    <w:rsid w:val="5B415B5C"/>
    <w:rsid w:val="5B5773E8"/>
    <w:rsid w:val="5B5A5DEF"/>
    <w:rsid w:val="5BB44753"/>
    <w:rsid w:val="5BC56904"/>
    <w:rsid w:val="5C0A6E8C"/>
    <w:rsid w:val="5C37441B"/>
    <w:rsid w:val="5CEC2D02"/>
    <w:rsid w:val="5D0A54ED"/>
    <w:rsid w:val="5D2353DA"/>
    <w:rsid w:val="5E5C734E"/>
    <w:rsid w:val="5E8072DA"/>
    <w:rsid w:val="5F185A0A"/>
    <w:rsid w:val="5F6D531F"/>
    <w:rsid w:val="5FAE2505"/>
    <w:rsid w:val="5FE20EFF"/>
    <w:rsid w:val="60056797"/>
    <w:rsid w:val="603478AE"/>
    <w:rsid w:val="61094D40"/>
    <w:rsid w:val="614172DE"/>
    <w:rsid w:val="6160574F"/>
    <w:rsid w:val="62D40F16"/>
    <w:rsid w:val="63707248"/>
    <w:rsid w:val="63A86B21"/>
    <w:rsid w:val="64C2705A"/>
    <w:rsid w:val="6511265D"/>
    <w:rsid w:val="651C4271"/>
    <w:rsid w:val="65402FF4"/>
    <w:rsid w:val="65A93AD5"/>
    <w:rsid w:val="662B3EC2"/>
    <w:rsid w:val="66B25BAB"/>
    <w:rsid w:val="6786514B"/>
    <w:rsid w:val="67D71CD4"/>
    <w:rsid w:val="67F55C0F"/>
    <w:rsid w:val="6808013C"/>
    <w:rsid w:val="68490BA5"/>
    <w:rsid w:val="6872092B"/>
    <w:rsid w:val="68720D3D"/>
    <w:rsid w:val="68A320F0"/>
    <w:rsid w:val="68C10A03"/>
    <w:rsid w:val="691702F9"/>
    <w:rsid w:val="692E7F1E"/>
    <w:rsid w:val="69430A4C"/>
    <w:rsid w:val="69586B5E"/>
    <w:rsid w:val="69EE0B66"/>
    <w:rsid w:val="6A242849"/>
    <w:rsid w:val="6A9E3FF1"/>
    <w:rsid w:val="6AA61B9C"/>
    <w:rsid w:val="6ADF78E5"/>
    <w:rsid w:val="6B0B3C2C"/>
    <w:rsid w:val="6B1D2246"/>
    <w:rsid w:val="6B353ACE"/>
    <w:rsid w:val="6B695178"/>
    <w:rsid w:val="6B8D0D02"/>
    <w:rsid w:val="6C7C2B89"/>
    <w:rsid w:val="6CB30AE5"/>
    <w:rsid w:val="6DF523F6"/>
    <w:rsid w:val="6E531DC3"/>
    <w:rsid w:val="6E92338D"/>
    <w:rsid w:val="6EA50F15"/>
    <w:rsid w:val="6F1218C9"/>
    <w:rsid w:val="6F35142D"/>
    <w:rsid w:val="6FB80462"/>
    <w:rsid w:val="6FE10C9C"/>
    <w:rsid w:val="70257F20"/>
    <w:rsid w:val="70375E28"/>
    <w:rsid w:val="70593DDE"/>
    <w:rsid w:val="708505A9"/>
    <w:rsid w:val="70D0654C"/>
    <w:rsid w:val="70EC22C8"/>
    <w:rsid w:val="712E1E4B"/>
    <w:rsid w:val="71693786"/>
    <w:rsid w:val="71CD2FDE"/>
    <w:rsid w:val="72401A80"/>
    <w:rsid w:val="72847405"/>
    <w:rsid w:val="7298562B"/>
    <w:rsid w:val="73047240"/>
    <w:rsid w:val="736E2F25"/>
    <w:rsid w:val="74125278"/>
    <w:rsid w:val="741A021E"/>
    <w:rsid w:val="74556A6B"/>
    <w:rsid w:val="7474619D"/>
    <w:rsid w:val="74DC18EE"/>
    <w:rsid w:val="74F6543C"/>
    <w:rsid w:val="74FD0C6E"/>
    <w:rsid w:val="753C5A8D"/>
    <w:rsid w:val="75435570"/>
    <w:rsid w:val="755D4106"/>
    <w:rsid w:val="75D21110"/>
    <w:rsid w:val="75D71CD0"/>
    <w:rsid w:val="765E373E"/>
    <w:rsid w:val="76912AA8"/>
    <w:rsid w:val="76936197"/>
    <w:rsid w:val="77281327"/>
    <w:rsid w:val="77EE09D2"/>
    <w:rsid w:val="78175E36"/>
    <w:rsid w:val="78DA438B"/>
    <w:rsid w:val="791D4054"/>
    <w:rsid w:val="7A2D6D03"/>
    <w:rsid w:val="7A986F61"/>
    <w:rsid w:val="7AF244C2"/>
    <w:rsid w:val="7B4A666E"/>
    <w:rsid w:val="7B831833"/>
    <w:rsid w:val="7C034870"/>
    <w:rsid w:val="7C8313D5"/>
    <w:rsid w:val="7CB1637A"/>
    <w:rsid w:val="7D0564AB"/>
    <w:rsid w:val="7D5052A6"/>
    <w:rsid w:val="7DAA61E1"/>
    <w:rsid w:val="7DE50961"/>
    <w:rsid w:val="7E0F41A9"/>
    <w:rsid w:val="7E813419"/>
    <w:rsid w:val="7E8D09DC"/>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0"/>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5"/>
    <w:basedOn w:val="1"/>
    <w:next w:val="7"/>
    <w:link w:val="124"/>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2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2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2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qFormat/>
    <w:uiPriority w:val="99"/>
    <w:pPr>
      <w:tabs>
        <w:tab w:val="center" w:pos="4153"/>
        <w:tab w:val="right" w:pos="8306"/>
      </w:tabs>
      <w:snapToGrid w:val="0"/>
      <w:jc w:val="left"/>
    </w:pPr>
    <w:rPr>
      <w:sz w:val="18"/>
      <w:szCs w:val="18"/>
      <w:lang w:val="zh-CN"/>
    </w:rPr>
  </w:style>
  <w:style w:type="paragraph" w:styleId="7">
    <w:name w:val="Normal Indent"/>
    <w:basedOn w:val="1"/>
    <w:link w:val="54"/>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29"/>
    <w:qFormat/>
    <w:uiPriority w:val="0"/>
    <w:pPr>
      <w:shd w:val="clear" w:color="auto" w:fill="000080"/>
    </w:pPr>
  </w:style>
  <w:style w:type="paragraph" w:styleId="15">
    <w:name w:val="annotation text"/>
    <w:basedOn w:val="1"/>
    <w:link w:val="70"/>
    <w:qFormat/>
    <w:uiPriority w:val="0"/>
    <w:pPr>
      <w:jc w:val="left"/>
    </w:pPr>
  </w:style>
  <w:style w:type="paragraph" w:styleId="16">
    <w:name w:val="Body Text 3"/>
    <w:basedOn w:val="1"/>
    <w:link w:val="130"/>
    <w:qFormat/>
    <w:uiPriority w:val="0"/>
    <w:pPr>
      <w:spacing w:line="500" w:lineRule="exact"/>
    </w:pPr>
    <w:rPr>
      <w:b/>
      <w:bCs/>
      <w:sz w:val="24"/>
    </w:rPr>
  </w:style>
  <w:style w:type="paragraph" w:styleId="17">
    <w:name w:val="Body Text"/>
    <w:basedOn w:val="1"/>
    <w:next w:val="18"/>
    <w:link w:val="131"/>
    <w:qFormat/>
    <w:uiPriority w:val="0"/>
    <w:pPr>
      <w:spacing w:line="380" w:lineRule="exact"/>
    </w:pPr>
    <w:rPr>
      <w:sz w:val="24"/>
    </w:rPr>
  </w:style>
  <w:style w:type="paragraph" w:styleId="18">
    <w:name w:val="Body Text 2"/>
    <w:basedOn w:val="1"/>
    <w:link w:val="135"/>
    <w:qFormat/>
    <w:uiPriority w:val="0"/>
    <w:pPr>
      <w:spacing w:after="120" w:line="480" w:lineRule="auto"/>
    </w:pPr>
  </w:style>
  <w:style w:type="paragraph" w:styleId="19">
    <w:name w:val="Body Text Indent"/>
    <w:basedOn w:val="1"/>
    <w:link w:val="63"/>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0"/>
    <w:qFormat/>
    <w:uiPriority w:val="0"/>
    <w:rPr>
      <w:rFonts w:ascii="宋体" w:hAnsi="Courier New" w:cs="Courier New"/>
      <w:szCs w:val="21"/>
    </w:rPr>
  </w:style>
  <w:style w:type="paragraph" w:styleId="23">
    <w:name w:val="Date"/>
    <w:basedOn w:val="1"/>
    <w:next w:val="1"/>
    <w:link w:val="132"/>
    <w:qFormat/>
    <w:uiPriority w:val="0"/>
    <w:pPr>
      <w:ind w:left="100" w:leftChars="2500"/>
    </w:pPr>
    <w:rPr>
      <w:rFonts w:ascii="宋体" w:hAnsi="Courier New" w:cs="Courier New"/>
      <w:szCs w:val="21"/>
    </w:rPr>
  </w:style>
  <w:style w:type="paragraph" w:styleId="24">
    <w:name w:val="Body Text Indent 2"/>
    <w:basedOn w:val="1"/>
    <w:link w:val="133"/>
    <w:qFormat/>
    <w:uiPriority w:val="0"/>
    <w:pPr>
      <w:ind w:firstLine="630"/>
    </w:pPr>
    <w:rPr>
      <w:sz w:val="32"/>
      <w:szCs w:val="20"/>
    </w:rPr>
  </w:style>
  <w:style w:type="paragraph" w:styleId="25">
    <w:name w:val="Balloon Text"/>
    <w:basedOn w:val="1"/>
    <w:link w:val="69"/>
    <w:qFormat/>
    <w:uiPriority w:val="0"/>
    <w:rPr>
      <w:sz w:val="18"/>
      <w:szCs w:val="18"/>
      <w:lang w:val="zh-CN"/>
    </w:rPr>
  </w:style>
  <w:style w:type="paragraph" w:styleId="26">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68"/>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134"/>
    <w:qFormat/>
    <w:uiPriority w:val="0"/>
    <w:pPr>
      <w:spacing w:after="120"/>
      <w:ind w:left="420" w:leftChars="200"/>
    </w:pPr>
    <w:rPr>
      <w:sz w:val="16"/>
      <w:szCs w:val="16"/>
    </w:rPr>
  </w:style>
  <w:style w:type="paragraph" w:styleId="31">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annotation subject"/>
    <w:basedOn w:val="15"/>
    <w:next w:val="15"/>
    <w:link w:val="81"/>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rFonts w:ascii="Times New Roman" w:hAnsi="Times New Roman" w:eastAsia="宋体" w:cs="Times New Roman"/>
      <w:b/>
      <w:bCs/>
    </w:rPr>
  </w:style>
  <w:style w:type="character" w:styleId="38">
    <w:name w:val="page number"/>
    <w:qFormat/>
    <w:uiPriority w:val="0"/>
    <w:rPr>
      <w:rFonts w:ascii="Times New Roman" w:hAnsi="Times New Roman" w:eastAsia="宋体" w:cs="Times New Roman"/>
    </w:rPr>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Emphasis"/>
    <w:qFormat/>
    <w:uiPriority w:val="0"/>
    <w:rPr>
      <w:rFonts w:ascii="Times New Roman" w:hAnsi="Times New Roman" w:eastAsia="宋体" w:cs="Times New Roman"/>
      <w:color w:val="CC0033"/>
    </w:rPr>
  </w:style>
  <w:style w:type="character" w:styleId="41">
    <w:name w:val="Hyperlink"/>
    <w:qFormat/>
    <w:uiPriority w:val="99"/>
    <w:rPr>
      <w:rFonts w:ascii="Times New Roman" w:hAnsi="Times New Roman" w:eastAsia="宋体" w:cs="Times New Roman"/>
      <w:color w:val="0000FF"/>
      <w:u w:val="single"/>
    </w:rPr>
  </w:style>
  <w:style w:type="character" w:styleId="42">
    <w:name w:val="annotation reference"/>
    <w:qFormat/>
    <w:uiPriority w:val="0"/>
    <w:rPr>
      <w:rFonts w:ascii="Times New Roman" w:hAnsi="Times New Roman" w:eastAsia="宋体" w:cs="Times New Roman"/>
      <w:sz w:val="21"/>
      <w:szCs w:val="21"/>
    </w:rPr>
  </w:style>
  <w:style w:type="character" w:customStyle="1" w:styleId="43">
    <w:name w:val="font21"/>
    <w:basedOn w:val="36"/>
    <w:qFormat/>
    <w:uiPriority w:val="0"/>
    <w:rPr>
      <w:rFonts w:hint="eastAsia" w:ascii="宋体" w:hAnsi="宋体" w:eastAsia="宋体" w:cs="宋体"/>
      <w:color w:val="000000"/>
      <w:sz w:val="20"/>
      <w:szCs w:val="20"/>
    </w:rPr>
  </w:style>
  <w:style w:type="character" w:customStyle="1" w:styleId="44">
    <w:name w:val="st1"/>
    <w:qFormat/>
    <w:uiPriority w:val="0"/>
    <w:rPr>
      <w:rFonts w:ascii="Times New Roman" w:hAnsi="Times New Roman" w:eastAsia="宋体" w:cs="Times New Roman"/>
    </w:rPr>
  </w:style>
  <w:style w:type="character" w:customStyle="1" w:styleId="45">
    <w:name w:val="标题 1 Char"/>
    <w:link w:val="3"/>
    <w:qFormat/>
    <w:uiPriority w:val="9"/>
    <w:rPr>
      <w:rFonts w:ascii="Times New Roman" w:hAnsi="Times New Roman" w:eastAsia="仿宋_GB2312" w:cs="Times New Roman"/>
      <w:b/>
      <w:bCs/>
      <w:kern w:val="44"/>
      <w:sz w:val="44"/>
      <w:szCs w:val="44"/>
      <w:lang w:val="en-US" w:eastAsia="zh-CN" w:bidi="ar-SA"/>
    </w:rPr>
  </w:style>
  <w:style w:type="character" w:customStyle="1" w:styleId="46">
    <w:name w:val="ca-2"/>
    <w:qFormat/>
    <w:uiPriority w:val="0"/>
    <w:rPr>
      <w:rFonts w:ascii="Times New Roman" w:hAnsi="Times New Roman" w:eastAsia="宋体" w:cs="Times New Roman"/>
    </w:rPr>
  </w:style>
  <w:style w:type="character" w:customStyle="1" w:styleId="47">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48">
    <w:name w:val="1ji Char"/>
    <w:link w:val="49"/>
    <w:qFormat/>
    <w:uiPriority w:val="0"/>
    <w:rPr>
      <w:rFonts w:ascii="宋体" w:hAnsi="宋体" w:eastAsia="仿宋_GB2312" w:cs="Times New Roman"/>
      <w:b/>
      <w:bCs/>
      <w:kern w:val="44"/>
      <w:sz w:val="36"/>
      <w:szCs w:val="44"/>
      <w:lang w:val="en-US" w:eastAsia="zh-CN" w:bidi="ar-SA"/>
    </w:rPr>
  </w:style>
  <w:style w:type="paragraph" w:customStyle="1" w:styleId="49">
    <w:name w:val="1ji"/>
    <w:basedOn w:val="3"/>
    <w:link w:val="48"/>
    <w:qFormat/>
    <w:uiPriority w:val="0"/>
    <w:pPr>
      <w:keepLines w:val="0"/>
      <w:widowControl/>
      <w:spacing w:before="0" w:after="0" w:line="240" w:lineRule="auto"/>
    </w:pPr>
    <w:rPr>
      <w:rFonts w:ascii="宋体" w:hAnsi="宋体"/>
      <w:sz w:val="36"/>
    </w:rPr>
  </w:style>
  <w:style w:type="character" w:customStyle="1" w:styleId="50">
    <w:name w:val="纯文本 Char"/>
    <w:link w:val="22"/>
    <w:qFormat/>
    <w:uiPriority w:val="0"/>
    <w:rPr>
      <w:rFonts w:ascii="宋体" w:hAnsi="Courier New" w:eastAsia="宋体" w:cs="Courier New"/>
      <w:kern w:val="2"/>
      <w:sz w:val="21"/>
      <w:szCs w:val="21"/>
      <w:lang w:val="en-US" w:eastAsia="zh-CN" w:bidi="ar-SA"/>
    </w:rPr>
  </w:style>
  <w:style w:type="character" w:customStyle="1" w:styleId="51">
    <w:name w:val="font41"/>
    <w:basedOn w:val="36"/>
    <w:qFormat/>
    <w:uiPriority w:val="0"/>
    <w:rPr>
      <w:rFonts w:hint="default" w:ascii="Times New Roman" w:hAnsi="Times New Roman" w:eastAsia="宋体" w:cs="Times New Roman"/>
      <w:color w:val="000000"/>
      <w:sz w:val="20"/>
      <w:szCs w:val="20"/>
    </w:rPr>
  </w:style>
  <w:style w:type="character" w:customStyle="1" w:styleId="52">
    <w:name w:val="font31"/>
    <w:basedOn w:val="36"/>
    <w:qFormat/>
    <w:uiPriority w:val="0"/>
    <w:rPr>
      <w:rFonts w:hint="default" w:ascii="Times New Roman" w:hAnsi="Times New Roman" w:eastAsia="宋体" w:cs="Times New Roman"/>
      <w:color w:val="000000"/>
      <w:sz w:val="20"/>
      <w:szCs w:val="20"/>
    </w:rPr>
  </w:style>
  <w:style w:type="character" w:customStyle="1" w:styleId="53">
    <w:name w:val="apple-style-span"/>
    <w:qFormat/>
    <w:uiPriority w:val="0"/>
    <w:rPr>
      <w:rFonts w:ascii="Times New Roman" w:hAnsi="Times New Roman" w:eastAsia="宋体" w:cs="Times New Roman"/>
    </w:rPr>
  </w:style>
  <w:style w:type="character" w:customStyle="1" w:styleId="54">
    <w:name w:val="正文缩进 Char"/>
    <w:link w:val="7"/>
    <w:qFormat/>
    <w:uiPriority w:val="0"/>
    <w:rPr>
      <w:rFonts w:ascii="Times New Roman" w:hAnsi="Times New Roman" w:eastAsia="宋体" w:cs="Times New Roman"/>
      <w:kern w:val="2"/>
      <w:sz w:val="21"/>
      <w:lang w:val="en-US" w:eastAsia="zh-CN" w:bidi="ar-SA"/>
    </w:rPr>
  </w:style>
  <w:style w:type="character" w:customStyle="1" w:styleId="55">
    <w:name w:val="font51"/>
    <w:basedOn w:val="36"/>
    <w:qFormat/>
    <w:uiPriority w:val="0"/>
    <w:rPr>
      <w:rFonts w:hint="default" w:ascii="Times New Roman" w:hAnsi="Times New Roman" w:eastAsia="宋体" w:cs="Times New Roman"/>
      <w:color w:val="000000"/>
      <w:sz w:val="20"/>
      <w:szCs w:val="20"/>
    </w:rPr>
  </w:style>
  <w:style w:type="character" w:customStyle="1" w:styleId="56">
    <w:name w:val="标题 3 Char"/>
    <w:link w:val="5"/>
    <w:qFormat/>
    <w:uiPriority w:val="0"/>
    <w:rPr>
      <w:rFonts w:ascii="Times New Roman" w:hAnsi="Times New Roman" w:eastAsia="宋体" w:cs="Times New Roman"/>
      <w:b/>
      <w:bCs/>
      <w:kern w:val="2"/>
      <w:sz w:val="32"/>
      <w:szCs w:val="32"/>
      <w:lang w:val="en-US" w:eastAsia="zh-CN" w:bidi="ar-SA"/>
    </w:rPr>
  </w:style>
  <w:style w:type="character" w:customStyle="1" w:styleId="57">
    <w:name w:val="apple-converted-space"/>
    <w:qFormat/>
    <w:uiPriority w:val="0"/>
    <w:rPr>
      <w:rFonts w:ascii="Times New Roman" w:hAnsi="Times New Roman" w:eastAsia="宋体" w:cs="Times New Roman"/>
    </w:rPr>
  </w:style>
  <w:style w:type="character" w:customStyle="1" w:styleId="58">
    <w:name w:val="Header Char"/>
    <w:qFormat/>
    <w:uiPriority w:val="0"/>
    <w:rPr>
      <w:rFonts w:ascii="Calibri" w:hAnsi="Calibri" w:eastAsia="宋体" w:cs="Times New Roman"/>
      <w:kern w:val="2"/>
      <w:sz w:val="18"/>
      <w:szCs w:val="18"/>
      <w:lang w:val="en-US" w:eastAsia="zh-CN" w:bidi="ar-SA"/>
    </w:rPr>
  </w:style>
  <w:style w:type="character" w:customStyle="1" w:styleId="59">
    <w:name w:val="Footer Char"/>
    <w:qFormat/>
    <w:uiPriority w:val="0"/>
    <w:rPr>
      <w:rFonts w:ascii="Calibri" w:hAnsi="Calibri" w:eastAsia="宋体" w:cs="Times New Roman"/>
      <w:kern w:val="2"/>
      <w:sz w:val="18"/>
      <w:szCs w:val="18"/>
      <w:lang w:val="en-US" w:eastAsia="zh-CN" w:bidi="ar-SA"/>
    </w:rPr>
  </w:style>
  <w:style w:type="character" w:customStyle="1" w:styleId="60">
    <w:name w:val="Plain Text Char"/>
    <w:qFormat/>
    <w:uiPriority w:val="0"/>
    <w:rPr>
      <w:rFonts w:ascii="宋体" w:hAnsi="Courier New" w:eastAsia="宋体" w:cs="Times New Roman"/>
      <w:lang w:bidi="ar-SA"/>
    </w:rPr>
  </w:style>
  <w:style w:type="character" w:customStyle="1" w:styleId="61">
    <w:name w:val="普通文字 Char Char3"/>
    <w:qFormat/>
    <w:uiPriority w:val="0"/>
    <w:rPr>
      <w:rFonts w:ascii="宋体" w:hAnsi="Times New Roman" w:eastAsia="宋体" w:cs="Courier New"/>
      <w:kern w:val="2"/>
      <w:sz w:val="21"/>
      <w:szCs w:val="21"/>
      <w:lang w:val="en-US" w:eastAsia="zh-CN" w:bidi="ar-SA"/>
    </w:rPr>
  </w:style>
  <w:style w:type="character" w:customStyle="1" w:styleId="62">
    <w:name w:val="样式 正文 +"/>
    <w:qFormat/>
    <w:uiPriority w:val="0"/>
    <w:rPr>
      <w:rFonts w:ascii="Times New Roman" w:hAnsi="Times New Roman" w:eastAsia="宋体" w:cs="Times New Roman"/>
      <w:kern w:val="0"/>
      <w:sz w:val="28"/>
    </w:rPr>
  </w:style>
  <w:style w:type="character" w:customStyle="1" w:styleId="63">
    <w:name w:val="正文文本缩进 Char"/>
    <w:link w:val="19"/>
    <w:qFormat/>
    <w:uiPriority w:val="0"/>
    <w:rPr>
      <w:rFonts w:ascii="仿宋_GB2312" w:hAnsi="Times New Roman" w:eastAsia="仿宋_GB2312" w:cs="Times New Roman"/>
      <w:kern w:val="2"/>
      <w:sz w:val="32"/>
      <w:lang w:val="en-US" w:eastAsia="zh-CN" w:bidi="ar-SA"/>
    </w:rPr>
  </w:style>
  <w:style w:type="character" w:customStyle="1" w:styleId="64">
    <w:name w:val="普通文字 Char Char2"/>
    <w:qFormat/>
    <w:uiPriority w:val="0"/>
    <w:rPr>
      <w:rFonts w:ascii="宋体" w:hAnsi="Courier New" w:eastAsia="宋体" w:cs="Times New Roman"/>
      <w:kern w:val="2"/>
      <w:sz w:val="21"/>
      <w:lang w:val="en-US" w:eastAsia="zh-CN" w:bidi="ar-SA"/>
    </w:rPr>
  </w:style>
  <w:style w:type="character" w:customStyle="1" w:styleId="65">
    <w:name w:val="页脚 Char"/>
    <w:link w:val="2"/>
    <w:qFormat/>
    <w:uiPriority w:val="99"/>
    <w:rPr>
      <w:rFonts w:ascii="Times New Roman" w:hAnsi="Times New Roman" w:eastAsia="宋体" w:cs="Times New Roman"/>
      <w:kern w:val="2"/>
      <w:sz w:val="18"/>
      <w:szCs w:val="18"/>
    </w:rPr>
  </w:style>
  <w:style w:type="character" w:customStyle="1" w:styleId="66">
    <w:name w:val="样式 宋体 小四"/>
    <w:qFormat/>
    <w:uiPriority w:val="0"/>
    <w:rPr>
      <w:rFonts w:ascii="宋体" w:hAnsi="宋体" w:eastAsia="宋体" w:cs="Times New Roman"/>
      <w:sz w:val="24"/>
    </w:rPr>
  </w:style>
  <w:style w:type="character" w:customStyle="1" w:styleId="67">
    <w:name w:val="页眉 Char"/>
    <w:link w:val="26"/>
    <w:qFormat/>
    <w:uiPriority w:val="99"/>
    <w:rPr>
      <w:rFonts w:ascii="Times New Roman" w:hAnsi="Times New Roman" w:eastAsia="宋体" w:cs="Times New Roman"/>
      <w:kern w:val="2"/>
      <w:sz w:val="18"/>
      <w:szCs w:val="18"/>
      <w:lang w:val="en-US" w:eastAsia="zh-CN" w:bidi="ar-SA"/>
    </w:rPr>
  </w:style>
  <w:style w:type="character" w:customStyle="1" w:styleId="68">
    <w:name w:val="副标题 Char"/>
    <w:link w:val="28"/>
    <w:qFormat/>
    <w:uiPriority w:val="0"/>
    <w:rPr>
      <w:rFonts w:ascii="Cambria" w:hAnsi="Cambria" w:eastAsia="宋体" w:cs="Times New Roman"/>
      <w:b/>
      <w:bCs/>
      <w:kern w:val="28"/>
      <w:sz w:val="28"/>
      <w:szCs w:val="32"/>
      <w:lang w:val="en-US" w:eastAsia="zh-CN" w:bidi="ar-SA"/>
    </w:rPr>
  </w:style>
  <w:style w:type="character" w:customStyle="1" w:styleId="69">
    <w:name w:val="批注框文本 Char"/>
    <w:link w:val="25"/>
    <w:qFormat/>
    <w:uiPriority w:val="0"/>
    <w:rPr>
      <w:rFonts w:ascii="Times New Roman" w:hAnsi="Times New Roman" w:eastAsia="宋体" w:cs="Times New Roman"/>
      <w:kern w:val="2"/>
      <w:sz w:val="18"/>
      <w:szCs w:val="18"/>
    </w:rPr>
  </w:style>
  <w:style w:type="character" w:customStyle="1" w:styleId="70">
    <w:name w:val="批注文字 Char"/>
    <w:link w:val="15"/>
    <w:qFormat/>
    <w:uiPriority w:val="0"/>
    <w:rPr>
      <w:rFonts w:ascii="Times New Roman" w:hAnsi="Times New Roman" w:eastAsia="宋体" w:cs="Times New Roman"/>
      <w:kern w:val="2"/>
      <w:sz w:val="21"/>
      <w:szCs w:val="24"/>
      <w:lang w:val="en-US" w:eastAsia="zh-CN" w:bidi="ar-SA"/>
    </w:rPr>
  </w:style>
  <w:style w:type="character" w:customStyle="1" w:styleId="71">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2">
    <w:name w:val="ca-1"/>
    <w:qFormat/>
    <w:uiPriority w:val="0"/>
    <w:rPr>
      <w:rFonts w:ascii="Times New Roman" w:hAnsi="Times New Roman" w:eastAsia="宋体" w:cs="Times New Roman"/>
    </w:rPr>
  </w:style>
  <w:style w:type="character" w:customStyle="1" w:styleId="73">
    <w:name w:val="正文360首行缩进 Char"/>
    <w:link w:val="74"/>
    <w:qFormat/>
    <w:uiPriority w:val="0"/>
    <w:rPr>
      <w:rFonts w:ascii="Times New Roman" w:hAnsi="Times New Roman" w:eastAsia="宋体" w:cs="Times New Roman"/>
      <w:sz w:val="24"/>
      <w:szCs w:val="24"/>
    </w:rPr>
  </w:style>
  <w:style w:type="paragraph" w:customStyle="1" w:styleId="74">
    <w:name w:val="正文360首行缩进"/>
    <w:basedOn w:val="1"/>
    <w:link w:val="73"/>
    <w:qFormat/>
    <w:uiPriority w:val="0"/>
    <w:pPr>
      <w:widowControl/>
      <w:spacing w:before="120" w:line="300" w:lineRule="auto"/>
      <w:ind w:firstLine="200"/>
      <w:jc w:val="left"/>
    </w:pPr>
    <w:rPr>
      <w:kern w:val="0"/>
      <w:sz w:val="24"/>
    </w:rPr>
  </w:style>
  <w:style w:type="character" w:customStyle="1" w:styleId="75">
    <w:name w:val="List Paragraph Char"/>
    <w:link w:val="76"/>
    <w:qFormat/>
    <w:locked/>
    <w:uiPriority w:val="0"/>
    <w:rPr>
      <w:rFonts w:ascii="宋体" w:hAnsi="宋体" w:cs="宋体"/>
      <w:sz w:val="24"/>
      <w:szCs w:val="24"/>
    </w:rPr>
  </w:style>
  <w:style w:type="paragraph" w:customStyle="1" w:styleId="76">
    <w:name w:val="列表段落1"/>
    <w:basedOn w:val="1"/>
    <w:link w:val="75"/>
    <w:qFormat/>
    <w:uiPriority w:val="0"/>
    <w:pPr>
      <w:widowControl/>
      <w:ind w:firstLine="420" w:firstLineChars="200"/>
      <w:jc w:val="left"/>
    </w:pPr>
    <w:rPr>
      <w:rFonts w:ascii="宋体" w:hAnsi="宋体"/>
      <w:kern w:val="0"/>
      <w:sz w:val="24"/>
      <w:lang w:val="zh-CN"/>
    </w:rPr>
  </w:style>
  <w:style w:type="character" w:customStyle="1" w:styleId="77">
    <w:name w:val="yyii"/>
    <w:qFormat/>
    <w:uiPriority w:val="0"/>
    <w:rPr>
      <w:rFonts w:ascii="Times New Roman" w:hAnsi="Times New Roman" w:eastAsia="宋体" w:cs="Times New Roman"/>
    </w:rPr>
  </w:style>
  <w:style w:type="character" w:customStyle="1" w:styleId="78">
    <w:name w:val="纯文本 Char1"/>
    <w:qFormat/>
    <w:uiPriority w:val="0"/>
    <w:rPr>
      <w:rFonts w:ascii="宋体" w:hAnsi="Courier New" w:eastAsia="宋体" w:cs="Times New Roman"/>
      <w:kern w:val="2"/>
      <w:sz w:val="21"/>
    </w:rPr>
  </w:style>
  <w:style w:type="character" w:customStyle="1" w:styleId="79">
    <w:name w:val="标题 1 Char1"/>
    <w:qFormat/>
    <w:uiPriority w:val="0"/>
    <w:rPr>
      <w:rFonts w:ascii="Times New Roman" w:hAnsi="Times New Roman" w:eastAsia="宋体" w:cs="Times New Roman"/>
      <w:b/>
      <w:bCs/>
      <w:kern w:val="44"/>
      <w:sz w:val="44"/>
      <w:szCs w:val="44"/>
    </w:rPr>
  </w:style>
  <w:style w:type="character" w:customStyle="1" w:styleId="80">
    <w:name w:val="标题 2 Char"/>
    <w:link w:val="4"/>
    <w:qFormat/>
    <w:uiPriority w:val="9"/>
    <w:rPr>
      <w:rFonts w:ascii="Arial" w:hAnsi="Arial" w:eastAsia="黑体"/>
      <w:b/>
      <w:bCs/>
      <w:kern w:val="2"/>
      <w:sz w:val="24"/>
      <w:szCs w:val="32"/>
    </w:rPr>
  </w:style>
  <w:style w:type="character" w:customStyle="1" w:styleId="81">
    <w:name w:val="批注主题 Char"/>
    <w:link w:val="33"/>
    <w:qFormat/>
    <w:uiPriority w:val="0"/>
    <w:rPr>
      <w:rFonts w:ascii="Times New Roman" w:hAnsi="Times New Roman" w:eastAsia="宋体" w:cs="Times New Roman"/>
      <w:b/>
      <w:bCs/>
      <w:kern w:val="2"/>
      <w:sz w:val="21"/>
      <w:szCs w:val="24"/>
      <w:lang w:val="en-US" w:eastAsia="zh-CN" w:bidi="ar-SA"/>
    </w:rPr>
  </w:style>
  <w:style w:type="paragraph" w:customStyle="1" w:styleId="82">
    <w:name w:val="目录 11"/>
    <w:basedOn w:val="1"/>
    <w:next w:val="1"/>
    <w:qFormat/>
    <w:uiPriority w:val="39"/>
  </w:style>
  <w:style w:type="paragraph" w:customStyle="1" w:styleId="83">
    <w:name w:val="目录 21"/>
    <w:basedOn w:val="1"/>
    <w:next w:val="1"/>
    <w:qFormat/>
    <w:uiPriority w:val="39"/>
    <w:pPr>
      <w:tabs>
        <w:tab w:val="right" w:leader="dot" w:pos="9402"/>
      </w:tabs>
      <w:ind w:left="718" w:leftChars="200" w:hanging="298" w:hangingChars="142"/>
    </w:pPr>
  </w:style>
  <w:style w:type="paragraph" w:customStyle="1" w:styleId="84">
    <w:name w:val="目录 31"/>
    <w:basedOn w:val="1"/>
    <w:next w:val="1"/>
    <w:qFormat/>
    <w:uiPriority w:val="39"/>
    <w:pPr>
      <w:ind w:left="840" w:leftChars="400"/>
    </w:pPr>
  </w:style>
  <w:style w:type="paragraph" w:customStyle="1" w:styleId="85">
    <w:name w:val="正文首行缩进1"/>
    <w:basedOn w:val="17"/>
    <w:qFormat/>
    <w:uiPriority w:val="0"/>
    <w:pPr>
      <w:spacing w:after="120" w:line="240" w:lineRule="auto"/>
      <w:ind w:firstLine="420" w:firstLineChars="100"/>
    </w:pPr>
    <w:rPr>
      <w:sz w:val="21"/>
    </w:rPr>
  </w:style>
  <w:style w:type="paragraph" w:customStyle="1" w:styleId="86">
    <w:name w:val="Char Char1 Char Char Char Char"/>
    <w:basedOn w:val="14"/>
    <w:qFormat/>
    <w:uiPriority w:val="0"/>
    <w:rPr>
      <w:rFonts w:ascii="Tahoma" w:hAnsi="Tahoma"/>
      <w:sz w:val="24"/>
    </w:rPr>
  </w:style>
  <w:style w:type="paragraph" w:customStyle="1" w:styleId="87">
    <w:name w:val="列出段落1"/>
    <w:basedOn w:val="1"/>
    <w:qFormat/>
    <w:uiPriority w:val="99"/>
    <w:pPr>
      <w:ind w:firstLine="420" w:firstLineChars="200"/>
    </w:pPr>
    <w:rPr>
      <w:rFonts w:ascii="Calibri" w:hAnsi="Calibri"/>
    </w:rPr>
  </w:style>
  <w:style w:type="paragraph" w:customStyle="1" w:styleId="88">
    <w:name w:val="Char Char Char1 Char"/>
    <w:basedOn w:val="14"/>
    <w:qFormat/>
    <w:uiPriority w:val="0"/>
  </w:style>
  <w:style w:type="paragraph" w:customStyle="1" w:styleId="89">
    <w:name w:val="pa-5"/>
    <w:basedOn w:val="1"/>
    <w:qFormat/>
    <w:uiPriority w:val="0"/>
    <w:pPr>
      <w:widowControl/>
      <w:spacing w:before="150" w:after="150"/>
      <w:jc w:val="left"/>
    </w:pPr>
    <w:rPr>
      <w:rFonts w:ascii="宋体" w:hAnsi="宋体" w:cs="宋体"/>
      <w:kern w:val="0"/>
      <w:sz w:val="24"/>
    </w:rPr>
  </w:style>
  <w:style w:type="paragraph" w:customStyle="1" w:styleId="9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1">
    <w:name w:val="Char Char1 Char Char Char Char1"/>
    <w:basedOn w:val="14"/>
    <w:qFormat/>
    <w:uiPriority w:val="0"/>
    <w:rPr>
      <w:rFonts w:ascii="Tahoma" w:hAnsi="Tahoma"/>
      <w:sz w:val="24"/>
    </w:rPr>
  </w:style>
  <w:style w:type="paragraph" w:customStyle="1" w:styleId="92">
    <w:name w:val="_Style 35"/>
    <w:basedOn w:val="14"/>
    <w:qFormat/>
    <w:uiPriority w:val="0"/>
    <w:pPr>
      <w:widowControl/>
      <w:ind w:firstLine="454"/>
      <w:jc w:val="left"/>
    </w:pPr>
  </w:style>
  <w:style w:type="paragraph" w:customStyle="1" w:styleId="93">
    <w:name w:val="5 Char Char Char Char Char Char Char Char Char Char"/>
    <w:basedOn w:val="1"/>
    <w:qFormat/>
    <w:uiPriority w:val="0"/>
  </w:style>
  <w:style w:type="paragraph" w:customStyle="1" w:styleId="9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5">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6">
    <w:name w:val="默认段落字体 Para Char"/>
    <w:basedOn w:val="1"/>
    <w:qFormat/>
    <w:uiPriority w:val="0"/>
    <w:rPr>
      <w:szCs w:val="20"/>
    </w:rPr>
  </w:style>
  <w:style w:type="paragraph" w:customStyle="1" w:styleId="97">
    <w:name w:val="表格文字"/>
    <w:basedOn w:val="1"/>
    <w:qFormat/>
    <w:uiPriority w:val="0"/>
    <w:pPr>
      <w:spacing w:before="25" w:after="25"/>
      <w:jc w:val="left"/>
    </w:pPr>
    <w:rPr>
      <w:bCs/>
      <w:spacing w:val="10"/>
      <w:kern w:val="0"/>
      <w:sz w:val="24"/>
    </w:rPr>
  </w:style>
  <w:style w:type="paragraph" w:customStyle="1" w:styleId="98">
    <w:name w:val="_Style 7"/>
    <w:basedOn w:val="14"/>
    <w:qFormat/>
    <w:uiPriority w:val="0"/>
  </w:style>
  <w:style w:type="paragraph" w:customStyle="1" w:styleId="9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2">
    <w:name w:val="样式 小四 行距: 1.5 倍行距"/>
    <w:basedOn w:val="1"/>
    <w:qFormat/>
    <w:uiPriority w:val="0"/>
    <w:pPr>
      <w:spacing w:line="360" w:lineRule="auto"/>
      <w:ind w:firstLine="480" w:firstLineChars="200"/>
    </w:pPr>
    <w:rPr>
      <w:rFonts w:cs="宋体"/>
      <w:sz w:val="24"/>
      <w:szCs w:val="20"/>
    </w:rPr>
  </w:style>
  <w:style w:type="paragraph" w:customStyle="1" w:styleId="103">
    <w:name w:val="p0"/>
    <w:basedOn w:val="1"/>
    <w:qFormat/>
    <w:uiPriority w:val="0"/>
    <w:pPr>
      <w:widowControl/>
    </w:pPr>
    <w:rPr>
      <w:rFonts w:ascii="宋体" w:hAnsi="宋体" w:cs="宋体"/>
      <w:kern w:val="0"/>
      <w:szCs w:val="21"/>
    </w:rPr>
  </w:style>
  <w:style w:type="paragraph" w:customStyle="1" w:styleId="104">
    <w:name w:val="Char Char Char Char Char Char Char Char Char Char Char Char"/>
    <w:basedOn w:val="1"/>
    <w:qFormat/>
    <w:uiPriority w:val="0"/>
    <w:pPr>
      <w:widowControl/>
      <w:spacing w:after="160" w:line="240" w:lineRule="exact"/>
      <w:jc w:val="left"/>
    </w:pPr>
  </w:style>
  <w:style w:type="paragraph" w:customStyle="1" w:styleId="105">
    <w:name w:val="Char Char Char1 Char1"/>
    <w:basedOn w:val="1"/>
    <w:qFormat/>
    <w:uiPriority w:val="0"/>
    <w:rPr>
      <w:rFonts w:ascii="Calibri" w:hAnsi="Calibri"/>
      <w:szCs w:val="22"/>
    </w:rPr>
  </w:style>
  <w:style w:type="paragraph" w:customStyle="1" w:styleId="106">
    <w:name w:val="Char Char Char Char Char Char Char"/>
    <w:basedOn w:val="1"/>
    <w:qFormat/>
    <w:uiPriority w:val="0"/>
  </w:style>
  <w:style w:type="paragraph" w:customStyle="1" w:styleId="107">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08">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0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1">
    <w:name w:val="Char"/>
    <w:basedOn w:val="14"/>
    <w:qFormat/>
    <w:uiPriority w:val="0"/>
    <w:pPr>
      <w:widowControl/>
      <w:ind w:firstLine="454"/>
      <w:jc w:val="left"/>
    </w:pPr>
    <w:rPr>
      <w:rFonts w:ascii="Tahoma" w:hAnsi="Tahoma" w:cs="宋体"/>
      <w:kern w:val="0"/>
      <w:sz w:val="24"/>
      <w:szCs w:val="20"/>
    </w:rPr>
  </w:style>
  <w:style w:type="paragraph" w:customStyle="1" w:styleId="112">
    <w:name w:val="Char1"/>
    <w:basedOn w:val="14"/>
    <w:qFormat/>
    <w:uiPriority w:val="0"/>
    <w:pPr>
      <w:widowControl/>
      <w:ind w:firstLine="454"/>
      <w:jc w:val="left"/>
    </w:pPr>
    <w:rPr>
      <w:rFonts w:ascii="Tahoma" w:hAnsi="Tahoma" w:cs="宋体"/>
      <w:kern w:val="0"/>
      <w:sz w:val="24"/>
      <w:szCs w:val="20"/>
    </w:rPr>
  </w:style>
  <w:style w:type="paragraph" w:customStyle="1" w:styleId="113">
    <w:name w:val="1"/>
    <w:basedOn w:val="1"/>
    <w:next w:val="22"/>
    <w:qFormat/>
    <w:uiPriority w:val="0"/>
    <w:rPr>
      <w:rFonts w:ascii="宋体" w:hAnsi="Courier New"/>
      <w:szCs w:val="20"/>
    </w:rPr>
  </w:style>
  <w:style w:type="paragraph" w:customStyle="1" w:styleId="114">
    <w:name w:val="_Style 2"/>
    <w:basedOn w:val="1"/>
    <w:qFormat/>
    <w:uiPriority w:val="0"/>
    <w:pPr>
      <w:ind w:firstLine="420" w:firstLineChars="200"/>
    </w:pPr>
  </w:style>
  <w:style w:type="paragraph" w:customStyle="1" w:styleId="115">
    <w:name w:val="正文段"/>
    <w:basedOn w:val="1"/>
    <w:qFormat/>
    <w:uiPriority w:val="0"/>
    <w:pPr>
      <w:widowControl/>
      <w:snapToGrid w:val="0"/>
      <w:spacing w:after="156" w:afterLines="50"/>
      <w:ind w:firstLine="200" w:firstLineChars="200"/>
    </w:pPr>
    <w:rPr>
      <w:kern w:val="0"/>
      <w:sz w:val="24"/>
      <w:szCs w:val="20"/>
    </w:rPr>
  </w:style>
  <w:style w:type="paragraph" w:customStyle="1" w:styleId="116">
    <w:name w:val="列出段落2"/>
    <w:basedOn w:val="1"/>
    <w:qFormat/>
    <w:uiPriority w:val="34"/>
    <w:pPr>
      <w:ind w:firstLine="420" w:firstLineChars="200"/>
    </w:pPr>
    <w:rPr>
      <w:rFonts w:ascii="Calibri" w:hAnsi="Calibri"/>
      <w:szCs w:val="22"/>
    </w:rPr>
  </w:style>
  <w:style w:type="paragraph" w:styleId="1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8">
    <w:name w:val="未处理的提及1"/>
    <w:basedOn w:val="36"/>
    <w:semiHidden/>
    <w:unhideWhenUsed/>
    <w:qFormat/>
    <w:uiPriority w:val="99"/>
    <w:rPr>
      <w:color w:val="605E5C"/>
      <w:shd w:val="clear" w:color="auto" w:fill="E1DFDD"/>
    </w:rPr>
  </w:style>
  <w:style w:type="character" w:customStyle="1" w:styleId="119">
    <w:name w:val="font81"/>
    <w:basedOn w:val="36"/>
    <w:qFormat/>
    <w:uiPriority w:val="0"/>
    <w:rPr>
      <w:rFonts w:hint="eastAsia" w:ascii="宋体" w:hAnsi="宋体" w:eastAsia="宋体" w:cs="宋体"/>
      <w:color w:val="000000"/>
      <w:sz w:val="18"/>
      <w:szCs w:val="18"/>
      <w:u w:val="none"/>
    </w:rPr>
  </w:style>
  <w:style w:type="paragraph" w:styleId="120">
    <w:name w:val="List Paragraph"/>
    <w:basedOn w:val="1"/>
    <w:qFormat/>
    <w:uiPriority w:val="34"/>
    <w:pPr>
      <w:ind w:firstLine="420" w:firstLineChars="200"/>
    </w:pPr>
  </w:style>
  <w:style w:type="character" w:customStyle="1" w:styleId="121">
    <w:name w:val="Unresolved Mention"/>
    <w:basedOn w:val="36"/>
    <w:semiHidden/>
    <w:unhideWhenUsed/>
    <w:qFormat/>
    <w:uiPriority w:val="99"/>
    <w:rPr>
      <w:color w:val="605E5C"/>
      <w:shd w:val="clear" w:color="auto" w:fill="E1DFDD"/>
    </w:rPr>
  </w:style>
  <w:style w:type="character" w:customStyle="1" w:styleId="122">
    <w:name w:val="纯文本 字符1"/>
    <w:qFormat/>
    <w:uiPriority w:val="0"/>
    <w:rPr>
      <w:rFonts w:ascii="宋体" w:hAnsi="Courier New" w:eastAsia="宋体" w:cs="Courier New"/>
      <w:kern w:val="2"/>
      <w:sz w:val="21"/>
      <w:szCs w:val="21"/>
      <w:lang w:val="en-US" w:eastAsia="zh-CN" w:bidi="ar-SA"/>
    </w:rPr>
  </w:style>
  <w:style w:type="paragraph" w:customStyle="1" w:styleId="12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4">
    <w:name w:val="标题 5 Char"/>
    <w:basedOn w:val="36"/>
    <w:link w:val="6"/>
    <w:qFormat/>
    <w:uiPriority w:val="0"/>
    <w:rPr>
      <w:b/>
      <w:kern w:val="2"/>
      <w:sz w:val="28"/>
      <w:szCs w:val="24"/>
    </w:rPr>
  </w:style>
  <w:style w:type="character" w:customStyle="1" w:styleId="125">
    <w:name w:val="标题 6 Char"/>
    <w:basedOn w:val="36"/>
    <w:link w:val="8"/>
    <w:qFormat/>
    <w:uiPriority w:val="0"/>
    <w:rPr>
      <w:rFonts w:ascii="Arial" w:hAnsi="Arial" w:eastAsia="黑体"/>
      <w:b/>
      <w:kern w:val="2"/>
      <w:sz w:val="24"/>
      <w:szCs w:val="24"/>
    </w:rPr>
  </w:style>
  <w:style w:type="character" w:customStyle="1" w:styleId="126">
    <w:name w:val="标题 7 Char"/>
    <w:basedOn w:val="36"/>
    <w:link w:val="9"/>
    <w:qFormat/>
    <w:uiPriority w:val="0"/>
    <w:rPr>
      <w:b/>
      <w:kern w:val="2"/>
      <w:sz w:val="24"/>
      <w:szCs w:val="24"/>
    </w:rPr>
  </w:style>
  <w:style w:type="character" w:customStyle="1" w:styleId="127">
    <w:name w:val="标题 8 Char"/>
    <w:basedOn w:val="36"/>
    <w:link w:val="10"/>
    <w:qFormat/>
    <w:uiPriority w:val="0"/>
    <w:rPr>
      <w:rFonts w:ascii="Arial" w:hAnsi="Arial" w:eastAsia="黑体"/>
      <w:kern w:val="2"/>
      <w:sz w:val="24"/>
      <w:szCs w:val="24"/>
    </w:rPr>
  </w:style>
  <w:style w:type="character" w:customStyle="1" w:styleId="128">
    <w:name w:val="标题 9 Char"/>
    <w:basedOn w:val="36"/>
    <w:link w:val="11"/>
    <w:qFormat/>
    <w:uiPriority w:val="0"/>
    <w:rPr>
      <w:rFonts w:ascii="Arial" w:hAnsi="Arial" w:eastAsia="黑体"/>
      <w:kern w:val="2"/>
      <w:sz w:val="21"/>
      <w:szCs w:val="24"/>
    </w:rPr>
  </w:style>
  <w:style w:type="character" w:customStyle="1" w:styleId="129">
    <w:name w:val="文档结构图 Char"/>
    <w:basedOn w:val="36"/>
    <w:link w:val="14"/>
    <w:qFormat/>
    <w:uiPriority w:val="0"/>
    <w:rPr>
      <w:kern w:val="2"/>
      <w:sz w:val="21"/>
      <w:szCs w:val="24"/>
      <w:shd w:val="clear" w:color="auto" w:fill="000080"/>
    </w:rPr>
  </w:style>
  <w:style w:type="character" w:customStyle="1" w:styleId="130">
    <w:name w:val="正文文本 3 Char"/>
    <w:basedOn w:val="36"/>
    <w:link w:val="16"/>
    <w:qFormat/>
    <w:uiPriority w:val="0"/>
    <w:rPr>
      <w:b/>
      <w:bCs/>
      <w:kern w:val="2"/>
      <w:sz w:val="24"/>
      <w:szCs w:val="24"/>
    </w:rPr>
  </w:style>
  <w:style w:type="character" w:customStyle="1" w:styleId="131">
    <w:name w:val="正文文本 Char"/>
    <w:basedOn w:val="36"/>
    <w:link w:val="17"/>
    <w:qFormat/>
    <w:uiPriority w:val="0"/>
    <w:rPr>
      <w:kern w:val="2"/>
      <w:sz w:val="24"/>
      <w:szCs w:val="24"/>
    </w:rPr>
  </w:style>
  <w:style w:type="character" w:customStyle="1" w:styleId="132">
    <w:name w:val="日期 Char"/>
    <w:basedOn w:val="36"/>
    <w:link w:val="23"/>
    <w:qFormat/>
    <w:uiPriority w:val="0"/>
    <w:rPr>
      <w:rFonts w:ascii="宋体" w:hAnsi="Courier New" w:cs="Courier New"/>
      <w:kern w:val="2"/>
      <w:sz w:val="21"/>
      <w:szCs w:val="21"/>
    </w:rPr>
  </w:style>
  <w:style w:type="character" w:customStyle="1" w:styleId="133">
    <w:name w:val="正文文本缩进 2 Char"/>
    <w:basedOn w:val="36"/>
    <w:link w:val="24"/>
    <w:qFormat/>
    <w:uiPriority w:val="0"/>
    <w:rPr>
      <w:kern w:val="2"/>
      <w:sz w:val="32"/>
    </w:rPr>
  </w:style>
  <w:style w:type="character" w:customStyle="1" w:styleId="134">
    <w:name w:val="正文文本缩进 3 Char"/>
    <w:basedOn w:val="36"/>
    <w:link w:val="30"/>
    <w:qFormat/>
    <w:uiPriority w:val="0"/>
    <w:rPr>
      <w:kern w:val="2"/>
      <w:sz w:val="16"/>
      <w:szCs w:val="16"/>
    </w:rPr>
  </w:style>
  <w:style w:type="character" w:customStyle="1" w:styleId="135">
    <w:name w:val="正文文本 2 Char"/>
    <w:basedOn w:val="36"/>
    <w:link w:val="18"/>
    <w:qFormat/>
    <w:uiPriority w:val="0"/>
    <w:rPr>
      <w:kern w:val="2"/>
      <w:sz w:val="21"/>
      <w:szCs w:val="24"/>
    </w:rPr>
  </w:style>
  <w:style w:type="character" w:customStyle="1" w:styleId="136">
    <w:name w:val="HTML 预设格式 Char"/>
    <w:basedOn w:val="36"/>
    <w:link w:val="31"/>
    <w:qFormat/>
    <w:uiPriority w:val="0"/>
    <w:rPr>
      <w:rFonts w:ascii="宋体" w:hAnsi="宋体" w:cs="宋体"/>
      <w:sz w:val="24"/>
      <w:szCs w:val="24"/>
    </w:rPr>
  </w:style>
  <w:style w:type="character" w:customStyle="1" w:styleId="137">
    <w:name w:val="font11"/>
    <w:basedOn w:val="36"/>
    <w:qFormat/>
    <w:uiPriority w:val="0"/>
    <w:rPr>
      <w:rFonts w:hint="eastAsia" w:ascii="宋体" w:hAnsi="宋体" w:eastAsia="宋体" w:cs="宋体"/>
      <w:color w:val="000000"/>
      <w:sz w:val="24"/>
      <w:szCs w:val="24"/>
      <w:u w:val="none"/>
    </w:rPr>
  </w:style>
  <w:style w:type="paragraph" w:customStyle="1" w:styleId="1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6405</Words>
  <Characters>36509</Characters>
  <Lines>304</Lines>
  <Paragraphs>85</Paragraphs>
  <TotalTime>17</TotalTime>
  <ScaleCrop>false</ScaleCrop>
  <LinksUpToDate>false</LinksUpToDate>
  <CharactersWithSpaces>42829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2025-03-12T06:25:00Z</dcterms:created>
  <dc:creator>Huang Qian</dc:creator>
  <cp:lastModifiedBy>Lenovo</cp:lastModifiedBy>
  <cp:lastPrinted>2025-09-09T06:03:00Z</cp:lastPrinted>
  <dcterms:modified xsi:type="dcterms:W3CDTF">2025-09-10T07:35:01Z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CC214BE1579849A49B2064FB7A60FE84</vt:lpwstr>
  </property>
  <property fmtid="{D5CDD505-2E9C-101B-9397-08002B2CF9AE}" pid="4" name="KSOTemplateDocerSaveRecord">
    <vt:lpwstr>eyJoZGlkIjoiYTI4OGY0ZDY4YTYzYzlmMTkyNjk2NTZmZjQ1YTExMGIiLCJ1c2VySWQiOiI0NDcxNTM5NjQifQ==</vt:lpwstr>
  </property>
</Properties>
</file>