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firstLine="0" w:firstLineChars="0"/>
        <w:rPr>
          <w:rFonts w:hint="eastAsia"/>
          <w:color w:val="auto"/>
          <w:highlight w:val="none"/>
        </w:rPr>
      </w:pPr>
    </w:p>
    <w:p>
      <w:pPr>
        <w:spacing w:before="156" w:beforeLines="50" w:line="1600" w:lineRule="exact"/>
        <w:ind w:left="634" w:leftChars="-64" w:hanging="768" w:hangingChars="64"/>
        <w:jc w:val="center"/>
        <w:rPr>
          <w:rFonts w:ascii="方正小标宋_GBK" w:hAnsi="宋体" w:eastAsia="方正小标宋_GBK"/>
          <w:color w:val="auto"/>
          <w:sz w:val="120"/>
          <w:szCs w:val="120"/>
          <w:highlight w:val="none"/>
        </w:rPr>
      </w:pPr>
      <w:r>
        <w:rPr>
          <w:rFonts w:hint="eastAsia" w:ascii="方正小标宋_GBK" w:hAnsi="宋体" w:eastAsia="方正小标宋_GBK"/>
          <w:color w:val="auto"/>
          <w:sz w:val="120"/>
          <w:szCs w:val="120"/>
          <w:highlight w:val="none"/>
        </w:rPr>
        <w:t>招标文件</w:t>
      </w: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snapToGrid w:val="0"/>
        <w:spacing w:before="156" w:beforeLines="50" w:line="320" w:lineRule="exact"/>
        <w:ind w:left="2976" w:hanging="2976" w:hangingChars="954"/>
        <w:rPr>
          <w:rFonts w:hint="eastAsia" w:ascii="方正小标宋_GBK" w:hAnsi="宋体" w:eastAsia="方正小标宋_GBK"/>
          <w:color w:val="auto"/>
          <w:sz w:val="30"/>
          <w:szCs w:val="72"/>
          <w:highlight w:val="none"/>
          <w:lang w:eastAsia="zh-CN"/>
        </w:rPr>
      </w:pPr>
      <w:r>
        <w:rPr>
          <w:rFonts w:hint="eastAsia" w:ascii="方正小标宋_GBK" w:hAnsi="宋体" w:eastAsia="方正小标宋_GBK"/>
          <w:color w:val="auto"/>
          <w:spacing w:val="6"/>
          <w:sz w:val="30"/>
          <w:szCs w:val="72"/>
          <w:highlight w:val="none"/>
        </w:rPr>
        <w:t xml:space="preserve">        项目名称</w:t>
      </w:r>
      <w:r>
        <w:rPr>
          <w:rFonts w:hint="eastAsia" w:ascii="方正小标宋_GBK" w:hAnsi="宋体" w:eastAsia="方正小标宋_GBK"/>
          <w:color w:val="auto"/>
          <w:sz w:val="30"/>
          <w:szCs w:val="72"/>
          <w:highlight w:val="none"/>
        </w:rPr>
        <w:t>:</w:t>
      </w:r>
      <w:bookmarkStart w:id="0" w:name="_Hlk179639570"/>
      <w:r>
        <w:rPr>
          <w:rFonts w:hint="eastAsia" w:ascii="方正小标宋_GBK" w:hAnsi="宋体" w:eastAsia="方正小标宋_GBK"/>
          <w:color w:val="auto"/>
          <w:sz w:val="30"/>
          <w:szCs w:val="72"/>
          <w:highlight w:val="none"/>
          <w:lang w:eastAsia="zh-CN"/>
        </w:rPr>
        <w:t>钦州市外国语学校新校区空调机(一期)</w:t>
      </w:r>
    </w:p>
    <w:bookmarkEnd w:id="0"/>
    <w:p>
      <w:pPr>
        <w:snapToGrid w:val="0"/>
        <w:spacing w:before="156" w:beforeLines="50"/>
        <w:ind w:firstLine="0" w:firstLineChars="0"/>
        <w:rPr>
          <w:rFonts w:hint="eastAsia" w:ascii="方正小标宋_GBK" w:hAnsi="宋体" w:eastAsia="宋体"/>
          <w:b/>
          <w:bCs/>
          <w:color w:val="auto"/>
          <w:sz w:val="30"/>
          <w:szCs w:val="30"/>
          <w:highlight w:val="none"/>
          <w:lang w:eastAsia="zh-CN"/>
        </w:rPr>
      </w:pPr>
      <w:r>
        <w:rPr>
          <w:rFonts w:hint="eastAsia" w:ascii="方正小标宋_GBK" w:hAnsi="宋体" w:eastAsia="方正小标宋_GBK"/>
          <w:color w:val="auto"/>
          <w:spacing w:val="6"/>
          <w:sz w:val="30"/>
          <w:szCs w:val="72"/>
          <w:highlight w:val="none"/>
        </w:rPr>
        <w:t xml:space="preserve">        项目编号</w:t>
      </w:r>
      <w:r>
        <w:rPr>
          <w:rFonts w:hint="eastAsia" w:ascii="方正小标宋_GBK" w:hAnsi="宋体" w:eastAsia="方正小标宋_GBK"/>
          <w:color w:val="auto"/>
          <w:sz w:val="30"/>
          <w:szCs w:val="72"/>
          <w:highlight w:val="none"/>
        </w:rPr>
        <w:t>:</w:t>
      </w:r>
      <w:r>
        <w:rPr>
          <w:rFonts w:hint="eastAsia" w:ascii="方正小标宋_GBK" w:hAnsi="宋体" w:eastAsia="方正小标宋_GBK"/>
          <w:color w:val="auto"/>
          <w:sz w:val="30"/>
          <w:szCs w:val="72"/>
          <w:highlight w:val="none"/>
          <w:lang w:eastAsia="zh-CN"/>
        </w:rPr>
        <w:t xml:space="preserve"> QZZC2025-G1-990210-QZSZ</w:t>
      </w: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spacing w:line="360" w:lineRule="exact"/>
        <w:ind w:firstLine="0" w:firstLineChars="0"/>
        <w:jc w:val="center"/>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snapToGrid w:val="0"/>
        <w:spacing w:before="156" w:beforeLines="50" w:line="360" w:lineRule="exact"/>
        <w:ind w:left="420" w:hanging="420" w:firstLineChars="0"/>
        <w:jc w:val="center"/>
        <w:rPr>
          <w:rFonts w:hint="eastAsia" w:ascii="方正小标宋_GBK" w:hAnsi="宋体" w:eastAsia="方正小标宋_GBK"/>
          <w:color w:val="auto"/>
          <w:sz w:val="30"/>
          <w:szCs w:val="72"/>
          <w:highlight w:val="none"/>
        </w:rPr>
      </w:pPr>
      <w:r>
        <w:rPr>
          <w:rFonts w:hint="eastAsia" w:ascii="方正小标宋_GBK" w:hAnsi="微软雅黑" w:eastAsia="方正小标宋_GBK"/>
          <w:color w:val="auto"/>
          <w:sz w:val="32"/>
          <w:szCs w:val="32"/>
          <w:highlight w:val="none"/>
        </w:rPr>
        <w:t>202</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年</w:t>
      </w:r>
      <w:r>
        <w:rPr>
          <w:rFonts w:hint="eastAsia" w:ascii="方正小标宋_GBK" w:hAnsi="微软雅黑" w:eastAsia="方正小标宋_GBK"/>
          <w:color w:val="auto"/>
          <w:sz w:val="32"/>
          <w:szCs w:val="32"/>
          <w:highlight w:val="none"/>
          <w:lang w:val="en-US" w:eastAsia="zh-CN"/>
        </w:rPr>
        <w:t>7</w:t>
      </w:r>
      <w:r>
        <w:rPr>
          <w:rFonts w:hint="eastAsia" w:ascii="方正小标宋_GBK" w:hAnsi="微软雅黑" w:eastAsia="方正小标宋_GBK"/>
          <w:color w:val="auto"/>
          <w:sz w:val="32"/>
          <w:szCs w:val="32"/>
          <w:highlight w:val="none"/>
        </w:rPr>
        <w:t>月</w:t>
      </w:r>
    </w:p>
    <w:p>
      <w:pPr>
        <w:ind w:firstLine="0" w:firstLineChars="0"/>
        <w:rPr>
          <w:color w:val="auto"/>
          <w:highlight w:val="none"/>
        </w:rPr>
      </w:pPr>
      <w:r>
        <w:rPr>
          <w:color w:val="auto"/>
          <w:highlight w:val="none"/>
        </w:rPr>
        <w:br w:type="page"/>
      </w:r>
    </w:p>
    <w:p>
      <w:pPr>
        <w:ind w:firstLine="0" w:firstLineChars="0"/>
        <w:rPr>
          <w:rFonts w:hint="eastAsia"/>
          <w:color w:val="auto"/>
          <w:highlight w:val="none"/>
        </w:rPr>
      </w:pPr>
    </w:p>
    <w:p>
      <w:pPr>
        <w:pStyle w:val="26"/>
        <w:ind w:firstLine="0" w:firstLineChars="0"/>
        <w:jc w:val="center"/>
        <w:rPr>
          <w:rFonts w:hint="eastAsia" w:ascii="隶书" w:eastAsia="隶书"/>
          <w:b/>
          <w:color w:val="auto"/>
          <w:sz w:val="44"/>
          <w:highlight w:val="none"/>
        </w:rPr>
      </w:pPr>
      <w:r>
        <w:rPr>
          <w:rFonts w:hint="eastAsia" w:ascii="隶书" w:eastAsia="隶书"/>
          <w:b/>
          <w:color w:val="auto"/>
          <w:sz w:val="44"/>
          <w:highlight w:val="none"/>
        </w:rPr>
        <w:t>目   录</w:t>
      </w:r>
    </w:p>
    <w:p>
      <w:pPr>
        <w:ind w:firstLine="0" w:firstLineChars="0"/>
        <w:rPr>
          <w:color w:val="auto"/>
          <w:highlight w:val="none"/>
        </w:rPr>
      </w:pPr>
    </w:p>
    <w:p>
      <w:pPr>
        <w:pStyle w:val="126"/>
        <w:spacing w:line="1000" w:lineRule="exact"/>
        <w:rPr>
          <w:rFonts w:ascii="仿宋" w:hAnsi="仿宋" w:eastAsia="仿宋"/>
          <w:color w:val="auto"/>
          <w:sz w:val="28"/>
          <w:szCs w:val="28"/>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w:instrText>
      </w:r>
      <w:r>
        <w:rPr>
          <w:rFonts w:hint="eastAsia" w:ascii="宋体" w:hAnsi="宋体"/>
          <w:color w:val="auto"/>
          <w:sz w:val="32"/>
          <w:szCs w:val="32"/>
          <w:highlight w:val="none"/>
        </w:rPr>
        <w:instrText xml:space="preserve">TOC \o "1-1" \h \z \u</w:instrText>
      </w:r>
      <w:r>
        <w:rPr>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"_Toc91512283"</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第一章  公 告</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"_Toc91512284"</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第二章  项目需求</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_Toc91512284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7</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"_Toc91512285"</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第三章  投标人须知及前</w:t>
      </w:r>
      <w:bookmarkStart w:id="1" w:name="_Hlt91583491"/>
      <w:bookmarkStart w:id="2" w:name="_Hlt91583492"/>
      <w:r>
        <w:rPr>
          <w:rStyle w:val="57"/>
          <w:rFonts w:ascii="仿宋" w:hAnsi="仿宋" w:eastAsia="仿宋"/>
          <w:color w:val="auto"/>
          <w:sz w:val="28"/>
          <w:szCs w:val="28"/>
          <w:highlight w:val="none"/>
        </w:rPr>
        <w:t>附</w:t>
      </w:r>
      <w:bookmarkEnd w:id="1"/>
      <w:bookmarkEnd w:id="2"/>
      <w:r>
        <w:rPr>
          <w:rStyle w:val="57"/>
          <w:rFonts w:ascii="仿宋" w:hAnsi="仿宋" w:eastAsia="仿宋"/>
          <w:color w:val="auto"/>
          <w:sz w:val="28"/>
          <w:szCs w:val="28"/>
          <w:highlight w:val="none"/>
        </w:rPr>
        <w:t>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18</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"_Toc91512286"</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第四章  评</w:t>
      </w:r>
      <w:r>
        <w:rPr>
          <w:rStyle w:val="57"/>
          <w:rFonts w:hint="eastAsia" w:ascii="仿宋" w:hAnsi="仿宋" w:eastAsia="仿宋"/>
          <w:color w:val="auto"/>
          <w:sz w:val="28"/>
          <w:szCs w:val="28"/>
          <w:highlight w:val="none"/>
        </w:rPr>
        <w:t>定</w:t>
      </w:r>
      <w:r>
        <w:rPr>
          <w:rStyle w:val="57"/>
          <w:rFonts w:ascii="仿宋" w:hAnsi="仿宋" w:eastAsia="仿宋"/>
          <w:color w:val="auto"/>
          <w:sz w:val="28"/>
          <w:szCs w:val="28"/>
          <w:highlight w:val="none"/>
        </w:rPr>
        <w:t>标准及</w:t>
      </w:r>
      <w:r>
        <w:rPr>
          <w:rStyle w:val="57"/>
          <w:rFonts w:hint="eastAsia" w:ascii="仿宋" w:hAnsi="仿宋" w:eastAsia="仿宋"/>
          <w:color w:val="auto"/>
          <w:sz w:val="28"/>
          <w:szCs w:val="28"/>
          <w:highlight w:val="none"/>
        </w:rPr>
        <w:t>推荐原则</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_Toc91512286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30</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"_Toc91512287"</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第五章  政府采购合同主要条款</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35</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"_Toc91512288"</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第六章　投标文件格式</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_Toc91512288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51</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ind w:left="-2" w:leftChars="-1" w:firstLine="0" w:firstLineChars="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46" w:right="1106" w:bottom="1091" w:left="1080" w:header="851" w:footer="992" w:gutter="0"/>
          <w:cols w:space="720" w:num="1"/>
          <w:titlePg/>
          <w:docGrid w:type="lines" w:linePitch="312" w:charSpace="0"/>
        </w:sectPr>
      </w:pPr>
      <w:r>
        <w:rPr>
          <w:color w:val="auto"/>
          <w:highlight w:val="none"/>
        </w:rPr>
        <w:fldChar w:fldCharType="end"/>
      </w:r>
    </w:p>
    <w:p>
      <w:pPr>
        <w:ind w:left="-2" w:leftChars="-1" w:firstLine="0" w:firstLineChars="0"/>
        <w:rPr>
          <w:rFonts w:hint="eastAsia"/>
          <w:color w:val="auto"/>
          <w:highlight w:val="none"/>
        </w:rPr>
      </w:pPr>
    </w:p>
    <w:p>
      <w:pPr>
        <w:ind w:firstLine="0" w:firstLineChars="0"/>
        <w:rPr>
          <w:color w:val="auto"/>
          <w:highlight w:val="none"/>
        </w:rPr>
      </w:pPr>
      <w:bookmarkStart w:id="3" w:name="_Toc91512283"/>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5"/>
        <w:ind w:left="0" w:leftChars="0" w:right="0" w:rightChars="0" w:firstLine="0" w:firstLineChars="0"/>
        <w:jc w:val="center"/>
        <w:rPr>
          <w:rFonts w:hint="eastAsia" w:ascii="方正小标宋_GBK"/>
          <w:color w:val="auto"/>
          <w:szCs w:val="44"/>
          <w:highlight w:val="none"/>
        </w:rPr>
      </w:pPr>
      <w:r>
        <w:rPr>
          <w:rFonts w:hint="eastAsia" w:ascii="方正小标宋_GBK"/>
          <w:color w:val="auto"/>
          <w:szCs w:val="44"/>
          <w:highlight w:val="none"/>
        </w:rPr>
        <w:t>第一章  公 告</w:t>
      </w:r>
      <w:bookmarkEnd w:id="3"/>
    </w:p>
    <w:p>
      <w:pPr>
        <w:ind w:left="420" w:firstLine="0" w:firstLineChars="0"/>
        <w:rPr>
          <w:color w:val="auto"/>
          <w:highlight w:val="none"/>
        </w:rPr>
      </w:pPr>
      <w:r>
        <w:rPr>
          <w:color w:val="auto"/>
          <w:highlight w:val="none"/>
        </w:rPr>
        <w:br w:type="page"/>
      </w:r>
    </w:p>
    <w:p>
      <w:pPr>
        <w:spacing w:line="440" w:lineRule="exact"/>
        <w:ind w:firstLine="0" w:firstLineChars="0"/>
        <w:jc w:val="center"/>
        <w:rPr>
          <w:rFonts w:hint="eastAsia"/>
          <w:color w:val="auto"/>
          <w:highlight w:val="none"/>
        </w:rPr>
      </w:pPr>
      <w:r>
        <w:rPr>
          <w:rFonts w:ascii="方正小标宋_GBK" w:eastAsia="方正小标宋_GBK"/>
          <w:b/>
          <w:bCs/>
          <w:color w:val="auto"/>
          <w:sz w:val="36"/>
          <w:szCs w:val="36"/>
          <w:highlight w:val="none"/>
        </w:rPr>
        <w:t>钦州市政府采购中心</w:t>
      </w:r>
      <w:bookmarkStart w:id="4" w:name="_Hlk169687345"/>
      <w:r>
        <w:rPr>
          <w:rFonts w:ascii="方正小标宋_GBK" w:eastAsia="方正小标宋_GBK"/>
          <w:b/>
          <w:bCs/>
          <w:color w:val="auto"/>
          <w:sz w:val="36"/>
          <w:szCs w:val="36"/>
          <w:highlight w:val="none"/>
        </w:rPr>
        <w:t>关于</w:t>
      </w:r>
      <w:r>
        <w:rPr>
          <w:rFonts w:hint="eastAsia" w:ascii="方正小标宋_GBK" w:eastAsia="方正小标宋_GBK"/>
          <w:b/>
          <w:bCs/>
          <w:color w:val="auto"/>
          <w:sz w:val="36"/>
          <w:szCs w:val="36"/>
          <w:highlight w:val="none"/>
          <w:lang w:eastAsia="zh-CN"/>
        </w:rPr>
        <w:t>钦州市外国语学校新校区空调机(一期)</w:t>
      </w:r>
      <w:r>
        <w:rPr>
          <w:rFonts w:ascii="方正小标宋_GBK" w:eastAsia="方正小标宋_GBK"/>
          <w:b/>
          <w:bCs/>
          <w:color w:val="auto"/>
          <w:sz w:val="36"/>
          <w:szCs w:val="36"/>
          <w:highlight w:val="none"/>
        </w:rPr>
        <w:t>(</w:t>
      </w:r>
      <w:r>
        <w:rPr>
          <w:rFonts w:hint="eastAsia" w:ascii="方正小标宋_GBK" w:eastAsia="方正小标宋_GBK"/>
          <w:b/>
          <w:bCs/>
          <w:color w:val="auto"/>
          <w:sz w:val="36"/>
          <w:szCs w:val="36"/>
          <w:highlight w:val="none"/>
          <w:lang w:eastAsia="zh-CN"/>
        </w:rPr>
        <w:t>QZZC2025-G1-990210-QZSZ</w:t>
      </w:r>
      <w:r>
        <w:rPr>
          <w:rFonts w:ascii="方正小标宋_GBK" w:eastAsia="方正小标宋_GBK"/>
          <w:b/>
          <w:bCs/>
          <w:color w:val="auto"/>
          <w:sz w:val="36"/>
          <w:szCs w:val="36"/>
          <w:highlight w:val="none"/>
        </w:rPr>
        <w:t>)</w:t>
      </w:r>
      <w:bookmarkEnd w:id="4"/>
      <w:r>
        <w:rPr>
          <w:rFonts w:hint="eastAsia" w:ascii="方正小标宋_GBK" w:eastAsia="方正小标宋_GBK"/>
          <w:b/>
          <w:bCs/>
          <w:color w:val="auto"/>
          <w:sz w:val="36"/>
          <w:szCs w:val="36"/>
          <w:highlight w:val="none"/>
        </w:rPr>
        <w:t>的招标公告</w:t>
      </w:r>
    </w:p>
    <w:p>
      <w:pPr>
        <w:pBdr>
          <w:top w:val="single" w:color="auto" w:sz="4" w:space="0"/>
          <w:left w:val="single" w:color="auto" w:sz="4" w:space="4"/>
          <w:bottom w:val="single" w:color="auto" w:sz="4" w:space="1"/>
          <w:right w:val="single" w:color="auto" w:sz="4" w:space="4"/>
        </w:pBdr>
        <w:spacing w:line="412" w:lineRule="exact"/>
        <w:ind w:firstLine="0" w:firstLineChars="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12" w:lineRule="exact"/>
        <w:ind w:firstLine="420"/>
        <w:rPr>
          <w:rFonts w:ascii="宋体" w:hAnsi="宋体"/>
          <w:color w:val="auto"/>
          <w:szCs w:val="21"/>
          <w:highlight w:val="none"/>
        </w:rPr>
      </w:pPr>
      <w:r>
        <w:rPr>
          <w:rFonts w:hint="eastAsia" w:ascii="宋体" w:hAnsi="宋体"/>
          <w:bCs/>
          <w:color w:val="auto"/>
          <w:szCs w:val="21"/>
          <w:highlight w:val="none"/>
          <w:lang w:eastAsia="zh-CN"/>
        </w:rPr>
        <w:t>钦州市外国语学校新校区空调机(一期)</w:t>
      </w:r>
      <w:r>
        <w:rPr>
          <w:rFonts w:hint="eastAsia" w:ascii="宋体" w:hAnsi="宋体"/>
          <w:bCs/>
          <w:color w:val="auto"/>
          <w:szCs w:val="21"/>
          <w:highlight w:val="none"/>
        </w:rPr>
        <w:t>招标</w:t>
      </w:r>
      <w:r>
        <w:rPr>
          <w:rFonts w:hint="eastAsia" w:ascii="宋体" w:hAnsi="宋体"/>
          <w:color w:val="auto"/>
          <w:szCs w:val="21"/>
          <w:highlight w:val="none"/>
        </w:rPr>
        <w:t>项目的潜在投标人应在广西</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"https://www.zcygov.cn/"</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Style w:val="57"/>
          <w:rFonts w:hint="eastAsia" w:ascii="宋体" w:hAnsi="宋体"/>
          <w:color w:val="auto"/>
          <w:szCs w:val="21"/>
          <w:highlight w:val="none"/>
          <w:u w:val="none"/>
        </w:rPr>
        <w:t>政府采购云平台</w:t>
      </w:r>
      <w:r>
        <w:rPr>
          <w:rFonts w:ascii="宋体" w:hAnsi="宋体"/>
          <w:color w:val="auto"/>
          <w:szCs w:val="21"/>
          <w:highlight w:val="none"/>
        </w:rPr>
        <w:fldChar w:fldCharType="end"/>
      </w:r>
      <w:r>
        <w:rPr>
          <w:rFonts w:hint="eastAsia" w:ascii="宋体" w:hAnsi="宋体"/>
          <w:color w:val="auto"/>
          <w:szCs w:val="21"/>
          <w:highlight w:val="none"/>
        </w:rPr>
        <w:t>获取招标文件，并于202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8月20日</w:t>
      </w:r>
      <w:r>
        <w:rPr>
          <w:rFonts w:hint="eastAsia"/>
          <w:color w:val="auto"/>
          <w:highlight w:val="none"/>
        </w:rPr>
        <w:t>09</w:t>
      </w:r>
      <w:r>
        <w:rPr>
          <w:color w:val="auto"/>
          <w:highlight w:val="none"/>
        </w:rPr>
        <w:t>:</w:t>
      </w:r>
      <w:r>
        <w:rPr>
          <w:rFonts w:hint="eastAsia"/>
          <w:color w:val="auto"/>
          <w:highlight w:val="none"/>
        </w:rPr>
        <w:t>3</w:t>
      </w:r>
      <w:r>
        <w:rPr>
          <w:color w:val="auto"/>
          <w:highlight w:val="none"/>
        </w:rPr>
        <w:t>0</w:t>
      </w:r>
      <w:r>
        <w:rPr>
          <w:rFonts w:hint="eastAsia" w:ascii="宋体" w:hAnsi="宋体"/>
          <w:color w:val="auto"/>
          <w:szCs w:val="21"/>
          <w:highlight w:val="none"/>
        </w:rPr>
        <w:t>（北京时间）前提交投标文件。</w:t>
      </w:r>
    </w:p>
    <w:p>
      <w:pPr>
        <w:spacing w:line="412" w:lineRule="exact"/>
        <w:ind w:firstLine="0" w:firstLineChars="0"/>
        <w:rPr>
          <w:b/>
          <w:color w:val="auto"/>
          <w:highlight w:val="none"/>
        </w:rPr>
      </w:pPr>
      <w:bookmarkStart w:id="5" w:name="_Toc28359079"/>
      <w:bookmarkStart w:id="6" w:name="_Toc35393621"/>
      <w:bookmarkStart w:id="7" w:name="_Toc35393790"/>
      <w:bookmarkStart w:id="8" w:name="_Toc28359002"/>
      <w:bookmarkStart w:id="9" w:name="_Hlk24379207"/>
      <w:bookmarkStart w:id="10" w:name="_Hlk92355554"/>
      <w:r>
        <w:rPr>
          <w:rFonts w:hint="eastAsia"/>
          <w:b/>
          <w:color w:val="auto"/>
          <w:highlight w:val="none"/>
        </w:rPr>
        <w:t>一、项目基本情况</w:t>
      </w:r>
      <w:bookmarkEnd w:id="5"/>
      <w:bookmarkEnd w:id="6"/>
      <w:bookmarkEnd w:id="7"/>
      <w:bookmarkEnd w:id="8"/>
    </w:p>
    <w:p>
      <w:pPr>
        <w:spacing w:line="412" w:lineRule="exact"/>
        <w:ind w:firstLine="42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QZZC2025-G1-990210-QZSZ</w:t>
      </w:r>
    </w:p>
    <w:p>
      <w:pPr>
        <w:spacing w:line="412" w:lineRule="exact"/>
        <w:ind w:firstLine="4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钦州市外国语学校新校区空调机(一期)</w:t>
      </w:r>
    </w:p>
    <w:bookmarkEnd w:id="9"/>
    <w:p>
      <w:pPr>
        <w:spacing w:line="412" w:lineRule="exact"/>
        <w:ind w:firstLine="420"/>
        <w:rPr>
          <w:rFonts w:hint="default" w:eastAsia="宋体"/>
          <w:color w:val="auto"/>
          <w:highlight w:val="none"/>
          <w:lang w:val="en-US" w:eastAsia="zh-CN"/>
        </w:rPr>
      </w:pPr>
      <w:r>
        <w:rPr>
          <w:rFonts w:hint="eastAsia"/>
          <w:color w:val="auto"/>
          <w:highlight w:val="none"/>
        </w:rPr>
        <w:t>预算总金额(元</w:t>
      </w:r>
      <w:r>
        <w:rPr>
          <w:color w:val="auto"/>
          <w:highlight w:val="none"/>
        </w:rPr>
        <w:t>)</w:t>
      </w:r>
      <w:r>
        <w:rPr>
          <w:rFonts w:hint="eastAsia"/>
          <w:color w:val="auto"/>
          <w:highlight w:val="none"/>
        </w:rPr>
        <w:t>：</w:t>
      </w:r>
      <w:bookmarkStart w:id="11" w:name="OLE_LINK7"/>
      <w:r>
        <w:rPr>
          <w:rFonts w:hint="eastAsia"/>
          <w:highlight w:val="none"/>
          <w:lang w:val="en-US" w:eastAsia="zh-CN"/>
        </w:rPr>
        <w:t>3350000.00</w:t>
      </w:r>
      <w:bookmarkEnd w:id="11"/>
    </w:p>
    <w:p>
      <w:pPr>
        <w:spacing w:line="412" w:lineRule="exact"/>
        <w:ind w:firstLine="420"/>
        <w:rPr>
          <w:color w:val="auto"/>
          <w:highlight w:val="none"/>
        </w:rPr>
      </w:pPr>
      <w:r>
        <w:rPr>
          <w:rFonts w:hint="eastAsia"/>
          <w:color w:val="auto"/>
          <w:highlight w:val="none"/>
        </w:rPr>
        <w:t>采购需求：</w:t>
      </w:r>
    </w:p>
    <w:p>
      <w:pPr>
        <w:spacing w:line="412" w:lineRule="exact"/>
        <w:ind w:firstLine="420"/>
        <w:rPr>
          <w:rFonts w:hint="eastAsia"/>
          <w:color w:val="auto"/>
          <w:highlight w:val="none"/>
        </w:rPr>
      </w:pPr>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标项名称：</w:t>
      </w:r>
      <w:r>
        <w:rPr>
          <w:rFonts w:hint="eastAsia" w:cs="Times New Roman"/>
          <w:color w:val="auto"/>
          <w:szCs w:val="24"/>
          <w:highlight w:val="none"/>
          <w:lang w:eastAsia="zh-CN"/>
        </w:rPr>
        <w:t>钦州市外国语学校新校区空调机(一期)</w:t>
      </w:r>
    </w:p>
    <w:p>
      <w:pPr>
        <w:spacing w:line="40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数量：</w:t>
      </w:r>
      <w:r>
        <w:rPr>
          <w:rFonts w:hint="eastAsia" w:cs="Times New Roman"/>
          <w:color w:val="auto"/>
          <w:szCs w:val="24"/>
          <w:highlight w:val="none"/>
          <w:lang w:val="en-US" w:eastAsia="zh-CN"/>
        </w:rPr>
        <w:t>1</w:t>
      </w:r>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预算金额</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元</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r>
        <w:rPr>
          <w:rFonts w:hint="eastAsia" w:cs="Times New Roman"/>
          <w:color w:val="auto"/>
          <w:szCs w:val="24"/>
          <w:highlight w:val="none"/>
          <w:lang w:val="en-US" w:eastAsia="zh-CN"/>
        </w:rPr>
        <w:t>3350000.00</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简要规格描述或项目基本概况介绍、用途：购置</w:t>
      </w:r>
      <w:r>
        <w:rPr>
          <w:rFonts w:hint="eastAsia" w:cs="Times New Roman"/>
          <w:color w:val="auto"/>
          <w:szCs w:val="24"/>
          <w:highlight w:val="none"/>
          <w:lang w:val="en-US" w:eastAsia="zh-CN"/>
        </w:rPr>
        <w:t>空调</w:t>
      </w:r>
      <w:r>
        <w:rPr>
          <w:rFonts w:hint="eastAsia" w:ascii="Times New Roman" w:hAnsi="Times New Roman" w:eastAsia="宋体" w:cs="Times New Roman"/>
          <w:color w:val="auto"/>
          <w:szCs w:val="24"/>
          <w:highlight w:val="none"/>
        </w:rPr>
        <w:t>设备一批。详见招标文件。</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最高限价</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如有</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p>
    <w:p>
      <w:pPr>
        <w:spacing w:line="400" w:lineRule="exact"/>
        <w:ind w:firstLine="420" w:firstLineChars="200"/>
        <w:rPr>
          <w:rFonts w:ascii="Times New Roman" w:hAnsi="Times New Roman" w:eastAsia="宋体" w:cs="Times New Roman"/>
          <w:color w:val="auto"/>
          <w:szCs w:val="24"/>
          <w:highlight w:val="none"/>
        </w:rPr>
      </w:pPr>
      <w:bookmarkStart w:id="12" w:name="OLE_LINK8"/>
      <w:r>
        <w:rPr>
          <w:rFonts w:hint="eastAsia" w:ascii="Times New Roman" w:hAnsi="Times New Roman" w:eastAsia="宋体" w:cs="Times New Roman"/>
          <w:color w:val="auto"/>
          <w:szCs w:val="24"/>
          <w:highlight w:val="none"/>
        </w:rPr>
        <w:t>合同履行期限</w:t>
      </w:r>
      <w:bookmarkEnd w:id="12"/>
      <w:r>
        <w:rPr>
          <w:rFonts w:hint="eastAsia" w:ascii="Times New Roman" w:hAnsi="Times New Roman" w:eastAsia="宋体" w:cs="Times New Roman"/>
          <w:color w:val="auto"/>
          <w:szCs w:val="24"/>
          <w:highlight w:val="none"/>
        </w:rPr>
        <w:t>：</w:t>
      </w:r>
      <w:bookmarkStart w:id="13" w:name="OLE_LINK9"/>
      <w:r>
        <w:rPr>
          <w:rFonts w:hint="eastAsia" w:ascii="Times New Roman" w:hAnsi="Times New Roman" w:eastAsia="宋体" w:cs="Times New Roman"/>
          <w:color w:val="auto"/>
          <w:szCs w:val="24"/>
          <w:highlight w:val="none"/>
        </w:rPr>
        <w:t>合同签订之日起</w:t>
      </w:r>
      <w:r>
        <w:rPr>
          <w:rFonts w:hint="eastAsia" w:cs="Times New Roman"/>
          <w:color w:val="auto"/>
          <w:szCs w:val="24"/>
          <w:highlight w:val="none"/>
          <w:u w:val="none"/>
          <w:lang w:val="en-US" w:eastAsia="zh-CN"/>
        </w:rPr>
        <w:t>10日</w:t>
      </w:r>
      <w:r>
        <w:rPr>
          <w:rFonts w:hint="eastAsia" w:ascii="Times New Roman" w:hAnsi="Times New Roman" w:eastAsia="宋体" w:cs="Times New Roman"/>
          <w:color w:val="auto"/>
          <w:szCs w:val="24"/>
          <w:highlight w:val="none"/>
        </w:rPr>
        <w:t>内。</w:t>
      </w:r>
      <w:bookmarkEnd w:id="13"/>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本标项</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否</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接受联合体投标。</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备注：</w:t>
      </w:r>
    </w:p>
    <w:p>
      <w:pPr>
        <w:spacing w:line="412" w:lineRule="exact"/>
        <w:ind w:firstLine="420"/>
        <w:rPr>
          <w:rFonts w:hint="eastAsia"/>
          <w:color w:val="auto"/>
          <w:highlight w:val="none"/>
        </w:rPr>
      </w:pPr>
    </w:p>
    <w:p>
      <w:pPr>
        <w:spacing w:line="412" w:lineRule="exact"/>
        <w:ind w:firstLine="0" w:firstLineChars="0"/>
        <w:rPr>
          <w:rFonts w:hint="eastAsia"/>
          <w:b/>
          <w:color w:val="auto"/>
          <w:highlight w:val="none"/>
        </w:rPr>
      </w:pPr>
      <w:bookmarkStart w:id="14" w:name="_Toc35393791"/>
      <w:bookmarkStart w:id="15" w:name="_Toc28359003"/>
      <w:bookmarkStart w:id="16" w:name="_Toc35393622"/>
      <w:bookmarkStart w:id="17" w:name="_Toc28359080"/>
      <w:r>
        <w:rPr>
          <w:rFonts w:hint="eastAsia"/>
          <w:b/>
          <w:color w:val="auto"/>
          <w:highlight w:val="none"/>
        </w:rPr>
        <w:t>二、申请人的资格要求：</w:t>
      </w:r>
      <w:bookmarkEnd w:id="14"/>
      <w:bookmarkEnd w:id="15"/>
      <w:bookmarkEnd w:id="16"/>
      <w:bookmarkEnd w:id="17"/>
      <w:bookmarkStart w:id="18" w:name="_Toc35393792"/>
      <w:bookmarkStart w:id="19" w:name="_Toc28359004"/>
      <w:bookmarkStart w:id="20" w:name="_Toc28359081"/>
      <w:bookmarkStart w:id="21" w:name="_Toc35393623"/>
    </w:p>
    <w:p>
      <w:pPr>
        <w:spacing w:line="412" w:lineRule="exact"/>
        <w:ind w:firstLine="420"/>
        <w:rPr>
          <w:b/>
          <w:color w:val="auto"/>
          <w:highlight w:val="none"/>
        </w:rPr>
      </w:pPr>
      <w:r>
        <w:rPr>
          <w:rFonts w:hint="eastAsia"/>
          <w:color w:val="auto"/>
          <w:highlight w:val="none"/>
        </w:rPr>
        <w:t>1.满足《中华人民共和国政府采购法》第二十二条规定；</w:t>
      </w:r>
    </w:p>
    <w:p>
      <w:pPr>
        <w:spacing w:line="412" w:lineRule="exact"/>
        <w:ind w:firstLine="420"/>
        <w:rPr>
          <w:color w:val="auto"/>
          <w:highlight w:val="none"/>
        </w:rPr>
      </w:pPr>
      <w:r>
        <w:rPr>
          <w:rFonts w:hint="eastAsia"/>
          <w:color w:val="auto"/>
          <w:highlight w:val="none"/>
        </w:rPr>
        <w:t>2.落实政府采购政策需满足的资格要求：无</w:t>
      </w:r>
    </w:p>
    <w:p>
      <w:pPr>
        <w:spacing w:line="412" w:lineRule="exact"/>
        <w:ind w:firstLine="420"/>
        <w:rPr>
          <w:color w:val="auto"/>
          <w:highlight w:val="none"/>
        </w:rPr>
      </w:pPr>
      <w:r>
        <w:rPr>
          <w:rFonts w:hint="eastAsia"/>
          <w:color w:val="auto"/>
          <w:highlight w:val="none"/>
        </w:rPr>
        <w:t>3.本项目的特定资格要求：无</w:t>
      </w:r>
    </w:p>
    <w:p>
      <w:pPr>
        <w:spacing w:line="412" w:lineRule="exact"/>
        <w:ind w:firstLine="0" w:firstLineChars="0"/>
        <w:rPr>
          <w:b/>
          <w:color w:val="auto"/>
          <w:highlight w:val="none"/>
        </w:rPr>
      </w:pPr>
      <w:r>
        <w:rPr>
          <w:rFonts w:hint="eastAsia"/>
          <w:b/>
          <w:color w:val="auto"/>
          <w:highlight w:val="none"/>
        </w:rPr>
        <w:t>三、获取招标文件</w:t>
      </w:r>
      <w:bookmarkEnd w:id="18"/>
      <w:bookmarkEnd w:id="19"/>
      <w:bookmarkEnd w:id="20"/>
      <w:bookmarkEnd w:id="21"/>
    </w:p>
    <w:p>
      <w:pPr>
        <w:spacing w:line="412" w:lineRule="exact"/>
        <w:ind w:firstLine="420"/>
        <w:jc w:val="left"/>
        <w:rPr>
          <w:color w:val="auto"/>
          <w:highlight w:val="none"/>
        </w:rPr>
      </w:pPr>
      <w:bookmarkStart w:id="22" w:name="_Toc38370141"/>
      <w:r>
        <w:rPr>
          <w:rFonts w:hint="eastAsia"/>
          <w:color w:val="auto"/>
          <w:highlight w:val="none"/>
        </w:rPr>
        <w:t>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30</w:t>
      </w:r>
      <w:r>
        <w:rPr>
          <w:rFonts w:hint="eastAsia"/>
          <w:color w:val="auto"/>
          <w:highlight w:val="none"/>
        </w:rPr>
        <w:t>日至202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8</w:t>
      </w:r>
      <w:r>
        <w:rPr>
          <w:rFonts w:hint="eastAsia"/>
          <w:color w:val="auto"/>
          <w:highlight w:val="none"/>
        </w:rPr>
        <w:t>日 ，每天上午00:00至12:00，下午12:00至23:59（北京时间，法定节假日除外）</w:t>
      </w:r>
    </w:p>
    <w:p>
      <w:pPr>
        <w:spacing w:line="412" w:lineRule="exact"/>
        <w:ind w:firstLine="420"/>
        <w:rPr>
          <w:rFonts w:hint="eastAsia"/>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3" w:name="_Hlk160013661"/>
      <w:bookmarkStart w:id="24" w:name="OLE_LINK2"/>
      <w:r>
        <w:rPr>
          <w:rFonts w:hint="eastAsia"/>
          <w:color w:val="auto"/>
          <w:highlight w:val="none"/>
        </w:rPr>
        <w:t>广西政府采购云平台</w:t>
      </w:r>
      <w:bookmarkEnd w:id="23"/>
      <w:r>
        <w:rPr>
          <w:rFonts w:hint="eastAsia"/>
          <w:color w:val="auto"/>
          <w:highlight w:val="none"/>
        </w:rPr>
        <w:t>（</w:t>
      </w:r>
      <w:r>
        <w:rPr>
          <w:color w:val="auto"/>
          <w:highlight w:val="none"/>
        </w:rPr>
        <w:t>https://www.gcy.zfcg.gxzf.gov.cn/</w:t>
      </w:r>
      <w:r>
        <w:rPr>
          <w:rFonts w:hint="eastAsia"/>
          <w:color w:val="auto"/>
          <w:highlight w:val="none"/>
        </w:rPr>
        <w:t>）</w:t>
      </w:r>
      <w:bookmarkEnd w:id="24"/>
    </w:p>
    <w:p>
      <w:pPr>
        <w:spacing w:line="412" w:lineRule="exact"/>
        <w:ind w:firstLine="420"/>
        <w:rPr>
          <w:color w:val="auto"/>
          <w:highlight w:val="none"/>
        </w:rPr>
      </w:pPr>
      <w:r>
        <w:rPr>
          <w:rFonts w:hint="eastAsia"/>
          <w:color w:val="auto"/>
          <w:highlight w:val="none"/>
        </w:rPr>
        <w:t>方式：</w:t>
      </w:r>
      <w:bookmarkStart w:id="25" w:name="OLE_LINK3"/>
      <w:r>
        <w:rPr>
          <w:rFonts w:hint="eastAsia"/>
          <w:color w:val="auto"/>
          <w:highlight w:val="none"/>
        </w:rPr>
        <w:t>供应商登录广西政府采购云平台(以下称“政采云平台”</w:t>
      </w:r>
      <w:r>
        <w:rPr>
          <w:color w:val="auto"/>
          <w:highlight w:val="none"/>
        </w:rPr>
        <w:t>)</w:t>
      </w:r>
      <w:r>
        <w:rPr>
          <w:rFonts w:hint="eastAsia"/>
          <w:color w:val="auto"/>
          <w:highlight w:val="none"/>
        </w:rPr>
        <w:t>在线获取招标文件（进入“项目采购”应用选择项目，获取招标文件）</w:t>
      </w:r>
      <w:bookmarkEnd w:id="25"/>
    </w:p>
    <w:p>
      <w:pPr>
        <w:spacing w:line="412" w:lineRule="exact"/>
        <w:ind w:firstLine="420"/>
        <w:rPr>
          <w:rFonts w:hint="eastAsia"/>
          <w:color w:val="auto"/>
          <w:highlight w:val="none"/>
        </w:rPr>
      </w:pPr>
      <w:r>
        <w:rPr>
          <w:rFonts w:hint="eastAsia"/>
          <w:color w:val="auto"/>
          <w:highlight w:val="none"/>
        </w:rPr>
        <w:t>售价(元</w:t>
      </w:r>
      <w:r>
        <w:rPr>
          <w:color w:val="auto"/>
          <w:highlight w:val="none"/>
        </w:rPr>
        <w:t>)</w:t>
      </w:r>
      <w:r>
        <w:rPr>
          <w:rFonts w:hint="eastAsia"/>
          <w:color w:val="auto"/>
          <w:highlight w:val="none"/>
        </w:rPr>
        <w:t xml:space="preserve">：0 </w:t>
      </w:r>
    </w:p>
    <w:p>
      <w:pPr>
        <w:spacing w:line="412" w:lineRule="exact"/>
        <w:ind w:firstLine="0" w:firstLineChars="0"/>
        <w:rPr>
          <w:b/>
          <w:color w:val="auto"/>
          <w:highlight w:val="none"/>
        </w:rPr>
      </w:pPr>
      <w:r>
        <w:rPr>
          <w:rFonts w:hint="eastAsia"/>
          <w:b/>
          <w:bCs/>
          <w:color w:val="auto"/>
          <w:highlight w:val="none"/>
        </w:rPr>
        <w:t>四、</w:t>
      </w:r>
      <w:bookmarkEnd w:id="22"/>
      <w:bookmarkStart w:id="26" w:name="_Toc28359082"/>
      <w:bookmarkStart w:id="27" w:name="_Toc28359005"/>
      <w:bookmarkStart w:id="28" w:name="_Toc35393793"/>
      <w:bookmarkStart w:id="29" w:name="_Toc35393624"/>
      <w:r>
        <w:rPr>
          <w:rFonts w:hint="eastAsia"/>
          <w:b/>
          <w:color w:val="auto"/>
          <w:highlight w:val="none"/>
        </w:rPr>
        <w:t>投标文件</w:t>
      </w:r>
      <w:bookmarkEnd w:id="26"/>
      <w:bookmarkEnd w:id="27"/>
      <w:r>
        <w:rPr>
          <w:rFonts w:hint="eastAsia"/>
          <w:b/>
          <w:color w:val="auto"/>
          <w:highlight w:val="none"/>
        </w:rPr>
        <w:t>提交截止时间、开标时间和</w:t>
      </w:r>
      <w:bookmarkEnd w:id="28"/>
      <w:bookmarkEnd w:id="29"/>
      <w:r>
        <w:rPr>
          <w:rFonts w:hint="eastAsia"/>
          <w:b/>
          <w:color w:val="auto"/>
          <w:highlight w:val="none"/>
        </w:rPr>
        <w:t>地点</w:t>
      </w:r>
    </w:p>
    <w:p>
      <w:pPr>
        <w:spacing w:line="412" w:lineRule="exact"/>
        <w:ind w:firstLine="420"/>
        <w:rPr>
          <w:color w:val="auto"/>
          <w:highlight w:val="none"/>
        </w:rPr>
      </w:pPr>
      <w:r>
        <w:rPr>
          <w:rFonts w:hint="eastAsia"/>
          <w:color w:val="auto"/>
          <w:highlight w:val="none"/>
        </w:rPr>
        <w:t>提交投标文件截止时间：202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8月20日</w:t>
      </w:r>
      <w:r>
        <w:rPr>
          <w:rFonts w:hint="eastAsia"/>
          <w:color w:val="auto"/>
          <w:highlight w:val="none"/>
        </w:rPr>
        <w:t>09</w:t>
      </w:r>
      <w:r>
        <w:rPr>
          <w:color w:val="auto"/>
          <w:highlight w:val="none"/>
        </w:rPr>
        <w:t>:</w:t>
      </w:r>
      <w:r>
        <w:rPr>
          <w:rFonts w:hint="eastAsia"/>
          <w:color w:val="auto"/>
          <w:highlight w:val="none"/>
        </w:rPr>
        <w:t>3</w:t>
      </w:r>
      <w:r>
        <w:rPr>
          <w:color w:val="auto"/>
          <w:highlight w:val="none"/>
        </w:rPr>
        <w:t>0</w:t>
      </w:r>
      <w:r>
        <w:rPr>
          <w:rFonts w:hint="eastAsia"/>
          <w:color w:val="auto"/>
          <w:highlight w:val="none"/>
        </w:rPr>
        <w:t>（北京时间）</w:t>
      </w:r>
    </w:p>
    <w:p>
      <w:pPr>
        <w:spacing w:line="412" w:lineRule="exact"/>
        <w:ind w:firstLine="420"/>
        <w:rPr>
          <w:rFonts w:ascii="宋体" w:hAnsi="宋体" w:cs="Courier New"/>
          <w:color w:val="auto"/>
          <w:szCs w:val="21"/>
          <w:highlight w:val="none"/>
        </w:rPr>
      </w:pPr>
      <w:r>
        <w:rPr>
          <w:rFonts w:hint="eastAsia"/>
          <w:color w:val="auto"/>
          <w:highlight w:val="none"/>
        </w:rPr>
        <w:t>投标地点(网址）：</w:t>
      </w:r>
      <w:bookmarkStart w:id="30" w:name="OLE_LINK4"/>
      <w:r>
        <w:rPr>
          <w:rFonts w:hint="eastAsia" w:ascii="宋体" w:hAnsi="宋体" w:cs="Courier New"/>
          <w:color w:val="auto"/>
          <w:szCs w:val="21"/>
          <w:highlight w:val="none"/>
        </w:rPr>
        <w:t>请登录广西政府采购云平台投标客户端投标</w:t>
      </w:r>
      <w:bookmarkEnd w:id="30"/>
    </w:p>
    <w:p>
      <w:pPr>
        <w:spacing w:line="412" w:lineRule="exact"/>
        <w:ind w:firstLine="420"/>
        <w:rPr>
          <w:rFonts w:ascii="宋体" w:hAnsi="宋体" w:cs="Courier New"/>
          <w:color w:val="auto"/>
          <w:szCs w:val="21"/>
          <w:highlight w:val="none"/>
        </w:rPr>
      </w:pPr>
      <w:r>
        <w:rPr>
          <w:rFonts w:hint="eastAsia" w:ascii="宋体" w:hAnsi="宋体" w:cs="Courier New"/>
          <w:color w:val="auto"/>
          <w:szCs w:val="21"/>
          <w:highlight w:val="none"/>
        </w:rPr>
        <w:t>开标时间：202</w:t>
      </w:r>
      <w:r>
        <w:rPr>
          <w:rFonts w:hint="eastAsia" w:ascii="宋体" w:hAnsi="宋体" w:cs="Courier New"/>
          <w:color w:val="auto"/>
          <w:szCs w:val="21"/>
          <w:highlight w:val="none"/>
          <w:lang w:val="en-US" w:eastAsia="zh-CN"/>
        </w:rPr>
        <w:t>5</w:t>
      </w:r>
      <w:r>
        <w:rPr>
          <w:rFonts w:hint="eastAsia" w:ascii="宋体" w:hAnsi="宋体" w:cs="Courier New"/>
          <w:color w:val="auto"/>
          <w:szCs w:val="21"/>
          <w:highlight w:val="none"/>
        </w:rPr>
        <w:t>年</w:t>
      </w:r>
      <w:r>
        <w:rPr>
          <w:rFonts w:hint="eastAsia" w:ascii="宋体" w:hAnsi="宋体" w:cs="Courier New"/>
          <w:color w:val="auto"/>
          <w:szCs w:val="21"/>
          <w:highlight w:val="none"/>
          <w:lang w:val="en-US" w:eastAsia="zh-CN"/>
        </w:rPr>
        <w:t>8月20日</w:t>
      </w:r>
      <w:r>
        <w:rPr>
          <w:rFonts w:hint="eastAsia" w:ascii="宋体" w:hAnsi="宋体" w:cs="Courier New"/>
          <w:color w:val="auto"/>
          <w:szCs w:val="21"/>
          <w:highlight w:val="none"/>
        </w:rPr>
        <w:t>0</w:t>
      </w:r>
      <w:r>
        <w:rPr>
          <w:rFonts w:hint="eastAsia"/>
          <w:color w:val="auto"/>
          <w:highlight w:val="none"/>
        </w:rPr>
        <w:t>9</w:t>
      </w:r>
      <w:r>
        <w:rPr>
          <w:color w:val="auto"/>
          <w:highlight w:val="none"/>
        </w:rPr>
        <w:t>:</w:t>
      </w:r>
      <w:r>
        <w:rPr>
          <w:rFonts w:hint="eastAsia"/>
          <w:color w:val="auto"/>
          <w:highlight w:val="none"/>
        </w:rPr>
        <w:t>3</w:t>
      </w:r>
      <w:r>
        <w:rPr>
          <w:color w:val="auto"/>
          <w:highlight w:val="none"/>
        </w:rPr>
        <w:t>0</w:t>
      </w:r>
      <w:r>
        <w:rPr>
          <w:rFonts w:hint="eastAsia" w:ascii="宋体" w:hAnsi="宋体" w:cs="Courier New"/>
          <w:color w:val="auto"/>
          <w:szCs w:val="21"/>
          <w:highlight w:val="none"/>
        </w:rPr>
        <w:t>（北京时间）</w:t>
      </w:r>
    </w:p>
    <w:p>
      <w:pPr>
        <w:spacing w:line="412" w:lineRule="exact"/>
        <w:ind w:firstLine="420"/>
        <w:rPr>
          <w:rFonts w:ascii="宋体" w:hAnsi="宋体" w:cs="Courier New"/>
          <w:color w:val="auto"/>
          <w:szCs w:val="21"/>
          <w:highlight w:val="none"/>
        </w:rPr>
      </w:pPr>
      <w:r>
        <w:rPr>
          <w:rFonts w:hint="eastAsia" w:ascii="宋体" w:hAnsi="宋体" w:cs="Courier New"/>
          <w:color w:val="auto"/>
          <w:szCs w:val="21"/>
          <w:highlight w:val="none"/>
        </w:rPr>
        <w:t>开标地点：</w:t>
      </w:r>
      <w:bookmarkStart w:id="31" w:name="_Toc28359084"/>
      <w:bookmarkStart w:id="32" w:name="_Toc35393794"/>
      <w:bookmarkStart w:id="33" w:name="_Toc28359007"/>
      <w:bookmarkStart w:id="34" w:name="_Toc35393625"/>
      <w:r>
        <w:rPr>
          <w:rFonts w:hint="eastAsia" w:ascii="宋体" w:hAnsi="宋体" w:cs="Courier New"/>
          <w:color w:val="auto"/>
          <w:szCs w:val="21"/>
          <w:highlight w:val="none"/>
        </w:rPr>
        <w:t>广西钦州市金海湾东大街8号市政务服务中心三楼开标室</w:t>
      </w:r>
    </w:p>
    <w:p>
      <w:pPr>
        <w:spacing w:line="412" w:lineRule="exact"/>
        <w:ind w:firstLine="0" w:firstLineChars="0"/>
        <w:rPr>
          <w:b/>
          <w:color w:val="auto"/>
          <w:highlight w:val="none"/>
        </w:rPr>
      </w:pPr>
      <w:r>
        <w:rPr>
          <w:rFonts w:hint="eastAsia"/>
          <w:b/>
          <w:color w:val="auto"/>
          <w:highlight w:val="none"/>
        </w:rPr>
        <w:t>五、公告期限</w:t>
      </w:r>
      <w:bookmarkEnd w:id="31"/>
      <w:bookmarkEnd w:id="32"/>
      <w:bookmarkEnd w:id="33"/>
      <w:bookmarkEnd w:id="34"/>
    </w:p>
    <w:p>
      <w:pPr>
        <w:spacing w:line="412" w:lineRule="exact"/>
        <w:ind w:firstLine="420"/>
        <w:rPr>
          <w:color w:val="auto"/>
          <w:highlight w:val="none"/>
        </w:rPr>
      </w:pPr>
      <w:r>
        <w:rPr>
          <w:rFonts w:hint="eastAsia"/>
          <w:color w:val="auto"/>
          <w:highlight w:val="none"/>
        </w:rPr>
        <w:t>自本公告发布之日起5个工作日。</w:t>
      </w:r>
    </w:p>
    <w:p>
      <w:pPr>
        <w:spacing w:line="412" w:lineRule="exact"/>
        <w:ind w:firstLine="0" w:firstLineChars="0"/>
        <w:rPr>
          <w:b/>
          <w:color w:val="auto"/>
          <w:highlight w:val="none"/>
        </w:rPr>
      </w:pPr>
      <w:bookmarkStart w:id="35" w:name="_Toc35393627"/>
      <w:bookmarkStart w:id="36" w:name="_Toc28359085"/>
      <w:bookmarkStart w:id="37" w:name="_Toc28359008"/>
      <w:bookmarkStart w:id="38" w:name="_Toc35393796"/>
      <w:r>
        <w:rPr>
          <w:rFonts w:hint="eastAsia"/>
          <w:b/>
          <w:color w:val="auto"/>
          <w:highlight w:val="none"/>
        </w:rPr>
        <w:t>六、其他补充事宜</w:t>
      </w:r>
    </w:p>
    <w:p>
      <w:pPr>
        <w:spacing w:line="412" w:lineRule="exact"/>
        <w:ind w:firstLine="420"/>
        <w:rPr>
          <w:color w:val="auto"/>
          <w:highlight w:val="none"/>
        </w:rPr>
      </w:pPr>
      <w:r>
        <w:rPr>
          <w:rFonts w:hint="eastAsia" w:ascii="宋体" w:hAnsi="宋体"/>
          <w:color w:val="auto"/>
          <w:highlight w:val="none"/>
        </w:rPr>
        <w:t>1.</w:t>
      </w:r>
      <w:r>
        <w:rPr>
          <w:rFonts w:hint="eastAsia"/>
          <w:bCs/>
          <w:color w:val="auto"/>
          <w:highlight w:val="none"/>
        </w:rPr>
        <w:t>本项目需落实的政府采购政策</w:t>
      </w:r>
      <w:r>
        <w:rPr>
          <w:rFonts w:hint="eastAsia"/>
          <w:b/>
          <w:color w:val="auto"/>
          <w:highlight w:val="none"/>
        </w:rPr>
        <w:t>：</w:t>
      </w:r>
    </w:p>
    <w:p>
      <w:pPr>
        <w:spacing w:line="412"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12"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12" w:lineRule="exact"/>
        <w:ind w:firstLine="420"/>
        <w:rPr>
          <w:color w:val="auto"/>
          <w:highlight w:val="none"/>
        </w:rPr>
      </w:pPr>
      <w:r>
        <w:rPr>
          <w:rFonts w:hint="eastAsia"/>
          <w:color w:val="auto"/>
          <w:highlight w:val="none"/>
        </w:rPr>
        <w:t>(3)财政部 民政部 中国残疾人联合会关于促进残疾人就业政府采购政策的通知 (财库</w:t>
      </w:r>
      <w:bookmarkStart w:id="39" w:name="_Hlk150507772"/>
      <w:r>
        <w:rPr>
          <w:rFonts w:hint="eastAsia"/>
          <w:color w:val="auto"/>
          <w:highlight w:val="none"/>
        </w:rPr>
        <w:t>﹝2017﹞</w:t>
      </w:r>
      <w:bookmarkEnd w:id="39"/>
      <w:r>
        <w:rPr>
          <w:rFonts w:hint="eastAsia"/>
          <w:color w:val="auto"/>
          <w:highlight w:val="none"/>
        </w:rPr>
        <w:t>141号)</w:t>
      </w:r>
    </w:p>
    <w:p>
      <w:pPr>
        <w:spacing w:line="412" w:lineRule="exact"/>
        <w:ind w:firstLine="420"/>
        <w:rPr>
          <w:rFonts w:hint="eastAsia"/>
          <w:color w:val="auto"/>
          <w:highlight w:val="none"/>
        </w:rPr>
      </w:pPr>
      <w:r>
        <w:rPr>
          <w:rFonts w:hint="eastAsia"/>
          <w:color w:val="auto"/>
          <w:highlight w:val="none"/>
        </w:rPr>
        <w:t>(4)财政部 发展改革委 生态环境部 市场监管总局关于调整优化节能产品、环境标志产品政府采购执行机制的通知（财库〔2019〕9号）</w:t>
      </w:r>
    </w:p>
    <w:p>
      <w:pPr>
        <w:spacing w:line="412" w:lineRule="exact"/>
        <w:ind w:firstLine="420"/>
        <w:rPr>
          <w:color w:val="auto"/>
          <w:highlight w:val="none"/>
        </w:rPr>
      </w:pPr>
      <w:r>
        <w:rPr>
          <w:rFonts w:hint="eastAsia"/>
          <w:color w:val="auto"/>
          <w:highlight w:val="none"/>
        </w:rPr>
        <w:t>(5) 财政部 发展改革委 关于印发节能产品政府采购品目清单的通知（财库〔2019〕19号）</w:t>
      </w:r>
    </w:p>
    <w:p>
      <w:pPr>
        <w:spacing w:line="400" w:lineRule="exact"/>
        <w:ind w:firstLine="420" w:firstLineChars="200"/>
        <w:rPr>
          <w:rFonts w:hint="eastAsia"/>
          <w:color w:val="auto"/>
          <w:highlight w:val="none"/>
        </w:rPr>
      </w:pPr>
      <w:bookmarkStart w:id="40" w:name="_Hlk91598380"/>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投标保证金：</w:t>
      </w:r>
      <w:r>
        <w:rPr>
          <w:rStyle w:val="57"/>
          <w:rFonts w:hint="eastAsia" w:ascii="宋体" w:hAnsi="宋体" w:cs="宋体"/>
          <w:color w:val="auto"/>
          <w:kern w:val="0"/>
          <w:szCs w:val="21"/>
          <w:highlight w:val="none"/>
          <w:u w:val="none"/>
          <w:lang w:val="en-US" w:eastAsia="zh-CN"/>
        </w:rPr>
        <w:t>叁万元整</w:t>
      </w:r>
      <w:r>
        <w:rPr>
          <w:rFonts w:hint="eastAsia"/>
          <w:color w:val="auto"/>
          <w:highlight w:val="none"/>
        </w:rPr>
        <w:t>(￥</w:t>
      </w:r>
      <w:r>
        <w:rPr>
          <w:rFonts w:hint="eastAsia"/>
          <w:color w:val="auto"/>
          <w:highlight w:val="none"/>
          <w:lang w:val="en-US" w:eastAsia="zh-CN"/>
        </w:rPr>
        <w:t>30</w:t>
      </w:r>
      <w:r>
        <w:rPr>
          <w:rFonts w:hint="eastAsia"/>
          <w:color w:val="auto"/>
          <w:highlight w:val="none"/>
        </w:rPr>
        <w:t>,000.00)</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提交形式</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以支票、汇票、本票、网上银行支付或者金融机构、担保机构出具的保函等非现金形式提交。</w:t>
      </w:r>
    </w:p>
    <w:p>
      <w:pPr>
        <w:spacing w:line="400" w:lineRule="exact"/>
        <w:ind w:firstLine="420" w:firstLineChars="200"/>
        <w:rPr>
          <w:rFonts w:ascii="Times New Roman" w:hAnsi="Times New Roman" w:eastAsia="宋体" w:cs="Times New Roman"/>
          <w:b/>
          <w:color w:val="auto"/>
          <w:szCs w:val="24"/>
          <w:highlight w:val="none"/>
        </w:rPr>
      </w:pPr>
      <w:bookmarkStart w:id="41" w:name="_Hlk91771226"/>
      <w:r>
        <w:rPr>
          <w:rFonts w:hint="eastAsia" w:ascii="Times New Roman" w:hAnsi="Times New Roman" w:eastAsia="宋体" w:cs="Times New Roman"/>
          <w:color w:val="auto"/>
          <w:szCs w:val="24"/>
          <w:highlight w:val="none"/>
        </w:rPr>
        <w:t>以支票、汇票、本票、保函等形式提交保证金的，投标人必须将票据、保函等原件于投标文件提交截止时间前递交至本中心财务室（</w:t>
      </w:r>
      <w:r>
        <w:rPr>
          <w:rFonts w:hint="eastAsia" w:ascii="宋体" w:hAnsi="宋体" w:eastAsia="宋体" w:cs="宋体"/>
          <w:bCs/>
          <w:color w:val="auto"/>
          <w:kern w:val="0"/>
          <w:szCs w:val="21"/>
          <w:highlight w:val="none"/>
        </w:rPr>
        <w:t>地址:广西钦州市钦南区水东街区金海湾东大街8号市政务服务中心二楼市采购中心财务室，</w:t>
      </w:r>
      <w:r>
        <w:rPr>
          <w:rFonts w:hint="eastAsia" w:ascii="Times New Roman" w:hAnsi="Times New Roman" w:eastAsia="宋体" w:cs="Times New Roman"/>
          <w:color w:val="auto"/>
          <w:szCs w:val="24"/>
          <w:highlight w:val="none"/>
        </w:rPr>
        <w:t>联系方式</w:t>
      </w:r>
      <w:r>
        <w:rPr>
          <w:rFonts w:ascii="Times New Roman" w:hAnsi="Times New Roman" w:eastAsia="宋体" w:cs="Times New Roman"/>
          <w:color w:val="auto"/>
          <w:szCs w:val="24"/>
          <w:highlight w:val="none"/>
        </w:rPr>
        <w:t>:0777-2886026</w:t>
      </w:r>
      <w:r>
        <w:rPr>
          <w:rFonts w:hint="eastAsia" w:ascii="Times New Roman" w:hAnsi="Times New Roman" w:eastAsia="宋体" w:cs="Times New Roman"/>
          <w:color w:val="auto"/>
          <w:szCs w:val="24"/>
          <w:highlight w:val="none"/>
        </w:rPr>
        <w:t>）。</w:t>
      </w:r>
    </w:p>
    <w:bookmarkEnd w:id="41"/>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网上银行支付形式提交的，投标人必须于投标文件递交截止时间前从投标人账户缴存至本中心银行账户（以到账时间为准）。</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本中心银行账户：</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开户名称</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钦州市政府采购中心</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开户银行</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中国工商银行股份有限公司钦州市永福东支行</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银行账号</w:t>
      </w:r>
      <w:r>
        <w:rPr>
          <w:rFonts w:ascii="Times New Roman" w:hAnsi="Times New Roman" w:eastAsia="宋体" w:cs="Times New Roman"/>
          <w:color w:val="auto"/>
          <w:szCs w:val="24"/>
          <w:highlight w:val="none"/>
        </w:rPr>
        <w:t>:2115591229100078724</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注：投标人无法选择以上开户银行的，请选择“中国工商银行股份有限公司钦州分行”进行缴存。</w:t>
      </w:r>
    </w:p>
    <w:p>
      <w:pPr>
        <w:spacing w:line="412" w:lineRule="exact"/>
        <w:ind w:firstLine="420"/>
        <w:rPr>
          <w:color w:val="auto"/>
          <w:highlight w:val="none"/>
        </w:rPr>
      </w:pPr>
      <w:r>
        <w:rPr>
          <w:rFonts w:hint="eastAsia"/>
          <w:color w:val="auto"/>
          <w:highlight w:val="none"/>
        </w:rPr>
        <w:t>3.全流程电子化</w:t>
      </w:r>
      <w:bookmarkEnd w:id="40"/>
      <w:r>
        <w:rPr>
          <w:rFonts w:hint="eastAsia"/>
          <w:color w:val="auto"/>
          <w:highlight w:val="none"/>
        </w:rPr>
        <w:t>要求：</w:t>
      </w:r>
    </w:p>
    <w:p>
      <w:pPr>
        <w:spacing w:line="412" w:lineRule="exact"/>
        <w:ind w:firstLine="420"/>
        <w:rPr>
          <w:rFonts w:hint="eastAsia"/>
          <w:color w:val="auto"/>
          <w:highlight w:val="none"/>
        </w:rPr>
      </w:pPr>
      <w:r>
        <w:rPr>
          <w:rFonts w:hint="eastAsia"/>
          <w:color w:val="auto"/>
          <w:highlight w:val="none"/>
        </w:rPr>
        <w:t>本项目为全流程电子化项目，潜在投标人应做好参与全流程电子化交易的充分准备，熟悉掌握电子化采购项目操作指南(操作指南：政采云电子卖场首页右上角—服务中心—帮助文档—项目采购)，及时完成CA申领和绑定(操作指南：政采云电子卖场首页右上角—帮助文档—入驻与配置—CA管理；CA证书申领路径：政采云平台—我的工作台右上角—CA管理—CA证书申领)。因未注册入库、未办理CA数字证书、CA证书故障、操作不当等原因造成投标失败等后果由投标人承担。</w:t>
      </w:r>
    </w:p>
    <w:p>
      <w:pPr>
        <w:spacing w:line="412" w:lineRule="exact"/>
        <w:ind w:firstLine="420"/>
        <w:rPr>
          <w:color w:val="auto"/>
          <w:highlight w:val="none"/>
        </w:rPr>
      </w:pPr>
      <w:r>
        <w:rPr>
          <w:color w:val="auto"/>
          <w:highlight w:val="none"/>
        </w:rPr>
        <w:t>(1)</w:t>
      </w:r>
      <w:r>
        <w:rPr>
          <w:rFonts w:hint="eastAsia"/>
          <w:color w:val="auto"/>
          <w:highlight w:val="none"/>
        </w:rPr>
        <w:t>依法获取招标文件：投标人须在获取招标文件时间内登录</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"https://www.zcygov.cn/"</w:instrText>
      </w:r>
      <w:r>
        <w:rPr>
          <w:color w:val="auto"/>
          <w:highlight w:val="none"/>
        </w:rPr>
        <w:instrText xml:space="preserve"> </w:instrText>
      </w:r>
      <w:r>
        <w:rPr>
          <w:color w:val="auto"/>
          <w:highlight w:val="none"/>
        </w:rPr>
        <w:fldChar w:fldCharType="separate"/>
      </w:r>
      <w:r>
        <w:rPr>
          <w:rStyle w:val="57"/>
          <w:rFonts w:hint="eastAsia"/>
          <w:color w:val="auto"/>
          <w:highlight w:val="none"/>
          <w:u w:val="none"/>
        </w:rPr>
        <w:t>政府采购云平台</w:t>
      </w:r>
      <w:r>
        <w:rPr>
          <w:color w:val="auto"/>
          <w:highlight w:val="none"/>
        </w:rPr>
        <w:fldChar w:fldCharType="end"/>
      </w:r>
      <w:r>
        <w:rPr>
          <w:rFonts w:hint="eastAsia"/>
          <w:color w:val="auto"/>
          <w:highlight w:val="none"/>
        </w:rPr>
        <w:t>申请下载招标文件才视作依法获取招标文件。</w:t>
      </w:r>
    </w:p>
    <w:p>
      <w:pPr>
        <w:spacing w:line="412"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投标人应通过广西政府采购云平台客户端制作投标文件，投标人自行前往下载安装（</w:t>
      </w:r>
      <w:r>
        <w:rPr>
          <w:rFonts w:ascii="宋体" w:hAnsi="宋体"/>
          <w:color w:val="auto"/>
          <w:highlight w:val="none"/>
        </w:rPr>
        <w:fldChar w:fldCharType="begin"/>
      </w:r>
      <w:r>
        <w:rPr>
          <w:rFonts w:ascii="宋体" w:hAnsi="宋体"/>
          <w:color w:val="auto"/>
          <w:highlight w:val="none"/>
        </w:rPr>
        <w:instrText xml:space="preserve">HYPERLINK "https://sitecdn.zcycdn.com/zcy-client/bidding-client-new/official/guangxi/GuangXiSetup.exe"</w:instrText>
      </w:r>
      <w:r>
        <w:rPr>
          <w:rFonts w:ascii="宋体" w:hAnsi="宋体"/>
          <w:color w:val="auto"/>
          <w:highlight w:val="none"/>
        </w:rPr>
        <w:fldChar w:fldCharType="separate"/>
      </w:r>
      <w:r>
        <w:rPr>
          <w:rStyle w:val="57"/>
          <w:rFonts w:hint="eastAsia" w:ascii="宋体" w:hAnsi="宋体"/>
          <w:color w:val="auto"/>
          <w:highlight w:val="none"/>
          <w:u w:val="none"/>
        </w:rPr>
        <w:t>客户端</w:t>
      </w:r>
      <w:bookmarkStart w:id="42" w:name="_Hlt153271921"/>
      <w:bookmarkStart w:id="43" w:name="_Hlt151995012"/>
      <w:bookmarkStart w:id="44" w:name="_Hlt153271920"/>
      <w:bookmarkStart w:id="45" w:name="_Hlt151995013"/>
      <w:r>
        <w:rPr>
          <w:rStyle w:val="57"/>
          <w:rFonts w:hint="eastAsia" w:ascii="宋体" w:hAnsi="宋体"/>
          <w:color w:val="auto"/>
          <w:highlight w:val="none"/>
          <w:u w:val="none"/>
        </w:rPr>
        <w:t>下</w:t>
      </w:r>
      <w:bookmarkEnd w:id="42"/>
      <w:bookmarkEnd w:id="43"/>
      <w:bookmarkEnd w:id="44"/>
      <w:bookmarkEnd w:id="45"/>
      <w:bookmarkStart w:id="46" w:name="_Hlt162274482"/>
      <w:bookmarkStart w:id="47" w:name="_Hlt153270544"/>
      <w:bookmarkStart w:id="48" w:name="_Hlt153270545"/>
      <w:bookmarkStart w:id="49" w:name="_Hlt162274481"/>
      <w:r>
        <w:rPr>
          <w:rStyle w:val="57"/>
          <w:rFonts w:hint="eastAsia" w:ascii="宋体" w:hAnsi="宋体"/>
          <w:color w:val="auto"/>
          <w:highlight w:val="none"/>
          <w:u w:val="none"/>
        </w:rPr>
        <w:t>载</w:t>
      </w:r>
      <w:bookmarkEnd w:id="46"/>
      <w:bookmarkEnd w:id="47"/>
      <w:bookmarkEnd w:id="48"/>
      <w:bookmarkEnd w:id="49"/>
      <w:r>
        <w:rPr>
          <w:rFonts w:ascii="宋体" w:hAnsi="宋体"/>
          <w:color w:val="auto"/>
          <w:highlight w:val="none"/>
        </w:rPr>
        <w:fldChar w:fldCharType="end"/>
      </w:r>
      <w:r>
        <w:rPr>
          <w:rFonts w:hint="eastAsia"/>
          <w:color w:val="auto"/>
          <w:highlight w:val="none"/>
        </w:rPr>
        <w:t>）。</w:t>
      </w:r>
    </w:p>
    <w:p>
      <w:pPr>
        <w:spacing w:line="412"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投标人须按照招标文件和政府采购云平台的要求进行编制、上传、加密、提交、解密投标文件，投标文件在线提交截止时间后，政府采购云平台自动提取全部投标文件，各投标人须在提交截止时间后30分钟内对已上传政府采购云平台的投标文件进行解密，参与本项目的全部投标人在规定的解密时限内解密完成或解密时限结束后，我中心开启投标文件；投标人在解密时限内未完成解密的，政府采购云平台默认为投标人放弃参与投标。</w:t>
      </w:r>
    </w:p>
    <w:p>
      <w:pPr>
        <w:spacing w:line="412" w:lineRule="exact"/>
        <w:ind w:firstLine="420"/>
        <w:rPr>
          <w:rFonts w:hint="eastAsia"/>
          <w:b/>
          <w:color w:val="auto"/>
          <w:highlight w:val="none"/>
        </w:rPr>
      </w:pPr>
      <w:r>
        <w:rPr>
          <w:rFonts w:hint="eastAsia"/>
          <w:color w:val="auto"/>
          <w:highlight w:val="none"/>
        </w:rPr>
        <w:t>(</w:t>
      </w:r>
      <w:r>
        <w:rPr>
          <w:color w:val="auto"/>
          <w:highlight w:val="none"/>
        </w:rPr>
        <w:t>4)</w:t>
      </w:r>
      <w:r>
        <w:rPr>
          <w:rFonts w:hint="eastAsia"/>
          <w:color w:val="auto"/>
          <w:highlight w:val="none"/>
        </w:rPr>
        <w:t>投标人法定代表人或委托代理人须按时登录</w:t>
      </w:r>
      <w:bookmarkStart w:id="50" w:name="_Hlk90367388"/>
      <w:r>
        <w:rPr>
          <w:rFonts w:hint="eastAsia" w:ascii="宋体" w:hAnsi="宋体" w:cs="Courier New"/>
          <w:color w:val="auto"/>
          <w:szCs w:val="21"/>
          <w:highlight w:val="none"/>
        </w:rPr>
        <w:t>政采云远程开标大厅</w:t>
      </w:r>
      <w:bookmarkEnd w:id="50"/>
      <w:r>
        <w:rPr>
          <w:rFonts w:hint="eastAsia"/>
          <w:color w:val="auto"/>
          <w:highlight w:val="none"/>
        </w:rPr>
        <w:t>，保持全程在线并关注开标评标进度，评标期间评标委员会提出澄清等要求时，投标人须在规定时间内进行应答，否则按招标文件或政采云平台的相关规定执行。</w:t>
      </w:r>
    </w:p>
    <w:p>
      <w:pPr>
        <w:spacing w:line="412" w:lineRule="exact"/>
        <w:ind w:firstLine="420"/>
        <w:rPr>
          <w:rFonts w:hAnsi="宋体"/>
          <w:color w:val="auto"/>
          <w:highlight w:val="none"/>
        </w:rPr>
      </w:pPr>
      <w:r>
        <w:rPr>
          <w:rFonts w:hint="eastAsia"/>
          <w:color w:val="auto"/>
          <w:highlight w:val="none"/>
        </w:rPr>
        <w:t>(</w:t>
      </w:r>
      <w:r>
        <w:rPr>
          <w:color w:val="auto"/>
          <w:highlight w:val="none"/>
        </w:rPr>
        <w:t>5)</w:t>
      </w:r>
      <w:r>
        <w:rPr>
          <w:rFonts w:hint="eastAsia"/>
          <w:color w:val="auto"/>
          <w:highlight w:val="none"/>
        </w:rPr>
        <w:t>投标人参与投标过程中涉及政府采购云平台的问题，请咨询政采云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12" w:lineRule="exact"/>
        <w:ind w:firstLine="420"/>
        <w:rPr>
          <w:rFonts w:hAnsi="宋体"/>
          <w:color w:val="auto"/>
          <w:highlight w:val="none"/>
        </w:rPr>
      </w:pPr>
      <w:r>
        <w:rPr>
          <w:rFonts w:hint="eastAsia" w:hAnsi="宋体"/>
          <w:color w:val="auto"/>
          <w:highlight w:val="none"/>
        </w:rPr>
        <w:t>4</w:t>
      </w:r>
      <w:r>
        <w:rPr>
          <w:rFonts w:hAnsi="宋体"/>
          <w:color w:val="auto"/>
          <w:highlight w:val="none"/>
        </w:rPr>
        <w:t>.</w:t>
      </w:r>
      <w:r>
        <w:rPr>
          <w:rFonts w:hint="eastAsia" w:hAnsi="宋体"/>
          <w:color w:val="auto"/>
          <w:highlight w:val="none"/>
        </w:rPr>
        <w:t>查询媒体：</w:t>
      </w:r>
      <w:bookmarkStart w:id="51" w:name="_Hlk97804124"/>
      <w:r>
        <w:rPr>
          <w:rFonts w:hAnsi="宋体"/>
          <w:color w:val="auto"/>
          <w:highlight w:val="none"/>
        </w:rPr>
        <w:fldChar w:fldCharType="begin"/>
      </w:r>
      <w:r>
        <w:rPr>
          <w:rFonts w:hAnsi="宋体"/>
          <w:color w:val="auto"/>
          <w:highlight w:val="none"/>
        </w:rPr>
        <w:instrText xml:space="preserve">HYPERLINK "http://www.ccgp.gov.cn/"</w:instrText>
      </w:r>
      <w:r>
        <w:rPr>
          <w:rFonts w:hAnsi="宋体"/>
          <w:color w:val="auto"/>
          <w:highlight w:val="none"/>
        </w:rPr>
        <w:fldChar w:fldCharType="separate"/>
      </w:r>
      <w:r>
        <w:rPr>
          <w:rStyle w:val="57"/>
          <w:rFonts w:hint="eastAsia" w:hAnsi="宋体"/>
          <w:color w:val="auto"/>
          <w:highlight w:val="none"/>
          <w:u w:val="none"/>
        </w:rPr>
        <w:t>中国政府</w:t>
      </w:r>
      <w:bookmarkStart w:id="52" w:name="_Hlt97804064"/>
      <w:bookmarkStart w:id="53" w:name="_Hlt97804063"/>
      <w:r>
        <w:rPr>
          <w:rStyle w:val="57"/>
          <w:rFonts w:hint="eastAsia" w:hAnsi="宋体"/>
          <w:color w:val="auto"/>
          <w:highlight w:val="none"/>
          <w:u w:val="none"/>
        </w:rPr>
        <w:t>采</w:t>
      </w:r>
      <w:bookmarkEnd w:id="52"/>
      <w:bookmarkEnd w:id="53"/>
      <w:r>
        <w:rPr>
          <w:rStyle w:val="57"/>
          <w:rFonts w:hint="eastAsia" w:hAnsi="宋体"/>
          <w:color w:val="auto"/>
          <w:highlight w:val="none"/>
          <w:u w:val="none"/>
        </w:rPr>
        <w:t>购</w:t>
      </w:r>
      <w:bookmarkStart w:id="54" w:name="_Hlt97804091"/>
      <w:bookmarkStart w:id="55" w:name="_Hlt97804090"/>
      <w:r>
        <w:rPr>
          <w:rStyle w:val="57"/>
          <w:rFonts w:hint="eastAsia" w:hAnsi="宋体"/>
          <w:color w:val="auto"/>
          <w:highlight w:val="none"/>
          <w:u w:val="none"/>
        </w:rPr>
        <w:t>网</w:t>
      </w:r>
      <w:bookmarkEnd w:id="54"/>
      <w:bookmarkEnd w:id="55"/>
      <w:r>
        <w:rPr>
          <w:rFonts w:hAnsi="宋体"/>
          <w:color w:val="auto"/>
          <w:highlight w:val="none"/>
        </w:rPr>
        <w:fldChar w:fldCharType="end"/>
      </w:r>
      <w:r>
        <w:rPr>
          <w:rFonts w:hint="eastAsia" w:hAnsi="宋体"/>
          <w:color w:val="auto"/>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olor w:val="auto"/>
          <w:highlight w:val="none"/>
        </w:rPr>
        <w:t>广西政府</w:t>
      </w:r>
      <w:bookmarkStart w:id="56" w:name="_Hlt97804099"/>
      <w:bookmarkStart w:id="57" w:name="_Hlt97804098"/>
      <w:r>
        <w:rPr>
          <w:rFonts w:hint="eastAsia" w:hAnsi="宋体"/>
          <w:color w:val="auto"/>
          <w:highlight w:val="none"/>
        </w:rPr>
        <w:t>采</w:t>
      </w:r>
      <w:bookmarkEnd w:id="56"/>
      <w:bookmarkEnd w:id="57"/>
      <w:r>
        <w:rPr>
          <w:rFonts w:hint="eastAsia" w:hAnsi="宋体"/>
          <w:color w:val="auto"/>
          <w:highlight w:val="none"/>
        </w:rPr>
        <w:t>购网</w:t>
      </w:r>
      <w:r>
        <w:rPr>
          <w:rFonts w:hAnsi="宋体"/>
          <w:color w:val="auto"/>
          <w:highlight w:val="none"/>
        </w:rPr>
        <w:fldChar w:fldCharType="end"/>
      </w:r>
      <w:r>
        <w:rPr>
          <w:rFonts w:hint="eastAsia" w:hAnsi="宋体"/>
          <w:color w:val="auto"/>
          <w:highlight w:val="none"/>
        </w:rPr>
        <w:t>。</w:t>
      </w:r>
      <w:bookmarkEnd w:id="51"/>
    </w:p>
    <w:p>
      <w:pPr>
        <w:spacing w:line="412" w:lineRule="exact"/>
        <w:ind w:firstLine="420"/>
        <w:jc w:val="left"/>
        <w:rPr>
          <w:rFonts w:hAnsi="宋体"/>
          <w:color w:val="auto"/>
          <w:highlight w:val="none"/>
        </w:rPr>
      </w:pPr>
      <w:r>
        <w:rPr>
          <w:rFonts w:hint="eastAsia" w:hAnsi="宋体"/>
          <w:color w:val="auto"/>
          <w:highlight w:val="none"/>
        </w:rPr>
        <w:t>5</w:t>
      </w:r>
      <w:r>
        <w:rPr>
          <w:rFonts w:hAnsi="宋体"/>
          <w:color w:val="auto"/>
          <w:highlight w:val="none"/>
        </w:rPr>
        <w:t>.</w:t>
      </w:r>
      <w:r>
        <w:rPr>
          <w:rFonts w:hint="eastAsia" w:hAnsi="宋体"/>
          <w:color w:val="auto"/>
          <w:highlight w:val="none"/>
        </w:rPr>
        <w:t>钦州市政府采购中心联系方式：</w:t>
      </w:r>
    </w:p>
    <w:p>
      <w:pPr>
        <w:spacing w:line="412" w:lineRule="exact"/>
        <w:ind w:firstLine="420"/>
        <w:jc w:val="left"/>
        <w:rPr>
          <w:rFonts w:hAnsi="宋体"/>
          <w:color w:val="auto"/>
          <w:highlight w:val="none"/>
        </w:rPr>
      </w:pPr>
      <w:r>
        <w:rPr>
          <w:rFonts w:hAnsi="宋体"/>
          <w:color w:val="auto"/>
          <w:highlight w:val="none"/>
        </w:rPr>
        <w:t>(1)</w:t>
      </w:r>
      <w:r>
        <w:rPr>
          <w:rFonts w:hint="eastAsia" w:hAnsi="宋体"/>
          <w:color w:val="auto"/>
          <w:highlight w:val="none"/>
        </w:rPr>
        <w:t>采购部(招标文件</w:t>
      </w:r>
      <w:r>
        <w:rPr>
          <w:rFonts w:hAnsi="宋体"/>
          <w:color w:val="auto"/>
          <w:highlight w:val="none"/>
        </w:rPr>
        <w:t>)</w:t>
      </w:r>
    </w:p>
    <w:p>
      <w:pPr>
        <w:spacing w:line="412" w:lineRule="exact"/>
        <w:ind w:firstLine="420"/>
        <w:jc w:val="left"/>
        <w:rPr>
          <w:rFonts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Ansi="宋体"/>
          <w:color w:val="auto"/>
          <w:highlight w:val="none"/>
        </w:rPr>
        <w:t xml:space="preserve">  </w:t>
      </w:r>
      <w:r>
        <w:rPr>
          <w:rFonts w:hint="eastAsia" w:hAnsi="宋体"/>
          <w:color w:val="auto"/>
          <w:highlight w:val="none"/>
        </w:rPr>
        <w:t xml:space="preserve"> 联系方式：0777-2886022</w:t>
      </w:r>
    </w:p>
    <w:p>
      <w:pPr>
        <w:spacing w:line="412" w:lineRule="exact"/>
        <w:ind w:firstLine="42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综合二部(保证金、开评标、中标及合同管理)</w:t>
      </w:r>
    </w:p>
    <w:p>
      <w:pPr>
        <w:spacing w:line="412" w:lineRule="exact"/>
        <w:ind w:firstLine="420"/>
        <w:jc w:val="left"/>
        <w:rPr>
          <w:rFonts w:hint="eastAsia"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 xml:space="preserve"> 联系方式：</w:t>
      </w:r>
      <w:r>
        <w:rPr>
          <w:rFonts w:hAnsi="宋体"/>
          <w:color w:val="auto"/>
          <w:highlight w:val="none"/>
        </w:rPr>
        <w:t xml:space="preserve"> </w:t>
      </w:r>
      <w:r>
        <w:rPr>
          <w:rFonts w:hint="eastAsia" w:hAnsi="宋体"/>
          <w:color w:val="auto"/>
          <w:highlight w:val="none"/>
        </w:rPr>
        <w:t>0777-2886006</w:t>
      </w:r>
    </w:p>
    <w:p>
      <w:pPr>
        <w:spacing w:line="412" w:lineRule="exact"/>
        <w:ind w:firstLine="0" w:firstLineChars="0"/>
        <w:rPr>
          <w:b/>
          <w:color w:val="auto"/>
          <w:highlight w:val="none"/>
        </w:rPr>
      </w:pPr>
      <w:r>
        <w:rPr>
          <w:rFonts w:hint="eastAsia"/>
          <w:b/>
          <w:color w:val="auto"/>
          <w:highlight w:val="none"/>
        </w:rPr>
        <w:t>七、对本次招标提出询问，请按</w:t>
      </w:r>
      <w:r>
        <w:rPr>
          <w:b/>
          <w:color w:val="auto"/>
          <w:highlight w:val="none"/>
        </w:rPr>
        <w:t>以下方式</w:t>
      </w:r>
      <w:r>
        <w:rPr>
          <w:rFonts w:hint="eastAsia"/>
          <w:b/>
          <w:color w:val="auto"/>
          <w:highlight w:val="none"/>
        </w:rPr>
        <w:t>联系</w:t>
      </w:r>
      <w:bookmarkEnd w:id="35"/>
      <w:bookmarkEnd w:id="36"/>
      <w:bookmarkEnd w:id="37"/>
      <w:bookmarkEnd w:id="38"/>
    </w:p>
    <w:bookmarkEnd w:id="10"/>
    <w:p>
      <w:pPr>
        <w:spacing w:line="412" w:lineRule="exact"/>
        <w:ind w:firstLine="420"/>
        <w:rPr>
          <w:color w:val="auto"/>
          <w:highlight w:val="none"/>
        </w:rPr>
      </w:pPr>
      <w:r>
        <w:rPr>
          <w:rFonts w:hint="eastAsia"/>
          <w:color w:val="auto"/>
          <w:highlight w:val="none"/>
        </w:rPr>
        <w:t>1.采购人信息</w:t>
      </w:r>
    </w:p>
    <w:p>
      <w:pPr>
        <w:spacing w:line="400" w:lineRule="exact"/>
        <w:ind w:firstLine="420" w:firstLineChars="200"/>
        <w:rPr>
          <w:rFonts w:hint="eastAsia" w:ascii="Times New Roman" w:hAnsi="Times New Roman" w:eastAsia="宋体" w:cs="Times New Roman"/>
          <w:color w:val="auto"/>
          <w:szCs w:val="24"/>
          <w:highlight w:val="none"/>
          <w:lang w:eastAsia="zh-CN"/>
        </w:rPr>
      </w:pPr>
      <w:bookmarkStart w:id="58" w:name="_Toc28359009"/>
      <w:bookmarkStart w:id="59" w:name="_Toc28359086"/>
      <w:bookmarkStart w:id="60" w:name="_Hlk92356946"/>
      <w:r>
        <w:rPr>
          <w:rFonts w:hint="eastAsia" w:ascii="Times New Roman" w:hAnsi="Times New Roman" w:eastAsia="宋体" w:cs="Times New Roman"/>
          <w:color w:val="auto"/>
          <w:szCs w:val="24"/>
          <w:highlight w:val="none"/>
        </w:rPr>
        <w:t>名称：</w:t>
      </w:r>
      <w:r>
        <w:rPr>
          <w:rFonts w:hint="eastAsia" w:cs="Times New Roman"/>
          <w:color w:val="auto"/>
          <w:szCs w:val="24"/>
          <w:highlight w:val="none"/>
          <w:lang w:val="en-US" w:eastAsia="zh-CN"/>
        </w:rPr>
        <w:t>钦州市外国语学校</w:t>
      </w:r>
    </w:p>
    <w:p>
      <w:pPr>
        <w:spacing w:line="400" w:lineRule="exact"/>
        <w:ind w:firstLine="420" w:firstLineChars="200"/>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地址：</w:t>
      </w:r>
      <w:r>
        <w:rPr>
          <w:rFonts w:hint="eastAsia" w:cs="Times New Roman"/>
          <w:color w:val="auto"/>
          <w:szCs w:val="24"/>
          <w:highlight w:val="none"/>
          <w:lang w:val="en-US" w:eastAsia="zh-CN"/>
        </w:rPr>
        <w:t>钦州市育才路9号</w:t>
      </w:r>
    </w:p>
    <w:p>
      <w:pPr>
        <w:spacing w:line="400" w:lineRule="exact"/>
        <w:ind w:firstLine="420" w:firstLineChars="200"/>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项目联系人：</w:t>
      </w:r>
      <w:r>
        <w:rPr>
          <w:rFonts w:hint="eastAsia" w:cs="Times New Roman"/>
          <w:color w:val="auto"/>
          <w:szCs w:val="24"/>
          <w:highlight w:val="none"/>
          <w:lang w:val="en-US" w:eastAsia="zh-CN"/>
        </w:rPr>
        <w:t>归老师</w:t>
      </w:r>
    </w:p>
    <w:p>
      <w:pPr>
        <w:spacing w:line="400" w:lineRule="exact"/>
        <w:ind w:firstLine="420" w:firstLineChars="200"/>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项目联系方式：</w:t>
      </w:r>
      <w:r>
        <w:rPr>
          <w:rFonts w:hint="eastAsia" w:cs="Times New Roman"/>
          <w:color w:val="auto"/>
          <w:szCs w:val="24"/>
          <w:highlight w:val="none"/>
          <w:lang w:val="en-US" w:eastAsia="zh-CN"/>
        </w:rPr>
        <w:t>0777-2822382</w:t>
      </w:r>
    </w:p>
    <w:p>
      <w:pPr>
        <w:spacing w:line="412" w:lineRule="exact"/>
        <w:ind w:firstLine="420"/>
        <w:rPr>
          <w:color w:val="auto"/>
          <w:highlight w:val="none"/>
        </w:rPr>
      </w:pPr>
      <w:r>
        <w:rPr>
          <w:rFonts w:hint="eastAsia"/>
          <w:color w:val="auto"/>
          <w:highlight w:val="none"/>
        </w:rPr>
        <w:t>2.采购代理机构信息</w:t>
      </w:r>
      <w:bookmarkEnd w:id="58"/>
      <w:bookmarkEnd w:id="59"/>
    </w:p>
    <w:p>
      <w:pPr>
        <w:spacing w:line="412" w:lineRule="exact"/>
        <w:ind w:firstLine="420"/>
        <w:rPr>
          <w:color w:val="auto"/>
          <w:highlight w:val="none"/>
        </w:rPr>
      </w:pPr>
      <w:r>
        <w:rPr>
          <w:rFonts w:hint="eastAsia"/>
          <w:color w:val="auto"/>
          <w:highlight w:val="none"/>
        </w:rPr>
        <w:t>名称：钦州市政府采购中心</w:t>
      </w:r>
    </w:p>
    <w:p>
      <w:pPr>
        <w:spacing w:line="412" w:lineRule="exact"/>
        <w:ind w:firstLine="420"/>
        <w:rPr>
          <w:color w:val="auto"/>
          <w:highlight w:val="none"/>
        </w:rPr>
      </w:pPr>
      <w:r>
        <w:rPr>
          <w:rFonts w:hint="eastAsia"/>
          <w:color w:val="auto"/>
          <w:highlight w:val="none"/>
        </w:rPr>
        <w:t>地址：钦州市金海湾东大街8号</w:t>
      </w:r>
    </w:p>
    <w:p>
      <w:pPr>
        <w:spacing w:line="412" w:lineRule="exact"/>
        <w:ind w:firstLine="420"/>
        <w:rPr>
          <w:rFonts w:hint="eastAsia"/>
          <w:color w:val="auto"/>
          <w:highlight w:val="none"/>
        </w:rPr>
      </w:pPr>
      <w:r>
        <w:rPr>
          <w:rFonts w:hint="eastAsia"/>
          <w:color w:val="auto"/>
          <w:highlight w:val="none"/>
        </w:rPr>
        <w:t>项目联系人：</w:t>
      </w:r>
      <w:r>
        <w:rPr>
          <w:rFonts w:hint="eastAsia"/>
          <w:color w:val="auto"/>
          <w:highlight w:val="none"/>
          <w:lang w:val="en-US" w:eastAsia="zh-CN"/>
        </w:rPr>
        <w:t>黄忠秀</w:t>
      </w:r>
      <w:r>
        <w:rPr>
          <w:rFonts w:hint="eastAsia"/>
          <w:color w:val="auto"/>
          <w:highlight w:val="none"/>
        </w:rPr>
        <w:t>、陈启梅、陈侃</w:t>
      </w:r>
    </w:p>
    <w:p>
      <w:pPr>
        <w:spacing w:line="412" w:lineRule="exact"/>
        <w:ind w:firstLine="420"/>
        <w:rPr>
          <w:color w:val="auto"/>
          <w:highlight w:val="none"/>
        </w:rPr>
      </w:pPr>
      <w:r>
        <w:rPr>
          <w:rFonts w:hint="eastAsia"/>
          <w:color w:val="auto"/>
          <w:highlight w:val="none"/>
        </w:rPr>
        <w:t>项目联系方式：</w:t>
      </w:r>
      <w:bookmarkStart w:id="61" w:name="_Toc28359010"/>
      <w:bookmarkStart w:id="62" w:name="_Toc28359087"/>
      <w:r>
        <w:rPr>
          <w:rFonts w:hint="eastAsia"/>
          <w:color w:val="auto"/>
          <w:highlight w:val="none"/>
        </w:rPr>
        <w:t>0</w:t>
      </w:r>
      <w:r>
        <w:rPr>
          <w:color w:val="auto"/>
          <w:highlight w:val="none"/>
        </w:rPr>
        <w:t>777-2886022</w:t>
      </w:r>
      <w:r>
        <w:rPr>
          <w:rFonts w:hint="eastAsia"/>
          <w:color w:val="auto"/>
          <w:highlight w:val="none"/>
        </w:rPr>
        <w:t>、</w:t>
      </w:r>
      <w:r>
        <w:rPr>
          <w:color w:val="auto"/>
          <w:highlight w:val="none"/>
        </w:rPr>
        <w:t>2886006</w:t>
      </w:r>
    </w:p>
    <w:bookmarkEnd w:id="60"/>
    <w:bookmarkEnd w:id="61"/>
    <w:bookmarkEnd w:id="62"/>
    <w:p>
      <w:pPr>
        <w:ind w:firstLine="0" w:firstLineChars="0"/>
        <w:jc w:val="left"/>
        <w:rPr>
          <w:rFonts w:hint="eastAsia"/>
          <w:color w:val="auto"/>
          <w:highlight w:val="none"/>
        </w:rPr>
      </w:pPr>
      <w:r>
        <w:rPr>
          <w:color w:val="auto"/>
          <w:highlight w:val="none"/>
        </w:rPr>
        <w:br w:type="page"/>
      </w: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color w:val="auto"/>
          <w:highlight w:val="none"/>
        </w:rPr>
      </w:pPr>
    </w:p>
    <w:p>
      <w:pPr>
        <w:ind w:firstLine="0" w:firstLineChars="0"/>
        <w:jc w:val="left"/>
        <w:rPr>
          <w:color w:val="auto"/>
          <w:highlight w:val="none"/>
        </w:rPr>
      </w:pPr>
    </w:p>
    <w:p>
      <w:pPr>
        <w:ind w:firstLine="0" w:firstLineChars="0"/>
        <w:jc w:val="left"/>
        <w:rPr>
          <w:color w:val="auto"/>
          <w:highlight w:val="none"/>
        </w:rPr>
      </w:pPr>
    </w:p>
    <w:p>
      <w:pPr>
        <w:ind w:firstLine="0" w:firstLineChars="0"/>
        <w:jc w:val="left"/>
        <w:rPr>
          <w:rFonts w:hint="eastAsia"/>
          <w:color w:val="auto"/>
          <w:highlight w:val="none"/>
        </w:rPr>
      </w:pPr>
    </w:p>
    <w:p>
      <w:pPr>
        <w:pStyle w:val="45"/>
        <w:ind w:left="0" w:leftChars="0" w:right="0" w:rightChars="0" w:firstLine="0" w:firstLineChars="0"/>
        <w:jc w:val="center"/>
        <w:rPr>
          <w:rFonts w:hint="eastAsia"/>
          <w:color w:val="auto"/>
          <w:highlight w:val="none"/>
        </w:rPr>
      </w:pPr>
      <w:bookmarkStart w:id="63" w:name="_Toc352700402"/>
      <w:bookmarkStart w:id="64" w:name="_Toc91512284"/>
      <w:r>
        <w:rPr>
          <w:rFonts w:hint="eastAsia"/>
          <w:color w:val="auto"/>
          <w:highlight w:val="none"/>
        </w:rPr>
        <w:t xml:space="preserve">第二章  </w:t>
      </w:r>
      <w:bookmarkEnd w:id="63"/>
      <w:r>
        <w:rPr>
          <w:rFonts w:hint="eastAsia"/>
          <w:color w:val="auto"/>
          <w:highlight w:val="none"/>
        </w:rPr>
        <w:t>项目需求</w:t>
      </w:r>
      <w:bookmarkEnd w:id="64"/>
      <w:bookmarkStart w:id="65" w:name="_Toc352700403"/>
    </w:p>
    <w:p>
      <w:pPr>
        <w:spacing w:line="800" w:lineRule="exact"/>
        <w:ind w:left="-291" w:leftChars="-202" w:hanging="133" w:hangingChars="30"/>
        <w:jc w:val="center"/>
        <w:rPr>
          <w:rFonts w:ascii="Times New Roman" w:hAnsi="Times New Roman" w:eastAsia="宋体" w:cs="Times New Roman"/>
          <w:b/>
          <w:color w:val="auto"/>
          <w:szCs w:val="24"/>
          <w:highlight w:val="none"/>
        </w:rPr>
      </w:pPr>
      <w:r>
        <w:rPr>
          <w:rFonts w:ascii="方正小标宋_GBK" w:eastAsia="方正小标宋_GBK"/>
          <w:b/>
          <w:color w:val="auto"/>
          <w:sz w:val="44"/>
          <w:szCs w:val="44"/>
          <w:highlight w:val="none"/>
        </w:rPr>
        <w:br w:type="page"/>
      </w:r>
      <w:bookmarkStart w:id="66" w:name="_Toc14492"/>
      <w:r>
        <w:rPr>
          <w:rFonts w:hint="eastAsia" w:ascii="方正小标宋_GBK" w:hAnsi="Times New Roman" w:eastAsia="方正小标宋_GBK" w:cs="Times New Roman"/>
          <w:b/>
          <w:color w:val="auto"/>
          <w:sz w:val="44"/>
          <w:szCs w:val="44"/>
          <w:highlight w:val="none"/>
        </w:rPr>
        <w:t>项目需求</w:t>
      </w:r>
    </w:p>
    <w:p>
      <w:pPr>
        <w:spacing w:line="420" w:lineRule="exac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说明：</w:t>
      </w:r>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1.本表中的品牌型号、技术参数及其性能（规格）仅起参考作用，投标人可选用其他品牌型号替代，</w:t>
      </w:r>
      <w:bookmarkStart w:id="67" w:name="_Hlk126843748"/>
      <w:r>
        <w:rPr>
          <w:rFonts w:hint="eastAsia" w:ascii="宋体" w:hAnsi="宋体" w:eastAsia="宋体" w:cs="Times New Roman"/>
          <w:color w:val="auto"/>
          <w:szCs w:val="24"/>
          <w:highlight w:val="none"/>
        </w:rPr>
        <w:t>但替代的产品整体上要相当于或优于参考品牌型号或其技术参数性能（规格）要求。</w:t>
      </w:r>
      <w:bookmarkEnd w:id="67"/>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2.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360" w:lineRule="exact"/>
        <w:ind w:firstLine="420" w:firstLineChars="200"/>
        <w:rPr>
          <w:rFonts w:hint="eastAsia" w:ascii="宋体" w:hAnsi="宋体" w:eastAsia="宋体" w:cs="Times New Roman"/>
          <w:bCs/>
          <w:color w:val="auto"/>
          <w:szCs w:val="24"/>
          <w:highlight w:val="none"/>
        </w:rPr>
      </w:pPr>
      <w:bookmarkStart w:id="68" w:name="_Hlk92357261"/>
      <w:r>
        <w:rPr>
          <w:rFonts w:hint="eastAsia" w:ascii="宋体" w:hAnsi="宋体" w:eastAsia="宋体" w:cs="Times New Roman"/>
          <w:bCs/>
          <w:color w:val="auto"/>
          <w:szCs w:val="24"/>
          <w:highlight w:val="none"/>
        </w:rPr>
        <w:t>3.</w:t>
      </w:r>
      <w:r>
        <w:rPr>
          <w:rFonts w:hint="eastAsia" w:ascii="Times New Roman" w:hAnsi="Times New Roman" w:eastAsia="宋体" w:cs="Times New Roman"/>
          <w:color w:val="auto"/>
          <w:szCs w:val="24"/>
          <w:highlight w:val="none"/>
        </w:rPr>
        <w:t>本项目不接受投标人提供通过中国海关报关验放进入中国境内且产自关境外的产品。</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4"/>
          <w:highlight w:val="none"/>
        </w:rPr>
        <w:t>4.</w:t>
      </w:r>
      <w:r>
        <w:rPr>
          <w:rFonts w:hint="eastAsia" w:ascii="宋体" w:hAnsi="宋体" w:eastAsia="宋体" w:cs="Times New Roman"/>
          <w:color w:val="auto"/>
          <w:szCs w:val="21"/>
          <w:highlight w:val="none"/>
        </w:rPr>
        <w:t>标注★号的技术参数为实质性要求的参数，要求必须满足或优于，否则视为无效投标文件。</w:t>
      </w:r>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1"/>
          <w:highlight w:val="none"/>
        </w:rPr>
        <w:t>标注▲号的系与项目实际紧密相关的条款，作为评审依据</w:t>
      </w:r>
      <w:r>
        <w:rPr>
          <w:rFonts w:hint="eastAsia" w:ascii="宋体" w:hAnsi="宋体" w:cs="Times New Roman"/>
          <w:color w:val="auto"/>
          <w:szCs w:val="21"/>
          <w:highlight w:val="none"/>
          <w:lang w:eastAsia="zh-CN"/>
        </w:rPr>
        <w:t>，</w:t>
      </w:r>
      <w:r>
        <w:rPr>
          <w:rFonts w:hint="eastAsia" w:ascii="宋体" w:hAnsi="宋体" w:cs="宋体"/>
          <w:color w:val="auto"/>
          <w:kern w:val="0"/>
          <w:szCs w:val="21"/>
          <w:highlight w:val="none"/>
          <w:lang w:eastAsia="zh-CN" w:bidi="ar"/>
        </w:rPr>
        <w:t>提供证明材料：包括但不限于厂家证明或功能截图或国家认可的第三方检测报告并加盖供应商公章</w:t>
      </w:r>
      <w:r>
        <w:rPr>
          <w:rFonts w:hint="eastAsia" w:ascii="宋体" w:hAnsi="宋体" w:eastAsia="宋体" w:cs="Times New Roman"/>
          <w:color w:val="auto"/>
          <w:szCs w:val="21"/>
          <w:highlight w:val="none"/>
        </w:rPr>
        <w:t>。</w:t>
      </w:r>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5.本项目对应的中小企业划分标准所属行业为</w:t>
      </w:r>
      <w:r>
        <w:rPr>
          <w:rFonts w:hint="eastAsia" w:ascii="宋体" w:hAnsi="宋体" w:eastAsia="宋体" w:cs="Times New Roman"/>
          <w:color w:val="auto"/>
          <w:szCs w:val="24"/>
          <w:highlight w:val="none"/>
          <w:u w:val="single"/>
        </w:rPr>
        <w:t xml:space="preserve">    </w:t>
      </w:r>
      <w:r>
        <w:rPr>
          <w:rFonts w:hint="eastAsia" w:ascii="宋体" w:hAnsi="宋体" w:cs="Times New Roman"/>
          <w:color w:val="auto"/>
          <w:szCs w:val="24"/>
          <w:highlight w:val="none"/>
          <w:u w:val="single"/>
          <w:lang w:val="en-US" w:eastAsia="zh-CN"/>
        </w:rPr>
        <w:t>工业</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w:t>
      </w:r>
    </w:p>
    <w:p>
      <w:pPr>
        <w:spacing w:line="360" w:lineRule="exact"/>
        <w:ind w:firstLine="420" w:firstLineChars="200"/>
        <w:rPr>
          <w:rFonts w:ascii="Times New Roman" w:hAnsi="Times New Roman" w:eastAsia="宋体" w:cs="Times New Roman"/>
          <w:color w:val="auto"/>
          <w:szCs w:val="24"/>
          <w:highlight w:val="none"/>
        </w:rPr>
      </w:pPr>
      <w:r>
        <w:rPr>
          <w:rFonts w:hint="eastAsia" w:ascii="宋体" w:hAnsi="宋体" w:eastAsia="宋体" w:cs="Times New Roman"/>
          <w:color w:val="auto"/>
          <w:szCs w:val="24"/>
          <w:highlight w:val="none"/>
        </w:rPr>
        <w:t>6.</w:t>
      </w:r>
      <w:r>
        <w:rPr>
          <w:rFonts w:hint="eastAsia" w:ascii="Times New Roman" w:hAnsi="Times New Roman" w:eastAsia="宋体" w:cs="Times New Roman"/>
          <w:color w:val="auto"/>
          <w:szCs w:val="24"/>
          <w:highlight w:val="none"/>
        </w:rPr>
        <w:t>预算金额：</w:t>
      </w:r>
      <w:r>
        <w:rPr>
          <w:rFonts w:hint="eastAsia" w:cs="Times New Roman"/>
          <w:color w:val="auto"/>
          <w:szCs w:val="24"/>
          <w:highlight w:val="none"/>
          <w:u w:val="single"/>
          <w:lang w:val="en-US" w:eastAsia="zh-CN"/>
        </w:rPr>
        <w:t>叁佰叁拾伍万</w:t>
      </w:r>
      <w:r>
        <w:rPr>
          <w:rFonts w:hint="eastAsia" w:ascii="Times New Roman" w:hAnsi="Times New Roman" w:eastAsia="宋体" w:cs="Times New Roman"/>
          <w:color w:val="auto"/>
          <w:szCs w:val="24"/>
          <w:highlight w:val="none"/>
        </w:rPr>
        <w:t>元整</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r>
        <w:rPr>
          <w:rFonts w:hint="eastAsia" w:cs="Times New Roman"/>
          <w:color w:val="auto"/>
          <w:szCs w:val="24"/>
          <w:highlight w:val="none"/>
          <w:lang w:val="en-US" w:eastAsia="zh-CN"/>
        </w:rPr>
        <w:t xml:space="preserve">3350000.00 </w:t>
      </w:r>
      <w:r>
        <w:rPr>
          <w:rFonts w:ascii="Times New Roman" w:hAnsi="Times New Roman" w:eastAsia="宋体" w:cs="Times New Roman"/>
          <w:color w:val="auto"/>
          <w:szCs w:val="24"/>
          <w:highlight w:val="none"/>
        </w:rPr>
        <w:t>)</w:t>
      </w:r>
    </w:p>
    <w:tbl>
      <w:tblPr>
        <w:tblStyle w:val="49"/>
        <w:tblW w:w="98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88"/>
        <w:gridCol w:w="137"/>
        <w:gridCol w:w="493"/>
        <w:gridCol w:w="645"/>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一、教学一体机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序号</w:t>
            </w:r>
          </w:p>
        </w:tc>
        <w:tc>
          <w:tcPr>
            <w:tcW w:w="888"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货物名称</w:t>
            </w:r>
          </w:p>
        </w:tc>
        <w:tc>
          <w:tcPr>
            <w:tcW w:w="630" w:type="dxa"/>
            <w:gridSpan w:val="2"/>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单位</w:t>
            </w:r>
          </w:p>
        </w:tc>
        <w:tc>
          <w:tcPr>
            <w:tcW w:w="645"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数量</w:t>
            </w:r>
          </w:p>
        </w:tc>
        <w:tc>
          <w:tcPr>
            <w:tcW w:w="7265" w:type="dxa"/>
            <w:noWrap w:val="0"/>
            <w:vAlign w:val="top"/>
          </w:tcPr>
          <w:p>
            <w:pPr>
              <w:pStyle w:val="60"/>
              <w:ind w:firstLine="308" w:firstLineChars="147"/>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88" w:type="dxa"/>
            <w:noWrap w:val="0"/>
            <w:vAlign w:val="top"/>
          </w:tcPr>
          <w:p>
            <w:pPr>
              <w:pStyle w:val="60"/>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default" w:ascii="宋体" w:hAnsi="宋体" w:eastAsia="宋体" w:cs="宋体"/>
                <w:b w:val="0"/>
                <w:bCs w:val="0"/>
                <w:color w:val="auto"/>
                <w:sz w:val="21"/>
                <w:szCs w:val="21"/>
                <w:highlight w:val="none"/>
                <w:vertAlign w:val="baseline"/>
                <w:lang w:val="en-US" w:eastAsia="zh-CN"/>
              </w:rPr>
              <w:t>1.5匹变频挂式空调</w:t>
            </w:r>
          </w:p>
        </w:tc>
        <w:tc>
          <w:tcPr>
            <w:tcW w:w="630" w:type="dxa"/>
            <w:gridSpan w:val="2"/>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45" w:type="dxa"/>
            <w:noWrap w:val="0"/>
            <w:vAlign w:val="top"/>
          </w:tcPr>
          <w:p>
            <w:pPr>
              <w:pStyle w:val="60"/>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 xml:space="preserve"> 252</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1.规格：1.5匹变频挂式空调；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3.APF:≥5.27;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4.额定制冷量（W）：≥3500；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5.额定制冷功率（W）：≤860</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6.额定制热量（W）：≥5000；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7.额定制热功率（W）：≤1255；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w:t>
            </w:r>
            <w:r>
              <w:rPr>
                <w:rFonts w:hint="eastAsia" w:asciiTheme="minorEastAsia" w:hAnsiTheme="minorEastAsia" w:eastAsiaTheme="minorEastAsia" w:cstheme="minorEastAsia"/>
                <w:sz w:val="21"/>
                <w:szCs w:val="21"/>
                <w:highlight w:val="none"/>
                <w:lang w:val="en-US" w:eastAsia="zh-CN"/>
              </w:rPr>
              <w:t>35；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w:t>
            </w:r>
            <w:r>
              <w:rPr>
                <w:rFonts w:hint="eastAsia" w:asciiTheme="minorEastAsia" w:hAnsiTheme="minorEastAsia" w:eastAsiaTheme="minorEastAsia" w:cstheme="minorEastAsia"/>
                <w:sz w:val="21"/>
                <w:szCs w:val="21"/>
                <w:highlight w:val="none"/>
                <w:lang w:val="en-US" w:eastAsia="zh-CN"/>
              </w:rPr>
              <w:t>980；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11.循环风量（m³/h）：≥760；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spacing w:line="300" w:lineRule="exact"/>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．标准配置：含空调整体安装调试。室内机1台、室外机1台、电池1对、遥控器一个、胶泥1块、墙孔套1个、铜管3米、空调排水管3米、保修卡1份、说明书1份、合格证1份。</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kern w:val="0"/>
                <w:sz w:val="21"/>
                <w:szCs w:val="21"/>
                <w:highlight w:val="none"/>
                <w:lang w:val="en-US" w:eastAsia="zh-CN"/>
              </w:rPr>
              <w:t>1匹变频挂式空调</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1.规格：1匹变频挂式空调；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3.APF:≥5.27;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4.额定制冷量（W）：≥2600；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5.额定制冷功率（W）：≤5</w:t>
            </w:r>
            <w:r>
              <w:rPr>
                <w:rFonts w:hint="eastAsia" w:asciiTheme="minorEastAsia" w:hAnsiTheme="minorEastAsia" w:eastAsiaTheme="minorEastAsia" w:cstheme="minorEastAsia"/>
                <w:sz w:val="21"/>
                <w:szCs w:val="21"/>
                <w:highlight w:val="none"/>
                <w:lang w:val="en-US" w:eastAsia="zh-CN"/>
              </w:rPr>
              <w:t>85；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6.额定制热量（W）：≥4500；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7.额定制热功率（W）：≤1150；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w:t>
            </w:r>
            <w:r>
              <w:rPr>
                <w:rFonts w:hint="eastAsia" w:asciiTheme="minorEastAsia" w:hAnsiTheme="minorEastAsia" w:eastAsiaTheme="minorEastAsia" w:cstheme="minorEastAsia"/>
                <w:sz w:val="21"/>
                <w:szCs w:val="21"/>
                <w:highlight w:val="none"/>
                <w:lang w:val="en-US" w:eastAsia="zh-CN"/>
              </w:rPr>
              <w:t>35.5；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9.室外机噪音dB（A）：≤51</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w:t>
            </w:r>
            <w:r>
              <w:rPr>
                <w:rFonts w:hint="eastAsia" w:asciiTheme="minorEastAsia" w:hAnsiTheme="minorEastAsia" w:eastAsiaTheme="minorEastAsia" w:cstheme="minorEastAsia"/>
                <w:sz w:val="21"/>
                <w:szCs w:val="21"/>
                <w:highlight w:val="none"/>
                <w:lang w:val="en-US" w:eastAsia="zh-CN"/>
              </w:rPr>
              <w:t>850；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11.循环风量（m³/h）：≥630；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spacing w:line="300" w:lineRule="exact"/>
              <w:ind w:left="0" w:leftChars="0" w:firstLine="0" w:firstLineChars="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0-50；</w:t>
            </w:r>
          </w:p>
          <w:p>
            <w:pPr>
              <w:spacing w:line="300" w:lineRule="exact"/>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．标准配置：含空调整体安装调试。室内机1台、室外机1台、电池1对、遥控器一个、胶泥1块、墙孔套1个、铜管3米、空调排水管3米、保修卡1份、说明书1份、合格证1份。</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匹变频</w:t>
            </w:r>
            <w:r>
              <w:rPr>
                <w:rFonts w:hint="eastAsia" w:ascii="宋体" w:hAnsi="宋体" w:eastAsia="宋体" w:cs="宋体"/>
                <w:kern w:val="0"/>
                <w:sz w:val="21"/>
                <w:szCs w:val="21"/>
                <w:highlight w:val="none"/>
                <w:lang w:val="en-US" w:eastAsia="zh-CN"/>
              </w:rPr>
              <w:t>柜</w:t>
            </w:r>
            <w:r>
              <w:rPr>
                <w:rFonts w:hint="eastAsia" w:ascii="宋体" w:hAnsi="宋体" w:eastAsia="宋体" w:cs="宋体"/>
                <w:kern w:val="0"/>
                <w:sz w:val="21"/>
                <w:szCs w:val="21"/>
                <w:highlight w:val="none"/>
              </w:rPr>
              <w:t>式空调</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 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 </w:t>
            </w:r>
            <w:r>
              <w:rPr>
                <w:rFonts w:hint="eastAsia" w:hAnsi="宋体" w:cs="宋体"/>
                <w:b w:val="0"/>
                <w:bCs w:val="0"/>
                <w:color w:val="auto"/>
                <w:sz w:val="21"/>
                <w:szCs w:val="21"/>
                <w:highlight w:val="none"/>
                <w:vertAlign w:val="baseline"/>
                <w:lang w:val="en-US" w:eastAsia="zh-CN"/>
              </w:rPr>
              <w:t>2</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1.规格：2匹变频柜式空调；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3.APF:≥4.77;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4.额定制冷量（W）：≥5100；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5.额定制冷功率（W）：≤1300</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6.额定制热量（W）：≥7250</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7.额定制热功率（W）：≤</w:t>
            </w:r>
            <w:r>
              <w:rPr>
                <w:rFonts w:hint="eastAsia" w:asciiTheme="minorEastAsia" w:hAnsiTheme="minorEastAsia" w:eastAsiaTheme="minorEastAsia" w:cstheme="minorEastAsia"/>
                <w:sz w:val="21"/>
                <w:szCs w:val="21"/>
                <w:highlight w:val="none"/>
                <w:lang w:val="en-US" w:eastAsia="zh-CN"/>
              </w:rPr>
              <w:t>1950；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8.室内机噪音高风dB（A）：≤38.5；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9.室外机噪音dB（A）：≤54.5；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10.电辅热（W）：≥1750</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11.循环风量（m³/h):≥1200</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0-50；</w:t>
            </w:r>
          </w:p>
          <w:p>
            <w:pPr>
              <w:pStyle w:val="2"/>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xml:space="preserve">15．标准配置：含空调整体安装调试。室内机1台、室外机1台、电池1对、遥控器一个、胶泥1块、墙孔套1个、铜管4米、空调排水管、保修卡1份、说明书1份、合格证1份。 </w:t>
            </w:r>
            <w:r>
              <w:rPr>
                <w:rFonts w:hint="eastAsia" w:asciiTheme="minorEastAsia" w:hAnsiTheme="minorEastAsia" w:eastAsiaTheme="minorEastAsia" w:cstheme="minorEastAsia"/>
                <w:color w:val="auto"/>
                <w:sz w:val="21"/>
                <w:szCs w:val="21"/>
                <w:highlight w:val="none"/>
              </w:rPr>
              <w:t xml:space="preserve"> </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kern w:val="0"/>
                <w:sz w:val="21"/>
                <w:szCs w:val="21"/>
                <w:highlight w:val="none"/>
                <w:lang w:val="en-US" w:eastAsia="zh-CN" w:bidi="ar"/>
              </w:rPr>
              <w:t xml:space="preserve"> 4</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匹变频柜式空调</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 xml:space="preserve"> 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hAnsi="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1.规格：3匹变频柜式空调；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3.APF:≥4.52;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4.额定制冷量（W）：≥7320；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w:t>
            </w:r>
            <w:r>
              <w:rPr>
                <w:rFonts w:hint="eastAsia" w:asciiTheme="minorEastAsia" w:hAnsiTheme="minorEastAsia" w:eastAsiaTheme="minorEastAsia" w:cstheme="minorEastAsia"/>
                <w:sz w:val="21"/>
                <w:szCs w:val="21"/>
                <w:highlight w:val="none"/>
                <w:lang w:val="en-US" w:eastAsia="zh-CN"/>
              </w:rPr>
              <w:t>1945；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6.额定制热量（W）：≥9900；</w:t>
            </w:r>
          </w:p>
          <w:p>
            <w:pPr>
              <w:pStyle w:val="19"/>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7.额定制热功率（W）：≤2950；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w:t>
            </w:r>
            <w:r>
              <w:rPr>
                <w:rFonts w:hint="eastAsia" w:asciiTheme="minorEastAsia" w:hAnsiTheme="minorEastAsia" w:eastAsiaTheme="minorEastAsia" w:cstheme="minorEastAsia"/>
                <w:sz w:val="21"/>
                <w:szCs w:val="21"/>
                <w:highlight w:val="none"/>
                <w:lang w:val="en-US" w:eastAsia="zh-CN"/>
              </w:rPr>
              <w:t>43；</w:t>
            </w:r>
          </w:p>
          <w:p>
            <w:pPr>
              <w:pStyle w:val="19"/>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9.室外机噪音dB（A）：≤56.5；</w:t>
            </w:r>
          </w:p>
          <w:p>
            <w:pPr>
              <w:pStyle w:val="19"/>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10.电辅热（W）：≥1750</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11.循环风量（m³/h）：≥1400；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0-50；</w:t>
            </w:r>
          </w:p>
          <w:p>
            <w:pPr>
              <w:pStyle w:val="2"/>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xml:space="preserve">15．标准配置：含空调整体安装调试。室内机1台、室外机1台、电池1对、遥控器一个、胶泥1块、墙孔套1个、铜管4米、空调排水管、保修卡1份、说明书1份、合格证1份。 </w:t>
            </w:r>
            <w:r>
              <w:rPr>
                <w:rFonts w:hint="eastAsia" w:asciiTheme="minorEastAsia" w:hAnsiTheme="minorEastAsia" w:eastAsiaTheme="minorEastAsia" w:cstheme="minorEastAsia"/>
                <w:color w:val="auto"/>
                <w:sz w:val="21"/>
                <w:szCs w:val="21"/>
                <w:highlight w:val="none"/>
              </w:rPr>
              <w:t xml:space="preserve"> </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 xml:space="preserve"> 5</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hAnsi="宋体" w:cs="宋体"/>
                <w:kern w:val="0"/>
                <w:sz w:val="21"/>
                <w:szCs w:val="21"/>
                <w:highlight w:val="none"/>
                <w:lang w:val="en-US" w:eastAsia="zh-CN"/>
              </w:rPr>
              <w:t>5</w:t>
            </w:r>
            <w:r>
              <w:rPr>
                <w:rFonts w:hint="eastAsia" w:ascii="宋体" w:hAnsi="宋体" w:eastAsia="宋体" w:cs="宋体"/>
                <w:kern w:val="0"/>
                <w:sz w:val="21"/>
                <w:szCs w:val="21"/>
                <w:highlight w:val="none"/>
              </w:rPr>
              <w:t>匹变频</w:t>
            </w:r>
            <w:r>
              <w:rPr>
                <w:rFonts w:hint="eastAsia" w:hAnsi="宋体" w:cs="宋体"/>
                <w:kern w:val="0"/>
                <w:sz w:val="21"/>
                <w:szCs w:val="21"/>
                <w:highlight w:val="none"/>
                <w:lang w:val="en-US" w:eastAsia="zh-CN"/>
              </w:rPr>
              <w:t>柜</w:t>
            </w:r>
            <w:r>
              <w:rPr>
                <w:rFonts w:hint="eastAsia" w:ascii="宋体" w:hAnsi="宋体" w:eastAsia="宋体" w:cs="宋体"/>
                <w:kern w:val="0"/>
                <w:sz w:val="21"/>
                <w:szCs w:val="21"/>
                <w:highlight w:val="none"/>
              </w:rPr>
              <w:t>式</w:t>
            </w:r>
            <w:r>
              <w:rPr>
                <w:rFonts w:hint="eastAsia" w:ascii="宋体" w:hAnsi="宋体" w:eastAsia="宋体" w:cs="宋体"/>
                <w:kern w:val="0"/>
                <w:sz w:val="21"/>
                <w:szCs w:val="21"/>
                <w:highlight w:val="none"/>
              </w:rPr>
              <w:t>空调</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hAnsi="宋体" w:cs="宋体"/>
                <w:b w:val="0"/>
                <w:bCs w:val="0"/>
                <w:color w:val="auto"/>
                <w:kern w:val="0"/>
                <w:sz w:val="21"/>
                <w:szCs w:val="21"/>
                <w:highlight w:val="none"/>
                <w:lang w:val="en-US" w:eastAsia="zh-CN" w:bidi="ar"/>
              </w:rPr>
              <w:t>6</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1.规格：5匹变频柜式空调；</w:t>
            </w:r>
          </w:p>
          <w:p>
            <w:pPr>
              <w:pStyle w:val="19"/>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3.APF:≥3.6;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4.额定制冷量（W）：≥12150；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5.额定制冷功率（W）：≤4610；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6.额定制热量（W）：≥13700；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7.额定制热功率（W）：≤4560；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w:t>
            </w:r>
            <w:r>
              <w:rPr>
                <w:rFonts w:hint="eastAsia" w:asciiTheme="minorEastAsia" w:hAnsiTheme="minorEastAsia" w:eastAsiaTheme="minorEastAsia" w:cstheme="minorEastAsia"/>
                <w:sz w:val="21"/>
                <w:szCs w:val="21"/>
                <w:highlight w:val="none"/>
                <w:lang w:val="en-US" w:eastAsia="zh-CN"/>
              </w:rPr>
              <w:t>50.5；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9.室外机噪音dB（A）：≤60；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10.电辅热（W）：≥3000</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11.风量（m³/h）：≥2100；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12.电压/频率（V/Hz）：380V3N～50Hz；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38</w:t>
            </w:r>
            <w:r>
              <w:rPr>
                <w:rFonts w:hint="eastAsia" w:asciiTheme="minorEastAsia" w:hAnsiTheme="minorEastAsia" w:eastAsiaTheme="minorEastAsia" w:cstheme="minorEastAsia"/>
                <w:color w:val="auto"/>
                <w:sz w:val="21"/>
                <w:szCs w:val="21"/>
                <w:highlight w:val="none"/>
              </w:rPr>
              <w:t>0-50；</w:t>
            </w:r>
          </w:p>
          <w:p>
            <w:pPr>
              <w:pStyle w:val="2"/>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xml:space="preserve">15．标准配置：含空调整体安装调试。室内机1台、室外机1台、电池1对、遥控器一个、胶泥1块、墙孔套1个、铜管4米、空调排水管、保修卡1份、说明书1份、合格证1份。 </w:t>
            </w:r>
            <w:r>
              <w:rPr>
                <w:rFonts w:hint="eastAsia" w:asciiTheme="minorEastAsia" w:hAnsiTheme="minorEastAsia" w:eastAsiaTheme="minorEastAsia" w:cstheme="minorEastAsia"/>
                <w:color w:val="auto"/>
                <w:sz w:val="21"/>
                <w:szCs w:val="21"/>
                <w:highlight w:val="none"/>
              </w:rPr>
              <w:t xml:space="preserve"> </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6</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rPr>
              <w:t>3匹变频天井机</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hAnsi="宋体" w:cs="宋体"/>
                <w:b w:val="0"/>
                <w:bCs w:val="0"/>
                <w:color w:val="auto"/>
                <w:kern w:val="0"/>
                <w:sz w:val="21"/>
                <w:szCs w:val="21"/>
                <w:highlight w:val="none"/>
                <w:lang w:val="en-US" w:eastAsia="zh-CN" w:bidi="ar"/>
              </w:rPr>
              <w:t>154</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1.规格：3匹变频天井式空调；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3.APF:≥4.2;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4.额定制冷量（W）：≥7200；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5.额定制冷功率（W）：≤2400</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6.额定制热量（W）：≥9200；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7.额定制热功率（W）：≤2710；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w:t>
            </w:r>
            <w:r>
              <w:rPr>
                <w:rFonts w:hint="eastAsia" w:asciiTheme="minorEastAsia" w:hAnsiTheme="minorEastAsia" w:eastAsiaTheme="minorEastAsia" w:cstheme="minorEastAsia"/>
                <w:sz w:val="21"/>
                <w:szCs w:val="21"/>
                <w:highlight w:val="none"/>
                <w:lang w:val="en-US" w:eastAsia="zh-CN"/>
              </w:rPr>
              <w:t>41.5；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10.电辅热（W）：≥1200</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11.循环风量（m³/h）：≥1270；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spacing w:line="300" w:lineRule="exact"/>
              <w:ind w:left="0" w:leftChars="0" w:firstLine="0" w:firstLineChars="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0-50；</w:t>
            </w:r>
          </w:p>
          <w:p>
            <w:pPr>
              <w:wordWrap w:val="0"/>
              <w:topLinePunct/>
              <w:adjustRightInd w:val="0"/>
              <w:snapToGrid w:val="0"/>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.标准配置：含空调整体安装调试。室内机1台、室外机1台、电池1对、遥控器一个、胶泥1块、墙孔套1个、保修卡1份、说明书1份、合格证1份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7</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铜管</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米</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1220</w:t>
            </w:r>
          </w:p>
        </w:tc>
        <w:tc>
          <w:tcPr>
            <w:tcW w:w="7265" w:type="dxa"/>
            <w:noWrap w:val="0"/>
            <w:vAlign w:val="center"/>
          </w:tcPr>
          <w:p>
            <w:pPr>
              <w:pStyle w:val="2"/>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1.5匹铜管：R410A紫铜管（含保温）规格中10/6，长度以现场踏勘为准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8</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铜管</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米</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6</w:t>
            </w:r>
          </w:p>
        </w:tc>
        <w:tc>
          <w:tcPr>
            <w:tcW w:w="7265" w:type="dxa"/>
            <w:noWrap w:val="0"/>
            <w:vAlign w:val="center"/>
          </w:tcPr>
          <w:p>
            <w:pPr>
              <w:pStyle w:val="2"/>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2匹铜管：R410A紫铜管(含保温）规格φ12/6，长度以现场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9</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铜管</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米</w:t>
            </w:r>
          </w:p>
        </w:tc>
        <w:tc>
          <w:tcPr>
            <w:tcW w:w="645"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2250</w:t>
            </w:r>
          </w:p>
        </w:tc>
        <w:tc>
          <w:tcPr>
            <w:tcW w:w="7265" w:type="dxa"/>
            <w:noWrap w:val="0"/>
            <w:vAlign w:val="center"/>
          </w:tcPr>
          <w:p>
            <w:pPr>
              <w:pStyle w:val="2"/>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3匹铜管：R410A紫铜管（含保温）规格Φ15.9/6.35，长度以现场踏勘为准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10</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铜管</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米</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30</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5匹铜管：R410A紫铜管(含保温） 规格Φ15.9/9.5，长度以现场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11</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hAnsi="宋体" w:cs="宋体"/>
                <w:b w:val="0"/>
                <w:bCs w:val="0"/>
                <w:color w:val="auto"/>
                <w:kern w:val="0"/>
                <w:sz w:val="21"/>
                <w:szCs w:val="21"/>
                <w:highlight w:val="none"/>
                <w:lang w:val="en-US" w:eastAsia="zh-CN" w:bidi="ar"/>
              </w:rPr>
              <w:t>排水管</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米</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3400</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1.内机排水管：PVC管（含保温），φ20，保温厚度3.0mm，长度以现场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2.外机排水管：φ40，长度以现场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12</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kern w:val="0"/>
                <w:sz w:val="21"/>
                <w:szCs w:val="21"/>
                <w:highlight w:val="none"/>
                <w:lang w:val="en-US" w:eastAsia="zh-CN" w:bidi="ar-SA"/>
              </w:rPr>
              <w:t>桥架</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米</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1800</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镀锌，150*100（厚度1.0mm），长度以现场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2" w:type="dxa"/>
            <w:noWrap w:val="0"/>
            <w:vAlign w:val="top"/>
          </w:tcPr>
          <w:p>
            <w:pPr>
              <w:pStyle w:val="60"/>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13</w:t>
            </w:r>
          </w:p>
        </w:tc>
        <w:tc>
          <w:tcPr>
            <w:tcW w:w="888"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空调外机支架</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个</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134</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1-1.5匹外机支架：</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1.304不锈钢支架及304不锈钢配套螺丝</w:t>
            </w:r>
          </w:p>
          <w:p>
            <w:pPr>
              <w:keepNext w:val="0"/>
              <w:keepLines w:val="0"/>
              <w:pageBreakBefore w:val="0"/>
              <w:widowControl w:val="0"/>
              <w:kinsoku/>
              <w:wordWrap/>
              <w:overflowPunct/>
              <w:topLinePunct w:val="0"/>
              <w:autoSpaceDE/>
              <w:autoSpaceDN/>
              <w:bidi w:val="0"/>
              <w:adjustRightInd/>
              <w:snapToGrid/>
              <w:spacing w:line="360" w:lineRule="auto"/>
              <w:ind w:firstLine="1890" w:firstLineChars="9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2.规格:800*350*383;厚度:1.75*1.8*1.75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14</w:t>
            </w:r>
          </w:p>
        </w:tc>
        <w:tc>
          <w:tcPr>
            <w:tcW w:w="888" w:type="dxa"/>
            <w:noWrap w:val="0"/>
            <w:vAlign w:val="top"/>
          </w:tcPr>
          <w:p>
            <w:pPr>
              <w:pStyle w:val="60"/>
              <w:spacing w:line="360" w:lineRule="auto"/>
              <w:ind w:left="0" w:leftChars="0" w:firstLine="0" w:firstLineChars="0"/>
              <w:jc w:val="both"/>
              <w:rPr>
                <w:rFonts w:hint="eastAsia" w:hAnsi="宋体" w:cs="宋体"/>
                <w:kern w:val="0"/>
                <w:sz w:val="21"/>
                <w:szCs w:val="21"/>
                <w:highlight w:val="none"/>
                <w:lang w:val="en-US" w:eastAsia="zh-CN" w:bidi="ar-SA"/>
              </w:rPr>
            </w:pPr>
            <w:r>
              <w:rPr>
                <w:rFonts w:hint="eastAsia" w:hAnsi="宋体" w:cs="宋体"/>
                <w:b w:val="0"/>
                <w:bCs w:val="0"/>
                <w:color w:val="auto"/>
                <w:kern w:val="0"/>
                <w:sz w:val="21"/>
                <w:szCs w:val="21"/>
                <w:highlight w:val="none"/>
                <w:lang w:val="en-US" w:eastAsia="zh-CN" w:bidi="ar"/>
              </w:rPr>
              <w:t>空调外机支架</w:t>
            </w:r>
          </w:p>
        </w:tc>
        <w:tc>
          <w:tcPr>
            <w:tcW w:w="630" w:type="dxa"/>
            <w:gridSpan w:val="2"/>
            <w:noWrap w:val="0"/>
            <w:vAlign w:val="top"/>
          </w:tcPr>
          <w:p>
            <w:pPr>
              <w:pStyle w:val="60"/>
              <w:spacing w:line="360" w:lineRule="auto"/>
              <w:ind w:left="0" w:leftChars="0" w:firstLine="0" w:firstLineChars="0"/>
              <w:jc w:val="both"/>
              <w:rPr>
                <w:rFonts w:hint="eastAsia"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个</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166</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2-3匹外机支架：</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1.304不锈钢支架及304不锈钢配套螺丝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890" w:firstLineChars="9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2.规格:1000*550*483;厚度:1.75*1.8*1.75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14</w:t>
            </w:r>
          </w:p>
        </w:tc>
        <w:tc>
          <w:tcPr>
            <w:tcW w:w="888" w:type="dxa"/>
            <w:noWrap w:val="0"/>
            <w:vAlign w:val="top"/>
          </w:tcPr>
          <w:p>
            <w:pPr>
              <w:pStyle w:val="60"/>
              <w:spacing w:line="360" w:lineRule="auto"/>
              <w:ind w:left="0" w:leftChars="0" w:firstLine="0" w:firstLineChars="0"/>
              <w:jc w:val="both"/>
              <w:rPr>
                <w:rFonts w:hint="eastAsia" w:hAnsi="宋体" w:cs="宋体"/>
                <w:kern w:val="0"/>
                <w:sz w:val="21"/>
                <w:szCs w:val="21"/>
                <w:highlight w:val="none"/>
                <w:lang w:val="en-US" w:eastAsia="zh-CN" w:bidi="ar-SA"/>
              </w:rPr>
            </w:pPr>
            <w:r>
              <w:rPr>
                <w:rFonts w:hint="eastAsia" w:hAnsi="宋体" w:cs="宋体"/>
                <w:b w:val="0"/>
                <w:bCs w:val="0"/>
                <w:color w:val="auto"/>
                <w:kern w:val="0"/>
                <w:sz w:val="21"/>
                <w:szCs w:val="21"/>
                <w:highlight w:val="none"/>
                <w:lang w:val="en-US" w:eastAsia="zh-CN" w:bidi="ar"/>
              </w:rPr>
              <w:t>空调外机支架</w:t>
            </w:r>
          </w:p>
        </w:tc>
        <w:tc>
          <w:tcPr>
            <w:tcW w:w="630" w:type="dxa"/>
            <w:gridSpan w:val="2"/>
            <w:noWrap w:val="0"/>
            <w:vAlign w:val="top"/>
          </w:tcPr>
          <w:p>
            <w:pPr>
              <w:pStyle w:val="60"/>
              <w:spacing w:line="360" w:lineRule="auto"/>
              <w:ind w:left="0" w:leftChars="0" w:firstLine="0" w:firstLineChars="0"/>
              <w:jc w:val="both"/>
              <w:rPr>
                <w:rFonts w:hint="eastAsia"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个</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6</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5匹外机支架：</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1.304不锈钢支架及304不锈钢配套螺丝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680" w:firstLineChars="8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2.规格:1280*600*650;厚度:2.4*2.4*1.8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16</w:t>
            </w:r>
          </w:p>
        </w:tc>
        <w:tc>
          <w:tcPr>
            <w:tcW w:w="888" w:type="dxa"/>
            <w:noWrap w:val="0"/>
            <w:vAlign w:val="top"/>
          </w:tcPr>
          <w:p>
            <w:pPr>
              <w:pStyle w:val="60"/>
              <w:spacing w:line="360" w:lineRule="auto"/>
              <w:ind w:left="0" w:leftChars="0" w:firstLine="0" w:firstLineChars="0"/>
              <w:jc w:val="both"/>
              <w:rPr>
                <w:rFonts w:hint="default" w:ascii="宋体" w:hAnsi="宋体" w:eastAsia="宋体" w:cs="宋体"/>
                <w:kern w:val="0"/>
                <w:sz w:val="21"/>
                <w:szCs w:val="21"/>
                <w:highlight w:val="none"/>
                <w:lang w:val="en-US" w:eastAsia="zh-CN" w:bidi="ar-SA"/>
              </w:rPr>
            </w:pPr>
            <w:r>
              <w:rPr>
                <w:rFonts w:hint="eastAsia" w:hAnsi="宋体" w:cs="宋体"/>
                <w:kern w:val="0"/>
                <w:sz w:val="21"/>
                <w:szCs w:val="21"/>
                <w:highlight w:val="none"/>
                <w:lang w:val="en-US" w:eastAsia="zh-CN" w:bidi="ar-SA"/>
              </w:rPr>
              <w:t>定制支架</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个</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120</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1.304不锈钢材质支架及304不锈钢配套螺丝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2.按现场尺寸定制，满足项目要求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17</w:t>
            </w:r>
          </w:p>
        </w:tc>
        <w:tc>
          <w:tcPr>
            <w:tcW w:w="888" w:type="dxa"/>
            <w:noWrap w:val="0"/>
            <w:vAlign w:val="top"/>
          </w:tcPr>
          <w:p>
            <w:pPr>
              <w:pStyle w:val="60"/>
              <w:spacing w:line="360" w:lineRule="auto"/>
              <w:ind w:left="0" w:leftChars="0" w:firstLine="0" w:firstLineChars="0"/>
              <w:jc w:val="both"/>
              <w:rPr>
                <w:rFonts w:hint="default" w:ascii="宋体" w:hAnsi="宋体" w:eastAsia="宋体" w:cs="宋体"/>
                <w:kern w:val="0"/>
                <w:sz w:val="21"/>
                <w:szCs w:val="21"/>
                <w:highlight w:val="none"/>
                <w:lang w:val="en-US" w:eastAsia="zh-CN" w:bidi="ar-SA"/>
              </w:rPr>
            </w:pPr>
            <w:r>
              <w:rPr>
                <w:rFonts w:hint="eastAsia" w:hAnsi="宋体" w:cs="宋体"/>
                <w:kern w:val="0"/>
                <w:sz w:val="21"/>
                <w:szCs w:val="21"/>
                <w:highlight w:val="none"/>
                <w:lang w:val="en-US" w:eastAsia="zh-CN" w:bidi="ar-SA"/>
              </w:rPr>
              <w:t>打孔</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个</w:t>
            </w:r>
          </w:p>
        </w:tc>
        <w:tc>
          <w:tcPr>
            <w:tcW w:w="645"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98</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一次成型水磨钻打孔，φ65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18</w:t>
            </w:r>
          </w:p>
        </w:tc>
        <w:tc>
          <w:tcPr>
            <w:tcW w:w="888" w:type="dxa"/>
            <w:noWrap w:val="0"/>
            <w:vAlign w:val="top"/>
          </w:tcPr>
          <w:p>
            <w:pPr>
              <w:pStyle w:val="60"/>
              <w:spacing w:line="360" w:lineRule="auto"/>
              <w:ind w:left="0" w:leftChars="0" w:firstLine="0" w:firstLineChars="0"/>
              <w:jc w:val="both"/>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电路改造</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批</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1</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sz w:val="21"/>
                <w:szCs w:val="21"/>
                <w:highlight w:val="none"/>
                <w:lang w:val="en-US" w:eastAsia="zh-CN"/>
              </w:rPr>
              <w:t>部分电路需进行电改，以现场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2.国标电线约3000米，以现场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3.有效期内的国家强制认证排插约50个，以现场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商务要求</w:t>
            </w:r>
            <w:r>
              <w:rPr>
                <w:rFonts w:hint="eastAsia" w:ascii="宋体" w:hAnsi="宋体" w:eastAsia="宋体" w:cs="宋体"/>
                <w:b w:val="0"/>
                <w:bCs w:val="0"/>
                <w:color w:val="auto"/>
                <w:sz w:val="21"/>
                <w:szCs w:val="21"/>
                <w:highlight w:val="none"/>
                <w:lang w:val="en-US" w:eastAsia="zh-CN"/>
              </w:rPr>
              <w:t>：</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要求</w:t>
            </w:r>
          </w:p>
        </w:tc>
        <w:tc>
          <w:tcPr>
            <w:tcW w:w="8403" w:type="dxa"/>
            <w:gridSpan w:val="3"/>
            <w:noWrap w:val="0"/>
            <w:vAlign w:val="center"/>
          </w:tcPr>
          <w:p>
            <w:pPr>
              <w:spacing w:line="3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b w:val="0"/>
                <w:bCs w:val="0"/>
                <w:color w:val="auto"/>
                <w:szCs w:val="21"/>
                <w:highlight w:val="none"/>
              </w:rPr>
              <w:t>1.投标人提供的产品必须是全新、完整、未使用过的、符合国家有关质量安全标准的合格产品。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合同签订期</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自中标通知书发出之日起</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交货时间及地点</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1.交货期：合同签订之日起</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内</w:t>
            </w:r>
            <w:r>
              <w:rPr>
                <w:rFonts w:hint="eastAsia" w:ascii="Times New Roman" w:hAnsi="Times New Roman" w:eastAsia="宋体" w:cs="Times New Roman"/>
                <w:b w:val="0"/>
                <w:bCs w:val="0"/>
                <w:color w:val="auto"/>
                <w:highlight w:val="none"/>
              </w:rPr>
              <w:t>安装调试竣工验收交付使用。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2.交货地点：</w:t>
            </w:r>
            <w:r>
              <w:rPr>
                <w:rFonts w:hint="eastAsia" w:ascii="宋体" w:hAnsi="宋体" w:cs="宋体"/>
                <w:b w:val="0"/>
                <w:bCs w:val="0"/>
                <w:color w:val="auto"/>
                <w:kern w:val="0"/>
                <w:sz w:val="21"/>
                <w:szCs w:val="21"/>
                <w:highlight w:val="none"/>
                <w:lang w:val="en-US" w:eastAsia="zh-CN" w:bidi="ar"/>
              </w:rPr>
              <w:t>广西钦州市</w:t>
            </w:r>
            <w:r>
              <w:rPr>
                <w:rFonts w:hint="eastAsia" w:ascii="宋体" w:hAnsi="宋体" w:eastAsia="宋体" w:cs="宋体"/>
                <w:b w:val="0"/>
                <w:bCs w:val="0"/>
                <w:color w:val="auto"/>
                <w:kern w:val="0"/>
                <w:sz w:val="21"/>
                <w:szCs w:val="21"/>
                <w:highlight w:val="none"/>
                <w:lang w:val="en-US" w:eastAsia="zh-CN" w:bidi="ar"/>
              </w:rPr>
              <w:t>采购人指定地点；</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质保期限</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按国家有关产品“三包”规定执行“三包”，自货物验收合格之日起计算，产品质保期最短不少于 </w:t>
            </w:r>
            <w:r>
              <w:rPr>
                <w:rFonts w:hint="eastAsia" w:ascii="宋体" w:hAnsi="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val="en-US" w:eastAsia="zh-CN" w:bidi="ar"/>
              </w:rPr>
              <w:t xml:space="preserve"> 年（“技术参数要求”有要求的则按其要求）。若厂家质保期超过此年限的，合同履行过程中按厂家规定执行。质保期满后，终身维护。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售后服务要求</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1.中标人按采购人指定的地点负责送货上门、安装、调试。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2.中标人必须提供安装、配线以及测试和调整服务。中标人在施工、安装、调试等全过程中接受采购人的监督。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3.在中标人承诺的质保期内，设备保修包换所需要的配件均是原厂原装，不得使用兼容货物。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4.售后服务按厂家承诺执行。中标人超过厂家承诺标准的，按中标人提交的售后服务承诺书执行。中标人定期回访以及对设备进行维护；质保期后中标人需提供维修维护服务。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5.中标人在质量保证期内应当为采购人提供以下技术支持和服务：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（1）电话咨询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中标人应当为采购人提供技术援助电话，解答采购人在使用中遇到的问题，及时为采购人提出解决问题的建议。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（2）服务响应时间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质保期内，采购人遇到使用或技术问题，电话咨询不能解决的，中标人应在</w:t>
            </w:r>
            <w:r>
              <w:rPr>
                <w:rFonts w:hint="eastAsia" w:ascii="宋体" w:hAnsi="宋体" w:cs="宋体"/>
                <w:b w:val="0"/>
                <w:bCs w:val="0"/>
                <w:color w:val="auto"/>
                <w:kern w:val="0"/>
                <w:sz w:val="21"/>
                <w:szCs w:val="21"/>
                <w:highlight w:val="none"/>
                <w:lang w:val="en-US" w:eastAsia="zh-CN" w:bidi="ar"/>
              </w:rPr>
              <w:t>2小时内响应，</w:t>
            </w:r>
            <w:r>
              <w:rPr>
                <w:rFonts w:hint="eastAsia" w:ascii="宋体" w:hAnsi="宋体" w:eastAsia="宋体" w:cs="宋体"/>
                <w:b w:val="0"/>
                <w:bCs w:val="0"/>
                <w:color w:val="auto"/>
                <w:kern w:val="0"/>
                <w:sz w:val="21"/>
                <w:szCs w:val="21"/>
                <w:highlight w:val="none"/>
                <w:lang w:val="en-US" w:eastAsia="zh-CN" w:bidi="ar"/>
              </w:rPr>
              <w:t xml:space="preserve"> 8小时内到达现场进行处理，到达现场后 5 小时内排除故障，恢复正常使用。保证采购人正常使用，产生的一切费用由中标人承担。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6.备品备件及易损件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中标人售后服务中，维修使用的备品备件及易损件应为原厂配件，未经采购人同意不得使用非原厂配件。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付款方式</w:t>
            </w:r>
          </w:p>
        </w:tc>
        <w:tc>
          <w:tcPr>
            <w:tcW w:w="8403" w:type="dxa"/>
            <w:gridSpan w:val="3"/>
            <w:noWrap w:val="0"/>
            <w:vAlign w:val="center"/>
          </w:tcPr>
          <w:p>
            <w:pPr>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Cs w:val="21"/>
                <w:highlight w:val="none"/>
              </w:rPr>
              <w:t>本项目无预付款，按业主要求交货完毕且经验收合格</w:t>
            </w:r>
            <w:r>
              <w:rPr>
                <w:rFonts w:hint="eastAsia" w:ascii="宋体" w:hAnsi="宋体" w:cs="宋体"/>
                <w:b w:val="0"/>
                <w:bCs w:val="0"/>
                <w:color w:val="auto"/>
                <w:szCs w:val="21"/>
                <w:highlight w:val="none"/>
                <w:lang w:val="en-US" w:eastAsia="zh-CN"/>
              </w:rPr>
              <w:t>中标人</w:t>
            </w:r>
            <w:r>
              <w:rPr>
                <w:rFonts w:hint="eastAsia" w:ascii="宋体" w:hAnsi="宋体" w:cs="宋体"/>
                <w:b w:val="0"/>
                <w:bCs w:val="0"/>
                <w:color w:val="auto"/>
                <w:szCs w:val="21"/>
                <w:highlight w:val="none"/>
              </w:rPr>
              <w:t>需开具发票给采购人，采购人收到发票后</w:t>
            </w:r>
            <w:r>
              <w:rPr>
                <w:rFonts w:hint="eastAsia" w:ascii="宋体" w:hAnsi="宋体" w:cs="宋体"/>
                <w:b w:val="0"/>
                <w:bCs w:val="0"/>
                <w:color w:val="auto"/>
                <w:szCs w:val="21"/>
                <w:highlight w:val="none"/>
                <w:lang w:val="en-US" w:eastAsia="zh-CN"/>
              </w:rPr>
              <w:t>90</w:t>
            </w:r>
            <w:r>
              <w:rPr>
                <w:rFonts w:hint="eastAsia" w:ascii="宋体" w:hAnsi="宋体" w:cs="宋体"/>
                <w:b w:val="0"/>
                <w:bCs w:val="0"/>
                <w:color w:val="auto"/>
                <w:szCs w:val="21"/>
                <w:highlight w:val="none"/>
              </w:rPr>
              <w:t>日内支付合同总价给</w:t>
            </w:r>
            <w:r>
              <w:rPr>
                <w:rFonts w:hint="eastAsia" w:ascii="宋体" w:hAnsi="宋体" w:cs="宋体"/>
                <w:b w:val="0"/>
                <w:bCs w:val="0"/>
                <w:color w:val="auto"/>
                <w:szCs w:val="21"/>
                <w:highlight w:val="none"/>
                <w:lang w:val="en-US" w:eastAsia="zh-CN"/>
              </w:rPr>
              <w:t>中标人</w:t>
            </w:r>
            <w:r>
              <w:rPr>
                <w:rFonts w:hint="eastAsia" w:ascii="宋体" w:hAnsi="宋体" w:cs="宋体"/>
                <w:b w:val="0"/>
                <w:bCs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报价要求</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投标报价为采购人指定地点的现场交货价，包括但不限于：投标报价包含货物采购、备品备件、工具、运抵指定交货地点、装卸费、现场安装、</w:t>
            </w:r>
            <w:r>
              <w:rPr>
                <w:rFonts w:hint="eastAsia" w:ascii="宋体" w:hAnsi="宋体" w:cs="宋体"/>
                <w:b w:val="0"/>
                <w:bCs w:val="0"/>
                <w:color w:val="auto"/>
                <w:kern w:val="0"/>
                <w:sz w:val="21"/>
                <w:szCs w:val="21"/>
                <w:highlight w:val="none"/>
                <w:lang w:val="en-US" w:eastAsia="zh-CN" w:bidi="ar"/>
              </w:rPr>
              <w:t>环境布置、设备</w:t>
            </w:r>
            <w:r>
              <w:rPr>
                <w:rFonts w:hint="eastAsia" w:ascii="宋体" w:hAnsi="宋体" w:eastAsia="宋体" w:cs="宋体"/>
                <w:b w:val="0"/>
                <w:bCs w:val="0"/>
                <w:color w:val="auto"/>
                <w:kern w:val="0"/>
                <w:sz w:val="21"/>
                <w:szCs w:val="21"/>
                <w:highlight w:val="none"/>
                <w:lang w:val="en-US" w:eastAsia="zh-CN" w:bidi="ar"/>
              </w:rPr>
              <w:t>调试及验收的各种费用和售后服务、保险、税金、培训及其他所有成本费用的总和。项目实施过程中产生的所有费用均由中标人承担。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备品备件及耗材等要求</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规范标准</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验收标准及要求</w:t>
            </w:r>
          </w:p>
        </w:tc>
        <w:tc>
          <w:tcPr>
            <w:tcW w:w="8403" w:type="dxa"/>
            <w:gridSpan w:val="3"/>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1.验收依据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按合同要求及国家标准进行验收。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2.验收标准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（1）所供产品的规格、数量、功能、材质、颜色等符合招标文件采购需求及采购合同约定的要求。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（2）所供产品的外观完好，无严重碰撞、表皮脱落、五金件生锈等明显瑕疵。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（3）所供产品结构牢固，无安全隐患。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（4）如有抽检要求的，检测结果符合招标文件采购需求及采购合同约定的要求。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（5）所有产品均已运输至指定地点，并安装调试完毕。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（6）招标文件采购需求及采购合同约定的附件、工具、技术资料等齐全；提供产品使用说明书、合格证。 </w:t>
            </w:r>
          </w:p>
          <w:p>
            <w:pPr>
              <w:pStyle w:val="32"/>
              <w:ind w:left="0" w:leftChars="0" w:firstLine="0" w:firstLineChars="0"/>
              <w:rPr>
                <w:rFonts w:hint="default"/>
                <w:color w:val="auto"/>
                <w:highlight w:val="none"/>
                <w:lang w:val="en-US"/>
              </w:rPr>
            </w:pPr>
            <w:r>
              <w:rPr>
                <w:rFonts w:hint="eastAsia" w:ascii="宋体" w:hAnsi="宋体" w:cs="宋体"/>
                <w:b w:val="0"/>
                <w:bCs w:val="0"/>
                <w:color w:val="auto"/>
                <w:kern w:val="0"/>
                <w:sz w:val="21"/>
                <w:szCs w:val="21"/>
                <w:highlight w:val="none"/>
                <w:lang w:val="en-US" w:eastAsia="zh-CN" w:bidi="ar"/>
              </w:rPr>
              <w:t>（7）环境布置达到项目采购需求标准。</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3.验收要求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（1）采购人可以根据采购项目具体情况委托第三方机构或部门开展采购项目履约验收工作，相关费用由中标人承担，报价时应考虑相关费用。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本项目验收如委托第三方机构组织实施的，由验收小组对照招标文件的技术参数要求核对检验，如不符合招标文件的技术参数要求的，按合同约定执行，中标人承担所有责任和费用。采购人保留进一步追究责任的权利。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①验收活动开始前，中标人应对货物作出全面检查和对验收文件进行整理，并列出清单，作为采购人收货验收和使用的技术条件依据。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②因验收不合格的，需要再次组织验收的，由此产生相关成本费用由中标人承担。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（3）验收时中标人提供验收文档，具体如下：</w:t>
            </w:r>
            <w:r>
              <w:rPr>
                <w:rFonts w:hint="eastAsia" w:ascii="宋体" w:hAnsi="宋体" w:cs="宋体"/>
                <w:b w:val="0"/>
                <w:bCs w:val="0"/>
                <w:color w:val="auto"/>
                <w:kern w:val="0"/>
                <w:sz w:val="21"/>
                <w:szCs w:val="21"/>
                <w:highlight w:val="none"/>
                <w:lang w:val="en-US" w:eastAsia="zh-CN" w:bidi="ar"/>
              </w:rPr>
              <w:t>货物清单</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项目</w:t>
            </w:r>
            <w:r>
              <w:rPr>
                <w:rFonts w:hint="eastAsia" w:ascii="宋体" w:hAnsi="宋体" w:eastAsia="宋体" w:cs="宋体"/>
                <w:b w:val="0"/>
                <w:bCs w:val="0"/>
                <w:color w:val="auto"/>
                <w:kern w:val="0"/>
                <w:sz w:val="21"/>
                <w:szCs w:val="21"/>
                <w:highlight w:val="none"/>
                <w:lang w:val="en-US" w:eastAsia="zh-CN" w:bidi="ar"/>
              </w:rPr>
              <w:t xml:space="preserve">实施方案、售后服务方案、使用说明书、电子文档等。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4）对所有要求出具的证明文件的原件进行核查，如不符合招标文件的技术需求及要求，以及提供虚假承诺的，按相关规定做退货处理及违约处理，中标人承担所有责任和费用，采购人保留进一步追究责任的权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核心产品</w:t>
            </w:r>
          </w:p>
        </w:tc>
        <w:tc>
          <w:tcPr>
            <w:tcW w:w="8403" w:type="dxa"/>
            <w:gridSpan w:val="3"/>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bCs/>
                <w:color w:val="auto"/>
                <w:highlight w:val="none"/>
              </w:rPr>
            </w:pPr>
            <w:r>
              <w:rPr>
                <w:rFonts w:hint="eastAsia" w:ascii="宋体" w:hAnsi="宋体" w:cs="宋体"/>
                <w:b/>
                <w:bCs/>
                <w:i w:val="0"/>
                <w:iCs w:val="0"/>
                <w:color w:val="auto"/>
                <w:kern w:val="0"/>
                <w:sz w:val="21"/>
                <w:szCs w:val="21"/>
                <w:highlight w:val="none"/>
                <w:u w:val="none"/>
                <w:lang w:val="en-US" w:eastAsia="zh-CN" w:bidi="ar"/>
              </w:rPr>
              <w:t>本项目需求表中序号1“</w:t>
            </w:r>
            <w:r>
              <w:rPr>
                <w:rFonts w:hint="default" w:ascii="宋体" w:hAnsi="宋体" w:eastAsia="宋体" w:cs="宋体"/>
                <w:b/>
                <w:bCs/>
                <w:color w:val="auto"/>
                <w:sz w:val="21"/>
                <w:szCs w:val="21"/>
                <w:highlight w:val="none"/>
                <w:vertAlign w:val="baseline"/>
                <w:lang w:val="en-US" w:eastAsia="zh-CN"/>
              </w:rPr>
              <w:t>1.5匹变频挂式空调</w:t>
            </w:r>
            <w:r>
              <w:rPr>
                <w:rFonts w:hint="eastAsia" w:ascii="宋体" w:hAnsi="宋体" w:eastAsia="宋体" w:cs="宋体"/>
                <w:b/>
                <w:bCs/>
                <w:color w:val="auto"/>
                <w:sz w:val="21"/>
                <w:szCs w:val="21"/>
                <w:highlight w:val="none"/>
                <w:vertAlign w:val="baseline"/>
                <w:lang w:val="en-US" w:eastAsia="zh-CN"/>
              </w:rPr>
              <w:t>”</w:t>
            </w:r>
            <w:r>
              <w:rPr>
                <w:rFonts w:hint="eastAsia" w:ascii="宋体" w:hAnsi="宋体" w:eastAsia="宋体" w:cs="宋体"/>
                <w:b/>
                <w:bCs/>
                <w:color w:val="auto"/>
                <w:kern w:val="0"/>
                <w:sz w:val="21"/>
                <w:szCs w:val="21"/>
                <w:highlight w:val="none"/>
                <w:lang w:val="en-US" w:eastAsia="zh-CN" w:bidi="ar"/>
              </w:rPr>
              <w:t xml:space="preserve">为核心产品。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default"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现场踏勘</w:t>
            </w:r>
          </w:p>
        </w:tc>
        <w:tc>
          <w:tcPr>
            <w:tcW w:w="8403" w:type="dxa"/>
            <w:gridSpan w:val="3"/>
            <w:noWrap w:val="0"/>
            <w:vAlign w:val="top"/>
          </w:tcPr>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为保证报价符合采购需求，投标人应在</w:t>
            </w:r>
            <w:r>
              <w:rPr>
                <w:rFonts w:hint="eastAsia" w:ascii="宋体" w:hAnsi="宋体" w:cs="宋体"/>
                <w:color w:val="auto"/>
                <w:spacing w:val="0"/>
                <w:kern w:val="2"/>
                <w:sz w:val="22"/>
                <w:szCs w:val="24"/>
                <w:highlight w:val="none"/>
                <w:lang w:val="en-US" w:eastAsia="zh-CN" w:bidi="ar-SA"/>
              </w:rPr>
              <w:t>钦州市政府采购中心</w:t>
            </w:r>
            <w:r>
              <w:rPr>
                <w:rFonts w:hint="eastAsia" w:ascii="宋体" w:hAnsi="宋体" w:eastAsia="宋体" w:cs="宋体"/>
                <w:color w:val="auto"/>
                <w:spacing w:val="0"/>
                <w:kern w:val="2"/>
                <w:sz w:val="22"/>
                <w:szCs w:val="24"/>
                <w:highlight w:val="none"/>
                <w:lang w:val="en-US" w:eastAsia="zh-CN" w:bidi="ar-SA"/>
              </w:rPr>
              <w:t>组织下</w:t>
            </w:r>
            <w:r>
              <w:rPr>
                <w:rFonts w:hint="eastAsia" w:ascii="宋体" w:hAnsi="宋体" w:cs="宋体"/>
                <w:color w:val="auto"/>
                <w:spacing w:val="0"/>
                <w:kern w:val="2"/>
                <w:sz w:val="22"/>
                <w:szCs w:val="24"/>
                <w:highlight w:val="none"/>
                <w:lang w:val="en-US" w:eastAsia="zh-CN" w:bidi="ar-SA"/>
              </w:rPr>
              <w:t>统一</w:t>
            </w:r>
            <w:r>
              <w:rPr>
                <w:rFonts w:hint="eastAsia" w:ascii="宋体" w:hAnsi="宋体" w:eastAsia="宋体" w:cs="宋体"/>
                <w:color w:val="auto"/>
                <w:spacing w:val="0"/>
                <w:kern w:val="2"/>
                <w:sz w:val="22"/>
                <w:szCs w:val="24"/>
                <w:highlight w:val="none"/>
                <w:lang w:val="en-US" w:eastAsia="zh-CN" w:bidi="ar-SA"/>
              </w:rPr>
              <w:t>进行实地勘查了解现场实际情况。供应商的现场踏勘实行</w:t>
            </w:r>
            <w:r>
              <w:rPr>
                <w:rFonts w:hint="eastAsia" w:ascii="宋体" w:hAnsi="宋体" w:eastAsia="宋体" w:cs="宋体"/>
                <w:b/>
                <w:bCs/>
                <w:color w:val="auto"/>
                <w:spacing w:val="0"/>
                <w:kern w:val="2"/>
                <w:sz w:val="22"/>
                <w:szCs w:val="24"/>
                <w:highlight w:val="none"/>
                <w:lang w:val="en-US" w:eastAsia="zh-CN" w:bidi="ar-SA"/>
              </w:rPr>
              <w:t>自愿</w:t>
            </w:r>
            <w:r>
              <w:rPr>
                <w:rFonts w:hint="eastAsia" w:ascii="宋体" w:hAnsi="宋体" w:eastAsia="宋体" w:cs="宋体"/>
                <w:color w:val="auto"/>
                <w:spacing w:val="0"/>
                <w:kern w:val="2"/>
                <w:sz w:val="22"/>
                <w:szCs w:val="24"/>
                <w:highlight w:val="none"/>
                <w:lang w:val="en-US" w:eastAsia="zh-CN" w:bidi="ar-SA"/>
              </w:rPr>
              <w:t>原则，车辆和勘察费用自理。现场勘查须携带的资料：供应商代表持获取采购文件回执函、单位介绍信原件或授权委托书、个人身份证原件。</w:t>
            </w:r>
            <w:r>
              <w:rPr>
                <w:rFonts w:hint="eastAsia" w:ascii="宋体" w:hAnsi="宋体" w:cs="宋体"/>
                <w:b/>
                <w:bCs/>
                <w:color w:val="auto"/>
                <w:spacing w:val="0"/>
                <w:kern w:val="2"/>
                <w:sz w:val="22"/>
                <w:szCs w:val="24"/>
                <w:highlight w:val="none"/>
                <w:lang w:val="en-US" w:eastAsia="zh-CN" w:bidi="ar-SA"/>
              </w:rPr>
              <w:t>（温馨提醒：为遵守施工现场相关规定，请自备安全帽）</w:t>
            </w:r>
          </w:p>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踏勘时间：202</w:t>
            </w:r>
            <w:r>
              <w:rPr>
                <w:rFonts w:hint="eastAsia" w:ascii="宋体" w:hAnsi="宋体" w:cs="宋体"/>
                <w:color w:val="auto"/>
                <w:spacing w:val="0"/>
                <w:kern w:val="2"/>
                <w:sz w:val="22"/>
                <w:szCs w:val="24"/>
                <w:highlight w:val="none"/>
                <w:lang w:val="en-US" w:eastAsia="zh-CN" w:bidi="ar-SA"/>
              </w:rPr>
              <w:t>5</w:t>
            </w:r>
            <w:r>
              <w:rPr>
                <w:rFonts w:hint="eastAsia" w:ascii="宋体" w:hAnsi="宋体" w:eastAsia="宋体" w:cs="宋体"/>
                <w:color w:val="auto"/>
                <w:spacing w:val="0"/>
                <w:kern w:val="2"/>
                <w:sz w:val="22"/>
                <w:szCs w:val="24"/>
                <w:highlight w:val="none"/>
                <w:lang w:val="en-US" w:eastAsia="zh-CN" w:bidi="ar-SA"/>
              </w:rPr>
              <w:t>年</w:t>
            </w:r>
            <w:r>
              <w:rPr>
                <w:rFonts w:hint="eastAsia" w:ascii="宋体" w:hAnsi="宋体" w:cs="宋体"/>
                <w:color w:val="auto"/>
                <w:spacing w:val="0"/>
                <w:kern w:val="2"/>
                <w:sz w:val="22"/>
                <w:szCs w:val="24"/>
                <w:highlight w:val="none"/>
                <w:lang w:val="en-US" w:eastAsia="zh-CN" w:bidi="ar-SA"/>
              </w:rPr>
              <w:t>8</w:t>
            </w:r>
            <w:r>
              <w:rPr>
                <w:rFonts w:hint="eastAsia" w:ascii="宋体" w:hAnsi="宋体" w:eastAsia="宋体" w:cs="宋体"/>
                <w:color w:val="auto"/>
                <w:spacing w:val="0"/>
                <w:kern w:val="2"/>
                <w:sz w:val="22"/>
                <w:szCs w:val="24"/>
                <w:highlight w:val="none"/>
                <w:lang w:val="en-US" w:eastAsia="zh-CN" w:bidi="ar-SA"/>
              </w:rPr>
              <w:t>月</w:t>
            </w:r>
            <w:r>
              <w:rPr>
                <w:rFonts w:hint="eastAsia" w:ascii="宋体" w:hAnsi="宋体" w:cs="宋体"/>
                <w:color w:val="auto"/>
                <w:spacing w:val="0"/>
                <w:kern w:val="2"/>
                <w:sz w:val="22"/>
                <w:szCs w:val="24"/>
                <w:highlight w:val="none"/>
                <w:lang w:val="en-US" w:eastAsia="zh-CN" w:bidi="ar-SA"/>
              </w:rPr>
              <w:t xml:space="preserve"> 14</w:t>
            </w:r>
            <w:r>
              <w:rPr>
                <w:rFonts w:hint="eastAsia" w:ascii="宋体" w:hAnsi="宋体" w:eastAsia="宋体" w:cs="宋体"/>
                <w:color w:val="auto"/>
                <w:spacing w:val="0"/>
                <w:kern w:val="2"/>
                <w:sz w:val="22"/>
                <w:szCs w:val="24"/>
                <w:highlight w:val="none"/>
                <w:lang w:val="en-US" w:eastAsia="zh-CN" w:bidi="ar-SA"/>
              </w:rPr>
              <w:t>日</w:t>
            </w:r>
            <w:r>
              <w:rPr>
                <w:rFonts w:hint="eastAsia" w:ascii="宋体" w:hAnsi="宋体" w:cs="宋体"/>
                <w:color w:val="auto"/>
                <w:spacing w:val="0"/>
                <w:kern w:val="2"/>
                <w:sz w:val="22"/>
                <w:szCs w:val="24"/>
                <w:highlight w:val="none"/>
                <w:lang w:val="en-US" w:eastAsia="zh-CN" w:bidi="ar-SA"/>
              </w:rPr>
              <w:t>下</w:t>
            </w:r>
            <w:r>
              <w:rPr>
                <w:rFonts w:hint="eastAsia" w:ascii="宋体" w:hAnsi="宋体" w:eastAsia="宋体" w:cs="宋体"/>
                <w:color w:val="auto"/>
                <w:spacing w:val="0"/>
                <w:kern w:val="2"/>
                <w:sz w:val="22"/>
                <w:szCs w:val="24"/>
                <w:highlight w:val="none"/>
                <w:lang w:val="en-US" w:eastAsia="zh-CN" w:bidi="ar-SA"/>
              </w:rPr>
              <w:t>午</w:t>
            </w:r>
            <w:r>
              <w:rPr>
                <w:rFonts w:hint="eastAsia" w:ascii="宋体" w:hAnsi="宋体" w:cs="宋体"/>
                <w:color w:val="auto"/>
                <w:spacing w:val="0"/>
                <w:kern w:val="2"/>
                <w:sz w:val="22"/>
                <w:szCs w:val="24"/>
                <w:highlight w:val="none"/>
                <w:lang w:val="en-US" w:eastAsia="zh-CN" w:bidi="ar-SA"/>
              </w:rPr>
              <w:t>15</w:t>
            </w:r>
            <w:r>
              <w:rPr>
                <w:rFonts w:hint="eastAsia" w:ascii="宋体" w:hAnsi="宋体" w:eastAsia="宋体" w:cs="宋体"/>
                <w:color w:val="auto"/>
                <w:spacing w:val="0"/>
                <w:kern w:val="2"/>
                <w:sz w:val="22"/>
                <w:szCs w:val="24"/>
                <w:highlight w:val="none"/>
                <w:lang w:val="en-US" w:eastAsia="zh-CN" w:bidi="ar-SA"/>
              </w:rPr>
              <w:t>:</w:t>
            </w:r>
            <w:r>
              <w:rPr>
                <w:rFonts w:hint="eastAsia" w:ascii="宋体" w:hAnsi="宋体" w:cs="宋体"/>
                <w:color w:val="auto"/>
                <w:spacing w:val="0"/>
                <w:kern w:val="2"/>
                <w:sz w:val="22"/>
                <w:szCs w:val="24"/>
                <w:highlight w:val="none"/>
                <w:lang w:val="en-US" w:eastAsia="zh-CN" w:bidi="ar-SA"/>
              </w:rPr>
              <w:t>0</w:t>
            </w:r>
            <w:r>
              <w:rPr>
                <w:rFonts w:hint="eastAsia" w:ascii="宋体" w:hAnsi="宋体" w:eastAsia="宋体" w:cs="宋体"/>
                <w:color w:val="auto"/>
                <w:spacing w:val="0"/>
                <w:kern w:val="2"/>
                <w:sz w:val="22"/>
                <w:szCs w:val="24"/>
                <w:highlight w:val="none"/>
                <w:lang w:val="en-US" w:eastAsia="zh-CN" w:bidi="ar-SA"/>
              </w:rPr>
              <w:t>0分（逾期不候）</w:t>
            </w:r>
          </w:p>
          <w:p>
            <w:pPr>
              <w:pStyle w:val="2"/>
              <w:rPr>
                <w:rFonts w:hint="default"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集合地点：</w:t>
            </w:r>
            <w:r>
              <w:rPr>
                <w:rFonts w:hint="eastAsia" w:ascii="宋体" w:hAnsi="宋体" w:cs="宋体"/>
                <w:color w:val="auto"/>
                <w:spacing w:val="0"/>
                <w:kern w:val="2"/>
                <w:sz w:val="22"/>
                <w:szCs w:val="24"/>
                <w:highlight w:val="none"/>
                <w:lang w:val="en-US" w:eastAsia="zh-CN" w:bidi="ar-SA"/>
              </w:rPr>
              <w:t>钦州市白石湖片区菩提路钦州市外国语学校旁白石湖实验小学正门</w:t>
            </w:r>
          </w:p>
          <w:p>
            <w:pPr>
              <w:pStyle w:val="2"/>
              <w:rPr>
                <w:rFonts w:hint="eastAsia" w:ascii="宋体" w:hAnsi="宋体" w:cs="宋体"/>
                <w:color w:val="auto"/>
                <w:sz w:val="21"/>
                <w:szCs w:val="21"/>
                <w:highlight w:val="none"/>
                <w:lang w:val="en-US" w:eastAsia="zh-CN"/>
              </w:rPr>
            </w:pPr>
            <w:r>
              <w:rPr>
                <w:rFonts w:hint="eastAsia" w:ascii="宋体" w:hAnsi="宋体" w:eastAsia="宋体" w:cs="宋体"/>
                <w:color w:val="auto"/>
                <w:spacing w:val="0"/>
                <w:kern w:val="2"/>
                <w:sz w:val="22"/>
                <w:szCs w:val="24"/>
                <w:highlight w:val="none"/>
                <w:lang w:val="en-US" w:eastAsia="zh-CN" w:bidi="ar-SA"/>
              </w:rPr>
              <w:t>现场踏勘联系人及电话：</w:t>
            </w:r>
            <w:r>
              <w:rPr>
                <w:rFonts w:hint="eastAsia" w:ascii="宋体" w:hAnsi="宋体" w:cs="宋体"/>
                <w:color w:val="auto"/>
                <w:spacing w:val="0"/>
                <w:kern w:val="2"/>
                <w:sz w:val="22"/>
                <w:szCs w:val="24"/>
                <w:highlight w:val="none"/>
                <w:lang w:val="en-US" w:eastAsia="zh-CN" w:bidi="ar-SA"/>
              </w:rPr>
              <w:t>归</w:t>
            </w:r>
            <w:r>
              <w:rPr>
                <w:rFonts w:hint="eastAsia" w:ascii="宋体" w:hAnsi="宋体" w:eastAsia="宋体" w:cs="宋体"/>
                <w:color w:val="auto"/>
                <w:spacing w:val="0"/>
                <w:kern w:val="2"/>
                <w:sz w:val="22"/>
                <w:szCs w:val="24"/>
                <w:highlight w:val="none"/>
                <w:lang w:val="en-US" w:eastAsia="zh-CN" w:bidi="ar-SA"/>
              </w:rPr>
              <w:t>老师，</w:t>
            </w:r>
            <w:r>
              <w:rPr>
                <w:rFonts w:hint="eastAsia" w:ascii="宋体" w:hAnsi="宋体" w:cs="宋体"/>
                <w:color w:val="auto"/>
                <w:spacing w:val="0"/>
                <w:kern w:val="2"/>
                <w:sz w:val="22"/>
                <w:szCs w:val="24"/>
                <w:highlight w:val="none"/>
                <w:lang w:val="en-US" w:eastAsia="zh-CN" w:bidi="ar-SA"/>
              </w:rPr>
              <w:t xml:space="preserve">15177998664 </w:t>
            </w:r>
            <w:r>
              <w:rPr>
                <w:rFonts w:hint="eastAsia" w:ascii="宋体" w:hAnsi="宋体" w:eastAsia="宋体" w:cs="宋体"/>
                <w:color w:val="auto"/>
                <w:spacing w:val="0"/>
                <w:kern w:val="2"/>
                <w:sz w:val="22"/>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sz w:val="21"/>
                <w:szCs w:val="21"/>
                <w:highlight w:val="none"/>
              </w:rPr>
              <w:t>其它要求及说明</w:t>
            </w:r>
          </w:p>
        </w:tc>
        <w:tc>
          <w:tcPr>
            <w:tcW w:w="8403" w:type="dxa"/>
            <w:gridSpan w:val="3"/>
            <w:noWrap w:val="0"/>
            <w:vAlign w:val="top"/>
          </w:tcPr>
          <w:p>
            <w:pPr>
              <w:pStyle w:val="2"/>
              <w:numPr>
                <w:ilvl w:val="0"/>
                <w:numId w:val="1"/>
              </w:numPr>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投标人应根据项目需求，提供</w:t>
            </w:r>
            <w:r>
              <w:rPr>
                <w:rFonts w:hint="eastAsia" w:asciiTheme="minorEastAsia" w:hAnsiTheme="minorEastAsia" w:eastAsiaTheme="minorEastAsia" w:cstheme="minorEastAsia"/>
                <w:sz w:val="21"/>
                <w:szCs w:val="21"/>
                <w:highlight w:val="none"/>
                <w:lang w:val="zh-CN"/>
              </w:rPr>
              <w:t>本</w:t>
            </w:r>
            <w:r>
              <w:rPr>
                <w:rFonts w:hint="eastAsia" w:ascii="宋体" w:hAnsi="宋体" w:eastAsia="宋体" w:cs="宋体"/>
                <w:sz w:val="21"/>
                <w:szCs w:val="21"/>
                <w:highlight w:val="none"/>
              </w:rPr>
              <w:t>项目安装调试施工方案</w:t>
            </w:r>
            <w:r>
              <w:rPr>
                <w:rFonts w:hint="eastAsia" w:asciiTheme="minorEastAsia" w:hAnsiTheme="minorEastAsia" w:eastAsiaTheme="minorEastAsia" w:cstheme="minorEastAsia"/>
                <w:sz w:val="21"/>
                <w:szCs w:val="21"/>
                <w:highlight w:val="none"/>
                <w:lang w:val="zh-CN"/>
              </w:rPr>
              <w:t>（包括但不限于以下内容：</w:t>
            </w:r>
            <w:r>
              <w:rPr>
                <w:rFonts w:hint="eastAsia" w:ascii="宋体" w:hAnsi="宋体" w:eastAsia="宋体" w:cs="宋体"/>
                <w:sz w:val="21"/>
                <w:szCs w:val="21"/>
                <w:highlight w:val="none"/>
              </w:rPr>
              <w:t>①供货组织、对接及运输方案；②具备项目实施的设备及运输工具；③施工组织机构；④安装方法及安装进度计划；⑤施工进度保障措施；⑥质量保证措施；⑦安装调试验收方案；⑧履行合同能力的项目实施人员；⑨文明施工保障措施。</w:t>
            </w:r>
            <w:r>
              <w:rPr>
                <w:rFonts w:hint="eastAsia" w:asciiTheme="minorEastAsia" w:hAnsiTheme="minorEastAsia" w:eastAsiaTheme="minorEastAsia" w:cstheme="minorEastAsia"/>
                <w:sz w:val="21"/>
                <w:szCs w:val="21"/>
                <w:highlight w:val="none"/>
                <w:lang w:val="zh-CN"/>
              </w:rPr>
              <w:t>）</w:t>
            </w:r>
            <w:r>
              <w:rPr>
                <w:rFonts w:hint="eastAsia" w:asciiTheme="minorEastAsia" w:hAnsiTheme="minorEastAsia" w:eastAsiaTheme="minorEastAsia" w:cstheme="minorEastAsia"/>
                <w:sz w:val="21"/>
                <w:szCs w:val="21"/>
                <w:highlight w:val="none"/>
                <w:lang w:val="en-US" w:eastAsia="zh-CN"/>
              </w:rPr>
              <w:t>且具备施工技术人员2人以上及</w:t>
            </w:r>
            <w:r>
              <w:rPr>
                <w:rFonts w:hint="eastAsia" w:ascii="宋体" w:hAnsi="宋体" w:eastAsia="宋体" w:cs="宋体"/>
                <w:sz w:val="21"/>
                <w:szCs w:val="21"/>
                <w:highlight w:val="none"/>
              </w:rPr>
              <w:t>技术人员具备</w:t>
            </w:r>
            <w:r>
              <w:rPr>
                <w:rFonts w:hint="eastAsia" w:ascii="宋体" w:hAnsi="宋体" w:cs="宋体"/>
                <w:sz w:val="21"/>
                <w:szCs w:val="21"/>
                <w:highlight w:val="none"/>
                <w:lang w:val="en-US" w:eastAsia="zh-CN"/>
              </w:rPr>
              <w:t>相关</w:t>
            </w:r>
            <w:r>
              <w:rPr>
                <w:rFonts w:hint="eastAsia" w:ascii="宋体" w:hAnsi="宋体" w:eastAsia="宋体" w:cs="宋体"/>
                <w:sz w:val="21"/>
                <w:szCs w:val="21"/>
                <w:highlight w:val="none"/>
              </w:rPr>
              <w:t>技能技术资格证书</w:t>
            </w:r>
            <w:r>
              <w:rPr>
                <w:rFonts w:hint="eastAsia" w:asciiTheme="minorEastAsia" w:hAnsiTheme="minorEastAsia" w:eastAsiaTheme="minorEastAsia" w:cstheme="minorEastAsia"/>
                <w:sz w:val="21"/>
                <w:szCs w:val="21"/>
                <w:highlight w:val="none"/>
                <w:lang w:val="zh-CN"/>
              </w:rPr>
              <w:t>、安全施工保障措施方案（包括但不限于以下内容：</w:t>
            </w:r>
            <w:r>
              <w:rPr>
                <w:rFonts w:hint="eastAsia" w:ascii="宋体" w:hAnsi="宋体" w:eastAsia="宋体" w:cs="宋体"/>
                <w:color w:val="000000"/>
                <w:sz w:val="21"/>
                <w:szCs w:val="21"/>
                <w:highlight w:val="none"/>
              </w:rPr>
              <w:t>①对本项目施工安全的理解；②施工安全管理组织机构；③施工安全自控体系；④施工现场保护措施；⑤临时用电措施；⑥高空作业安全保障措施；⑦高温天气施工安全保障措施；⑧应急救援措施；⑨社会治安安全保障措施。</w:t>
            </w:r>
            <w:r>
              <w:rPr>
                <w:rFonts w:hint="eastAsia" w:asciiTheme="minorEastAsia" w:hAnsiTheme="minorEastAsia" w:eastAsiaTheme="minorEastAsia" w:cstheme="minorEastAsia"/>
                <w:sz w:val="21"/>
                <w:szCs w:val="21"/>
                <w:highlight w:val="none"/>
                <w:lang w:val="zh-CN"/>
              </w:rPr>
              <w:t>）、售后服务方案（包括但不限于：</w:t>
            </w:r>
            <w:r>
              <w:rPr>
                <w:rFonts w:hint="eastAsia" w:ascii="宋体" w:hAnsi="宋体" w:eastAsia="宋体" w:cs="宋体"/>
                <w:color w:val="auto"/>
                <w:sz w:val="21"/>
                <w:szCs w:val="21"/>
                <w:highlight w:val="none"/>
              </w:rPr>
              <w:t>①拟投入售后服务的人员名单及设备；②交付使用期； ③故障出现解决方案；④到达现场处理故障时间；⑤免费保修期外维修维护方案 (含零配件的优惠供应等内容)；⑥是否具备故障时的替代产品；⑦培训技术人员方案；⑧定期回访方案；⑨售后应急服务保障措施</w:t>
            </w:r>
            <w:r>
              <w:rPr>
                <w:rFonts w:hint="eastAsia" w:asciiTheme="minorEastAsia" w:hAnsiTheme="minorEastAsia" w:eastAsiaTheme="minorEastAsia" w:cstheme="minorEastAsia"/>
                <w:sz w:val="21"/>
                <w:szCs w:val="21"/>
                <w:highlight w:val="none"/>
                <w:lang w:val="zh-CN"/>
              </w:rPr>
              <w:t>）、</w:t>
            </w:r>
            <w:r>
              <w:rPr>
                <w:rFonts w:hint="eastAsia" w:ascii="宋体" w:hAnsi="宋体" w:eastAsia="宋体" w:cs="宋体"/>
                <w:bCs w:val="0"/>
                <w:spacing w:val="0"/>
                <w:kern w:val="2"/>
                <w:sz w:val="21"/>
                <w:szCs w:val="21"/>
                <w:highlight w:val="none"/>
              </w:rPr>
              <w:t>延保承诺函</w:t>
            </w:r>
            <w:r>
              <w:rPr>
                <w:rFonts w:hint="eastAsia" w:ascii="宋体" w:hAnsi="宋体" w:cs="宋体"/>
                <w:bCs w:val="0"/>
                <w:spacing w:val="0"/>
                <w:kern w:val="2"/>
                <w:sz w:val="21"/>
                <w:szCs w:val="21"/>
                <w:highlight w:val="none"/>
                <w:lang w:eastAsia="zh-CN"/>
              </w:rPr>
              <w:t>（</w:t>
            </w:r>
            <w:r>
              <w:rPr>
                <w:rFonts w:hint="eastAsia" w:ascii="宋体" w:hAnsi="宋体" w:cs="宋体"/>
                <w:bCs w:val="0"/>
                <w:spacing w:val="0"/>
                <w:kern w:val="2"/>
                <w:sz w:val="21"/>
                <w:szCs w:val="21"/>
                <w:highlight w:val="none"/>
                <w:lang w:val="en-US" w:eastAsia="zh-CN"/>
              </w:rPr>
              <w:t>格式自拟</w:t>
            </w:r>
            <w:r>
              <w:rPr>
                <w:rFonts w:hint="eastAsia" w:ascii="宋体" w:hAnsi="宋体" w:cs="宋体"/>
                <w:bCs w:val="0"/>
                <w:spacing w:val="0"/>
                <w:kern w:val="2"/>
                <w:sz w:val="21"/>
                <w:szCs w:val="21"/>
                <w:highlight w:val="none"/>
                <w:lang w:eastAsia="zh-CN"/>
              </w:rPr>
              <w:t>）。</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所提供的任何材料应当真实有效，如在评审过程中发现投标人在投标文件中提供任何虚假材料的，按投标无效处理，采购人有权报监管部门查处；中标后，采购人发现中标人在投标文件中提供任何虚假材料的，采购人有权报监管部门查处；合同签订后，所提供产品与投标文件不符合的，采购人有权单方面终止合同。且中标人须依照《中华人民共和国消费者权益保护法》赔偿采购人，民事赔偿并不免除违法中标人的法律责任。</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3.本项目货物涉及的产品及其配件包括但不限于各类芯片等必须符合国家有关政策规定，不得使用国家禁止使用范围内的产品及其配件，否则投标无效。</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4.本项目货物不接受进口产品（即通过中国海关报关验放进入中国境内且产自关境外的产品）参与投标，如有进口产品参与投标的作无效标处理。</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5.需求表中的空调设备（项号1-6项中的空调设备）须为同一品牌。</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sz w:val="21"/>
                <w:szCs w:val="21"/>
                <w:highlight w:val="none"/>
              </w:rPr>
            </w:pPr>
            <w:r>
              <w:rPr>
                <w:rFonts w:hint="eastAsia" w:ascii="宋体" w:hAnsi="宋体" w:cs="宋体"/>
                <w:szCs w:val="21"/>
                <w:highlight w:val="none"/>
              </w:rPr>
              <w:t>违约责任</w:t>
            </w:r>
          </w:p>
        </w:tc>
        <w:tc>
          <w:tcPr>
            <w:tcW w:w="8403" w:type="dxa"/>
            <w:gridSpan w:val="3"/>
            <w:noWrap w:val="0"/>
            <w:vAlign w:val="center"/>
          </w:tcPr>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1.中标</w:t>
            </w:r>
            <w:r>
              <w:rPr>
                <w:rFonts w:hint="eastAsia" w:ascii="宋体" w:hAnsi="宋体" w:cs="宋体"/>
                <w:szCs w:val="21"/>
                <w:highlight w:val="none"/>
                <w:lang w:val="en-US" w:eastAsia="zh-CN" w:bidi="ar"/>
              </w:rPr>
              <w:t>人</w:t>
            </w:r>
            <w:r>
              <w:rPr>
                <w:rFonts w:hint="eastAsia" w:ascii="宋体" w:hAnsi="宋体" w:cs="宋体"/>
                <w:szCs w:val="21"/>
                <w:highlight w:val="none"/>
                <w:lang w:bidi="ar"/>
              </w:rPr>
              <w:t>所提供的货物规格、技术标准、材料等质量不合格的，应及时更换，更换不及时的按逾期交货处罚；因质量问题，采购人不同意接收的或因特殊情况，采购人同意接收的，</w:t>
            </w:r>
            <w:r>
              <w:rPr>
                <w:rFonts w:hint="eastAsia" w:ascii="宋体" w:hAnsi="宋体" w:cs="宋体"/>
                <w:szCs w:val="21"/>
                <w:highlight w:val="none"/>
                <w:lang w:eastAsia="zh-CN" w:bidi="ar"/>
              </w:rPr>
              <w:t>中标人</w:t>
            </w:r>
            <w:r>
              <w:rPr>
                <w:rFonts w:hint="eastAsia" w:ascii="宋体" w:hAnsi="宋体" w:cs="宋体"/>
                <w:szCs w:val="21"/>
                <w:highlight w:val="none"/>
                <w:lang w:bidi="ar"/>
              </w:rPr>
              <w:t xml:space="preserve">应向采购人支付违约货款额10%违约金并赔偿采购人经济损失。                                       </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2.</w:t>
            </w:r>
            <w:r>
              <w:rPr>
                <w:rFonts w:hint="eastAsia" w:ascii="宋体" w:hAnsi="宋体" w:cs="宋体"/>
                <w:szCs w:val="21"/>
                <w:highlight w:val="none"/>
                <w:lang w:eastAsia="zh-CN" w:bidi="ar"/>
              </w:rPr>
              <w:t>中标人</w:t>
            </w:r>
            <w:r>
              <w:rPr>
                <w:rFonts w:hint="eastAsia" w:ascii="宋体" w:hAnsi="宋体" w:cs="宋体"/>
                <w:szCs w:val="21"/>
                <w:highlight w:val="none"/>
                <w:lang w:bidi="ar"/>
              </w:rPr>
              <w:t>提供的货物如侵犯了第三方合法权益而引发的任何纠纷或诉讼，均由</w:t>
            </w:r>
            <w:r>
              <w:rPr>
                <w:rFonts w:hint="eastAsia" w:ascii="宋体" w:hAnsi="宋体" w:cs="宋体"/>
                <w:szCs w:val="21"/>
                <w:highlight w:val="none"/>
                <w:lang w:eastAsia="zh-CN" w:bidi="ar"/>
              </w:rPr>
              <w:t>中标人</w:t>
            </w:r>
            <w:r>
              <w:rPr>
                <w:rFonts w:hint="eastAsia" w:ascii="宋体" w:hAnsi="宋体" w:cs="宋体"/>
                <w:szCs w:val="21"/>
                <w:highlight w:val="none"/>
                <w:lang w:bidi="ar"/>
              </w:rPr>
              <w:t>负责交涉并承担全部责任并赔偿采购人经济损失。</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3.因包装、运输引起的货物损坏，按质量不合格处罚并赔偿采购人经济损失。</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4.采购人无故延期接收货物、</w:t>
            </w:r>
            <w:r>
              <w:rPr>
                <w:rFonts w:hint="eastAsia" w:ascii="宋体" w:hAnsi="宋体" w:cs="宋体"/>
                <w:szCs w:val="21"/>
                <w:highlight w:val="none"/>
                <w:lang w:eastAsia="zh-CN" w:bidi="ar"/>
              </w:rPr>
              <w:t>中标人</w:t>
            </w:r>
            <w:r>
              <w:rPr>
                <w:rFonts w:hint="eastAsia" w:ascii="宋体" w:hAnsi="宋体" w:cs="宋体"/>
                <w:szCs w:val="21"/>
                <w:highlight w:val="none"/>
                <w:lang w:bidi="ar"/>
              </w:rPr>
              <w:t>逾期交付的，每天向对方偿付违约货款额3‰违约金，超过10天对方有权解除合同，并要求对方偿付违约货款额30%，违约方承担因此给对方造成的经济损失；采购人无故延期付货款的，每天向</w:t>
            </w:r>
            <w:r>
              <w:rPr>
                <w:rFonts w:hint="eastAsia" w:ascii="宋体" w:hAnsi="宋体" w:cs="宋体"/>
                <w:szCs w:val="21"/>
                <w:highlight w:val="none"/>
                <w:lang w:eastAsia="zh-CN" w:bidi="ar"/>
              </w:rPr>
              <w:t>中标人</w:t>
            </w:r>
            <w:r>
              <w:rPr>
                <w:rFonts w:hint="eastAsia" w:ascii="宋体" w:hAnsi="宋体" w:cs="宋体"/>
                <w:szCs w:val="21"/>
                <w:highlight w:val="none"/>
                <w:lang w:bidi="ar"/>
              </w:rPr>
              <w:t>偿付延期货款额3‰违约金，但违约金累计不得超过延期货款额30%。</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5.</w:t>
            </w:r>
            <w:r>
              <w:rPr>
                <w:rFonts w:hint="eastAsia" w:ascii="宋体" w:hAnsi="宋体" w:cs="宋体"/>
                <w:szCs w:val="21"/>
                <w:highlight w:val="none"/>
                <w:lang w:eastAsia="zh-CN" w:bidi="ar"/>
              </w:rPr>
              <w:t>中标人</w:t>
            </w:r>
            <w:r>
              <w:rPr>
                <w:rFonts w:hint="eastAsia" w:ascii="宋体" w:hAnsi="宋体" w:cs="宋体"/>
                <w:szCs w:val="21"/>
                <w:highlight w:val="none"/>
                <w:lang w:bidi="ar"/>
              </w:rPr>
              <w:t>未按本合同和响应文件中规定的服务承诺提供售后服务的，</w:t>
            </w:r>
            <w:r>
              <w:rPr>
                <w:rFonts w:hint="eastAsia" w:ascii="宋体" w:hAnsi="宋体" w:cs="宋体"/>
                <w:szCs w:val="21"/>
                <w:highlight w:val="none"/>
                <w:lang w:eastAsia="zh-CN" w:bidi="ar"/>
              </w:rPr>
              <w:t>中标人</w:t>
            </w:r>
            <w:r>
              <w:rPr>
                <w:rFonts w:hint="eastAsia" w:ascii="宋体" w:hAnsi="宋体" w:cs="宋体"/>
                <w:szCs w:val="21"/>
                <w:highlight w:val="none"/>
                <w:lang w:bidi="ar"/>
              </w:rPr>
              <w:t>应按本合同合计金额 10%向采购人支付违约金。</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6.</w:t>
            </w:r>
            <w:r>
              <w:rPr>
                <w:rFonts w:hint="eastAsia" w:ascii="宋体" w:hAnsi="宋体" w:cs="宋体"/>
                <w:szCs w:val="21"/>
                <w:highlight w:val="none"/>
                <w:lang w:eastAsia="zh-CN" w:bidi="ar"/>
              </w:rPr>
              <w:t>中标人</w:t>
            </w:r>
            <w:r>
              <w:rPr>
                <w:rFonts w:hint="eastAsia" w:ascii="宋体" w:hAnsi="宋体" w:cs="宋体"/>
                <w:szCs w:val="21"/>
                <w:highlight w:val="none"/>
                <w:lang w:bidi="ar"/>
              </w:rPr>
              <w:t>提供的货物在质量保证期内，因设计、工艺或材料的缺陷和其它质量原因造成的问题，由</w:t>
            </w:r>
            <w:r>
              <w:rPr>
                <w:rFonts w:hint="eastAsia" w:ascii="宋体" w:hAnsi="宋体" w:cs="宋体"/>
                <w:szCs w:val="21"/>
                <w:highlight w:val="none"/>
                <w:lang w:eastAsia="zh-CN" w:bidi="ar"/>
              </w:rPr>
              <w:t>中标人</w:t>
            </w:r>
            <w:r>
              <w:rPr>
                <w:rFonts w:hint="eastAsia" w:ascii="宋体" w:hAnsi="宋体" w:cs="宋体"/>
                <w:szCs w:val="21"/>
                <w:highlight w:val="none"/>
                <w:lang w:bidi="ar"/>
              </w:rPr>
              <w:t>负责。</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7.其它违约行为按违约货款额10%收取违约金并赔偿经济损失。</w:t>
            </w:r>
          </w:p>
          <w:p>
            <w:pPr>
              <w:widowControl/>
              <w:spacing w:line="400" w:lineRule="exact"/>
              <w:ind w:left="0" w:leftChars="0" w:firstLine="0" w:firstLineChars="0"/>
              <w:jc w:val="left"/>
              <w:rPr>
                <w:rFonts w:hint="eastAsia" w:ascii="宋体" w:hAnsi="宋体" w:cs="宋体" w:eastAsiaTheme="minorEastAsia"/>
                <w:kern w:val="2"/>
                <w:sz w:val="21"/>
                <w:szCs w:val="21"/>
                <w:highlight w:val="none"/>
                <w:lang w:val="en-US" w:eastAsia="zh-CN" w:bidi="ar"/>
              </w:rPr>
            </w:pPr>
            <w:r>
              <w:rPr>
                <w:rFonts w:hint="eastAsia" w:ascii="宋体" w:hAnsi="宋体" w:cs="宋体"/>
                <w:szCs w:val="21"/>
                <w:highlight w:val="none"/>
                <w:lang w:bidi="ar"/>
              </w:rPr>
              <w:t>8.因采购人原因导致变更、中止或者终止政府采购合同的，应当依照合同约定对</w:t>
            </w:r>
            <w:r>
              <w:rPr>
                <w:rFonts w:hint="eastAsia" w:ascii="宋体" w:hAnsi="宋体" w:cs="宋体"/>
                <w:szCs w:val="21"/>
                <w:highlight w:val="none"/>
                <w:lang w:eastAsia="zh-CN" w:bidi="ar"/>
              </w:rPr>
              <w:t>中标人</w:t>
            </w:r>
            <w:r>
              <w:rPr>
                <w:rFonts w:hint="eastAsia" w:ascii="宋体" w:hAnsi="宋体" w:cs="宋体"/>
                <w:szCs w:val="21"/>
                <w:highlight w:val="none"/>
                <w:lang w:bidi="ar"/>
              </w:rPr>
              <w:t>受到的损失予以赔偿或者补偿。赔偿（补偿）标准：按实际损失赔偿。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sz w:val="21"/>
                <w:szCs w:val="21"/>
                <w:highlight w:val="none"/>
              </w:rPr>
            </w:pPr>
            <w:r>
              <w:rPr>
                <w:rFonts w:hint="eastAsia" w:ascii="宋体" w:hAnsi="宋体" w:cs="宋体"/>
                <w:szCs w:val="21"/>
                <w:highlight w:val="none"/>
              </w:rPr>
              <w:t>国家强制性认证产品</w:t>
            </w:r>
          </w:p>
        </w:tc>
        <w:tc>
          <w:tcPr>
            <w:tcW w:w="8403" w:type="dxa"/>
            <w:gridSpan w:val="3"/>
            <w:noWrap w:val="0"/>
            <w:vAlign w:val="center"/>
          </w:tcPr>
          <w:p>
            <w:pPr>
              <w:widowControl/>
              <w:spacing w:line="400" w:lineRule="exact"/>
              <w:ind w:firstLine="420" w:firstLineChars="200"/>
              <w:jc w:val="left"/>
              <w:rPr>
                <w:rFonts w:hint="eastAsia" w:ascii="宋体" w:hAnsi="宋体" w:cs="宋体" w:eastAsiaTheme="minorEastAsia"/>
                <w:kern w:val="2"/>
                <w:sz w:val="21"/>
                <w:szCs w:val="21"/>
                <w:highlight w:val="none"/>
                <w:lang w:val="en-US" w:eastAsia="zh-CN" w:bidi="ar"/>
              </w:rPr>
            </w:pPr>
            <w:r>
              <w:rPr>
                <w:rFonts w:hint="eastAsia" w:ascii="宋体" w:hAnsi="宋体" w:cs="宋体"/>
                <w:szCs w:val="21"/>
                <w:highlight w:val="none"/>
                <w:lang w:bidi="ar"/>
              </w:rPr>
              <w:t>根据《强制性产品认证管理规定》（总局令第117号）强制性产品认证目录，采购需求中的货物属于强制性产品的，投标人的投标货物必须使用</w:t>
            </w:r>
            <w:r>
              <w:rPr>
                <w:rFonts w:hint="eastAsia" w:ascii="宋体" w:hAnsi="宋体" w:cs="宋体"/>
                <w:szCs w:val="21"/>
                <w:highlight w:val="none"/>
                <w:lang w:val="en-US" w:eastAsia="zh-CN" w:bidi="ar"/>
              </w:rPr>
              <w:t>通过</w:t>
            </w:r>
            <w:r>
              <w:rPr>
                <w:rFonts w:hint="eastAsia" w:ascii="宋体" w:hAnsi="宋体" w:cs="宋体"/>
                <w:szCs w:val="21"/>
                <w:highlight w:val="none"/>
                <w:lang w:bidi="ar"/>
              </w:rPr>
              <w:t>强制</w:t>
            </w:r>
            <w:r>
              <w:rPr>
                <w:rFonts w:hint="eastAsia" w:ascii="宋体" w:hAnsi="宋体" w:cs="宋体"/>
                <w:szCs w:val="21"/>
                <w:highlight w:val="none"/>
                <w:lang w:val="en-US" w:eastAsia="zh-CN" w:bidi="ar"/>
              </w:rPr>
              <w:t>认证且处于有效期内的产品</w:t>
            </w:r>
            <w:r>
              <w:rPr>
                <w:rFonts w:hint="eastAsia" w:ascii="宋体" w:hAnsi="宋体" w:cs="宋体"/>
                <w:szCs w:val="21"/>
                <w:highlight w:val="none"/>
                <w:lang w:bidi="ar"/>
              </w:rPr>
              <w:t>，否则作无效投标处理</w:t>
            </w:r>
          </w:p>
        </w:tc>
      </w:tr>
    </w:tbl>
    <w:p>
      <w:pPr>
        <w:ind w:firstLine="0" w:firstLineChars="0"/>
        <w:rPr>
          <w:rFonts w:hint="eastAsia" w:ascii="宋体" w:hAnsi="宋体"/>
          <w:color w:val="auto"/>
          <w:szCs w:val="21"/>
          <w:highlight w:val="none"/>
        </w:rPr>
      </w:pPr>
      <w:r>
        <w:rPr>
          <w:rFonts w:hint="eastAsia" w:ascii="宋体" w:hAnsi="宋体"/>
          <w:b w:val="0"/>
          <w:bCs w:val="0"/>
          <w:color w:val="auto"/>
          <w:szCs w:val="21"/>
          <w:highlight w:val="none"/>
        </w:rPr>
        <w:br w:type="page"/>
      </w:r>
      <w:bookmarkEnd w:id="66"/>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5"/>
        <w:ind w:left="0" w:leftChars="0" w:right="0" w:rightChars="0" w:firstLine="0" w:firstLineChars="0"/>
        <w:jc w:val="center"/>
        <w:rPr>
          <w:color w:val="auto"/>
          <w:highlight w:val="none"/>
        </w:rPr>
      </w:pPr>
      <w:bookmarkStart w:id="69" w:name="_Toc91512285"/>
      <w:r>
        <w:rPr>
          <w:rFonts w:hint="eastAsia"/>
          <w:color w:val="auto"/>
          <w:highlight w:val="none"/>
        </w:rPr>
        <w:t>第三章  投标人须知及前附表</w:t>
      </w:r>
      <w:bookmarkEnd w:id="65"/>
      <w:bookmarkEnd w:id="69"/>
    </w:p>
    <w:p>
      <w:pPr>
        <w:pStyle w:val="5"/>
        <w:ind w:firstLine="0" w:firstLineChars="0"/>
        <w:jc w:val="center"/>
        <w:rPr>
          <w:rFonts w:ascii="宋体" w:hAnsi="宋体" w:eastAsia="宋体"/>
          <w:color w:val="auto"/>
          <w:kern w:val="44"/>
          <w:sz w:val="44"/>
          <w:szCs w:val="44"/>
          <w:highlight w:val="none"/>
        </w:rPr>
      </w:pPr>
      <w:r>
        <w:rPr>
          <w:rFonts w:ascii="方正小标宋_GBK" w:hAnsi="方正小标宋_GBK" w:eastAsia="方正小标宋_GBK"/>
          <w:color w:val="auto"/>
          <w:highlight w:val="none"/>
        </w:rPr>
        <w:br w:type="page"/>
      </w:r>
      <w:r>
        <w:rPr>
          <w:rFonts w:hint="eastAsia" w:ascii="宋体" w:hAnsi="宋体" w:eastAsia="宋体"/>
          <w:color w:val="auto"/>
          <w:kern w:val="44"/>
          <w:sz w:val="44"/>
          <w:szCs w:val="44"/>
          <w:highlight w:val="none"/>
        </w:rPr>
        <w:t>投标人须知前附表</w:t>
      </w:r>
    </w:p>
    <w:tbl>
      <w:tblPr>
        <w:tblStyle w:val="48"/>
        <w:tblpPr w:leftFromText="180" w:rightFromText="180" w:vertAnchor="text" w:horzAnchor="margin" w:tblpX="108" w:tblpY="39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序号</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1</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Style w:val="57"/>
                <w:rFonts w:hint="eastAsia" w:ascii="宋体" w:hAnsi="宋体" w:eastAsia="宋体" w:cs="Arial"/>
                <w:bCs/>
                <w:color w:val="auto"/>
                <w:szCs w:val="21"/>
                <w:highlight w:val="none"/>
                <w:u w:val="none"/>
                <w:lang w:eastAsia="zh-CN"/>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"_一、总__则" </w:instrText>
            </w:r>
            <w:r>
              <w:rPr>
                <w:rFonts w:hAnsi="宋体"/>
                <w:color w:val="auto"/>
                <w:highlight w:val="none"/>
              </w:rPr>
              <w:fldChar w:fldCharType="separate"/>
            </w:r>
            <w:r>
              <w:rPr>
                <w:rStyle w:val="57"/>
                <w:rFonts w:hint="eastAsia" w:hAnsi="宋体"/>
                <w:color w:val="auto"/>
                <w:highlight w:val="none"/>
                <w:u w:val="none"/>
              </w:rPr>
              <w:t>项目名称：</w:t>
            </w:r>
            <w:r>
              <w:rPr>
                <w:rStyle w:val="57"/>
                <w:rFonts w:hint="eastAsia" w:hAnsi="宋体"/>
                <w:color w:val="auto"/>
                <w:highlight w:val="none"/>
                <w:u w:val="none"/>
                <w:lang w:eastAsia="zh-CN"/>
              </w:rPr>
              <w:t>钦州市外国语学校新校区空调机(一期)</w:t>
            </w:r>
          </w:p>
          <w:p>
            <w:pPr>
              <w:snapToGrid w:val="0"/>
              <w:spacing w:line="340" w:lineRule="exact"/>
              <w:ind w:firstLine="8" w:firstLineChars="4"/>
              <w:rPr>
                <w:rFonts w:hint="eastAsia" w:hAnsi="宋体" w:eastAsia="宋体"/>
                <w:color w:val="auto"/>
                <w:highlight w:val="none"/>
                <w:lang w:eastAsia="zh-CN"/>
              </w:rPr>
            </w:pPr>
            <w:r>
              <w:rPr>
                <w:rStyle w:val="57"/>
                <w:rFonts w:hint="eastAsia" w:ascii="宋体" w:hAnsi="宋体"/>
                <w:color w:val="auto"/>
                <w:highlight w:val="none"/>
                <w:u w:val="none"/>
              </w:rPr>
              <w:t>项目编号：</w:t>
            </w:r>
            <w:r>
              <w:rPr>
                <w:rFonts w:hAnsi="宋体"/>
                <w:color w:val="auto"/>
                <w:highlight w:val="none"/>
              </w:rPr>
              <w:fldChar w:fldCharType="end"/>
            </w:r>
            <w:r>
              <w:rPr>
                <w:rFonts w:hint="eastAsia" w:hAnsi="宋体"/>
                <w:color w:val="auto"/>
                <w:highlight w:val="none"/>
                <w:lang w:eastAsia="zh-CN"/>
              </w:rPr>
              <w:t>QZZC2025-G1-990210-QZSZ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color w:val="auto"/>
                <w:highlight w:val="none"/>
              </w:rPr>
            </w:pPr>
            <w:r>
              <w:rPr>
                <w:color w:val="auto"/>
                <w:highlight w:val="none"/>
              </w:rPr>
              <w:t>2</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8" w:firstLineChars="4"/>
              <w:rPr>
                <w:rStyle w:val="57"/>
                <w:rFonts w:ascii="宋体" w:hAnsi="宋体"/>
                <w:color w:val="auto"/>
                <w:highlight w:val="none"/>
                <w:u w:val="none"/>
              </w:rPr>
            </w:pPr>
            <w:r>
              <w:rPr>
                <w:rStyle w:val="57"/>
                <w:rFonts w:ascii="宋体" w:hAnsi="宋体"/>
                <w:color w:val="auto"/>
                <w:highlight w:val="none"/>
                <w:u w:val="none"/>
              </w:rPr>
              <w:fldChar w:fldCharType="begin"/>
            </w:r>
            <w:r>
              <w:rPr>
                <w:rStyle w:val="57"/>
                <w:rFonts w:ascii="宋体" w:hAnsi="宋体"/>
                <w:color w:val="auto"/>
                <w:highlight w:val="none"/>
                <w:u w:val="none"/>
              </w:rPr>
              <w:instrText xml:space="preserve"> </w:instrText>
            </w:r>
            <w:r>
              <w:rPr>
                <w:rStyle w:val="57"/>
                <w:rFonts w:hint="eastAsia" w:ascii="宋体" w:hAnsi="宋体"/>
                <w:color w:val="auto"/>
                <w:highlight w:val="none"/>
                <w:u w:val="none"/>
              </w:rPr>
              <w:instrText xml:space="preserve">HYPERLINK </w:instrText>
            </w:r>
            <w:r>
              <w:rPr>
                <w:rStyle w:val="57"/>
                <w:rFonts w:ascii="宋体" w:hAnsi="宋体"/>
                <w:color w:val="auto"/>
                <w:highlight w:val="none"/>
                <w:u w:val="none"/>
              </w:rPr>
              <w:instrText xml:space="preserve"> \l "_一、总__则" </w:instrText>
            </w:r>
            <w:r>
              <w:rPr>
                <w:rStyle w:val="57"/>
                <w:rFonts w:ascii="宋体" w:hAnsi="宋体"/>
                <w:color w:val="auto"/>
                <w:highlight w:val="none"/>
                <w:u w:val="none"/>
              </w:rPr>
              <w:fldChar w:fldCharType="separate"/>
            </w:r>
            <w:r>
              <w:rPr>
                <w:rStyle w:val="57"/>
                <w:rFonts w:hint="eastAsia" w:ascii="宋体" w:hAnsi="宋体"/>
                <w:color w:val="auto"/>
                <w:highlight w:val="none"/>
                <w:u w:val="none"/>
              </w:rPr>
              <w:t>投标人资格：</w:t>
            </w:r>
          </w:p>
          <w:p>
            <w:pPr>
              <w:spacing w:line="340" w:lineRule="exact"/>
              <w:ind w:firstLine="0" w:firstLineChars="0"/>
              <w:rPr>
                <w:rStyle w:val="57"/>
                <w:rFonts w:hint="eastAsia" w:ascii="宋体" w:hAnsi="宋体"/>
                <w:color w:val="auto"/>
                <w:highlight w:val="none"/>
                <w:u w:val="none"/>
              </w:rPr>
            </w:pPr>
            <w:r>
              <w:rPr>
                <w:rStyle w:val="57"/>
                <w:rFonts w:hint="eastAsia" w:ascii="宋体" w:hAnsi="宋体"/>
                <w:color w:val="auto"/>
                <w:highlight w:val="none"/>
                <w:u w:val="none"/>
              </w:rPr>
              <w:t>1.满足《中华人民共和国政府采购法》第二十二条规定</w:t>
            </w:r>
          </w:p>
          <w:p>
            <w:pPr>
              <w:spacing w:line="340" w:lineRule="exact"/>
              <w:ind w:firstLine="0" w:firstLineChars="0"/>
              <w:rPr>
                <w:rStyle w:val="57"/>
                <w:rFonts w:hint="eastAsia" w:ascii="宋体" w:hAnsi="宋体"/>
                <w:color w:val="auto"/>
                <w:highlight w:val="none"/>
                <w:u w:val="none"/>
              </w:rPr>
            </w:pPr>
            <w:r>
              <w:rPr>
                <w:rStyle w:val="57"/>
                <w:rFonts w:hint="eastAsia" w:ascii="宋体" w:hAnsi="宋体"/>
                <w:color w:val="auto"/>
                <w:highlight w:val="none"/>
                <w:u w:val="none"/>
              </w:rPr>
              <w:t>2.落实政府采购政策需满足的资格要求：无</w:t>
            </w:r>
          </w:p>
          <w:p>
            <w:pPr>
              <w:spacing w:line="340" w:lineRule="exact"/>
              <w:ind w:firstLine="0" w:firstLineChars="0"/>
              <w:rPr>
                <w:rFonts w:ascii="宋体" w:hAnsi="宋体"/>
                <w:color w:val="auto"/>
                <w:highlight w:val="none"/>
              </w:rPr>
            </w:pPr>
            <w:r>
              <w:rPr>
                <w:rStyle w:val="57"/>
                <w:rFonts w:hint="eastAsia" w:ascii="宋体" w:hAnsi="宋体"/>
                <w:color w:val="auto"/>
                <w:highlight w:val="none"/>
                <w:u w:val="none"/>
              </w:rPr>
              <w:t>3.本项目的特定资格要求：无</w:t>
            </w:r>
            <w:r>
              <w:rPr>
                <w:rStyle w:val="57"/>
                <w:rFonts w:ascii="宋体" w:hAnsi="宋体"/>
                <w:color w:val="auto"/>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3</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w:instrText>
            </w:r>
            <w:r>
              <w:rPr>
                <w:rFonts w:ascii="宋体" w:hAnsi="宋体"/>
                <w:color w:val="auto"/>
                <w:szCs w:val="21"/>
                <w:highlight w:val="none"/>
              </w:rPr>
              <w:instrText xml:space="preserve"> \l "_三、投标文件" </w:instrText>
            </w:r>
            <w:r>
              <w:rPr>
                <w:rFonts w:ascii="宋体" w:hAnsi="宋体"/>
                <w:color w:val="auto"/>
                <w:szCs w:val="21"/>
                <w:highlight w:val="none"/>
              </w:rPr>
              <w:fldChar w:fldCharType="separate"/>
            </w:r>
            <w:r>
              <w:rPr>
                <w:rStyle w:val="57"/>
                <w:rFonts w:hint="eastAsia" w:ascii="宋体" w:hAnsi="宋体"/>
                <w:color w:val="auto"/>
                <w:szCs w:val="21"/>
                <w:highlight w:val="none"/>
                <w:u w:val="none"/>
              </w:rPr>
              <w:t>投标文件组成</w:t>
            </w:r>
            <w:bookmarkStart w:id="70" w:name="_Hlt92979199"/>
            <w:r>
              <w:rPr>
                <w:rStyle w:val="57"/>
                <w:rFonts w:hint="eastAsia" w:ascii="宋体" w:hAnsi="宋体"/>
                <w:color w:val="auto"/>
                <w:szCs w:val="21"/>
                <w:highlight w:val="none"/>
                <w:u w:val="none"/>
              </w:rPr>
              <w:t>：</w:t>
            </w:r>
            <w:bookmarkEnd w:id="70"/>
            <w:r>
              <w:rPr>
                <w:rStyle w:val="57"/>
                <w:rFonts w:hint="eastAsia" w:ascii="宋体" w:hAnsi="宋体" w:cs="Arial"/>
                <w:color w:val="auto"/>
                <w:szCs w:val="21"/>
                <w:highlight w:val="none"/>
                <w:u w:val="none"/>
              </w:rPr>
              <w:t>资格</w:t>
            </w:r>
            <w:bookmarkStart w:id="71" w:name="_Hlt92979142"/>
            <w:r>
              <w:rPr>
                <w:rStyle w:val="57"/>
                <w:rFonts w:hint="eastAsia" w:ascii="宋体" w:hAnsi="宋体" w:cs="Arial"/>
                <w:color w:val="auto"/>
                <w:szCs w:val="21"/>
                <w:highlight w:val="none"/>
                <w:u w:val="none"/>
              </w:rPr>
              <w:t>文</w:t>
            </w:r>
            <w:bookmarkEnd w:id="71"/>
            <w:r>
              <w:rPr>
                <w:rStyle w:val="57"/>
                <w:rFonts w:hint="eastAsia" w:ascii="宋体" w:hAnsi="宋体" w:cs="Arial"/>
                <w:color w:val="auto"/>
                <w:szCs w:val="21"/>
                <w:highlight w:val="none"/>
                <w:u w:val="none"/>
              </w:rPr>
              <w:t>件、商务技术文件、</w:t>
            </w:r>
            <w:r>
              <w:rPr>
                <w:rStyle w:val="57"/>
                <w:rFonts w:hint="eastAsia" w:ascii="宋体" w:hAnsi="宋体"/>
                <w:color w:val="auto"/>
                <w:szCs w:val="21"/>
                <w:highlight w:val="none"/>
                <w:u w:val="none"/>
              </w:rPr>
              <w:t>报价文件。</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4</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"_（五）投标报价" </w:instrText>
            </w:r>
            <w:r>
              <w:rPr>
                <w:rFonts w:hAnsi="宋体"/>
                <w:color w:val="auto"/>
                <w:highlight w:val="none"/>
              </w:rPr>
              <w:fldChar w:fldCharType="separate"/>
            </w:r>
            <w:r>
              <w:rPr>
                <w:rStyle w:val="57"/>
                <w:rFonts w:hint="eastAsia" w:hAnsi="宋体"/>
                <w:color w:val="auto"/>
                <w:highlight w:val="none"/>
                <w:u w:val="none"/>
              </w:rPr>
              <w:t>投标报价：投标人</w:t>
            </w:r>
            <w:r>
              <w:rPr>
                <w:rStyle w:val="57"/>
                <w:rFonts w:hint="eastAsia"/>
                <w:color w:val="auto"/>
                <w:highlight w:val="none"/>
                <w:u w:val="none"/>
              </w:rPr>
              <w:t>必须就本项目/标项货物及服务内容作完整唯一报价，否则投标无效。</w:t>
            </w:r>
            <w:r>
              <w:rPr>
                <w:rFonts w:hAnsi="宋体"/>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5</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"_（六）投标文件有效期" </w:instrText>
            </w:r>
            <w:r>
              <w:rPr>
                <w:rFonts w:hAnsi="宋体"/>
                <w:color w:val="auto"/>
                <w:highlight w:val="none"/>
              </w:rPr>
              <w:fldChar w:fldCharType="separate"/>
            </w:r>
            <w:r>
              <w:rPr>
                <w:rStyle w:val="57"/>
                <w:rFonts w:hint="eastAsia" w:hAnsi="宋体"/>
                <w:color w:val="auto"/>
                <w:highlight w:val="none"/>
                <w:u w:val="none"/>
              </w:rPr>
              <w:t>投标有效</w:t>
            </w:r>
            <w:bookmarkStart w:id="72" w:name="_Hlt113541149"/>
            <w:bookmarkStart w:id="73" w:name="_Hlt113541150"/>
            <w:r>
              <w:rPr>
                <w:rStyle w:val="57"/>
                <w:rFonts w:hint="eastAsia" w:hAnsi="宋体"/>
                <w:color w:val="auto"/>
                <w:highlight w:val="none"/>
                <w:u w:val="none"/>
              </w:rPr>
              <w:t>期</w:t>
            </w:r>
            <w:bookmarkEnd w:id="72"/>
            <w:bookmarkEnd w:id="73"/>
            <w:r>
              <w:rPr>
                <w:rStyle w:val="57"/>
                <w:rFonts w:hint="eastAsia" w:hAnsi="宋体"/>
                <w:color w:val="auto"/>
                <w:highlight w:val="none"/>
                <w:u w:val="none"/>
              </w:rPr>
              <w:t>：9</w:t>
            </w:r>
            <w:r>
              <w:rPr>
                <w:rStyle w:val="57"/>
                <w:rFonts w:hAnsi="宋体"/>
                <w:color w:val="auto"/>
                <w:highlight w:val="none"/>
                <w:u w:val="none"/>
              </w:rPr>
              <w:t>0</w:t>
            </w:r>
            <w:bookmarkStart w:id="74" w:name="_Hlt113541412"/>
            <w:r>
              <w:rPr>
                <w:rStyle w:val="57"/>
                <w:rFonts w:hint="eastAsia" w:hAnsi="宋体"/>
                <w:color w:val="auto"/>
                <w:highlight w:val="none"/>
                <w:u w:val="none"/>
              </w:rPr>
              <w:t>天</w:t>
            </w:r>
            <w:bookmarkEnd w:id="74"/>
            <w:r>
              <w:rPr>
                <w:rFonts w:hAnsi="宋体"/>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6</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rPr>
                <w:rStyle w:val="57"/>
                <w:rFonts w:hint="default" w:ascii="宋体" w:hAnsi="宋体" w:eastAsia="宋体" w:cs="宋体"/>
                <w:color w:val="auto"/>
                <w:kern w:val="0"/>
                <w:szCs w:val="21"/>
                <w:highlight w:val="none"/>
                <w:u w:val="none"/>
                <w:lang w:val="en-US" w:eastAsia="zh-CN"/>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"_（七）投标保证金" </w:instrText>
            </w:r>
            <w:r>
              <w:rPr>
                <w:rFonts w:ascii="宋体" w:hAnsi="宋体" w:cs="宋体"/>
                <w:color w:val="auto"/>
                <w:kern w:val="0"/>
                <w:szCs w:val="21"/>
                <w:highlight w:val="none"/>
              </w:rPr>
              <w:fldChar w:fldCharType="separate"/>
            </w:r>
            <w:r>
              <w:rPr>
                <w:rStyle w:val="57"/>
                <w:rFonts w:hint="eastAsia" w:ascii="宋体" w:hAnsi="宋体" w:cs="宋体"/>
                <w:color w:val="auto"/>
                <w:kern w:val="0"/>
                <w:szCs w:val="21"/>
                <w:highlight w:val="none"/>
                <w:u w:val="none"/>
              </w:rPr>
              <w:t>投标保证金：</w:t>
            </w:r>
            <w:r>
              <w:rPr>
                <w:rStyle w:val="57"/>
                <w:rFonts w:hint="eastAsia" w:ascii="宋体" w:hAnsi="宋体" w:cs="宋体"/>
                <w:color w:val="auto"/>
                <w:kern w:val="0"/>
                <w:szCs w:val="21"/>
                <w:highlight w:val="none"/>
                <w:u w:val="none"/>
                <w:lang w:val="en-US" w:eastAsia="zh-CN"/>
              </w:rPr>
              <w:t>叁万元整</w:t>
            </w:r>
            <w:r>
              <w:rPr>
                <w:rFonts w:hint="eastAsia"/>
                <w:color w:val="auto"/>
                <w:highlight w:val="none"/>
              </w:rPr>
              <w:t>(￥</w:t>
            </w:r>
            <w:r>
              <w:rPr>
                <w:rFonts w:hint="eastAsia"/>
                <w:color w:val="auto"/>
                <w:highlight w:val="none"/>
                <w:lang w:val="en-US" w:eastAsia="zh-CN"/>
              </w:rPr>
              <w:t>30</w:t>
            </w:r>
            <w:r>
              <w:rPr>
                <w:rFonts w:hint="eastAsia"/>
                <w:color w:val="auto"/>
                <w:highlight w:val="none"/>
              </w:rPr>
              <w:t>,000.00)</w:t>
            </w:r>
          </w:p>
          <w:p>
            <w:pPr>
              <w:widowControl/>
              <w:ind w:firstLine="0" w:firstLineChars="0"/>
              <w:rPr>
                <w:rStyle w:val="57"/>
                <w:rFonts w:hint="eastAsia" w:ascii="宋体"/>
                <w:color w:val="auto"/>
                <w:szCs w:val="21"/>
                <w:highlight w:val="none"/>
                <w:u w:val="none"/>
              </w:rPr>
            </w:pPr>
            <w:r>
              <w:rPr>
                <w:rStyle w:val="57"/>
                <w:rFonts w:hint="eastAsia" w:ascii="宋体"/>
                <w:color w:val="auto"/>
                <w:szCs w:val="21"/>
                <w:highlight w:val="none"/>
                <w:u w:val="none"/>
              </w:rPr>
              <w:t>注：</w:t>
            </w:r>
            <w:r>
              <w:rPr>
                <w:rStyle w:val="57"/>
                <w:rFonts w:hint="eastAsia"/>
                <w:color w:val="auto"/>
                <w:szCs w:val="21"/>
                <w:highlight w:val="none"/>
                <w:u w:val="none"/>
              </w:rPr>
              <w:t>1.</w:t>
            </w:r>
            <w:r>
              <w:rPr>
                <w:rStyle w:val="57"/>
                <w:rFonts w:hint="eastAsia"/>
                <w:color w:val="auto"/>
                <w:highlight w:val="none"/>
                <w:u w:val="none"/>
              </w:rPr>
              <w:t>以支票、汇票、本票或者金融机构、担保机构出具的保函等形式提交保证金的，</w:t>
            </w:r>
            <w:r>
              <w:rPr>
                <w:rStyle w:val="57"/>
                <w:rFonts w:hint="eastAsia"/>
                <w:b/>
                <w:bCs/>
                <w:color w:val="auto"/>
                <w:highlight w:val="none"/>
                <w:u w:val="none"/>
              </w:rPr>
              <w:t>投标人必须将</w:t>
            </w:r>
            <w:bookmarkStart w:id="75" w:name="_Hlk94188895"/>
            <w:r>
              <w:rPr>
                <w:rStyle w:val="57"/>
                <w:rFonts w:hint="eastAsia"/>
                <w:b/>
                <w:bCs/>
                <w:color w:val="auto"/>
                <w:highlight w:val="none"/>
                <w:u w:val="none"/>
              </w:rPr>
              <w:t>票据、保函</w:t>
            </w:r>
            <w:bookmarkEnd w:id="75"/>
            <w:r>
              <w:rPr>
                <w:rStyle w:val="57"/>
                <w:rFonts w:hint="eastAsia"/>
                <w:b/>
                <w:bCs/>
                <w:color w:val="auto"/>
                <w:highlight w:val="none"/>
                <w:u w:val="none"/>
              </w:rPr>
              <w:t>等原件于投标文件提交截止时间前递交至本中心财务室</w:t>
            </w:r>
            <w:r>
              <w:rPr>
                <w:rStyle w:val="57"/>
                <w:rFonts w:hint="eastAsia"/>
                <w:color w:val="auto"/>
                <w:highlight w:val="none"/>
                <w:u w:val="none"/>
              </w:rPr>
              <w:t>。</w:t>
            </w:r>
          </w:p>
          <w:p>
            <w:pPr>
              <w:autoSpaceDE w:val="0"/>
              <w:autoSpaceDN w:val="0"/>
              <w:snapToGrid w:val="0"/>
              <w:ind w:firstLine="8" w:firstLineChars="4"/>
              <w:textAlignment w:val="bottom"/>
              <w:rPr>
                <w:rFonts w:ascii="宋体" w:hAnsi="宋体"/>
                <w:color w:val="auto"/>
                <w:szCs w:val="21"/>
                <w:highlight w:val="none"/>
              </w:rPr>
            </w:pPr>
            <w:r>
              <w:rPr>
                <w:rStyle w:val="57"/>
                <w:rFonts w:hint="eastAsia"/>
                <w:color w:val="auto"/>
                <w:highlight w:val="none"/>
                <w:u w:val="none"/>
              </w:rPr>
              <w:t>2.</w:t>
            </w:r>
            <w:r>
              <w:rPr>
                <w:rStyle w:val="57"/>
                <w:rFonts w:hint="eastAsia"/>
                <w:color w:val="auto"/>
                <w:szCs w:val="21"/>
                <w:highlight w:val="none"/>
                <w:u w:val="none"/>
              </w:rPr>
              <w:t>以网上银行</w:t>
            </w:r>
            <w:r>
              <w:rPr>
                <w:rStyle w:val="57"/>
                <w:rFonts w:hint="eastAsia" w:ascii="宋体" w:hAnsi="宋体"/>
                <w:color w:val="auto"/>
                <w:szCs w:val="21"/>
                <w:highlight w:val="none"/>
                <w:u w:val="none"/>
              </w:rPr>
              <w:t>形</w:t>
            </w:r>
            <w:r>
              <w:rPr>
                <w:rStyle w:val="57"/>
                <w:rFonts w:hint="eastAsia"/>
                <w:color w:val="auto"/>
                <w:szCs w:val="21"/>
                <w:highlight w:val="none"/>
                <w:u w:val="none"/>
              </w:rPr>
              <w:t>式提交保证金的，投标人必须于投标文件提交截止时间前从投标人账户缴存至本中心银行账户（以到</w:t>
            </w:r>
            <w:bookmarkStart w:id="76" w:name="_Hlt169688195"/>
            <w:r>
              <w:rPr>
                <w:rStyle w:val="57"/>
                <w:rFonts w:hint="eastAsia"/>
                <w:color w:val="auto"/>
                <w:szCs w:val="21"/>
                <w:highlight w:val="none"/>
                <w:u w:val="none"/>
              </w:rPr>
              <w:t>账</w:t>
            </w:r>
            <w:bookmarkEnd w:id="76"/>
            <w:r>
              <w:rPr>
                <w:rStyle w:val="57"/>
                <w:rFonts w:hint="eastAsia"/>
                <w:color w:val="auto"/>
                <w:szCs w:val="21"/>
                <w:highlight w:val="none"/>
                <w:u w:val="none"/>
              </w:rPr>
              <w:t>时间为准）。</w:t>
            </w:r>
            <w:r>
              <w:rPr>
                <w:rFonts w:ascii="宋体" w:hAnsi="宋体" w:cs="宋体"/>
                <w:color w:val="auto"/>
                <w:kern w:val="0"/>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7</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pStyle w:val="26"/>
              <w:ind w:firstLine="8" w:firstLineChars="4"/>
              <w:rPr>
                <w:color w:val="auto"/>
                <w:highlight w:val="none"/>
              </w:rPr>
            </w:pPr>
            <w:r>
              <w:rPr>
                <w:rFonts w:hint="eastAsia"/>
                <w:b/>
                <w:color w:val="auto"/>
                <w:highlight w:val="none"/>
              </w:rPr>
              <w:t>投标文件提交截止时间及开标时间：</w:t>
            </w:r>
            <w:r>
              <w:rPr>
                <w:rFonts w:hint="eastAsia" w:hAnsi="宋体" w:cs="Arial"/>
                <w:color w:val="auto"/>
                <w:highlight w:val="none"/>
              </w:rPr>
              <w:t>202</w:t>
            </w:r>
            <w:r>
              <w:rPr>
                <w:rFonts w:hint="eastAsia" w:hAnsi="宋体" w:cs="Arial"/>
                <w:color w:val="auto"/>
                <w:highlight w:val="none"/>
                <w:lang w:val="en-US" w:eastAsia="zh-CN"/>
              </w:rPr>
              <w:t>5</w:t>
            </w:r>
            <w:r>
              <w:rPr>
                <w:rFonts w:hint="eastAsia" w:hAnsi="宋体" w:cs="Arial"/>
                <w:color w:val="auto"/>
                <w:highlight w:val="none"/>
              </w:rPr>
              <w:t>年</w:t>
            </w:r>
            <w:r>
              <w:rPr>
                <w:rFonts w:hint="eastAsia" w:hAnsi="宋体" w:cs="Arial"/>
                <w:color w:val="auto"/>
                <w:highlight w:val="none"/>
                <w:lang w:val="en-US" w:eastAsia="zh-CN"/>
              </w:rPr>
              <w:t>8月20日</w:t>
            </w:r>
            <w:r>
              <w:rPr>
                <w:rFonts w:hint="eastAsia" w:hAnsi="宋体" w:cs="Arial"/>
                <w:color w:val="auto"/>
                <w:highlight w:val="none"/>
              </w:rPr>
              <w:t>09</w:t>
            </w:r>
            <w:r>
              <w:rPr>
                <w:rFonts w:hAnsi="宋体" w:cs="Arial"/>
                <w:color w:val="auto"/>
                <w:highlight w:val="none"/>
              </w:rPr>
              <w:t>:</w:t>
            </w:r>
            <w:r>
              <w:rPr>
                <w:rFonts w:hint="eastAsia" w:hAnsi="宋体" w:cs="Arial"/>
                <w:color w:val="auto"/>
                <w:highlight w:val="none"/>
              </w:rPr>
              <w:t>3</w:t>
            </w:r>
            <w:r>
              <w:rPr>
                <w:rFonts w:hAnsi="宋体" w:cs="Arial"/>
                <w:color w:val="auto"/>
                <w:highlight w:val="none"/>
              </w:rPr>
              <w:t>0</w:t>
            </w:r>
            <w:r>
              <w:rPr>
                <w:rFonts w:hint="eastAsia"/>
                <w:color w:val="auto"/>
                <w:highlight w:val="none"/>
              </w:rPr>
              <w:t>（北京时间）</w:t>
            </w:r>
          </w:p>
          <w:p>
            <w:pPr>
              <w:ind w:firstLine="8" w:firstLineChars="4"/>
              <w:rPr>
                <w:rFonts w:hint="eastAsia"/>
                <w:color w:val="auto"/>
                <w:szCs w:val="21"/>
                <w:highlight w:val="none"/>
              </w:rPr>
            </w:pPr>
            <w:r>
              <w:rPr>
                <w:rFonts w:hint="eastAsia"/>
                <w:color w:val="auto"/>
                <w:szCs w:val="21"/>
                <w:highlight w:val="none"/>
              </w:rPr>
              <w:t>投标地点(网址）：</w:t>
            </w:r>
            <w:r>
              <w:rPr>
                <w:rFonts w:hint="eastAsia" w:ascii="宋体" w:hAnsi="宋体" w:cs="Courier New"/>
                <w:color w:val="auto"/>
                <w:szCs w:val="21"/>
                <w:highlight w:val="none"/>
              </w:rPr>
              <w:t>请登录广西政府采购云平台投标客户端投标</w:t>
            </w:r>
          </w:p>
          <w:p>
            <w:pPr>
              <w:ind w:firstLine="8" w:firstLineChars="4"/>
              <w:rPr>
                <w:color w:val="auto"/>
                <w:szCs w:val="21"/>
                <w:highlight w:val="none"/>
              </w:rPr>
            </w:pPr>
            <w:r>
              <w:rPr>
                <w:rFonts w:hint="eastAsia"/>
                <w:color w:val="auto"/>
                <w:szCs w:val="21"/>
                <w:highlight w:val="none"/>
              </w:rPr>
              <w:t>开标地点：</w:t>
            </w:r>
            <w:r>
              <w:rPr>
                <w:rFonts w:hint="eastAsia"/>
                <w:color w:val="auto"/>
                <w:highlight w:val="none"/>
              </w:rPr>
              <w:t>广西钦州市金海湾东大</w:t>
            </w:r>
            <w:bookmarkStart w:id="77" w:name="_Hlt169688185"/>
            <w:r>
              <w:rPr>
                <w:rFonts w:hint="eastAsia"/>
                <w:color w:val="auto"/>
                <w:highlight w:val="none"/>
              </w:rPr>
              <w:t>街</w:t>
            </w:r>
            <w:bookmarkEnd w:id="77"/>
            <w:r>
              <w:rPr>
                <w:rFonts w:hint="eastAsia"/>
                <w:color w:val="auto"/>
                <w:highlight w:val="none"/>
              </w:rPr>
              <w:t>8号市</w:t>
            </w:r>
            <w:bookmarkStart w:id="78" w:name="_Hlt169688172"/>
            <w:bookmarkStart w:id="79" w:name="_Hlt169688171"/>
            <w:r>
              <w:rPr>
                <w:rFonts w:hint="eastAsia"/>
                <w:color w:val="auto"/>
                <w:highlight w:val="none"/>
              </w:rPr>
              <w:t>政</w:t>
            </w:r>
            <w:bookmarkEnd w:id="78"/>
            <w:bookmarkEnd w:id="79"/>
            <w:r>
              <w:rPr>
                <w:rFonts w:hint="eastAsia"/>
                <w:color w:val="auto"/>
                <w:highlight w:val="none"/>
              </w:rPr>
              <w:t>务服务中心三楼开标室</w:t>
            </w:r>
          </w:p>
          <w:p>
            <w:pPr>
              <w:ind w:firstLine="8" w:firstLineChars="4"/>
              <w:rPr>
                <w:rFonts w:hint="eastAsia"/>
                <w:b/>
                <w:bCs/>
                <w:color w:val="auto"/>
                <w:highlight w:val="none"/>
              </w:rPr>
            </w:pPr>
            <w:r>
              <w:rPr>
                <w:b/>
                <w:bCs/>
                <w:color w:val="auto"/>
                <w:highlight w:val="none"/>
              </w:rPr>
              <w:fldChar w:fldCharType="begin"/>
            </w:r>
            <w:r>
              <w:rPr>
                <w:rFonts w:hint="eastAsia"/>
                <w:b/>
                <w:bCs/>
                <w:color w:val="auto"/>
                <w:highlight w:val="none"/>
              </w:rPr>
              <w:instrText xml:space="preserve">HYPERLINK </w:instrText>
            </w:r>
            <w:r>
              <w:rPr>
                <w:b/>
                <w:bCs/>
                <w:color w:val="auto"/>
                <w:highlight w:val="none"/>
              </w:rPr>
              <w:instrText xml:space="preserve"> \l "</w:instrText>
            </w:r>
            <w:r>
              <w:rPr>
                <w:rFonts w:hint="eastAsia"/>
                <w:b/>
                <w:bCs/>
                <w:color w:val="auto"/>
                <w:highlight w:val="none"/>
              </w:rPr>
              <w:instrText xml:space="preserve">_四、开标</w:instrText>
            </w:r>
            <w:r>
              <w:rPr>
                <w:b/>
                <w:bCs/>
                <w:color w:val="auto"/>
                <w:highlight w:val="none"/>
              </w:rPr>
              <w:instrText xml:space="preserve">"</w:instrText>
            </w:r>
            <w:r>
              <w:rPr>
                <w:b/>
                <w:bCs/>
                <w:color w:val="auto"/>
                <w:highlight w:val="none"/>
              </w:rPr>
              <w:fldChar w:fldCharType="separate"/>
            </w:r>
            <w:r>
              <w:rPr>
                <w:rStyle w:val="57"/>
                <w:rFonts w:hint="eastAsia"/>
                <w:b/>
                <w:bCs/>
                <w:color w:val="auto"/>
                <w:highlight w:val="none"/>
                <w:u w:val="none"/>
              </w:rPr>
              <w:t>注：</w:t>
            </w:r>
            <w:bookmarkStart w:id="80" w:name="_Hlk90299755"/>
            <w:r>
              <w:rPr>
                <w:rStyle w:val="57"/>
                <w:rFonts w:hint="eastAsia"/>
                <w:b/>
                <w:bCs/>
                <w:color w:val="auto"/>
                <w:highlight w:val="none"/>
                <w:u w:val="none"/>
              </w:rPr>
              <w:t>投标人法定代表人或委</w:t>
            </w:r>
            <w:bookmarkStart w:id="81" w:name="_Hlt169688258"/>
            <w:r>
              <w:rPr>
                <w:rStyle w:val="57"/>
                <w:rFonts w:hint="eastAsia"/>
                <w:b/>
                <w:bCs/>
                <w:color w:val="auto"/>
                <w:highlight w:val="none"/>
                <w:u w:val="none"/>
              </w:rPr>
              <w:t>托</w:t>
            </w:r>
            <w:bookmarkEnd w:id="81"/>
            <w:r>
              <w:rPr>
                <w:rStyle w:val="57"/>
                <w:rFonts w:hint="eastAsia"/>
                <w:b/>
                <w:bCs/>
                <w:color w:val="auto"/>
                <w:highlight w:val="none"/>
                <w:u w:val="none"/>
              </w:rPr>
              <w:t>代理人须按时登录</w:t>
            </w:r>
            <w:r>
              <w:rPr>
                <w:rStyle w:val="57"/>
                <w:rFonts w:hint="eastAsia" w:hAnsi="宋体"/>
                <w:b/>
                <w:bCs/>
                <w:color w:val="auto"/>
                <w:highlight w:val="none"/>
                <w:u w:val="none"/>
              </w:rPr>
              <w:t>政采云远程开标大厅</w:t>
            </w:r>
            <w:r>
              <w:rPr>
                <w:rStyle w:val="57"/>
                <w:rFonts w:hint="eastAsia"/>
                <w:b/>
                <w:bCs/>
                <w:color w:val="auto"/>
                <w:highlight w:val="none"/>
                <w:u w:val="none"/>
              </w:rPr>
              <w:t>，保持全程在线并关注开标评标进度，评标期间评标委员会提出澄清等要求时，投标人须在规定时间内进行在线应答，否则按招标文件或政采云平台的相关规定执行。</w:t>
            </w:r>
            <w:bookmarkEnd w:id="80"/>
            <w:r>
              <w:rPr>
                <w:b/>
                <w:bCs/>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8</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0" w:firstLineChars="0"/>
              <w:textAlignment w:val="bottom"/>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w:instrText>
            </w:r>
            <w:r>
              <w:rPr>
                <w:rFonts w:ascii="宋体" w:hAnsi="宋体"/>
                <w:color w:val="auto"/>
                <w:szCs w:val="21"/>
                <w:highlight w:val="none"/>
              </w:rPr>
              <w:instrText xml:space="preserve"> \l "_五、评标" </w:instrText>
            </w:r>
            <w:r>
              <w:rPr>
                <w:rFonts w:ascii="宋体" w:hAnsi="宋体"/>
                <w:color w:val="auto"/>
                <w:szCs w:val="21"/>
                <w:highlight w:val="none"/>
              </w:rPr>
              <w:fldChar w:fldCharType="separate"/>
            </w:r>
            <w:r>
              <w:rPr>
                <w:rStyle w:val="57"/>
                <w:rFonts w:hint="eastAsia" w:ascii="宋体" w:hAnsi="宋体"/>
                <w:color w:val="auto"/>
                <w:szCs w:val="21"/>
                <w:highlight w:val="none"/>
                <w:u w:val="none"/>
              </w:rPr>
              <w:t>评标</w:t>
            </w:r>
            <w:bookmarkStart w:id="82" w:name="_Hlt111715137"/>
            <w:bookmarkStart w:id="83" w:name="_Hlt111715136"/>
            <w:r>
              <w:rPr>
                <w:rStyle w:val="57"/>
                <w:rFonts w:hint="eastAsia" w:ascii="宋体" w:hAnsi="宋体"/>
                <w:color w:val="auto"/>
                <w:szCs w:val="21"/>
                <w:highlight w:val="none"/>
                <w:u w:val="none"/>
              </w:rPr>
              <w:t>方</w:t>
            </w:r>
            <w:bookmarkEnd w:id="82"/>
            <w:bookmarkEnd w:id="83"/>
            <w:r>
              <w:rPr>
                <w:rStyle w:val="57"/>
                <w:rFonts w:hint="eastAsia" w:ascii="宋体" w:hAnsi="宋体"/>
                <w:color w:val="auto"/>
                <w:szCs w:val="21"/>
                <w:highlight w:val="none"/>
                <w:u w:val="none"/>
              </w:rPr>
              <w:t>法：</w:t>
            </w:r>
            <w:r>
              <w:rPr>
                <w:rStyle w:val="57"/>
                <w:rFonts w:hint="eastAsia"/>
                <w:color w:val="auto"/>
                <w:highlight w:val="none"/>
                <w:u w:val="none"/>
              </w:rPr>
              <w:t>综合评分法</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noWrap w:val="0"/>
            <w:vAlign w:val="center"/>
          </w:tcPr>
          <w:p>
            <w:pPr>
              <w:ind w:left="-424" w:leftChars="-202" w:firstLine="420"/>
              <w:jc w:val="center"/>
              <w:rPr>
                <w:color w:val="auto"/>
                <w:highlight w:val="none"/>
              </w:rPr>
            </w:pPr>
            <w:r>
              <w:rPr>
                <w:color w:val="auto"/>
                <w:highlight w:val="none"/>
              </w:rPr>
              <w:t>9</w:t>
            </w:r>
          </w:p>
        </w:tc>
        <w:tc>
          <w:tcPr>
            <w:tcW w:w="9214" w:type="dxa"/>
            <w:noWrap w:val="0"/>
            <w:vAlign w:val="center"/>
          </w:tcPr>
          <w:p>
            <w:pPr>
              <w:pStyle w:val="26"/>
              <w:spacing w:line="340" w:lineRule="exact"/>
              <w:ind w:firstLine="8" w:firstLineChars="4"/>
              <w:rPr>
                <w:color w:val="auto"/>
                <w:highlight w:val="none"/>
              </w:rPr>
            </w:pPr>
            <w:bookmarkStart w:id="84" w:name="OLE_LINK5"/>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"_九、其他事项" </w:instrText>
            </w:r>
            <w:r>
              <w:rPr>
                <w:rFonts w:hAnsi="宋体"/>
                <w:color w:val="auto"/>
                <w:highlight w:val="none"/>
              </w:rPr>
              <w:fldChar w:fldCharType="separate"/>
            </w:r>
            <w:r>
              <w:rPr>
                <w:rStyle w:val="57"/>
                <w:rFonts w:hint="eastAsia" w:hAnsi="宋体"/>
                <w:color w:val="auto"/>
                <w:highlight w:val="none"/>
                <w:u w:val="none"/>
              </w:rPr>
              <w:t>代理服务费：本中心按钦州市物价局“钦市价费﹝2013﹞4号”文件规定向中标人收取代理服务费。中标人应向本中心一次性付清代理服务费。</w:t>
            </w:r>
            <w:r>
              <w:rPr>
                <w:rFonts w:hAnsi="宋体"/>
                <w:color w:val="auto"/>
                <w:highlight w:val="none"/>
              </w:rPr>
              <w:fldChar w:fldCharType="end"/>
            </w:r>
            <w:bookmarkEnd w:id="84"/>
          </w:p>
        </w:tc>
      </w:tr>
    </w:tbl>
    <w:p>
      <w:pPr>
        <w:ind w:firstLine="0" w:firstLineChars="0"/>
        <w:jc w:val="left"/>
        <w:rPr>
          <w:color w:val="auto"/>
          <w:highlight w:val="none"/>
        </w:rPr>
      </w:pPr>
      <w:r>
        <w:rPr>
          <w:color w:val="auto"/>
          <w:highlight w:val="none"/>
        </w:rPr>
        <w:br w:type="page"/>
      </w:r>
      <w:bookmarkStart w:id="85" w:name="_Toc352700405"/>
      <w:bookmarkStart w:id="86" w:name="_Toc352578861"/>
      <w:bookmarkStart w:id="87" w:name="_Toc353785275"/>
      <w:bookmarkStart w:id="88" w:name="_Toc352578891"/>
      <w:bookmarkStart w:id="89" w:name="_Toc352578843"/>
    </w:p>
    <w:p>
      <w:pPr>
        <w:spacing w:line="520" w:lineRule="exact"/>
        <w:ind w:firstLine="0" w:firstLineChars="0"/>
        <w:jc w:val="center"/>
        <w:rPr>
          <w:rFonts w:ascii="仿宋_GB2312" w:hAnsi="宋体" w:eastAsia="仿宋_GB2312"/>
          <w:b/>
          <w:color w:val="auto"/>
          <w:sz w:val="44"/>
          <w:szCs w:val="44"/>
          <w:highlight w:val="none"/>
        </w:rPr>
      </w:pPr>
      <w:bookmarkStart w:id="90" w:name="_Hlk92374740"/>
      <w:r>
        <w:rPr>
          <w:rFonts w:hint="eastAsia"/>
          <w:b/>
          <w:color w:val="auto"/>
          <w:sz w:val="44"/>
          <w:szCs w:val="44"/>
          <w:highlight w:val="none"/>
        </w:rPr>
        <w:t>投标人须知</w:t>
      </w:r>
      <w:bookmarkEnd w:id="85"/>
      <w:bookmarkEnd w:id="86"/>
      <w:bookmarkEnd w:id="87"/>
      <w:bookmarkEnd w:id="88"/>
      <w:bookmarkEnd w:id="89"/>
    </w:p>
    <w:p>
      <w:pPr>
        <w:pStyle w:val="5"/>
        <w:spacing w:before="0" w:after="0" w:line="410" w:lineRule="exact"/>
        <w:ind w:firstLine="0" w:firstLineChars="0"/>
        <w:rPr>
          <w:rFonts w:hint="eastAsia" w:ascii="方正小标宋_GBK" w:eastAsia="方正小标宋_GBK"/>
          <w:color w:val="auto"/>
          <w:sz w:val="24"/>
          <w:szCs w:val="24"/>
          <w:highlight w:val="none"/>
        </w:rPr>
      </w:pPr>
      <w:bookmarkStart w:id="91" w:name="_一、总__则"/>
      <w:bookmarkEnd w:id="91"/>
      <w:bookmarkStart w:id="92" w:name="_Toc352700406"/>
      <w:bookmarkStart w:id="93" w:name="_Toc353785276"/>
      <w:r>
        <w:rPr>
          <w:rFonts w:hint="eastAsia" w:ascii="方正小标宋_GBK" w:eastAsia="方正小标宋_GBK"/>
          <w:color w:val="auto"/>
          <w:sz w:val="24"/>
          <w:szCs w:val="24"/>
          <w:highlight w:val="none"/>
        </w:rPr>
        <w:t>一、总  则</w:t>
      </w:r>
      <w:bookmarkEnd w:id="92"/>
      <w:bookmarkEnd w:id="93"/>
    </w:p>
    <w:p>
      <w:pPr>
        <w:spacing w:line="410" w:lineRule="exact"/>
        <w:ind w:firstLine="211" w:firstLineChars="100"/>
        <w:rPr>
          <w:b/>
          <w:bCs/>
          <w:color w:val="auto"/>
          <w:highlight w:val="none"/>
        </w:rPr>
      </w:pPr>
      <w:r>
        <w:rPr>
          <w:rFonts w:hint="eastAsia"/>
          <w:b/>
          <w:bCs/>
          <w:color w:val="auto"/>
          <w:highlight w:val="none"/>
        </w:rPr>
        <w:t>（一）适用范围</w:t>
      </w:r>
    </w:p>
    <w:p>
      <w:pPr>
        <w:spacing w:line="410" w:lineRule="exact"/>
        <w:ind w:firstLine="420"/>
        <w:rPr>
          <w:rFonts w:hint="eastAsia" w:eastAsia="宋体"/>
          <w:color w:val="auto"/>
          <w:highlight w:val="none"/>
          <w:lang w:eastAsia="zh-CN"/>
        </w:rPr>
      </w:pPr>
      <w:bookmarkStart w:id="94" w:name="_Toc254970528"/>
      <w:bookmarkStart w:id="95" w:name="_Toc352700408"/>
      <w:bookmarkStart w:id="96" w:name="_Toc353785278"/>
      <w:bookmarkStart w:id="97" w:name="_Toc254970669"/>
      <w:r>
        <w:rPr>
          <w:rFonts w:hint="eastAsia"/>
          <w:color w:val="auto"/>
          <w:highlight w:val="none"/>
        </w:rPr>
        <w:t>1</w:t>
      </w:r>
      <w:r>
        <w:rPr>
          <w:color w:val="auto"/>
          <w:highlight w:val="none"/>
        </w:rPr>
        <w:t>.</w:t>
      </w:r>
      <w:r>
        <w:rPr>
          <w:rFonts w:hint="eastAsia"/>
          <w:color w:val="auto"/>
          <w:highlight w:val="none"/>
        </w:rPr>
        <w:t>项目名称：</w:t>
      </w:r>
      <w:r>
        <w:rPr>
          <w:rFonts w:hint="eastAsia"/>
          <w:color w:val="auto"/>
          <w:highlight w:val="none"/>
          <w:lang w:eastAsia="zh-CN"/>
        </w:rPr>
        <w:t>钦州市外国语学校新校区空调机(一期)</w:t>
      </w:r>
    </w:p>
    <w:p>
      <w:pPr>
        <w:spacing w:line="410" w:lineRule="exact"/>
        <w:ind w:firstLine="420"/>
        <w:rPr>
          <w:rFonts w:hint="eastAsia" w:eastAsia="宋体"/>
          <w:color w:val="auto"/>
          <w:highlight w:val="none"/>
          <w:lang w:eastAsia="zh-CN"/>
        </w:rPr>
      </w:pPr>
      <w:r>
        <w:rPr>
          <w:color w:val="auto"/>
          <w:highlight w:val="none"/>
        </w:rPr>
        <w:t>2.</w:t>
      </w:r>
      <w:r>
        <w:rPr>
          <w:rFonts w:hint="eastAsia"/>
          <w:color w:val="auto"/>
          <w:highlight w:val="none"/>
        </w:rPr>
        <w:t>项目编号：</w:t>
      </w:r>
      <w:r>
        <w:rPr>
          <w:rFonts w:hint="eastAsia"/>
          <w:color w:val="auto"/>
          <w:highlight w:val="none"/>
          <w:lang w:eastAsia="zh-CN"/>
        </w:rPr>
        <w:t>QZZC2025-G1-990210-QZSZ</w:t>
      </w:r>
    </w:p>
    <w:p>
      <w:pPr>
        <w:spacing w:line="410" w:lineRule="exact"/>
        <w:ind w:firstLine="420"/>
        <w:rPr>
          <w:color w:val="auto"/>
          <w:highlight w:val="none"/>
        </w:rPr>
      </w:pPr>
      <w:r>
        <w:rPr>
          <w:rFonts w:hint="eastAsia"/>
          <w:color w:val="auto"/>
          <w:highlight w:val="none"/>
        </w:rPr>
        <w:t>本招标文件仅适用于上述项目的招标、投标、评标、定标、验收、合同履约、付款等行为（法律、法规另有规定的，从其规定）。</w:t>
      </w:r>
    </w:p>
    <w:p>
      <w:pPr>
        <w:spacing w:line="410" w:lineRule="exact"/>
        <w:ind w:firstLine="211" w:firstLineChars="100"/>
        <w:rPr>
          <w:b/>
          <w:bCs/>
          <w:color w:val="auto"/>
          <w:highlight w:val="none"/>
        </w:rPr>
      </w:pPr>
      <w:r>
        <w:rPr>
          <w:rFonts w:hint="eastAsia"/>
          <w:b/>
          <w:bCs/>
          <w:color w:val="auto"/>
          <w:highlight w:val="none"/>
        </w:rPr>
        <w:t>（二）定义</w:t>
      </w:r>
      <w:bookmarkEnd w:id="94"/>
      <w:bookmarkEnd w:id="95"/>
      <w:bookmarkEnd w:id="96"/>
      <w:bookmarkEnd w:id="97"/>
    </w:p>
    <w:p>
      <w:pPr>
        <w:pStyle w:val="26"/>
        <w:snapToGrid w:val="0"/>
        <w:spacing w:line="410" w:lineRule="exact"/>
        <w:ind w:firstLine="420"/>
        <w:rPr>
          <w:rFonts w:hAnsi="宋体"/>
          <w:color w:val="auto"/>
          <w:highlight w:val="none"/>
        </w:rPr>
      </w:pPr>
      <w:bookmarkStart w:id="98" w:name="_Hlk92374304"/>
      <w:r>
        <w:rPr>
          <w:rFonts w:hAnsi="宋体"/>
          <w:bCs/>
          <w:color w:val="auto"/>
          <w:highlight w:val="none"/>
        </w:rPr>
        <w:t>1.</w:t>
      </w:r>
      <w:r>
        <w:rPr>
          <w:rFonts w:hint="eastAsia" w:hAnsi="宋体"/>
          <w:bCs/>
          <w:color w:val="auto"/>
          <w:highlight w:val="none"/>
        </w:rPr>
        <w:t>“采购人”系指</w:t>
      </w:r>
      <w:r>
        <w:rPr>
          <w:rFonts w:hAnsi="宋体"/>
          <w:color w:val="auto"/>
          <w:highlight w:val="none"/>
        </w:rPr>
        <w:t>依法进行政府采购的国家机关、事业单位、团体组织</w:t>
      </w:r>
    </w:p>
    <w:p>
      <w:pPr>
        <w:pStyle w:val="26"/>
        <w:snapToGrid w:val="0"/>
        <w:spacing w:line="41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“投标人”系指向招标方提交投标文件的单位或自然人。</w:t>
      </w:r>
    </w:p>
    <w:p>
      <w:pPr>
        <w:pStyle w:val="26"/>
        <w:snapToGrid w:val="0"/>
        <w:spacing w:line="410" w:lineRule="exact"/>
        <w:ind w:firstLine="420"/>
        <w:rPr>
          <w:rFonts w:hAnsi="宋体"/>
          <w:bCs/>
          <w:color w:val="auto"/>
          <w:highlight w:val="none"/>
        </w:rPr>
      </w:pPr>
      <w:r>
        <w:rPr>
          <w:rFonts w:hAnsi="宋体"/>
          <w:bCs/>
          <w:color w:val="auto"/>
          <w:highlight w:val="none"/>
        </w:rPr>
        <w:t>3.</w:t>
      </w:r>
      <w:r>
        <w:rPr>
          <w:rFonts w:hint="eastAsia" w:hAnsi="宋体"/>
          <w:bCs/>
          <w:color w:val="auto"/>
          <w:highlight w:val="none"/>
        </w:rPr>
        <w:t>“采购代理机构”系指组织本次招标的钦州市政府采购中心（以下简称“本中心）。</w:t>
      </w:r>
    </w:p>
    <w:p>
      <w:pPr>
        <w:pStyle w:val="26"/>
        <w:snapToGrid w:val="0"/>
        <w:spacing w:line="41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“货物”系指各种形态和种类的物品，包括原材料、燃料、设备、产品等。</w:t>
      </w:r>
    </w:p>
    <w:p>
      <w:pPr>
        <w:pStyle w:val="26"/>
        <w:snapToGrid w:val="0"/>
        <w:spacing w:line="410" w:lineRule="exact"/>
        <w:ind w:firstLine="420"/>
        <w:rPr>
          <w:rFonts w:hAnsi="宋体"/>
          <w:bCs/>
          <w:color w:val="auto"/>
          <w:highlight w:val="none"/>
        </w:rPr>
      </w:pPr>
      <w:r>
        <w:rPr>
          <w:rFonts w:hAnsi="宋体"/>
          <w:bCs/>
          <w:color w:val="auto"/>
          <w:highlight w:val="none"/>
        </w:rPr>
        <w:t>5.</w:t>
      </w:r>
      <w:r>
        <w:rPr>
          <w:rFonts w:hint="eastAsia" w:hAnsi="宋体"/>
          <w:bCs/>
          <w:color w:val="auto"/>
          <w:highlight w:val="none"/>
        </w:rPr>
        <w:t>“服务”系指除货物和工程以外的其他政府采购对象。</w:t>
      </w:r>
    </w:p>
    <w:p>
      <w:pPr>
        <w:pStyle w:val="26"/>
        <w:snapToGrid w:val="0"/>
        <w:spacing w:line="410" w:lineRule="exact"/>
        <w:ind w:firstLine="420"/>
        <w:rPr>
          <w:rFonts w:hAnsi="宋体"/>
          <w:bCs/>
          <w:color w:val="auto"/>
          <w:highlight w:val="none"/>
        </w:rPr>
      </w:pPr>
      <w:r>
        <w:rPr>
          <w:rFonts w:hAnsi="宋体"/>
          <w:bCs/>
          <w:color w:val="auto"/>
          <w:highlight w:val="none"/>
        </w:rPr>
        <w:t>6.</w:t>
      </w:r>
      <w:r>
        <w:rPr>
          <w:rFonts w:hint="eastAsia" w:hAnsi="宋体"/>
          <w:bCs/>
          <w:color w:val="auto"/>
          <w:highlight w:val="none"/>
        </w:rPr>
        <w:t>“项目”系指投标人按招标文件规定向采购人提供的产品和服务。</w:t>
      </w:r>
    </w:p>
    <w:p>
      <w:pPr>
        <w:pStyle w:val="26"/>
        <w:snapToGrid w:val="0"/>
        <w:spacing w:line="410" w:lineRule="exact"/>
        <w:ind w:firstLine="420"/>
        <w:rPr>
          <w:rFonts w:hAnsi="宋体"/>
          <w:bCs/>
          <w:color w:val="auto"/>
          <w:highlight w:val="none"/>
        </w:rPr>
      </w:pPr>
      <w:r>
        <w:rPr>
          <w:rFonts w:hAnsi="宋体"/>
          <w:bCs/>
          <w:color w:val="auto"/>
          <w:highlight w:val="none"/>
        </w:rPr>
        <w:t>7.</w:t>
      </w:r>
      <w:r>
        <w:rPr>
          <w:rFonts w:hint="eastAsia" w:hAnsi="宋体"/>
          <w:bCs/>
          <w:color w:val="auto"/>
          <w:highlight w:val="none"/>
        </w:rPr>
        <w:t>“书面形式”</w:t>
      </w:r>
      <w:bookmarkEnd w:id="98"/>
      <w:r>
        <w:rPr>
          <w:rFonts w:hint="eastAsia" w:hAnsi="宋体"/>
          <w:bCs/>
          <w:color w:val="auto"/>
          <w:highlight w:val="none"/>
        </w:rPr>
        <w:t>是合同书、信件、电报、电传、传真等可以有形地表现所载内容的形式。</w:t>
      </w:r>
    </w:p>
    <w:p>
      <w:pPr>
        <w:spacing w:line="410" w:lineRule="exact"/>
        <w:ind w:firstLine="211" w:firstLineChars="100"/>
        <w:rPr>
          <w:b/>
          <w:bCs/>
          <w:color w:val="auto"/>
          <w:highlight w:val="none"/>
        </w:rPr>
      </w:pPr>
      <w:bookmarkStart w:id="99" w:name="_Toc353785279"/>
      <w:r>
        <w:rPr>
          <w:rFonts w:hint="eastAsia"/>
          <w:b/>
          <w:bCs/>
          <w:color w:val="auto"/>
          <w:highlight w:val="none"/>
        </w:rPr>
        <w:t>（三）投标人资格</w:t>
      </w:r>
      <w:bookmarkEnd w:id="99"/>
    </w:p>
    <w:p>
      <w:pPr>
        <w:spacing w:line="412" w:lineRule="exact"/>
        <w:ind w:firstLine="420"/>
        <w:rPr>
          <w:b/>
          <w:color w:val="auto"/>
          <w:highlight w:val="none"/>
        </w:rPr>
      </w:pPr>
      <w:bookmarkStart w:id="100" w:name="_Toc352700409"/>
      <w:bookmarkStart w:id="101" w:name="_Toc254970529"/>
      <w:bookmarkStart w:id="102" w:name="_Toc353785280"/>
      <w:bookmarkStart w:id="103" w:name="_Toc254970670"/>
      <w:bookmarkStart w:id="104" w:name="_Hlk92444465"/>
      <w:r>
        <w:rPr>
          <w:rFonts w:hint="eastAsia"/>
          <w:color w:val="auto"/>
          <w:highlight w:val="none"/>
        </w:rPr>
        <w:t>1.满足《中华人民共和国政府采购法》第二十二条规定</w:t>
      </w:r>
    </w:p>
    <w:p>
      <w:pPr>
        <w:spacing w:line="412" w:lineRule="exact"/>
        <w:ind w:firstLine="420"/>
        <w:rPr>
          <w:color w:val="auto"/>
          <w:highlight w:val="none"/>
        </w:rPr>
      </w:pPr>
      <w:r>
        <w:rPr>
          <w:rFonts w:hint="eastAsia"/>
          <w:color w:val="auto"/>
          <w:highlight w:val="none"/>
        </w:rPr>
        <w:t>2.落实政府采购政策需满足的资格要求：无</w:t>
      </w:r>
    </w:p>
    <w:p>
      <w:pPr>
        <w:spacing w:line="410" w:lineRule="exact"/>
        <w:ind w:firstLine="420"/>
        <w:rPr>
          <w:rFonts w:hint="eastAsia" w:ascii="宋体" w:hAnsi="宋体"/>
          <w:color w:val="auto"/>
          <w:highlight w:val="none"/>
        </w:rPr>
      </w:pPr>
      <w:r>
        <w:rPr>
          <w:rFonts w:hint="eastAsia"/>
          <w:color w:val="auto"/>
          <w:highlight w:val="none"/>
        </w:rPr>
        <w:t>3.本项目的特定资格要求：无</w:t>
      </w:r>
    </w:p>
    <w:p>
      <w:pPr>
        <w:spacing w:line="410" w:lineRule="exact"/>
        <w:ind w:firstLine="211" w:firstLineChars="100"/>
        <w:rPr>
          <w:b/>
          <w:bCs/>
          <w:color w:val="auto"/>
          <w:highlight w:val="none"/>
        </w:rPr>
      </w:pPr>
      <w:r>
        <w:rPr>
          <w:rFonts w:hint="eastAsia"/>
          <w:b/>
          <w:bCs/>
          <w:color w:val="auto"/>
          <w:highlight w:val="none"/>
        </w:rPr>
        <w:t>（四）采购方式</w:t>
      </w:r>
      <w:bookmarkEnd w:id="100"/>
      <w:bookmarkEnd w:id="101"/>
      <w:bookmarkEnd w:id="102"/>
      <w:bookmarkEnd w:id="103"/>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公开招标方式。</w:t>
      </w:r>
    </w:p>
    <w:p>
      <w:pPr>
        <w:spacing w:line="410" w:lineRule="exact"/>
        <w:ind w:firstLine="211" w:firstLineChars="100"/>
        <w:rPr>
          <w:b/>
          <w:bCs/>
          <w:color w:val="auto"/>
          <w:highlight w:val="none"/>
        </w:rPr>
      </w:pPr>
      <w:bookmarkStart w:id="105" w:name="_Toc254970530"/>
      <w:bookmarkStart w:id="106" w:name="_Toc352700410"/>
      <w:bookmarkStart w:id="107" w:name="_Toc353785281"/>
      <w:bookmarkStart w:id="108" w:name="_Toc254970671"/>
      <w:r>
        <w:rPr>
          <w:rFonts w:hint="eastAsia"/>
          <w:b/>
          <w:bCs/>
          <w:color w:val="auto"/>
          <w:highlight w:val="none"/>
        </w:rPr>
        <w:t>（五）投标委托</w:t>
      </w:r>
      <w:bookmarkEnd w:id="105"/>
      <w:bookmarkEnd w:id="106"/>
      <w:bookmarkEnd w:id="107"/>
      <w:bookmarkEnd w:id="108"/>
    </w:p>
    <w:p>
      <w:pPr>
        <w:pStyle w:val="26"/>
        <w:snapToGrid w:val="0"/>
        <w:spacing w:line="410" w:lineRule="exact"/>
        <w:ind w:firstLine="420"/>
        <w:rPr>
          <w:rFonts w:hAnsi="宋体"/>
          <w:bCs/>
          <w:color w:val="auto"/>
          <w:highlight w:val="none"/>
        </w:rPr>
      </w:pPr>
      <w:r>
        <w:rPr>
          <w:rFonts w:hint="eastAsia" w:hAnsi="宋体"/>
          <w:bCs/>
          <w:color w:val="auto"/>
          <w:highlight w:val="none"/>
        </w:rPr>
        <w:t>委托投标的投标人须提供授权委托书（格式见第六章）。</w:t>
      </w:r>
    </w:p>
    <w:p>
      <w:pPr>
        <w:spacing w:line="410" w:lineRule="exact"/>
        <w:ind w:firstLine="211" w:firstLineChars="100"/>
        <w:rPr>
          <w:b/>
          <w:bCs/>
          <w:color w:val="auto"/>
          <w:highlight w:val="none"/>
        </w:rPr>
      </w:pPr>
      <w:bookmarkStart w:id="109" w:name="_Toc353785282"/>
      <w:bookmarkStart w:id="110" w:name="_Toc254970531"/>
      <w:bookmarkStart w:id="111" w:name="_Toc352700411"/>
      <w:bookmarkStart w:id="112" w:name="_Toc254970672"/>
      <w:r>
        <w:rPr>
          <w:rFonts w:hint="eastAsia"/>
          <w:b/>
          <w:bCs/>
          <w:color w:val="auto"/>
          <w:highlight w:val="none"/>
        </w:rPr>
        <w:t>（六）投标费用</w:t>
      </w:r>
      <w:bookmarkEnd w:id="109"/>
      <w:bookmarkEnd w:id="110"/>
      <w:bookmarkEnd w:id="111"/>
      <w:bookmarkEnd w:id="112"/>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投标人自行承担所有与投标有关的全部费用。</w:t>
      </w:r>
    </w:p>
    <w:p>
      <w:pPr>
        <w:spacing w:line="410" w:lineRule="exact"/>
        <w:ind w:firstLine="211" w:firstLineChars="100"/>
        <w:rPr>
          <w:b/>
          <w:bCs/>
          <w:color w:val="auto"/>
          <w:highlight w:val="none"/>
        </w:rPr>
      </w:pPr>
      <w:bookmarkStart w:id="113" w:name="_Toc353785283"/>
      <w:bookmarkStart w:id="114" w:name="_Toc352700413"/>
      <w:r>
        <w:rPr>
          <w:rFonts w:hint="eastAsia"/>
          <w:b/>
          <w:bCs/>
          <w:color w:val="auto"/>
          <w:highlight w:val="none"/>
        </w:rPr>
        <w:t>（七）转包与分包</w:t>
      </w:r>
      <w:bookmarkEnd w:id="113"/>
      <w:bookmarkEnd w:id="114"/>
    </w:p>
    <w:p>
      <w:pPr>
        <w:snapToGrid w:val="0"/>
        <w:spacing w:line="410" w:lineRule="exact"/>
        <w:ind w:firstLine="42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10" w:lineRule="exact"/>
        <w:ind w:firstLine="42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采购人允许采用分包方式履行合同的，应当在采购文件中明确可以分包履行的具体内容、金额或者比例。采购合同分包履行的</w:t>
      </w:r>
      <w:r>
        <w:rPr>
          <w:rFonts w:hint="eastAsia" w:ascii="宋体" w:hAnsi="宋体"/>
          <w:color w:val="auto"/>
          <w:kern w:val="0"/>
          <w:szCs w:val="21"/>
          <w:highlight w:val="none"/>
        </w:rPr>
        <w:t>，中标人就采购项目和分包项目向采购人负责，分包供应商就分包项目承担责任。</w:t>
      </w:r>
    </w:p>
    <w:p>
      <w:pPr>
        <w:snapToGrid w:val="0"/>
        <w:spacing w:line="410" w:lineRule="exact"/>
        <w:ind w:firstLine="42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bookmarkEnd w:id="104"/>
    <w:p>
      <w:pPr>
        <w:spacing w:line="410" w:lineRule="exact"/>
        <w:ind w:firstLine="211" w:firstLineChars="100"/>
        <w:rPr>
          <w:rFonts w:hint="eastAsia"/>
          <w:b/>
          <w:bCs/>
          <w:color w:val="auto"/>
          <w:highlight w:val="none"/>
        </w:rPr>
      </w:pPr>
      <w:bookmarkStart w:id="115" w:name="_Toc254970673"/>
      <w:bookmarkStart w:id="116" w:name="_Toc254970532"/>
      <w:bookmarkStart w:id="117" w:name="_Toc352700414"/>
      <w:bookmarkStart w:id="118" w:name="_Toc353785284"/>
      <w:bookmarkStart w:id="119" w:name="_Hlk92444771"/>
      <w:r>
        <w:rPr>
          <w:rFonts w:hint="eastAsia"/>
          <w:b/>
          <w:bCs/>
          <w:color w:val="auto"/>
          <w:highlight w:val="none"/>
        </w:rPr>
        <w:t>（八）特别说明：</w:t>
      </w:r>
      <w:bookmarkEnd w:id="115"/>
      <w:bookmarkEnd w:id="116"/>
      <w:bookmarkEnd w:id="117"/>
      <w:bookmarkEnd w:id="118"/>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关联供应商不得参加同一合同项下政府采购活动，否则投标文件将被视为无效：</w:t>
      </w:r>
    </w:p>
    <w:p>
      <w:pPr>
        <w:pStyle w:val="2"/>
        <w:rPr>
          <w:color w:val="auto"/>
          <w:highlight w:val="none"/>
        </w:rPr>
      </w:pPr>
    </w:p>
    <w:p>
      <w:pPr>
        <w:spacing w:line="410" w:lineRule="exact"/>
        <w:ind w:firstLine="210" w:firstLineChars="100"/>
        <w:rPr>
          <w:rFonts w:hint="eastAsia" w:ascii="宋体" w:hAnsi="宋体"/>
          <w:color w:val="auto"/>
          <w:highlight w:val="none"/>
        </w:rPr>
      </w:pPr>
      <w:bookmarkStart w:id="120" w:name="_Toc352700415"/>
      <w:bookmarkStart w:id="121" w:name="_Toc254970533"/>
      <w:bookmarkStart w:id="122" w:name="_Toc254970674"/>
      <w:bookmarkStart w:id="123" w:name="_Toc353785285"/>
      <w:r>
        <w:rPr>
          <w:rFonts w:hint="eastAsia" w:ascii="宋体" w:hAnsi="宋体"/>
          <w:color w:val="auto"/>
          <w:highlight w:val="none"/>
        </w:rPr>
        <w:t>1.单位负责人为同一人或者存在直接控股、管理关系的不同的投标人，不得参加同一合同项下的政府采购活动。</w:t>
      </w:r>
    </w:p>
    <w:p>
      <w:pPr>
        <w:spacing w:line="410" w:lineRule="exact"/>
        <w:ind w:firstLine="210" w:firstLineChars="100"/>
        <w:rPr>
          <w:rFonts w:hint="eastAsia" w:ascii="宋体" w:hAnsi="宋体"/>
          <w:color w:val="auto"/>
          <w:highlight w:val="none"/>
        </w:rPr>
      </w:pPr>
      <w:r>
        <w:rPr>
          <w:rFonts w:hint="eastAsia" w:ascii="宋体" w:hAnsi="宋体"/>
          <w:color w:val="auto"/>
          <w:highlight w:val="none"/>
        </w:rPr>
        <w:t>2.为采购项目提供整体设计、规范编制或者项目管理、监理、检测等服务的投标人，不得再参加该采购项目的其他采购活动。</w:t>
      </w:r>
    </w:p>
    <w:p>
      <w:pPr>
        <w:spacing w:line="410" w:lineRule="exact"/>
        <w:ind w:firstLine="211" w:firstLineChars="100"/>
        <w:rPr>
          <w:b/>
          <w:bCs/>
          <w:color w:val="auto"/>
          <w:highlight w:val="none"/>
        </w:rPr>
      </w:pPr>
      <w:r>
        <w:rPr>
          <w:rFonts w:hint="eastAsia"/>
          <w:b/>
          <w:bCs/>
          <w:color w:val="auto"/>
          <w:highlight w:val="none"/>
        </w:rPr>
        <w:t>（九）询问、质疑和投诉</w:t>
      </w:r>
      <w:bookmarkEnd w:id="120"/>
      <w:bookmarkEnd w:id="121"/>
      <w:bookmarkEnd w:id="122"/>
      <w:bookmarkEnd w:id="123"/>
    </w:p>
    <w:p>
      <w:pPr>
        <w:pStyle w:val="26"/>
        <w:snapToGrid w:val="0"/>
        <w:spacing w:line="410" w:lineRule="exact"/>
        <w:ind w:firstLine="420"/>
        <w:rPr>
          <w:rFonts w:hAnsi="宋体"/>
          <w:bCs/>
          <w:color w:val="auto"/>
          <w:highlight w:val="none"/>
        </w:rPr>
      </w:pPr>
      <w:r>
        <w:rPr>
          <w:rFonts w:hAnsi="宋体"/>
          <w:bCs/>
          <w:color w:val="auto"/>
          <w:highlight w:val="none"/>
        </w:rPr>
        <w:t>1.</w:t>
      </w:r>
      <w:r>
        <w:rPr>
          <w:rFonts w:hint="eastAsia" w:ascii="Arial" w:hAnsi="Arial" w:cs="Arial"/>
          <w:color w:val="auto"/>
          <w:kern w:val="0"/>
          <w:highlight w:val="none"/>
        </w:rPr>
        <w:t>投标人</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或本中心当在3个工作日内对投标人依法提出的询问作出答复</w:t>
      </w:r>
      <w:r>
        <w:rPr>
          <w:rFonts w:ascii="Arial" w:hAnsi="Arial" w:cs="Arial"/>
          <w:color w:val="auto"/>
          <w:kern w:val="0"/>
          <w:highlight w:val="none"/>
        </w:rPr>
        <w:t>，但答复的内容不得涉及商业秘密。</w:t>
      </w:r>
    </w:p>
    <w:p>
      <w:pPr>
        <w:pStyle w:val="26"/>
        <w:snapToGrid w:val="0"/>
        <w:spacing w:line="41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投标人认为招标文件、招标过程或中标结果使自己的合法权益受到损害的，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向采购人、采购代理机构提出质疑。</w:t>
      </w:r>
      <w:r>
        <w:rPr>
          <w:rFonts w:hint="eastAsia" w:hAnsi="宋体"/>
          <w:bCs/>
          <w:color w:val="auto"/>
          <w:highlight w:val="none"/>
        </w:rPr>
        <w:t>投标人必须在法定质疑期内一次性提出针对同一采购程序环节的质疑。</w:t>
      </w:r>
      <w:r>
        <w:rPr>
          <w:rFonts w:hint="eastAsia" w:hAnsi="宋体" w:cs="宋体"/>
          <w:color w:val="auto"/>
          <w:highlight w:val="none"/>
        </w:rPr>
        <w:t>投标人应知其权益受到损害之日，是指：</w:t>
      </w:r>
    </w:p>
    <w:p>
      <w:pPr>
        <w:pStyle w:val="26"/>
        <w:adjustRightInd w:val="0"/>
        <w:snapToGrid w:val="0"/>
        <w:spacing w:line="410"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对招标文件提出质疑的，为获取招标文件之日；</w:t>
      </w:r>
    </w:p>
    <w:p>
      <w:pPr>
        <w:pStyle w:val="26"/>
        <w:adjustRightInd w:val="0"/>
        <w:snapToGrid w:val="0"/>
        <w:spacing w:line="410"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对招标过程提出质疑的，为各采购程序环节结束之日；</w:t>
      </w:r>
    </w:p>
    <w:p>
      <w:pPr>
        <w:widowControl/>
        <w:adjustRightInd w:val="0"/>
        <w:snapToGrid w:val="0"/>
        <w:spacing w:line="410" w:lineRule="exact"/>
        <w:ind w:firstLine="102" w:firstLineChars="49"/>
        <w:jc w:val="left"/>
        <w:rPr>
          <w:rFonts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对中标结果提出质疑的，为中标结果公告期限届满之日。</w:t>
      </w:r>
    </w:p>
    <w:p>
      <w:pPr>
        <w:widowControl/>
        <w:adjustRightInd w:val="0"/>
        <w:snapToGrid w:val="0"/>
        <w:spacing w:line="410" w:lineRule="exact"/>
        <w:ind w:firstLine="420"/>
        <w:jc w:val="left"/>
        <w:rPr>
          <w:rFonts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投标人对采购人、本中心质疑答复不满意或者采购人、本中心未在规定时间内作出答复的，可以在答复期满后十五个工作日内向同级采购监管部门投诉。</w:t>
      </w:r>
    </w:p>
    <w:p>
      <w:pPr>
        <w:pStyle w:val="26"/>
        <w:snapToGrid w:val="0"/>
        <w:spacing w:line="41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质疑、投诉不接受传真形式）</w:t>
      </w:r>
    </w:p>
    <w:p>
      <w:pPr>
        <w:spacing w:line="410"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10" w:lineRule="exact"/>
        <w:ind w:firstLine="420"/>
        <w:jc w:val="left"/>
        <w:rPr>
          <w:rFonts w:hint="eastAsia"/>
          <w:color w:val="auto"/>
          <w:highlight w:val="none"/>
        </w:rPr>
      </w:pPr>
      <w:r>
        <w:rPr>
          <w:rFonts w:hint="eastAsia"/>
          <w:color w:val="auto"/>
          <w:highlight w:val="none"/>
        </w:rPr>
        <w:t>采购监管部门联系方式：</w:t>
      </w:r>
      <w:r>
        <w:rPr>
          <w:rFonts w:hint="eastAsia"/>
          <w:color w:val="auto"/>
          <w:highlight w:val="none"/>
          <w:lang w:val="en-US" w:eastAsia="zh-CN"/>
        </w:rPr>
        <w:t>钦州市财政局      0777-2895258</w:t>
      </w:r>
    </w:p>
    <w:p>
      <w:pPr>
        <w:spacing w:line="410" w:lineRule="exact"/>
        <w:ind w:firstLine="211" w:firstLineChars="100"/>
        <w:rPr>
          <w:rFonts w:hAnsi="宋体"/>
          <w:color w:val="auto"/>
          <w:highlight w:val="none"/>
        </w:rPr>
      </w:pPr>
      <w:bookmarkStart w:id="124" w:name="_Hlk92793564"/>
      <w:r>
        <w:rPr>
          <w:rFonts w:hint="eastAsia"/>
          <w:b/>
          <w:bCs/>
          <w:color w:val="auto"/>
          <w:highlight w:val="none"/>
        </w:rPr>
        <w:t>（十）查询媒体</w:t>
      </w:r>
      <w:bookmarkEnd w:id="119"/>
      <w:bookmarkEnd w:id="124"/>
      <w:r>
        <w:rPr>
          <w:rFonts w:hint="eastAsia"/>
          <w:b/>
          <w:bCs/>
          <w:color w:val="auto"/>
          <w:highlight w:val="none"/>
        </w:rPr>
        <w:t>:</w:t>
      </w:r>
      <w:r>
        <w:rPr>
          <w:rFonts w:hAnsi="宋体"/>
          <w:color w:val="auto"/>
          <w:highlight w:val="none"/>
        </w:rPr>
        <w:fldChar w:fldCharType="begin"/>
      </w:r>
      <w:r>
        <w:rPr>
          <w:rFonts w:hAnsi="宋体"/>
          <w:color w:val="auto"/>
          <w:highlight w:val="none"/>
        </w:rPr>
        <w:instrText xml:space="preserve">HYPERLINK "http://www.ccgp.gov.cn/"</w:instrText>
      </w:r>
      <w:r>
        <w:rPr>
          <w:rFonts w:hAnsi="宋体"/>
          <w:color w:val="auto"/>
          <w:highlight w:val="none"/>
        </w:rPr>
        <w:fldChar w:fldCharType="separate"/>
      </w:r>
      <w:r>
        <w:rPr>
          <w:rStyle w:val="57"/>
          <w:rFonts w:hint="eastAsia" w:hAnsi="宋体"/>
          <w:color w:val="auto"/>
          <w:highlight w:val="none"/>
          <w:u w:val="none"/>
        </w:rPr>
        <w:t>中国政府采购网</w:t>
      </w:r>
      <w:r>
        <w:rPr>
          <w:rFonts w:hAnsi="宋体"/>
          <w:color w:val="auto"/>
          <w:highlight w:val="none"/>
        </w:rPr>
        <w:fldChar w:fldCharType="end"/>
      </w:r>
      <w:r>
        <w:rPr>
          <w:rFonts w:hint="eastAsia" w:hAnsi="宋体"/>
          <w:color w:val="auto"/>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olor w:val="auto"/>
          <w:highlight w:val="none"/>
        </w:rPr>
        <w:t>广西政府采购网</w:t>
      </w:r>
      <w:r>
        <w:rPr>
          <w:rFonts w:hAnsi="宋体"/>
          <w:color w:val="auto"/>
          <w:highlight w:val="none"/>
        </w:rPr>
        <w:fldChar w:fldCharType="end"/>
      </w:r>
      <w:r>
        <w:rPr>
          <w:rFonts w:hint="eastAsia" w:hAnsi="宋体"/>
          <w:color w:val="auto"/>
          <w:highlight w:val="none"/>
        </w:rPr>
        <w:t>。</w:t>
      </w:r>
    </w:p>
    <w:p>
      <w:pPr>
        <w:spacing w:line="410" w:lineRule="exact"/>
        <w:ind w:firstLine="211" w:firstLineChars="100"/>
        <w:rPr>
          <w:rFonts w:hint="eastAsia"/>
          <w:b/>
          <w:bCs/>
          <w:color w:val="auto"/>
          <w:highlight w:val="none"/>
        </w:rPr>
      </w:pPr>
    </w:p>
    <w:p>
      <w:pPr>
        <w:pStyle w:val="5"/>
        <w:spacing w:before="0" w:after="0" w:line="410" w:lineRule="exact"/>
        <w:ind w:firstLine="0" w:firstLineChars="0"/>
        <w:rPr>
          <w:rFonts w:ascii="方正小标宋_GBK" w:eastAsia="方正小标宋_GBK"/>
          <w:color w:val="auto"/>
          <w:sz w:val="24"/>
          <w:szCs w:val="24"/>
          <w:highlight w:val="none"/>
        </w:rPr>
      </w:pPr>
      <w:bookmarkStart w:id="125" w:name="_Toc353785286"/>
      <w:bookmarkStart w:id="126" w:name="_Toc352700416"/>
      <w:r>
        <w:rPr>
          <w:rFonts w:hint="eastAsia" w:ascii="方正小标宋_GBK" w:eastAsia="方正小标宋_GBK"/>
          <w:color w:val="auto"/>
          <w:sz w:val="24"/>
          <w:szCs w:val="24"/>
          <w:highlight w:val="none"/>
        </w:rPr>
        <w:t>二、招标文件</w:t>
      </w:r>
      <w:bookmarkEnd w:id="125"/>
      <w:bookmarkEnd w:id="126"/>
    </w:p>
    <w:p>
      <w:pPr>
        <w:spacing w:line="410" w:lineRule="exact"/>
        <w:ind w:firstLine="211" w:firstLineChars="100"/>
        <w:rPr>
          <w:b/>
          <w:bCs/>
          <w:color w:val="auto"/>
          <w:highlight w:val="none"/>
        </w:rPr>
      </w:pPr>
      <w:bookmarkStart w:id="127" w:name="_Toc352700417"/>
      <w:bookmarkStart w:id="128" w:name="_Toc353785287"/>
      <w:r>
        <w:rPr>
          <w:rFonts w:hint="eastAsia"/>
          <w:b/>
          <w:bCs/>
          <w:color w:val="auto"/>
          <w:highlight w:val="none"/>
        </w:rPr>
        <w:t>（一）招标文件的组成</w:t>
      </w:r>
      <w:bookmarkEnd w:id="127"/>
      <w:bookmarkEnd w:id="128"/>
    </w:p>
    <w:p>
      <w:pPr>
        <w:pStyle w:val="26"/>
        <w:snapToGrid w:val="0"/>
        <w:spacing w:line="410" w:lineRule="exact"/>
        <w:ind w:firstLine="420"/>
        <w:rPr>
          <w:rFonts w:hAnsi="宋体"/>
          <w:color w:val="auto"/>
          <w:highlight w:val="none"/>
        </w:rPr>
      </w:pPr>
      <w:r>
        <w:rPr>
          <w:rFonts w:hint="eastAsia" w:hAnsi="宋体"/>
          <w:color w:val="auto"/>
          <w:highlight w:val="none"/>
        </w:rPr>
        <w:t>第一章 招标公告</w:t>
      </w:r>
    </w:p>
    <w:p>
      <w:pPr>
        <w:pStyle w:val="26"/>
        <w:snapToGrid w:val="0"/>
        <w:spacing w:line="410" w:lineRule="exact"/>
        <w:ind w:firstLine="420"/>
        <w:rPr>
          <w:rFonts w:hAnsi="宋体"/>
          <w:color w:val="auto"/>
          <w:highlight w:val="none"/>
        </w:rPr>
      </w:pPr>
      <w:r>
        <w:rPr>
          <w:rFonts w:hint="eastAsia" w:hAnsi="宋体"/>
          <w:color w:val="auto"/>
          <w:highlight w:val="none"/>
        </w:rPr>
        <w:t>第二章 项目需求</w:t>
      </w:r>
    </w:p>
    <w:p>
      <w:pPr>
        <w:pStyle w:val="26"/>
        <w:snapToGrid w:val="0"/>
        <w:spacing w:line="410" w:lineRule="exact"/>
        <w:ind w:firstLine="420"/>
        <w:rPr>
          <w:rFonts w:hAnsi="宋体"/>
          <w:color w:val="auto"/>
          <w:highlight w:val="none"/>
        </w:rPr>
      </w:pPr>
      <w:r>
        <w:rPr>
          <w:rFonts w:hint="eastAsia" w:hAnsi="宋体"/>
          <w:color w:val="auto"/>
          <w:highlight w:val="none"/>
        </w:rPr>
        <w:t>第三章 投标人须知及前附表</w:t>
      </w:r>
    </w:p>
    <w:p>
      <w:pPr>
        <w:pStyle w:val="26"/>
        <w:snapToGrid w:val="0"/>
        <w:spacing w:line="410" w:lineRule="exact"/>
        <w:ind w:firstLine="420"/>
        <w:rPr>
          <w:rFonts w:hAnsi="宋体"/>
          <w:color w:val="auto"/>
          <w:highlight w:val="none"/>
        </w:rPr>
      </w:pPr>
      <w:r>
        <w:rPr>
          <w:rFonts w:hint="eastAsia" w:hAnsi="宋体"/>
          <w:color w:val="auto"/>
          <w:highlight w:val="none"/>
        </w:rPr>
        <w:t>第四章 评定标准及推荐原则</w:t>
      </w:r>
    </w:p>
    <w:p>
      <w:pPr>
        <w:pStyle w:val="26"/>
        <w:snapToGrid w:val="0"/>
        <w:spacing w:line="410" w:lineRule="exact"/>
        <w:ind w:firstLine="420"/>
        <w:rPr>
          <w:rFonts w:hAnsi="宋体"/>
          <w:color w:val="auto"/>
          <w:highlight w:val="none"/>
        </w:rPr>
      </w:pPr>
      <w:r>
        <w:rPr>
          <w:rFonts w:hint="eastAsia" w:hAnsi="宋体"/>
          <w:color w:val="auto"/>
          <w:highlight w:val="none"/>
        </w:rPr>
        <w:t>第五章 政府采购合同主要条款</w:t>
      </w:r>
    </w:p>
    <w:p>
      <w:pPr>
        <w:pStyle w:val="26"/>
        <w:snapToGrid w:val="0"/>
        <w:spacing w:line="410" w:lineRule="exact"/>
        <w:ind w:firstLine="420"/>
        <w:rPr>
          <w:rFonts w:hAnsi="宋体"/>
          <w:color w:val="auto"/>
          <w:highlight w:val="none"/>
        </w:rPr>
      </w:pPr>
      <w:r>
        <w:rPr>
          <w:rFonts w:hint="eastAsia" w:hAnsi="宋体"/>
          <w:color w:val="auto"/>
          <w:highlight w:val="none"/>
        </w:rPr>
        <w:t>第六章 投标文件格式</w:t>
      </w:r>
    </w:p>
    <w:p>
      <w:pPr>
        <w:spacing w:line="410" w:lineRule="exact"/>
        <w:ind w:firstLine="211" w:firstLineChars="100"/>
        <w:rPr>
          <w:b/>
          <w:bCs/>
          <w:color w:val="auto"/>
          <w:highlight w:val="none"/>
        </w:rPr>
      </w:pPr>
      <w:bookmarkStart w:id="129" w:name="_Toc353785289"/>
      <w:bookmarkStart w:id="130" w:name="_Toc352700419"/>
      <w:r>
        <w:rPr>
          <w:rFonts w:hint="eastAsia"/>
          <w:b/>
          <w:bCs/>
          <w:color w:val="auto"/>
          <w:highlight w:val="none"/>
        </w:rPr>
        <w:t>（二）招标文件的澄清与修改</w:t>
      </w:r>
      <w:bookmarkEnd w:id="129"/>
      <w:bookmarkEnd w:id="130"/>
    </w:p>
    <w:p>
      <w:pPr>
        <w:pStyle w:val="26"/>
        <w:snapToGrid w:val="0"/>
        <w:spacing w:line="410" w:lineRule="exact"/>
        <w:ind w:firstLine="420"/>
        <w:jc w:val="left"/>
        <w:rPr>
          <w:color w:val="auto"/>
          <w:highlight w:val="none"/>
        </w:rPr>
      </w:pPr>
      <w:r>
        <w:rPr>
          <w:rFonts w:hAnsi="宋体"/>
          <w:color w:val="auto"/>
          <w:highlight w:val="none"/>
        </w:rPr>
        <w:t>1.</w:t>
      </w:r>
      <w:r>
        <w:rPr>
          <w:color w:val="auto"/>
          <w:highlight w:val="none"/>
        </w:rPr>
        <w:t>采购人</w:t>
      </w:r>
      <w:r>
        <w:rPr>
          <w:rFonts w:hint="eastAsia"/>
          <w:color w:val="auto"/>
          <w:highlight w:val="none"/>
        </w:rPr>
        <w:t>或者本中心</w:t>
      </w:r>
      <w:r>
        <w:rPr>
          <w:color w:val="auto"/>
          <w:highlight w:val="none"/>
        </w:rPr>
        <w:t>可以对已发出的招标文件进行必要的</w:t>
      </w:r>
      <w:bookmarkStart w:id="131" w:name="_Hlk92287343"/>
      <w:r>
        <w:rPr>
          <w:color w:val="auto"/>
          <w:highlight w:val="none"/>
        </w:rPr>
        <w:t>澄清或者修改</w:t>
      </w:r>
      <w:bookmarkEnd w:id="131"/>
      <w:r>
        <w:rPr>
          <w:color w:val="auto"/>
          <w:highlight w:val="none"/>
        </w:rPr>
        <w:t>，但不得改变采购标的和资格条件。澄清或者修改应当在原公告发布媒体上发布澄清公告。澄清或者修改的内容为招标文件的组成部分。</w:t>
      </w:r>
    </w:p>
    <w:p>
      <w:pPr>
        <w:pStyle w:val="26"/>
        <w:snapToGrid w:val="0"/>
        <w:spacing w:line="410" w:lineRule="exact"/>
        <w:ind w:firstLine="420"/>
        <w:jc w:val="left"/>
        <w:rPr>
          <w:rFonts w:hAnsi="宋体"/>
          <w:color w:val="auto"/>
          <w:highlight w:val="none"/>
        </w:rPr>
      </w:pPr>
      <w:r>
        <w:rPr>
          <w:rFonts w:hAnsi="宋体"/>
          <w:color w:val="auto"/>
          <w:highlight w:val="none"/>
        </w:rPr>
        <w:t>2.澄清或者修改的内容可能影响投标文件编制的，采购人或者采购代理机构应当在投标截止时间至少15日前，以</w:t>
      </w:r>
      <w:r>
        <w:rPr>
          <w:rFonts w:hint="eastAsia" w:hAnsi="宋体"/>
          <w:color w:val="auto"/>
          <w:highlight w:val="none"/>
        </w:rPr>
        <w:t>书面形式</w:t>
      </w:r>
      <w:r>
        <w:rPr>
          <w:rFonts w:hAnsi="宋体"/>
          <w:color w:val="auto"/>
          <w:highlight w:val="none"/>
        </w:rPr>
        <w:t>通知所有</w:t>
      </w:r>
      <w:r>
        <w:rPr>
          <w:rFonts w:hint="eastAsia" w:hAnsi="宋体"/>
          <w:color w:val="auto"/>
          <w:highlight w:val="none"/>
        </w:rPr>
        <w:t>依法</w:t>
      </w:r>
      <w:r>
        <w:rPr>
          <w:rFonts w:hAnsi="宋体"/>
          <w:color w:val="auto"/>
          <w:highlight w:val="none"/>
        </w:rPr>
        <w:t>获取招标文件的潜在投标人；不足15日的，采购人或者采购代理机构应当顺延提交投标文件的截止时间。</w:t>
      </w:r>
    </w:p>
    <w:p>
      <w:pPr>
        <w:pStyle w:val="26"/>
        <w:snapToGrid w:val="0"/>
        <w:spacing w:line="410" w:lineRule="exact"/>
        <w:ind w:firstLine="420"/>
        <w:jc w:val="left"/>
        <w:rPr>
          <w:rFonts w:hint="eastAsia" w:ascii="Arial" w:hAnsi="Arial" w:cs="Arial"/>
          <w:color w:val="auto"/>
          <w:highlight w:val="none"/>
        </w:rPr>
      </w:pPr>
      <w:bookmarkStart w:id="132" w:name="_Hlk92446337"/>
      <w:r>
        <w:rPr>
          <w:rFonts w:hAnsi="宋体"/>
          <w:color w:val="auto"/>
          <w:highlight w:val="none"/>
        </w:rPr>
        <w:t>3.</w:t>
      </w:r>
      <w:r>
        <w:rPr>
          <w:rFonts w:ascii="Arial" w:hAnsi="Arial" w:cs="Arial"/>
          <w:color w:val="auto"/>
          <w:highlight w:val="none"/>
        </w:rPr>
        <w:t>提供期限届满后，获取招标文件的潜在投标人不足3家的，</w:t>
      </w:r>
      <w:r>
        <w:rPr>
          <w:rFonts w:hint="eastAsia" w:ascii="Arial" w:hAnsi="Arial" w:cs="Arial"/>
          <w:color w:val="auto"/>
          <w:highlight w:val="none"/>
        </w:rPr>
        <w:t>本中心</w:t>
      </w:r>
      <w:r>
        <w:rPr>
          <w:rFonts w:ascii="Arial" w:hAnsi="Arial" w:cs="Arial"/>
          <w:color w:val="auto"/>
          <w:highlight w:val="none"/>
        </w:rPr>
        <w:t>可以顺延提供期限，并予公告。</w:t>
      </w:r>
    </w:p>
    <w:bookmarkEnd w:id="132"/>
    <w:p>
      <w:pPr>
        <w:pStyle w:val="5"/>
        <w:spacing w:before="0" w:after="0" w:line="410" w:lineRule="exact"/>
        <w:ind w:firstLine="0" w:firstLineChars="0"/>
        <w:rPr>
          <w:rFonts w:ascii="方正小标宋_GBK" w:eastAsia="方正小标宋_GBK"/>
          <w:b w:val="0"/>
          <w:color w:val="auto"/>
          <w:sz w:val="24"/>
          <w:szCs w:val="24"/>
          <w:highlight w:val="none"/>
        </w:rPr>
      </w:pPr>
      <w:bookmarkStart w:id="133" w:name="_三、投标文件"/>
      <w:bookmarkEnd w:id="133"/>
      <w:bookmarkStart w:id="134" w:name="_Toc353785290"/>
      <w:bookmarkStart w:id="135" w:name="_Toc254970535"/>
      <w:bookmarkStart w:id="136" w:name="_Toc254970676"/>
      <w:bookmarkStart w:id="137" w:name="_Toc352700420"/>
      <w:r>
        <w:rPr>
          <w:rFonts w:hint="eastAsia" w:ascii="方正小标宋_GBK" w:eastAsia="方正小标宋_GBK"/>
          <w:b w:val="0"/>
          <w:color w:val="auto"/>
          <w:sz w:val="24"/>
          <w:szCs w:val="24"/>
          <w:highlight w:val="none"/>
        </w:rPr>
        <w:t>三、</w:t>
      </w:r>
      <w:bookmarkStart w:id="138" w:name="_Hlk92446512"/>
      <w:r>
        <w:rPr>
          <w:rFonts w:hint="eastAsia" w:ascii="方正小标宋_GBK" w:eastAsia="方正小标宋_GBK"/>
          <w:b w:val="0"/>
          <w:color w:val="auto"/>
          <w:sz w:val="24"/>
          <w:szCs w:val="24"/>
          <w:highlight w:val="none"/>
        </w:rPr>
        <w:t>投标文件</w:t>
      </w:r>
      <w:bookmarkEnd w:id="134"/>
      <w:bookmarkEnd w:id="135"/>
      <w:bookmarkEnd w:id="136"/>
      <w:bookmarkEnd w:id="137"/>
    </w:p>
    <w:p>
      <w:pPr>
        <w:spacing w:line="410" w:lineRule="exact"/>
        <w:ind w:firstLine="211" w:firstLineChars="100"/>
        <w:rPr>
          <w:rFonts w:hint="eastAsia" w:hAnsi="宋体"/>
          <w:b/>
          <w:bCs/>
          <w:color w:val="auto"/>
          <w:highlight w:val="none"/>
        </w:rPr>
      </w:pPr>
      <w:bookmarkStart w:id="139" w:name="_Toc254970536"/>
      <w:bookmarkStart w:id="140" w:name="_Toc254970677"/>
      <w:bookmarkStart w:id="141" w:name="_Toc353785291"/>
      <w:bookmarkStart w:id="142" w:name="_Toc352700421"/>
      <w:r>
        <w:rPr>
          <w:rFonts w:hint="eastAsia" w:hAnsi="宋体"/>
          <w:b/>
          <w:bCs/>
          <w:color w:val="auto"/>
          <w:highlight w:val="none"/>
        </w:rPr>
        <w:t>（一）投标人的风险</w:t>
      </w:r>
    </w:p>
    <w:p>
      <w:pPr>
        <w:spacing w:line="410" w:lineRule="exact"/>
        <w:ind w:firstLine="420"/>
        <w:rPr>
          <w:rFonts w:hAnsi="宋体"/>
          <w:color w:val="auto"/>
          <w:highlight w:val="none"/>
        </w:rPr>
      </w:pPr>
      <w:r>
        <w:rPr>
          <w:rFonts w:hAnsi="宋体"/>
          <w:color w:val="auto"/>
          <w:highlight w:val="none"/>
        </w:rPr>
        <w:t>1.</w:t>
      </w:r>
      <w:r>
        <w:rPr>
          <w:rFonts w:hint="eastAsia" w:hAnsi="宋体"/>
          <w:color w:val="auto"/>
          <w:highlight w:val="none"/>
        </w:rPr>
        <w:t>投标人应仔细阅读招标文件的全部内容，按照招标文件的要求提交投标文件，并对所提供的全部资料的真实性承担法律责任。</w:t>
      </w:r>
    </w:p>
    <w:p>
      <w:pPr>
        <w:spacing w:line="410"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投标人在投标活动中提供任何虚假材料的，评标委员会将报财政部门查处。</w:t>
      </w:r>
    </w:p>
    <w:bookmarkEnd w:id="138"/>
    <w:p>
      <w:pPr>
        <w:snapToGrid w:val="0"/>
        <w:spacing w:line="410" w:lineRule="exact"/>
        <w:ind w:firstLine="211" w:firstLineChars="100"/>
        <w:rPr>
          <w:rFonts w:ascii="宋体" w:hAnsi="宋体"/>
          <w:b/>
          <w:color w:val="auto"/>
          <w:szCs w:val="21"/>
          <w:highlight w:val="none"/>
        </w:rPr>
      </w:pPr>
      <w:bookmarkStart w:id="143" w:name="_Hlk92446638"/>
      <w:r>
        <w:rPr>
          <w:rFonts w:hint="eastAsia" w:hAnsi="宋体"/>
          <w:b/>
          <w:bCs/>
          <w:color w:val="auto"/>
          <w:highlight w:val="none"/>
        </w:rPr>
        <w:t>（二）</w:t>
      </w:r>
      <w:r>
        <w:rPr>
          <w:rFonts w:hint="eastAsia" w:ascii="宋体" w:hAnsi="宋体"/>
          <w:b/>
          <w:color w:val="auto"/>
          <w:szCs w:val="21"/>
          <w:highlight w:val="none"/>
        </w:rPr>
        <w:t>投标文件的组成</w:t>
      </w:r>
    </w:p>
    <w:p>
      <w:pPr>
        <w:snapToGrid w:val="0"/>
        <w:spacing w:line="410" w:lineRule="exact"/>
        <w:ind w:firstLine="422"/>
        <w:rPr>
          <w:rFonts w:hint="eastAsia" w:ascii="宋体" w:hAnsi="宋体"/>
          <w:b/>
          <w:color w:val="auto"/>
          <w:szCs w:val="21"/>
          <w:highlight w:val="none"/>
        </w:rPr>
      </w:pPr>
      <w:bookmarkStart w:id="144"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10"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145"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145"/>
    <w:p>
      <w:pPr>
        <w:tabs>
          <w:tab w:val="left" w:pos="3870"/>
          <w:tab w:val="left" w:pos="4085"/>
        </w:tabs>
        <w:snapToGrid w:val="0"/>
        <w:spacing w:line="410" w:lineRule="exact"/>
        <w:ind w:firstLine="420"/>
        <w:rPr>
          <w:rFonts w:hAnsi="宋体"/>
          <w:color w:val="auto"/>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投标人具备参加政府采购活动条件的承诺书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pPr>
        <w:tabs>
          <w:tab w:val="left" w:pos="3870"/>
          <w:tab w:val="left" w:pos="4085"/>
        </w:tabs>
        <w:snapToGrid w:val="0"/>
        <w:spacing w:line="410" w:lineRule="exact"/>
        <w:ind w:firstLine="420"/>
        <w:rPr>
          <w:rFonts w:hAnsi="宋体"/>
          <w:color w:val="auto"/>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highlight w:val="none"/>
        </w:rPr>
        <w:t>参加政府采购活动前3年内在经营活动中没有重大违法记录的书面声明(格式见第六章)</w:t>
      </w:r>
    </w:p>
    <w:p>
      <w:pPr>
        <w:snapToGrid w:val="0"/>
        <w:spacing w:line="410" w:lineRule="exact"/>
        <w:ind w:firstLine="422"/>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snapToGrid w:val="0"/>
        <w:spacing w:line="410" w:lineRule="exact"/>
        <w:ind w:firstLine="422"/>
        <w:rPr>
          <w:rFonts w:hint="eastAsia" w:ascii="宋体" w:hAnsi="宋体"/>
          <w:color w:val="auto"/>
          <w:szCs w:val="21"/>
          <w:highlight w:val="none"/>
        </w:rPr>
      </w:pPr>
      <w:r>
        <w:rPr>
          <w:rFonts w:ascii="宋体" w:hAnsi="宋体"/>
          <w:b/>
          <w:color w:val="auto"/>
          <w:szCs w:val="21"/>
          <w:highlight w:val="none"/>
        </w:rPr>
        <w:t xml:space="preserve"> </w:t>
      </w:r>
      <w:r>
        <w:rPr>
          <w:rFonts w:ascii="宋体" w:hAnsi="宋体"/>
          <w:color w:val="auto"/>
          <w:szCs w:val="21"/>
          <w:highlight w:val="none"/>
        </w:rPr>
        <w:t xml:space="preserve"> (1)</w:t>
      </w:r>
      <w:bookmarkStart w:id="146" w:name="_Hlk97803518"/>
      <w:r>
        <w:rPr>
          <w:rFonts w:hint="eastAsia" w:ascii="宋体" w:hAnsi="宋体"/>
          <w:color w:val="auto"/>
          <w:szCs w:val="21"/>
          <w:highlight w:val="none"/>
        </w:rPr>
        <w:t>投标保证金票据或转账凭证(户名、账号及开户行等信息清晰可辨）</w:t>
      </w:r>
      <w:bookmarkEnd w:id="146"/>
    </w:p>
    <w:p>
      <w:pPr>
        <w:tabs>
          <w:tab w:val="left" w:pos="3870"/>
          <w:tab w:val="left" w:pos="4085"/>
        </w:tabs>
        <w:snapToGrid w:val="0"/>
        <w:spacing w:line="410"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投标函（格式见第六章）</w:t>
      </w:r>
    </w:p>
    <w:p>
      <w:pPr>
        <w:tabs>
          <w:tab w:val="left" w:pos="3870"/>
          <w:tab w:val="left" w:pos="4085"/>
        </w:tabs>
        <w:snapToGrid w:val="0"/>
        <w:spacing w:line="410" w:lineRule="exact"/>
        <w:ind w:firstLine="42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法定代表人身份证</w:t>
      </w:r>
    </w:p>
    <w:p>
      <w:pPr>
        <w:snapToGrid w:val="0"/>
        <w:spacing w:line="410" w:lineRule="exact"/>
        <w:ind w:firstLine="417" w:firstLineChars="199"/>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法定代表人授权委托书和代理人身份证（委托代理时必须提供，格式见第六章）</w:t>
      </w:r>
    </w:p>
    <w:p>
      <w:pPr>
        <w:snapToGrid w:val="0"/>
        <w:spacing w:line="410" w:lineRule="exact"/>
        <w:ind w:firstLine="420" w:firstLineChars="199"/>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ascii="宋体" w:hAnsi="宋体"/>
          <w:color w:val="auto"/>
          <w:highlight w:val="none"/>
        </w:rPr>
        <w:t>商务响应表(格式见第六章)</w:t>
      </w:r>
    </w:p>
    <w:p>
      <w:pPr>
        <w:snapToGrid w:val="0"/>
        <w:spacing w:line="410" w:lineRule="exact"/>
        <w:ind w:firstLine="420" w:firstLineChars="199"/>
        <w:rPr>
          <w:rFonts w:ascii="宋体" w:hAnsi="宋体"/>
          <w:color w:val="auto"/>
          <w:highlight w:val="none"/>
        </w:rPr>
      </w:pPr>
      <w:r>
        <w:rPr>
          <w:rFonts w:hint="eastAsia" w:ascii="宋体" w:hAnsi="宋体"/>
          <w:b/>
          <w:color w:val="auto"/>
          <w:szCs w:val="21"/>
          <w:highlight w:val="none"/>
        </w:rPr>
        <w:t>★</w:t>
      </w:r>
      <w:r>
        <w:rPr>
          <w:rFonts w:hint="eastAsia" w:ascii="宋体" w:hAnsi="宋体"/>
          <w:color w:val="auto"/>
          <w:highlight w:val="none"/>
        </w:rPr>
        <w:t>(</w:t>
      </w:r>
      <w:r>
        <w:rPr>
          <w:rFonts w:ascii="宋体" w:hAnsi="宋体"/>
          <w:color w:val="auto"/>
          <w:highlight w:val="none"/>
        </w:rPr>
        <w:t>6)</w:t>
      </w:r>
      <w:r>
        <w:rPr>
          <w:rFonts w:hint="eastAsia" w:ascii="宋体" w:hAnsi="宋体"/>
          <w:color w:val="auto"/>
          <w:szCs w:val="21"/>
          <w:highlight w:val="none"/>
        </w:rPr>
        <w:t>技术响应表</w:t>
      </w:r>
      <w:bookmarkStart w:id="147" w:name="_Hlk92285954"/>
      <w:r>
        <w:rPr>
          <w:rFonts w:ascii="宋体" w:hAnsi="宋体"/>
          <w:color w:val="auto"/>
          <w:highlight w:val="none"/>
        </w:rPr>
        <w:t>(格式见第六章)</w:t>
      </w:r>
      <w:bookmarkEnd w:id="147"/>
    </w:p>
    <w:p>
      <w:pPr>
        <w:snapToGrid w:val="0"/>
        <w:spacing w:line="410" w:lineRule="exact"/>
        <w:ind w:firstLine="420" w:firstLineChars="199"/>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《项目需求》中要求必须提供的材料</w:t>
      </w:r>
    </w:p>
    <w:p>
      <w:pPr>
        <w:snapToGrid w:val="0"/>
        <w:spacing w:line="410" w:lineRule="exact"/>
        <w:ind w:firstLine="627" w:firstLineChars="299"/>
        <w:rPr>
          <w:rFonts w:ascii="宋体" w:hAnsi="宋体"/>
          <w:color w:val="auto"/>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highlight w:val="none"/>
        </w:rPr>
        <w:t>项目实施</w:t>
      </w:r>
      <w:r>
        <w:rPr>
          <w:rFonts w:hint="eastAsia" w:ascii="宋体" w:hAnsi="宋体" w:cs="宋体"/>
          <w:color w:val="auto"/>
          <w:szCs w:val="21"/>
          <w:highlight w:val="none"/>
        </w:rPr>
        <w:t>方案</w:t>
      </w:r>
      <w:r>
        <w:rPr>
          <w:rFonts w:hint="eastAsia" w:ascii="宋体" w:hAnsi="宋体"/>
          <w:color w:val="auto"/>
          <w:highlight w:val="none"/>
        </w:rPr>
        <w:t>（</w:t>
      </w:r>
      <w:r>
        <w:rPr>
          <w:rFonts w:hint="eastAsia" w:ascii="宋体" w:cs="宋体"/>
          <w:color w:val="auto"/>
          <w:kern w:val="0"/>
          <w:szCs w:val="21"/>
          <w:highlight w:val="none"/>
        </w:rPr>
        <w:t>根据项目需求及《评定标准及推荐原则》的要求提供，格式自拟</w:t>
      </w:r>
      <w:r>
        <w:rPr>
          <w:rFonts w:hint="eastAsia" w:ascii="宋体" w:hAnsi="宋体"/>
          <w:color w:val="auto"/>
          <w:highlight w:val="none"/>
        </w:rPr>
        <w:t>）</w:t>
      </w:r>
    </w:p>
    <w:p>
      <w:pPr>
        <w:snapToGrid w:val="0"/>
        <w:spacing w:line="410" w:lineRule="exact"/>
        <w:ind w:firstLine="627" w:firstLineChars="299"/>
        <w:rPr>
          <w:rFonts w:ascii="宋体" w:hAnsi="宋体"/>
          <w:color w:val="auto"/>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highlight w:val="none"/>
        </w:rPr>
        <w:t>售后服务</w:t>
      </w:r>
      <w:r>
        <w:rPr>
          <w:rFonts w:hint="eastAsia" w:ascii="宋体" w:hAnsi="宋体" w:cs="宋体"/>
          <w:color w:val="auto"/>
          <w:szCs w:val="21"/>
          <w:highlight w:val="none"/>
        </w:rPr>
        <w:t>方案</w:t>
      </w:r>
      <w:r>
        <w:rPr>
          <w:rFonts w:hint="eastAsia" w:ascii="宋体" w:hAnsi="宋体"/>
          <w:color w:val="auto"/>
          <w:highlight w:val="none"/>
        </w:rPr>
        <w:t>（</w:t>
      </w:r>
      <w:r>
        <w:rPr>
          <w:rFonts w:hint="eastAsia" w:ascii="宋体" w:cs="宋体"/>
          <w:color w:val="auto"/>
          <w:kern w:val="0"/>
          <w:szCs w:val="21"/>
          <w:highlight w:val="none"/>
        </w:rPr>
        <w:t>根据项目需求及《评定标准及推荐原则》的要求提供，格式自拟</w:t>
      </w:r>
      <w:r>
        <w:rPr>
          <w:rFonts w:hint="eastAsia" w:ascii="宋体" w:hAnsi="宋体"/>
          <w:color w:val="auto"/>
          <w:highlight w:val="none"/>
        </w:rPr>
        <w:t>）</w:t>
      </w:r>
    </w:p>
    <w:p>
      <w:pPr>
        <w:spacing w:line="410" w:lineRule="exact"/>
        <w:ind w:firstLine="630" w:firstLineChars="3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投标人/产品生产厂家具备相关管理体系认证的证明材料</w:t>
      </w:r>
    </w:p>
    <w:p>
      <w:pPr>
        <w:spacing w:line="410" w:lineRule="exact"/>
        <w:ind w:firstLine="630" w:firstLineChars="300"/>
        <w:rPr>
          <w:rFonts w:hint="eastAsia" w:ascii="宋体" w:hAnsi="宋体"/>
          <w:color w:val="auto"/>
          <w:szCs w:val="21"/>
          <w:highlight w:val="none"/>
        </w:rPr>
      </w:pPr>
      <w:r>
        <w:rPr>
          <w:rFonts w:hint="eastAsia" w:ascii="宋体" w:hAnsi="宋体"/>
          <w:color w:val="auto"/>
          <w:szCs w:val="21"/>
          <w:highlight w:val="none"/>
        </w:rPr>
        <w:t>(11)投标人自2020年以来获得相关行政部门颁发的荣誉或奖项的证明材料</w:t>
      </w:r>
    </w:p>
    <w:p>
      <w:pPr>
        <w:spacing w:line="410" w:lineRule="exact"/>
        <w:ind w:firstLine="630" w:firstLineChars="3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投标人自202</w:t>
      </w:r>
      <w:r>
        <w:rPr>
          <w:rFonts w:hint="eastAsia" w:ascii="宋体" w:hAnsi="宋体"/>
          <w:color w:val="auto"/>
          <w:szCs w:val="21"/>
          <w:highlight w:val="none"/>
          <w:lang w:val="en-US" w:eastAsia="zh-CN"/>
        </w:rPr>
        <w:t>1</w:t>
      </w:r>
      <w:r>
        <w:rPr>
          <w:rFonts w:hint="eastAsia" w:ascii="宋体" w:hAnsi="宋体"/>
          <w:color w:val="auto"/>
          <w:szCs w:val="21"/>
          <w:highlight w:val="none"/>
        </w:rPr>
        <w:t>年以来具有同类业务的证明材料</w:t>
      </w:r>
    </w:p>
    <w:p>
      <w:pPr>
        <w:spacing w:line="410" w:lineRule="exact"/>
        <w:ind w:firstLine="630" w:firstLineChars="30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3</w:t>
      </w:r>
      <w:r>
        <w:rPr>
          <w:rFonts w:ascii="宋体" w:hAnsi="宋体"/>
          <w:color w:val="auto"/>
          <w:highlight w:val="none"/>
        </w:rPr>
        <w:t>)</w:t>
      </w:r>
      <w:r>
        <w:rPr>
          <w:rFonts w:hint="eastAsia" w:ascii="宋体" w:hAnsi="宋体"/>
          <w:color w:val="auto"/>
          <w:highlight w:val="none"/>
        </w:rPr>
        <w:t>投标人认为有必要提供的声明或材料(中小企业声明、残疾人福利性单位声明、监狱企业证明、节能或环境标志产品证书等)</w:t>
      </w:r>
    </w:p>
    <w:p>
      <w:pPr>
        <w:snapToGrid w:val="0"/>
        <w:spacing w:line="410" w:lineRule="exact"/>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1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color w:val="auto"/>
          <w:szCs w:val="21"/>
          <w:highlight w:val="none"/>
        </w:rPr>
        <w:t>开标一览表(格式见第六章</w:t>
      </w:r>
      <w:r>
        <w:rPr>
          <w:rFonts w:hint="eastAsia" w:ascii="宋体" w:hAnsi="宋体"/>
          <w:color w:val="auto"/>
          <w:szCs w:val="21"/>
          <w:highlight w:val="none"/>
          <w:lang w:eastAsia="zh-CN"/>
        </w:rPr>
        <w:t>）</w:t>
      </w:r>
    </w:p>
    <w:p>
      <w:pPr>
        <w:snapToGrid w:val="0"/>
        <w:spacing w:line="410" w:lineRule="exact"/>
        <w:ind w:firstLine="422"/>
        <w:rPr>
          <w:rFonts w:hint="eastAsia" w:ascii="宋体" w:hAnsi="宋体"/>
          <w:color w:val="auto"/>
          <w:highlight w:val="none"/>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2)</w:t>
      </w:r>
      <w:bookmarkStart w:id="148" w:name="_Hlk92265738"/>
      <w:r>
        <w:rPr>
          <w:rFonts w:hint="eastAsia" w:ascii="宋体" w:hAnsi="宋体"/>
          <w:bCs/>
          <w:color w:val="auto"/>
          <w:szCs w:val="21"/>
          <w:highlight w:val="none"/>
        </w:rPr>
        <w:t>报价明细表</w:t>
      </w:r>
      <w:bookmarkEnd w:id="148"/>
      <w:r>
        <w:rPr>
          <w:rFonts w:hint="eastAsia" w:ascii="宋体" w:hAnsi="宋体"/>
          <w:bCs/>
          <w:color w:val="auto"/>
          <w:szCs w:val="21"/>
          <w:highlight w:val="none"/>
        </w:rPr>
        <w:t>(格式见第六章)</w:t>
      </w:r>
    </w:p>
    <w:bookmarkEnd w:id="144"/>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注：标注★号的材料均为必须提供的材料须由投标人加盖公章，授权委托书必须由法定代表人签名，报价文件还须由法定代表人或授权代表签名，否则视为无效投标文件。</w:t>
      </w:r>
    </w:p>
    <w:bookmarkEnd w:id="139"/>
    <w:bookmarkEnd w:id="140"/>
    <w:bookmarkEnd w:id="141"/>
    <w:bookmarkEnd w:id="142"/>
    <w:bookmarkEnd w:id="143"/>
    <w:p>
      <w:pPr>
        <w:spacing w:line="410" w:lineRule="exact"/>
        <w:ind w:firstLine="211" w:firstLineChars="100"/>
        <w:rPr>
          <w:rFonts w:ascii="宋体" w:hAnsi="宋体"/>
          <w:b/>
          <w:bCs/>
          <w:color w:val="auto"/>
          <w:szCs w:val="21"/>
          <w:highlight w:val="none"/>
        </w:rPr>
      </w:pPr>
      <w:bookmarkStart w:id="149" w:name="_Hlk90906323"/>
      <w:bookmarkStart w:id="150" w:name="_Hlk92447223"/>
      <w:r>
        <w:rPr>
          <w:rFonts w:hint="eastAsia" w:ascii="宋体" w:hAnsi="宋体"/>
          <w:b/>
          <w:color w:val="auto"/>
          <w:szCs w:val="21"/>
          <w:highlight w:val="none"/>
        </w:rPr>
        <w:t>（三）</w:t>
      </w:r>
      <w:bookmarkStart w:id="151" w:name="_Toc254970678"/>
      <w:bookmarkStart w:id="152" w:name="_Toc254970537"/>
      <w:bookmarkStart w:id="153" w:name="_Toc352700422"/>
      <w:bookmarkStart w:id="154" w:name="_Toc353785292"/>
      <w:r>
        <w:rPr>
          <w:rFonts w:hint="eastAsia" w:ascii="宋体" w:hAnsi="宋体"/>
          <w:b/>
          <w:bCs/>
          <w:color w:val="auto"/>
          <w:szCs w:val="21"/>
          <w:highlight w:val="none"/>
        </w:rPr>
        <w:t>投标文件的编制、签署及加密</w:t>
      </w:r>
    </w:p>
    <w:p>
      <w:pPr>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投标人应认真阅读、并充分理解招标文件的全部内容(包括所有的补充、修改内容)，承诺履行其各项条款的规定并按要求编制，投标文件应为电子文件或扫描件(样品除外)。</w:t>
      </w:r>
    </w:p>
    <w:p>
      <w:pPr>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投标人应通过广西政府采购云平台客户端编制加密投标文件。</w:t>
      </w:r>
    </w:p>
    <w:p>
      <w:pPr>
        <w:spacing w:line="41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由资格文件、商务技术文件和报价文件组成，投标人应按规定的顺序编制并标注页码、准确设置评审关联点，未设置或未正确设置关联点而导致投标文件被误读、漏读或者查找不到相关响应内容的责任和后果由投标人承担。</w:t>
      </w:r>
    </w:p>
    <w:p>
      <w:pPr>
        <w:spacing w:line="410" w:lineRule="exact"/>
        <w:ind w:firstLine="0" w:firstLineChars="0"/>
        <w:rPr>
          <w:rFonts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投标文件由投标人在规定位置由法定代表人或授权委托人签名（可为电子签名）、填写投标人名称，并加盖公章(简称“盖章”，可为电子公章)，投标人名称应写全称。</w:t>
      </w:r>
    </w:p>
    <w:p>
      <w:pPr>
        <w:snapToGrid w:val="0"/>
        <w:spacing w:line="410" w:lineRule="exact"/>
        <w:ind w:firstLine="210" w:firstLineChars="100"/>
        <w:rPr>
          <w:rFonts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投标文件内容不完整、编排混乱、不清晰等原因导致被误读或漏读的责任和后果由投标人承担。</w:t>
      </w:r>
    </w:p>
    <w:bookmarkEnd w:id="149"/>
    <w:p>
      <w:pPr>
        <w:spacing w:line="410" w:lineRule="exact"/>
        <w:ind w:firstLine="211" w:firstLineChars="100"/>
        <w:rPr>
          <w:color w:val="auto"/>
          <w:highlight w:val="none"/>
        </w:rPr>
      </w:pPr>
      <w:r>
        <w:rPr>
          <w:rFonts w:hint="eastAsia"/>
          <w:b/>
          <w:bCs/>
          <w:color w:val="auto"/>
          <w:highlight w:val="none"/>
        </w:rPr>
        <w:t>（四）投标文件的语言及计量</w:t>
      </w:r>
      <w:bookmarkEnd w:id="151"/>
      <w:bookmarkEnd w:id="152"/>
      <w:bookmarkEnd w:id="153"/>
      <w:bookmarkEnd w:id="154"/>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投标文件以及投标人与采购人、本中心就有关投标事宜的所有来往函电，均应以中文汉语书写。除签名、盖章、专用名称等特殊情形外，以中文汉语以外的文字表述的视为无效文件。</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投标计量单位，招标文件已有明确规定的，使用招标文件规定的计量单位；招标文件没有规定的，应采用中华人民共和国法定计量单位（货币单位：人民币元），否则视为无效投标文件。</w:t>
      </w:r>
    </w:p>
    <w:bookmarkEnd w:id="150"/>
    <w:p>
      <w:pPr>
        <w:pStyle w:val="5"/>
        <w:spacing w:before="0" w:after="0" w:line="410" w:lineRule="exact"/>
        <w:ind w:firstLine="211" w:firstLineChars="100"/>
        <w:rPr>
          <w:rFonts w:ascii="宋体" w:hAnsi="宋体" w:eastAsia="宋体"/>
          <w:color w:val="auto"/>
          <w:sz w:val="21"/>
          <w:szCs w:val="21"/>
          <w:highlight w:val="none"/>
        </w:rPr>
      </w:pPr>
      <w:bookmarkStart w:id="155" w:name="_（五）投标报价"/>
      <w:bookmarkEnd w:id="155"/>
      <w:bookmarkStart w:id="156" w:name="_Toc254970538"/>
      <w:bookmarkStart w:id="157" w:name="_Toc352700423"/>
      <w:bookmarkStart w:id="158" w:name="_Toc353785293"/>
      <w:bookmarkStart w:id="159" w:name="_Toc254970679"/>
      <w:bookmarkStart w:id="160" w:name="_Hlk92447977"/>
      <w:r>
        <w:rPr>
          <w:rFonts w:hint="eastAsia" w:ascii="宋体" w:hAnsi="宋体" w:eastAsia="宋体"/>
          <w:color w:val="auto"/>
          <w:sz w:val="21"/>
          <w:szCs w:val="21"/>
          <w:highlight w:val="none"/>
        </w:rPr>
        <w:t>（五）投标报价</w:t>
      </w:r>
      <w:bookmarkEnd w:id="156"/>
      <w:bookmarkEnd w:id="157"/>
      <w:bookmarkEnd w:id="158"/>
      <w:bookmarkEnd w:id="159"/>
    </w:p>
    <w:p>
      <w:pPr>
        <w:pStyle w:val="26"/>
        <w:snapToGrid w:val="0"/>
        <w:spacing w:line="410" w:lineRule="exact"/>
        <w:ind w:firstLine="420"/>
        <w:rPr>
          <w:rFonts w:hAnsi="宋体"/>
          <w:color w:val="auto"/>
          <w:highlight w:val="none"/>
        </w:rPr>
      </w:pPr>
      <w:r>
        <w:rPr>
          <w:rFonts w:hAnsi="宋体"/>
          <w:color w:val="auto"/>
          <w:highlight w:val="none"/>
        </w:rPr>
        <w:t>1.</w:t>
      </w:r>
      <w:r>
        <w:rPr>
          <w:rFonts w:hint="eastAsia" w:hAnsi="宋体"/>
          <w:color w:val="auto"/>
          <w:highlight w:val="none"/>
        </w:rPr>
        <w:t>招标文件中未列明，而投标人认为必需的费用也须列入总报价。在合同实施时，采购人将不予支付中标人没有列入总报价的费用，并认为此项费用已包含在总报价中。</w:t>
      </w:r>
    </w:p>
    <w:p>
      <w:pPr>
        <w:pStyle w:val="26"/>
        <w:snapToGrid w:val="0"/>
        <w:spacing w:line="410" w:lineRule="exact"/>
        <w:ind w:firstLine="420"/>
        <w:rPr>
          <w:color w:val="auto"/>
          <w:highlight w:val="none"/>
        </w:rPr>
      </w:pPr>
      <w:r>
        <w:rPr>
          <w:rFonts w:hAnsi="宋体"/>
          <w:color w:val="auto"/>
          <w:highlight w:val="none"/>
        </w:rPr>
        <w:t>2.</w:t>
      </w:r>
      <w:r>
        <w:rPr>
          <w:rFonts w:hint="eastAsia" w:hAnsi="宋体"/>
          <w:color w:val="auto"/>
          <w:highlight w:val="none"/>
        </w:rPr>
        <w:t>投标报价应按招标文件中相关附表格式填写。投标人</w:t>
      </w:r>
      <w:r>
        <w:rPr>
          <w:rFonts w:hint="eastAsia"/>
          <w:color w:val="auto"/>
          <w:highlight w:val="none"/>
        </w:rPr>
        <w:t>必须就《项目需求》的内容作完整唯一报价。</w:t>
      </w:r>
    </w:p>
    <w:p>
      <w:pPr>
        <w:tabs>
          <w:tab w:val="left" w:pos="525"/>
        </w:tabs>
        <w:snapToGrid w:val="0"/>
        <w:spacing w:line="41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投标文件每标项只允许有一个总报价，有选择的或有条件的报价视为无效投标文件。</w:t>
      </w:r>
    </w:p>
    <w:p>
      <w:pPr>
        <w:pStyle w:val="5"/>
        <w:spacing w:before="0" w:after="0" w:line="410" w:lineRule="exact"/>
        <w:ind w:firstLine="211" w:firstLineChars="100"/>
        <w:rPr>
          <w:rFonts w:ascii="宋体" w:hAnsi="宋体" w:eastAsia="宋体"/>
          <w:color w:val="auto"/>
          <w:sz w:val="21"/>
          <w:szCs w:val="21"/>
          <w:highlight w:val="none"/>
        </w:rPr>
      </w:pPr>
      <w:bookmarkStart w:id="161" w:name="_（六）投标文件有效期"/>
      <w:bookmarkEnd w:id="161"/>
      <w:bookmarkStart w:id="162" w:name="_Toc353785294"/>
      <w:bookmarkStart w:id="163" w:name="_Toc352700424"/>
      <w:r>
        <w:rPr>
          <w:rFonts w:hint="eastAsia" w:ascii="宋体" w:hAnsi="宋体" w:eastAsia="宋体"/>
          <w:color w:val="auto"/>
          <w:sz w:val="21"/>
          <w:szCs w:val="21"/>
          <w:highlight w:val="none"/>
        </w:rPr>
        <w:t>（六）投标有效期</w:t>
      </w:r>
      <w:bookmarkEnd w:id="160"/>
      <w:bookmarkEnd w:id="162"/>
      <w:bookmarkEnd w:id="163"/>
      <w:bookmarkStart w:id="164" w:name="_（七）投标保证金"/>
      <w:bookmarkEnd w:id="164"/>
      <w:bookmarkStart w:id="165" w:name="_Toc353785295"/>
      <w:bookmarkStart w:id="166" w:name="_Toc254970541"/>
      <w:bookmarkStart w:id="167" w:name="_Toc352700425"/>
      <w:bookmarkStart w:id="168" w:name="_Toc254970682"/>
      <w:bookmarkStart w:id="169" w:name="_Hlk92448848"/>
    </w:p>
    <w:p>
      <w:pPr>
        <w:spacing w:line="410" w:lineRule="exact"/>
        <w:ind w:firstLine="420"/>
        <w:rPr>
          <w:color w:val="auto"/>
          <w:highlight w:val="none"/>
        </w:rPr>
      </w:pPr>
      <w:r>
        <w:rPr>
          <w:rFonts w:hint="eastAsia"/>
          <w:color w:val="auto"/>
          <w:highlight w:val="none"/>
        </w:rPr>
        <w:t>投标有效期从提交投标文件的截止之日起算。投标文件中承诺的投标有效期应当不少于9</w:t>
      </w:r>
      <w:r>
        <w:rPr>
          <w:color w:val="auto"/>
          <w:highlight w:val="none"/>
        </w:rPr>
        <w:t>0</w:t>
      </w:r>
      <w:r>
        <w:rPr>
          <w:rFonts w:hint="eastAsia"/>
          <w:color w:val="auto"/>
          <w:highlight w:val="none"/>
        </w:rPr>
        <w:t>天。</w:t>
      </w:r>
    </w:p>
    <w:p>
      <w:pPr>
        <w:pStyle w:val="5"/>
        <w:spacing w:before="0" w:after="0" w:line="410" w:lineRule="exact"/>
        <w:ind w:firstLine="211" w:firstLineChars="100"/>
        <w:rPr>
          <w:rFonts w:ascii="宋体" w:hAnsi="宋体" w:eastAsia="宋体"/>
          <w:color w:val="auto"/>
          <w:sz w:val="21"/>
          <w:szCs w:val="21"/>
          <w:highlight w:val="none"/>
        </w:rPr>
      </w:pPr>
      <w:r>
        <w:rPr>
          <w:rFonts w:hint="eastAsia" w:ascii="宋体" w:hAnsi="宋体" w:eastAsia="宋体"/>
          <w:color w:val="auto"/>
          <w:sz w:val="21"/>
          <w:szCs w:val="21"/>
          <w:highlight w:val="none"/>
        </w:rPr>
        <w:t>（七）投标保证金</w:t>
      </w:r>
      <w:bookmarkEnd w:id="165"/>
      <w:bookmarkEnd w:id="166"/>
      <w:bookmarkEnd w:id="167"/>
      <w:bookmarkEnd w:id="168"/>
    </w:p>
    <w:p>
      <w:pPr>
        <w:snapToGrid w:val="0"/>
        <w:spacing w:line="410" w:lineRule="exact"/>
        <w:ind w:firstLine="420"/>
        <w:rPr>
          <w:rFonts w:hint="eastAsia" w:ascii="宋体" w:hAnsi="宋体"/>
          <w:color w:val="auto"/>
          <w:szCs w:val="21"/>
          <w:highlight w:val="none"/>
        </w:rPr>
      </w:pPr>
      <w:bookmarkStart w:id="170" w:name="_Toc353785296"/>
      <w:bookmarkStart w:id="171" w:name="_Toc254970542"/>
      <w:bookmarkStart w:id="172" w:name="_Toc352700426"/>
      <w:bookmarkStart w:id="173" w:name="_Toc254970683"/>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投标保证金金额：叁万元整(￥30,000.00)</w:t>
      </w:r>
    </w:p>
    <w:p>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提交形式：以支票、汇票、本票、网上银行支付</w:t>
      </w:r>
      <w:bookmarkStart w:id="174" w:name="_Hlk91771269"/>
      <w:r>
        <w:rPr>
          <w:rFonts w:hint="eastAsia" w:ascii="宋体" w:hAnsi="宋体"/>
          <w:color w:val="auto"/>
          <w:szCs w:val="21"/>
          <w:highlight w:val="none"/>
        </w:rPr>
        <w:t>或者金融机构、担保机构出具的保函</w:t>
      </w:r>
      <w:bookmarkEnd w:id="174"/>
      <w:r>
        <w:rPr>
          <w:rFonts w:hint="eastAsia" w:ascii="宋体" w:hAnsi="宋体"/>
          <w:color w:val="auto"/>
          <w:szCs w:val="21"/>
          <w:highlight w:val="none"/>
        </w:rPr>
        <w:t>等非现金形式提交。</w:t>
      </w:r>
    </w:p>
    <w:p>
      <w:pPr>
        <w:snapToGrid w:val="0"/>
        <w:spacing w:line="410" w:lineRule="exact"/>
        <w:ind w:firstLine="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以支票、汇票、本票或者金融机构、担保机构出具的保函等形式提交保证金的，投标人必须将票据、保函等原件于投标文件提交截止时间前递交至本中心财务室（地址:广西钦州市钦南区水东街区金海湾东大街8号市政务服务中心二楼市采购中心财务室，联系方式:0777-2886026）。</w:t>
      </w:r>
    </w:p>
    <w:p>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以网上银行形式提交保证金的，投标人必须于投标文件提交截止时间前从投标人账户缴存至本中心银行账户并确保到账，否则视为无效保证金。</w:t>
      </w:r>
    </w:p>
    <w:p>
      <w:pPr>
        <w:snapToGrid w:val="0"/>
        <w:spacing w:line="410" w:lineRule="exact"/>
        <w:ind w:firstLine="0" w:firstLineChars="0"/>
        <w:rPr>
          <w:rFonts w:hint="eastAsia"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本中心银行账户：</w:t>
      </w:r>
    </w:p>
    <w:p>
      <w:pPr>
        <w:snapToGrid w:val="0"/>
        <w:spacing w:line="410" w:lineRule="exact"/>
        <w:ind w:firstLine="0" w:firstLineChars="0"/>
        <w:rPr>
          <w:rFonts w:ascii="宋体" w:hAnsi="宋体"/>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开户名称：钦州市政府采购中心</w:t>
      </w:r>
    </w:p>
    <w:p>
      <w:pPr>
        <w:snapToGrid w:val="0"/>
        <w:spacing w:line="410" w:lineRule="exact"/>
        <w:ind w:firstLine="0" w:firstLineChars="0"/>
        <w:rPr>
          <w:rFonts w:hint="eastAsia" w:ascii="宋体" w:hAnsi="宋体"/>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开户银行：中国工商银行股份有限公司钦州市永福东支行</w:t>
      </w:r>
    </w:p>
    <w:p>
      <w:pPr>
        <w:snapToGrid w:val="0"/>
        <w:spacing w:line="410" w:lineRule="exact"/>
        <w:ind w:firstLine="0" w:firstLineChars="0"/>
        <w:rPr>
          <w:rFonts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银行账号：2115591229100078724</w:t>
      </w:r>
    </w:p>
    <w:p>
      <w:pPr>
        <w:snapToGrid w:val="0"/>
        <w:spacing w:line="410" w:lineRule="exact"/>
        <w:ind w:firstLine="420" w:firstLineChars="0"/>
        <w:rPr>
          <w:rFonts w:hint="eastAsia" w:ascii="宋体" w:hAnsi="宋体"/>
          <w:bCs/>
          <w:color w:val="auto"/>
          <w:szCs w:val="21"/>
          <w:highlight w:val="none"/>
        </w:rPr>
      </w:pPr>
      <w:r>
        <w:rPr>
          <w:rFonts w:hint="eastAsia" w:ascii="宋体" w:hAnsi="宋体"/>
          <w:color w:val="auto"/>
          <w:szCs w:val="21"/>
          <w:highlight w:val="none"/>
        </w:rPr>
        <w:t>注：投标人无法选择以上开户银行的，请选择“中国工商银行股份有限公司钦州分行”进行缴存。</w:t>
      </w:r>
    </w:p>
    <w:p>
      <w:pPr>
        <w:snapToGrid w:val="0"/>
        <w:spacing w:line="410" w:lineRule="exact"/>
        <w:ind w:firstLine="0" w:firstLineChars="0"/>
        <w:rPr>
          <w:rFonts w:hint="eastAsia" w:ascii="宋体" w:hAnsi="宋体"/>
          <w:color w:val="auto"/>
          <w:szCs w:val="21"/>
          <w:highlight w:val="none"/>
        </w:rPr>
      </w:pPr>
      <w:r>
        <w:rPr>
          <w:rFonts w:hint="eastAsia" w:ascii="宋体" w:hAnsi="宋体"/>
          <w:color w:val="auto"/>
          <w:szCs w:val="21"/>
          <w:highlight w:val="none"/>
        </w:rPr>
        <w:tab/>
      </w:r>
      <w:r>
        <w:rPr>
          <w:rFonts w:ascii="宋体" w:hAnsi="宋体"/>
          <w:color w:val="auto"/>
          <w:szCs w:val="21"/>
          <w:highlight w:val="none"/>
        </w:rPr>
        <w:t>3.</w:t>
      </w:r>
      <w:r>
        <w:rPr>
          <w:rFonts w:hint="eastAsia" w:ascii="宋体" w:hAnsi="宋体"/>
          <w:color w:val="auto"/>
          <w:szCs w:val="21"/>
          <w:highlight w:val="none"/>
        </w:rPr>
        <w:t>评标委员会将以投标人递交的支票、汇票、本票、保函原件以及本中心财务室出具的《保证金收缴情况表》作为评审依据，对未按规定提交投标保证金的投标文件作无效处理。</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保证金的退付：</w:t>
      </w:r>
    </w:p>
    <w:tbl>
      <w:tblPr>
        <w:tblStyle w:val="48"/>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439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Borders>
              <w:tl2br w:val="single" w:color="auto" w:sz="4" w:space="0"/>
            </w:tcBorders>
            <w:noWrap w:val="0"/>
            <w:vAlign w:val="center"/>
          </w:tcPr>
          <w:p>
            <w:pPr>
              <w:snapToGrid w:val="0"/>
              <w:spacing w:line="410" w:lineRule="exact"/>
              <w:ind w:firstLine="33" w:firstLineChars="16"/>
              <w:rPr>
                <w:rFonts w:hint="eastAsia" w:ascii="宋体" w:hAnsi="宋体"/>
                <w:color w:val="auto"/>
                <w:szCs w:val="21"/>
                <w:highlight w:val="none"/>
              </w:rPr>
            </w:pPr>
            <w:r>
              <w:rPr>
                <w:rFonts w:hint="eastAsia" w:ascii="宋体" w:hAnsi="宋体"/>
                <w:color w:val="auto"/>
                <w:szCs w:val="21"/>
                <w:highlight w:val="none"/>
              </w:rPr>
              <w:t xml:space="preserve">     提交形式</w:t>
            </w:r>
          </w:p>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投标人</w:t>
            </w:r>
          </w:p>
        </w:tc>
        <w:tc>
          <w:tcPr>
            <w:tcW w:w="4394" w:type="dxa"/>
            <w:noWrap w:val="0"/>
            <w:vAlign w:val="center"/>
          </w:tcPr>
          <w:p>
            <w:pPr>
              <w:snapToGrid w:val="0"/>
              <w:spacing w:line="410" w:lineRule="exact"/>
              <w:ind w:firstLine="0" w:firstLineChars="0"/>
              <w:jc w:val="center"/>
              <w:rPr>
                <w:rFonts w:ascii="宋体" w:hAnsi="宋体"/>
                <w:color w:val="auto"/>
                <w:szCs w:val="21"/>
                <w:highlight w:val="none"/>
              </w:rPr>
            </w:pPr>
            <w:r>
              <w:rPr>
                <w:rFonts w:hint="eastAsia" w:ascii="宋体" w:hAnsi="宋体"/>
                <w:color w:val="auto"/>
                <w:szCs w:val="21"/>
                <w:highlight w:val="none"/>
              </w:rPr>
              <w:t>网上银行形式</w:t>
            </w:r>
          </w:p>
        </w:tc>
        <w:tc>
          <w:tcPr>
            <w:tcW w:w="3260" w:type="dxa"/>
            <w:noWrap w:val="0"/>
            <w:vAlign w:val="center"/>
          </w:tcPr>
          <w:p>
            <w:pPr>
              <w:snapToGrid w:val="0"/>
              <w:spacing w:line="410" w:lineRule="exact"/>
              <w:ind w:firstLine="0" w:firstLineChars="0"/>
              <w:jc w:val="center"/>
              <w:rPr>
                <w:rFonts w:ascii="宋体" w:hAnsi="宋体"/>
                <w:color w:val="auto"/>
                <w:spacing w:val="-10"/>
                <w:szCs w:val="21"/>
                <w:highlight w:val="none"/>
              </w:rPr>
            </w:pPr>
            <w:r>
              <w:rPr>
                <w:rFonts w:hint="eastAsia" w:ascii="宋体" w:hAnsi="宋体"/>
                <w:color w:val="auto"/>
                <w:spacing w:val="-10"/>
                <w:szCs w:val="21"/>
                <w:highlight w:val="none"/>
              </w:rPr>
              <w:t>支票、汇票、本票、保函等形式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410" w:lineRule="exact"/>
              <w:ind w:firstLine="0" w:firstLineChars="0"/>
              <w:jc w:val="center"/>
              <w:rPr>
                <w:rFonts w:ascii="宋体" w:hAnsi="宋体"/>
                <w:color w:val="auto"/>
                <w:szCs w:val="21"/>
                <w:highlight w:val="none"/>
              </w:rPr>
            </w:pPr>
            <w:r>
              <w:rPr>
                <w:rFonts w:hint="eastAsia" w:ascii="宋体" w:hAnsi="宋体"/>
                <w:color w:val="auto"/>
                <w:szCs w:val="21"/>
                <w:highlight w:val="none"/>
              </w:rPr>
              <w:t>未中标人</w:t>
            </w:r>
          </w:p>
        </w:tc>
        <w:tc>
          <w:tcPr>
            <w:tcW w:w="4394"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中标通知书(结果公告)发出之日起四个工作日内以网上银行形式退回到投标人银行账户。</w:t>
            </w:r>
          </w:p>
        </w:tc>
        <w:tc>
          <w:tcPr>
            <w:tcW w:w="3260"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中标通知书(结果公告)发出之日起四个工作日内退还。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410" w:lineRule="exact"/>
              <w:ind w:firstLine="33" w:firstLineChars="16"/>
              <w:jc w:val="center"/>
              <w:rPr>
                <w:rFonts w:ascii="宋体" w:hAnsi="宋体"/>
                <w:color w:val="auto"/>
                <w:szCs w:val="21"/>
                <w:highlight w:val="none"/>
              </w:rPr>
            </w:pPr>
            <w:r>
              <w:rPr>
                <w:rFonts w:hint="eastAsia" w:ascii="宋体" w:hAnsi="宋体"/>
                <w:color w:val="auto"/>
                <w:szCs w:val="21"/>
                <w:highlight w:val="none"/>
              </w:rPr>
              <w:t>中标人</w:t>
            </w:r>
          </w:p>
        </w:tc>
        <w:tc>
          <w:tcPr>
            <w:tcW w:w="4394"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在政府采购合同签订之日起四个工作日内以网上银行形式退回到投标人银行账户。</w:t>
            </w:r>
          </w:p>
        </w:tc>
        <w:tc>
          <w:tcPr>
            <w:tcW w:w="3260"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在政府采购合同签订之日起四个工作日内退还。</w:t>
            </w:r>
          </w:p>
        </w:tc>
      </w:tr>
    </w:tbl>
    <w:p>
      <w:pPr>
        <w:widowControl/>
        <w:spacing w:line="41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注：因投标人自身原因导致无法及时退还的除外</w:t>
      </w:r>
    </w:p>
    <w:p>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投标人有下列情形之一的，投标保证金将不予退还：</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投标人在投标有效期内撤回投标文件的；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投标人在投标文件中提供虚假材料的；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投标人与其他投标人或采购代理机构恶意串通的；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中标人无正当理由不与采购人签订采购合同的；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招标文件规定的其他情形。</w:t>
      </w:r>
    </w:p>
    <w:bookmarkEnd w:id="169"/>
    <w:bookmarkEnd w:id="170"/>
    <w:bookmarkEnd w:id="171"/>
    <w:bookmarkEnd w:id="172"/>
    <w:bookmarkEnd w:id="173"/>
    <w:p>
      <w:pPr>
        <w:spacing w:line="410" w:lineRule="exact"/>
        <w:ind w:firstLine="211" w:firstLineChars="100"/>
        <w:rPr>
          <w:b/>
          <w:bCs/>
          <w:color w:val="auto"/>
          <w:highlight w:val="none"/>
        </w:rPr>
      </w:pPr>
      <w:r>
        <w:rPr>
          <w:rFonts w:hint="eastAsia"/>
          <w:b/>
          <w:bCs/>
          <w:color w:val="auto"/>
          <w:highlight w:val="none"/>
        </w:rPr>
        <w:t>（八）投标文件的上传、提交、修改、撤回</w:t>
      </w:r>
    </w:p>
    <w:p>
      <w:pPr>
        <w:snapToGrid w:val="0"/>
        <w:spacing w:line="410" w:lineRule="exact"/>
        <w:ind w:firstLine="420"/>
        <w:rPr>
          <w:rFonts w:hint="eastAsia" w:ascii="宋体" w:hAnsi="宋体"/>
          <w:color w:val="auto"/>
          <w:szCs w:val="21"/>
          <w:highlight w:val="none"/>
        </w:rPr>
      </w:pPr>
      <w:bookmarkStart w:id="175" w:name="_Toc353785297"/>
      <w:bookmarkStart w:id="176" w:name="_Toc352700427"/>
      <w:r>
        <w:rPr>
          <w:rFonts w:ascii="宋体" w:hAnsi="宋体"/>
          <w:color w:val="auto"/>
          <w:szCs w:val="21"/>
          <w:highlight w:val="none"/>
        </w:rPr>
        <w:t>1.</w:t>
      </w:r>
      <w:r>
        <w:rPr>
          <w:rFonts w:hint="eastAsia" w:ascii="宋体" w:hAnsi="宋体"/>
          <w:color w:val="auto"/>
          <w:szCs w:val="21"/>
          <w:highlight w:val="none"/>
        </w:rPr>
        <w:t>投标文件的上传和提交:投标人须将编制好的加密投标文件上传至政府采购云平台，并在投标文件提交截止时间前提交，否则</w:t>
      </w:r>
      <w:bookmarkStart w:id="177" w:name="_Hlk91772691"/>
      <w:r>
        <w:rPr>
          <w:rFonts w:hint="eastAsia" w:ascii="宋体" w:hAnsi="宋体"/>
          <w:color w:val="auto"/>
          <w:szCs w:val="21"/>
          <w:highlight w:val="none"/>
        </w:rPr>
        <w:t>政府采购云平台</w:t>
      </w:r>
      <w:bookmarkEnd w:id="177"/>
      <w:r>
        <w:rPr>
          <w:rFonts w:hint="eastAsia" w:ascii="宋体" w:hAnsi="宋体"/>
          <w:color w:val="auto"/>
          <w:szCs w:val="21"/>
          <w:highlight w:val="none"/>
        </w:rPr>
        <w:t>将予以拒收。投标文件提交成功后，投标人可自行打印投标文件接收回执。</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的修改和撤回：投标人在投标文件提交截止时间前可对投标文件进行补充、修改或者撤回。补充或者修改投标文件的，应当先行撤回原投标文件，补充、修改后重新上传、提交。投标文件提交截止时间前未完成重新提交的，视为撤回投标文件，投标文件提交截止时间后提交投标文件的，政府采购云平台将予以拒收。投标文件提交截止时间后，投标人不得撤回、修改投标文件。补充、修改的内容应当按照招标文件要求签署、盖章，作为投标文件的组成部分。</w:t>
      </w:r>
    </w:p>
    <w:p>
      <w:pPr>
        <w:snapToGrid w:val="0"/>
        <w:spacing w:line="410" w:lineRule="exact"/>
        <w:ind w:firstLine="420"/>
        <w:rPr>
          <w:rFonts w:hint="eastAsia" w:ascii="宋体" w:hAnsi="宋体"/>
          <w:color w:val="auto"/>
          <w:szCs w:val="21"/>
          <w:highlight w:val="none"/>
        </w:rPr>
      </w:pPr>
    </w:p>
    <w:p>
      <w:pPr>
        <w:pStyle w:val="5"/>
        <w:spacing w:before="0" w:after="0" w:line="410" w:lineRule="exact"/>
        <w:ind w:firstLine="0" w:firstLineChars="0"/>
        <w:rPr>
          <w:rFonts w:hint="eastAsia" w:ascii="方正小标宋_GBK" w:eastAsia="方正小标宋_GBK"/>
          <w:b w:val="0"/>
          <w:bCs w:val="0"/>
          <w:color w:val="auto"/>
          <w:sz w:val="24"/>
          <w:szCs w:val="24"/>
          <w:highlight w:val="none"/>
        </w:rPr>
      </w:pPr>
      <w:bookmarkStart w:id="178" w:name="_四、开标"/>
      <w:bookmarkEnd w:id="178"/>
      <w:r>
        <w:rPr>
          <w:rFonts w:hint="eastAsia" w:ascii="方正小标宋_GBK" w:eastAsia="方正小标宋_GBK"/>
          <w:b w:val="0"/>
          <w:bCs w:val="0"/>
          <w:color w:val="auto"/>
          <w:sz w:val="24"/>
          <w:szCs w:val="24"/>
          <w:highlight w:val="none"/>
        </w:rPr>
        <w:t>四、开标</w:t>
      </w:r>
      <w:bookmarkStart w:id="179" w:name="_Toc352700430"/>
      <w:bookmarkStart w:id="180" w:name="_Toc353785300"/>
    </w:p>
    <w:bookmarkEnd w:id="179"/>
    <w:bookmarkEnd w:id="180"/>
    <w:p>
      <w:pPr>
        <w:spacing w:line="410"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（一）本中心将在投标文件提交截止时间后在</w:t>
      </w:r>
      <w:bookmarkStart w:id="181" w:name="_Hlk90300735"/>
      <w:r>
        <w:rPr>
          <w:rFonts w:hint="eastAsia"/>
          <w:color w:val="auto"/>
          <w:highlight w:val="none"/>
        </w:rPr>
        <w:t>政采云远程开标大厅</w:t>
      </w:r>
      <w:bookmarkEnd w:id="181"/>
      <w:r>
        <w:rPr>
          <w:rFonts w:hint="eastAsia"/>
          <w:color w:val="auto"/>
          <w:highlight w:val="none"/>
        </w:rPr>
        <w:t>进行开标，投标人法定代表人或委托代理人须按时登录</w:t>
      </w:r>
      <w:bookmarkStart w:id="182" w:name="_Hlk90300780"/>
      <w:r>
        <w:rPr>
          <w:rFonts w:hint="eastAsia"/>
          <w:color w:val="auto"/>
          <w:highlight w:val="none"/>
        </w:rPr>
        <w:t>政采云远程开标大厅</w:t>
      </w:r>
      <w:bookmarkEnd w:id="182"/>
      <w:r>
        <w:rPr>
          <w:rFonts w:hint="eastAsia"/>
          <w:color w:val="auto"/>
          <w:highlight w:val="none"/>
        </w:rPr>
        <w:t>（政府采购云平台-应用中心-项目采购-开标评标），保持全程在线并关注开标评标进度，评标期间评标委员会提出澄清等要求时，投标人须在规定时间内进行应答，否则按招标文件或政采云平台的相关规定执行。</w:t>
      </w:r>
      <w:bookmarkStart w:id="183" w:name="_Toc352700431"/>
      <w:bookmarkStart w:id="184" w:name="_Toc353785301"/>
    </w:p>
    <w:p>
      <w:pPr>
        <w:spacing w:line="410" w:lineRule="exact"/>
        <w:ind w:firstLine="210" w:firstLineChars="100"/>
        <w:rPr>
          <w:rFonts w:ascii="方正小标宋_GBK" w:hAnsi="Arial" w:eastAsia="方正小标宋_GBK"/>
          <w:bCs/>
          <w:color w:val="auto"/>
          <w:sz w:val="24"/>
          <w:highlight w:val="none"/>
        </w:rPr>
      </w:pPr>
      <w:r>
        <w:rPr>
          <w:rFonts w:hint="eastAsia"/>
          <w:color w:val="auto"/>
          <w:highlight w:val="none"/>
        </w:rPr>
        <w:t>（二）开标程序</w:t>
      </w:r>
      <w:bookmarkEnd w:id="183"/>
      <w:bookmarkEnd w:id="184"/>
    </w:p>
    <w:p>
      <w:pPr>
        <w:spacing w:line="410" w:lineRule="exact"/>
        <w:ind w:left="420" w:firstLine="0" w:firstLineChars="0"/>
        <w:rPr>
          <w:color w:val="auto"/>
          <w:highlight w:val="none"/>
        </w:rPr>
      </w:pPr>
      <w:r>
        <w:rPr>
          <w:color w:val="auto"/>
          <w:highlight w:val="none"/>
        </w:rPr>
        <w:t>1.</w:t>
      </w:r>
      <w:r>
        <w:rPr>
          <w:rFonts w:hint="eastAsia"/>
          <w:color w:val="auto"/>
          <w:highlight w:val="none"/>
        </w:rPr>
        <w:t>开标会由本中心主持；</w:t>
      </w:r>
    </w:p>
    <w:p>
      <w:pPr>
        <w:spacing w:line="410" w:lineRule="exact"/>
        <w:ind w:firstLine="420"/>
        <w:rPr>
          <w:color w:val="auto"/>
          <w:highlight w:val="none"/>
        </w:rPr>
      </w:pPr>
      <w:r>
        <w:rPr>
          <w:color w:val="auto"/>
          <w:highlight w:val="none"/>
        </w:rPr>
        <w:t>2.</w:t>
      </w:r>
      <w:r>
        <w:rPr>
          <w:rFonts w:hint="eastAsia"/>
          <w:b/>
          <w:bCs/>
          <w:color w:val="auto"/>
          <w:highlight w:val="none"/>
        </w:rPr>
        <w:t>解密：</w:t>
      </w:r>
      <w:r>
        <w:rPr>
          <w:rFonts w:hint="eastAsia"/>
          <w:color w:val="auto"/>
          <w:highlight w:val="none"/>
        </w:rPr>
        <w:t>投标文件提交时间截止后，我中心将向各提交投标文件的投标人发出电子加密投标文件解密通知，投标人代表应当在接到解密通知后30分钟内对已加密的电子投标文件进行在线解密。投标人未在规定时间内完成解密的，政府采购云平台视为投标人自主放弃投标。</w:t>
      </w:r>
    </w:p>
    <w:p>
      <w:pPr>
        <w:spacing w:line="410" w:lineRule="exact"/>
        <w:ind w:firstLine="420"/>
        <w:rPr>
          <w:color w:val="auto"/>
          <w:highlight w:val="none"/>
        </w:rPr>
      </w:pPr>
      <w:r>
        <w:rPr>
          <w:rFonts w:hint="eastAsia"/>
          <w:color w:val="auto"/>
          <w:highlight w:val="none"/>
        </w:rPr>
        <w:t>注：当招标项目(或分标</w:t>
      </w:r>
      <w:r>
        <w:rPr>
          <w:color w:val="auto"/>
          <w:highlight w:val="none"/>
        </w:rPr>
        <w:t>)</w:t>
      </w:r>
      <w:r>
        <w:rPr>
          <w:rFonts w:hint="eastAsia"/>
          <w:color w:val="auto"/>
          <w:highlight w:val="none"/>
        </w:rPr>
        <w:t>的投标人不足3家的，不开标。</w:t>
      </w:r>
    </w:p>
    <w:p>
      <w:pPr>
        <w:spacing w:line="410" w:lineRule="exact"/>
        <w:ind w:firstLine="211" w:firstLineChars="100"/>
        <w:rPr>
          <w:b/>
          <w:bCs/>
          <w:color w:val="auto"/>
          <w:highlight w:val="none"/>
        </w:rPr>
      </w:pPr>
      <w:r>
        <w:rPr>
          <w:rFonts w:hint="eastAsia"/>
          <w:b/>
          <w:bCs/>
          <w:color w:val="auto"/>
          <w:highlight w:val="none"/>
        </w:rPr>
        <w:t>（三）资格审查</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采购人依法对投标人的资格进行审查，招标项目(或分标)</w:t>
      </w:r>
      <w:r>
        <w:rPr>
          <w:rFonts w:ascii="Arial" w:hAnsi="Arial" w:cs="Arial"/>
          <w:color w:val="auto"/>
          <w:highlight w:val="none"/>
        </w:rPr>
        <w:t>合格投标人不足3家的，不评标</w:t>
      </w:r>
      <w:r>
        <w:rPr>
          <w:rFonts w:hint="eastAsia" w:ascii="宋体" w:hAnsi="宋体"/>
          <w:color w:val="auto"/>
          <w:szCs w:val="21"/>
          <w:highlight w:val="none"/>
        </w:rPr>
        <w:t>。</w:t>
      </w:r>
    </w:p>
    <w:p>
      <w:pPr>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资格性审查时，如发现下列情形之一的，投标文件将被视为无效：</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(2)资格证明文件不全的，或者不符合招标文件标明的资格要求的；</w:t>
      </w:r>
    </w:p>
    <w:p>
      <w:pPr>
        <w:snapToGrid w:val="0"/>
        <w:spacing w:line="410" w:lineRule="exact"/>
        <w:ind w:firstLine="42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投标文件递交截止时间的，将被拒绝参与本项目政府采购活动。</w:t>
      </w:r>
    </w:p>
    <w:p>
      <w:pPr>
        <w:pStyle w:val="5"/>
        <w:spacing w:before="0" w:after="0" w:line="410" w:lineRule="exact"/>
        <w:ind w:firstLine="0" w:firstLineChars="0"/>
        <w:rPr>
          <w:rFonts w:hint="eastAsia" w:ascii="方正小标宋_GBK" w:eastAsia="方正小标宋_GBK"/>
          <w:b w:val="0"/>
          <w:bCs w:val="0"/>
          <w:color w:val="auto"/>
          <w:sz w:val="24"/>
          <w:szCs w:val="24"/>
          <w:highlight w:val="none"/>
        </w:rPr>
      </w:pPr>
      <w:bookmarkStart w:id="185" w:name="_五、评标"/>
      <w:bookmarkEnd w:id="185"/>
      <w:bookmarkStart w:id="186" w:name="_Toc352700432"/>
      <w:bookmarkStart w:id="187" w:name="_Toc353785302"/>
      <w:bookmarkStart w:id="188" w:name="_Toc254970545"/>
      <w:bookmarkStart w:id="189" w:name="_Toc254970686"/>
      <w:r>
        <w:rPr>
          <w:rFonts w:hint="eastAsia" w:ascii="方正小标宋_GBK" w:eastAsia="方正小标宋_GBK"/>
          <w:b w:val="0"/>
          <w:bCs w:val="0"/>
          <w:color w:val="auto"/>
          <w:sz w:val="24"/>
          <w:szCs w:val="24"/>
          <w:highlight w:val="none"/>
        </w:rPr>
        <w:t>五、评标</w:t>
      </w:r>
      <w:bookmarkEnd w:id="186"/>
      <w:bookmarkEnd w:id="187"/>
      <w:bookmarkEnd w:id="188"/>
      <w:bookmarkEnd w:id="189"/>
    </w:p>
    <w:p>
      <w:pPr>
        <w:snapToGrid w:val="0"/>
        <w:spacing w:line="410" w:lineRule="exact"/>
        <w:ind w:firstLine="211" w:firstLineChars="100"/>
        <w:rPr>
          <w:rFonts w:ascii="宋体" w:hAnsi="宋体"/>
          <w:b/>
          <w:bCs/>
          <w:color w:val="auto"/>
          <w:szCs w:val="21"/>
          <w:highlight w:val="none"/>
        </w:rPr>
      </w:pPr>
      <w:bookmarkStart w:id="190" w:name="_Toc352700433"/>
      <w:bookmarkStart w:id="191" w:name="_Toc353785303"/>
      <w:r>
        <w:rPr>
          <w:rFonts w:hint="eastAsia" w:ascii="宋体" w:hAnsi="宋体"/>
          <w:b/>
          <w:bCs/>
          <w:color w:val="auto"/>
          <w:szCs w:val="21"/>
          <w:highlight w:val="none"/>
        </w:rPr>
        <w:t>（一）评标原则：</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评标委员会必须公平、公正、客观，不带任何倾向性和启发性；不得向外界透露任何与评标有关的内容；任何单位和个人不得干扰、影响评标的正常进行；评标委员会及有关工作人员不得私下接触投标人。</w:t>
      </w:r>
    </w:p>
    <w:p>
      <w:pPr>
        <w:snapToGrid w:val="0"/>
        <w:spacing w:line="410" w:lineRule="exact"/>
        <w:ind w:firstLine="420"/>
        <w:rPr>
          <w:rFonts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本项目采用不公开方式评标，评标的依据为招标文件和投标文件。</w:t>
      </w:r>
    </w:p>
    <w:p>
      <w:pPr>
        <w:snapToGrid w:val="0"/>
        <w:spacing w:line="410" w:lineRule="exact"/>
        <w:ind w:firstLine="420"/>
        <w:rPr>
          <w:rFonts w:hint="eastAsia" w:ascii="宋体" w:hAnsi="宋体"/>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宋体"/>
          <w:color w:val="auto"/>
          <w:szCs w:val="21"/>
          <w:highlight w:val="none"/>
        </w:rPr>
        <w:t>评标方法：综合评分法，即满足招标文件全部实质性要求且按照评审因素的量化指标评审得分最高的供应商为中标候选人。</w:t>
      </w:r>
    </w:p>
    <w:p>
      <w:pPr>
        <w:snapToGrid w:val="0"/>
        <w:spacing w:line="410" w:lineRule="exact"/>
        <w:ind w:firstLine="211" w:firstLineChars="100"/>
        <w:rPr>
          <w:rFonts w:ascii="宋体" w:hAnsi="宋体"/>
          <w:b/>
          <w:bCs/>
          <w:color w:val="auto"/>
          <w:szCs w:val="21"/>
          <w:highlight w:val="none"/>
        </w:rPr>
      </w:pPr>
      <w:r>
        <w:rPr>
          <w:rFonts w:hint="eastAsia"/>
          <w:b/>
          <w:bCs/>
          <w:color w:val="auto"/>
          <w:highlight w:val="none"/>
        </w:rPr>
        <w:t>（二）组建评标委员会</w:t>
      </w:r>
    </w:p>
    <w:p>
      <w:pPr>
        <w:snapToGrid w:val="0"/>
        <w:spacing w:line="410" w:lineRule="exact"/>
        <w:ind w:firstLine="420"/>
        <w:rPr>
          <w:rFonts w:hint="eastAsia" w:ascii="宋体" w:hAnsi="宋体"/>
          <w:color w:val="auto"/>
          <w:szCs w:val="21"/>
          <w:highlight w:val="none"/>
        </w:rPr>
      </w:pPr>
      <w:r>
        <w:rPr>
          <w:rFonts w:ascii="宋体" w:hAnsi="宋体" w:cs="Courier New"/>
          <w:bCs/>
          <w:color w:val="auto"/>
          <w:szCs w:val="21"/>
          <w:highlight w:val="none"/>
        </w:rPr>
        <w:t>评标委员会由采购人代表和评审专家组成，成员人数应当为</w:t>
      </w:r>
      <w:r>
        <w:rPr>
          <w:rFonts w:hint="eastAsia" w:ascii="宋体" w:hAnsi="宋体" w:cs="Courier New"/>
          <w:bCs/>
          <w:color w:val="auto"/>
          <w:szCs w:val="21"/>
          <w:highlight w:val="none"/>
        </w:rPr>
        <w:t>5</w:t>
      </w:r>
      <w:r>
        <w:rPr>
          <w:rFonts w:ascii="宋体" w:hAnsi="宋体" w:cs="Courier New"/>
          <w:bCs/>
          <w:color w:val="auto"/>
          <w:szCs w:val="21"/>
          <w:highlight w:val="none"/>
        </w:rPr>
        <w:t>人以上单数，其中评审专家不得少于成员总数的三分之二。</w:t>
      </w:r>
      <w:bookmarkEnd w:id="190"/>
      <w:bookmarkEnd w:id="191"/>
    </w:p>
    <w:p>
      <w:pPr>
        <w:spacing w:line="410"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（三）符合性审查</w:t>
      </w:r>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评标委员会对符合资格的投标人投标文件进行符合性审查，以确定其是否满足招标文件的实质性要求。</w:t>
      </w:r>
    </w:p>
    <w:p>
      <w:pPr>
        <w:snapToGrid w:val="0"/>
        <w:spacing w:line="410" w:lineRule="exact"/>
        <w:ind w:firstLine="422"/>
        <w:rPr>
          <w:rFonts w:hint="eastAsia"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符合性审查时，如发现下列情形之一的，投标文件将被视为无效：</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1)</w:t>
      </w:r>
      <w:r>
        <w:rPr>
          <w:rFonts w:hint="eastAsia" w:ascii="宋体" w:hAnsi="宋体"/>
          <w:b/>
          <w:bCs/>
          <w:color w:val="auto"/>
          <w:szCs w:val="21"/>
          <w:highlight w:val="none"/>
        </w:rPr>
        <w:t>商务评审:</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①应交未交投标保证金的；</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②投标文件未按投标文件编制要求提供或内容虚假的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③投标文件无法定代表人或其委托代理人签署、未提供授权委托书，或未按规定盖章的；</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④投标人代表未能出具身份证明或与法定代表人委托代理人身份不符的；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⑤投</w:t>
      </w:r>
      <w:bookmarkStart w:id="192" w:name="_Hlk112423038"/>
      <w:r>
        <w:rPr>
          <w:rFonts w:hint="eastAsia" w:ascii="宋体" w:hAnsi="宋体"/>
          <w:color w:val="auto"/>
          <w:szCs w:val="21"/>
          <w:highlight w:val="none"/>
        </w:rPr>
        <w:t>标有效期、交货时间、质保期等不允许偏离的实质性要求和条件不能满足招标文件要求的；</w:t>
      </w:r>
      <w:bookmarkEnd w:id="192"/>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⑥投标文件的实质性内容未使用中文表述、意思表述不明确、前后矛盾或者使用计量单位不符合招标文件要求的；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⑦未实质性响应招标文件要求或者投标文件有采购人不能接受的附加条件的；</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技术评审：</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hint="eastAsia" w:ascii="宋体" w:hAnsi="宋体"/>
          <w:color w:val="auto"/>
          <w:szCs w:val="21"/>
          <w:highlight w:val="none"/>
        </w:rPr>
        <w:t>未提供或未如实提供货物技术参数或服务响应，或投标文件标明的响应或偏离与事实不符的；</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②明显不符合招标文件要求的质量标准，或者与招标文件中的技术指标、功能、服务事项发生实质性较大偏离，已不符合采购人需求的；</w:t>
      </w:r>
    </w:p>
    <w:p>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③投标文件技术方案不明确，存在一个或一个以上备选（替代）投标方案的。</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3)</w:t>
      </w:r>
      <w:r>
        <w:rPr>
          <w:rFonts w:hint="eastAsia" w:ascii="宋体" w:hAnsi="宋体"/>
          <w:b/>
          <w:bCs/>
          <w:color w:val="auto"/>
          <w:szCs w:val="21"/>
          <w:highlight w:val="none"/>
        </w:rPr>
        <w:t>报价评审：</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ascii="宋体" w:hAnsi="宋体"/>
          <w:color w:val="auto"/>
          <w:spacing w:val="-4"/>
          <w:szCs w:val="21"/>
          <w:highlight w:val="none"/>
        </w:rPr>
        <w:t>报价超过招标文件中规定的预算金额或者最高限价的</w:t>
      </w:r>
      <w:r>
        <w:rPr>
          <w:rFonts w:hint="eastAsia" w:ascii="宋体" w:hAnsi="宋体"/>
          <w:color w:val="auto"/>
          <w:spacing w:val="-4"/>
          <w:szCs w:val="21"/>
          <w:highlight w:val="none"/>
        </w:rPr>
        <w:t>；</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②未采用人民币报价或者未按照招标文件标明的币种报价的；</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③投标报价具有选择性；</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④</w:t>
      </w:r>
      <w:r>
        <w:rPr>
          <w:rFonts w:hint="eastAsia" w:ascii="宋体" w:hAnsi="宋体" w:cs="Courier New"/>
          <w:color w:val="auto"/>
          <w:szCs w:val="21"/>
          <w:highlight w:val="none"/>
        </w:rPr>
        <w:t>评标委员会认为投标人的报价明显低于其他通过符合性审查投标人的报价，有可能影响产品质量或者不能诚信履约的，投标人不能证明其报价合理性的</w:t>
      </w:r>
      <w:r>
        <w:rPr>
          <w:rFonts w:hint="eastAsia" w:ascii="宋体" w:hAnsi="宋体"/>
          <w:color w:val="auto"/>
          <w:spacing w:val="-4"/>
          <w:szCs w:val="21"/>
          <w:highlight w:val="none"/>
        </w:rPr>
        <w:t>；</w:t>
      </w:r>
    </w:p>
    <w:p>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⑤</w:t>
      </w:r>
      <w:r>
        <w:rPr>
          <w:rFonts w:hint="eastAsia" w:ascii="宋体" w:hAnsi="宋体"/>
          <w:color w:val="auto"/>
          <w:szCs w:val="21"/>
          <w:highlight w:val="none"/>
        </w:rPr>
        <w:t>投标人在政采云平台制作投标文件时填写的报价金额与解密后“电子加密投标文件”中报价金额不一致的，以解密后“电子加密投标文件”中报价金额为准，投标人拒绝接受此调整的，视为无效投标文件。</w:t>
      </w:r>
    </w:p>
    <w:p>
      <w:pPr>
        <w:snapToGrid w:val="0"/>
        <w:spacing w:line="410" w:lineRule="exact"/>
        <w:ind w:firstLine="211" w:firstLineChars="100"/>
        <w:rPr>
          <w:rFonts w:ascii="宋体" w:hAnsi="宋体"/>
          <w:b/>
          <w:bCs/>
          <w:color w:val="auto"/>
          <w:szCs w:val="21"/>
          <w:highlight w:val="none"/>
        </w:rPr>
      </w:pPr>
      <w:r>
        <w:rPr>
          <w:rFonts w:hint="eastAsia" w:ascii="宋体" w:hAnsi="宋体"/>
          <w:b/>
          <w:bCs/>
          <w:color w:val="auto"/>
          <w:szCs w:val="21"/>
          <w:highlight w:val="none"/>
        </w:rPr>
        <w:t>（四）比较与评价</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Courier New" w:cs="Courier New"/>
          <w:color w:val="auto"/>
          <w:szCs w:val="21"/>
          <w:highlight w:val="none"/>
        </w:rPr>
        <w:t>评分细则：</w:t>
      </w:r>
      <w:bookmarkStart w:id="193" w:name="_Hlk92463857"/>
      <w:r>
        <w:rPr>
          <w:rFonts w:hint="eastAsia" w:ascii="宋体" w:hAnsi="Courier New" w:cs="Courier New"/>
          <w:color w:val="auto"/>
          <w:szCs w:val="21"/>
          <w:highlight w:val="none"/>
        </w:rPr>
        <w:t>详见第四章《评定标准及推荐原则》</w:t>
      </w:r>
      <w:bookmarkEnd w:id="193"/>
      <w:r>
        <w:rPr>
          <w:rFonts w:hint="eastAsia" w:ascii="宋体" w:hAnsi="Courier New" w:cs="Courier New"/>
          <w:color w:val="auto"/>
          <w:szCs w:val="21"/>
          <w:highlight w:val="none"/>
        </w:rPr>
        <w:t>。</w:t>
      </w:r>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评标委员会按评分细则对各投标人的投标文件进行评价打分，由政府采购云平台进行计算。</w:t>
      </w:r>
    </w:p>
    <w:p>
      <w:pPr>
        <w:snapToGrid w:val="0"/>
        <w:spacing w:line="410" w:lineRule="exact"/>
        <w:ind w:firstLine="420"/>
        <w:rPr>
          <w:rFonts w:hint="eastAsia" w:ascii="宋体" w:hAnsi="宋体"/>
          <w:color w:val="auto"/>
          <w:szCs w:val="21"/>
          <w:highlight w:val="none"/>
        </w:rPr>
      </w:pPr>
      <w:bookmarkStart w:id="194" w:name="_Hlk90303998"/>
      <w:r>
        <w:rPr>
          <w:rFonts w:ascii="宋体" w:hAnsi="宋体"/>
          <w:color w:val="auto"/>
          <w:szCs w:val="21"/>
          <w:highlight w:val="none"/>
        </w:rPr>
        <w:t>2.</w:t>
      </w:r>
      <w:r>
        <w:rPr>
          <w:rFonts w:hint="eastAsia" w:ascii="宋体" w:hAnsi="宋体"/>
          <w:color w:val="auto"/>
          <w:szCs w:val="21"/>
          <w:highlight w:val="none"/>
        </w:rPr>
        <w:t>评标委员会</w:t>
      </w:r>
      <w:bookmarkEnd w:id="194"/>
      <w:r>
        <w:rPr>
          <w:rFonts w:hint="eastAsia" w:ascii="宋体" w:hAnsi="宋体"/>
          <w:color w:val="auto"/>
          <w:szCs w:val="21"/>
          <w:highlight w:val="none"/>
        </w:rPr>
        <w:t>完成评标后,由政府采购云平台对各投标人各项得分进行汇总，计算各投标人最终得分。评标委员会按推荐原则推荐中标候选人同时形成评标报告。</w:t>
      </w:r>
      <w:bookmarkStart w:id="195" w:name="_Toc352700436"/>
      <w:bookmarkStart w:id="196" w:name="_Toc353785306"/>
    </w:p>
    <w:p>
      <w:pPr>
        <w:snapToGrid w:val="0"/>
        <w:spacing w:line="410" w:lineRule="exact"/>
        <w:ind w:firstLine="211" w:firstLineChars="100"/>
        <w:rPr>
          <w:rFonts w:ascii="宋体" w:hAnsi="宋体"/>
          <w:b/>
          <w:bCs/>
          <w:color w:val="auto"/>
          <w:szCs w:val="32"/>
          <w:highlight w:val="none"/>
        </w:rPr>
      </w:pPr>
      <w:r>
        <w:rPr>
          <w:rFonts w:hint="eastAsia" w:ascii="宋体" w:hAnsi="宋体"/>
          <w:b/>
          <w:bCs/>
          <w:color w:val="auto"/>
          <w:szCs w:val="32"/>
          <w:highlight w:val="none"/>
        </w:rPr>
        <w:t>（五）澄清问题的形式</w:t>
      </w:r>
      <w:bookmarkEnd w:id="195"/>
      <w:bookmarkEnd w:id="196"/>
    </w:p>
    <w:p>
      <w:pPr>
        <w:spacing w:line="410" w:lineRule="exact"/>
        <w:ind w:firstLine="420"/>
        <w:rPr>
          <w:color w:val="auto"/>
          <w:highlight w:val="none"/>
        </w:rPr>
      </w:pPr>
      <w:bookmarkStart w:id="197" w:name="_Toc353785307"/>
      <w:bookmarkStart w:id="198" w:name="_Toc352700437"/>
      <w:r>
        <w:rPr>
          <w:rFonts w:hint="eastAsia"/>
          <w:color w:val="auto"/>
          <w:highlight w:val="none"/>
        </w:rPr>
        <w:t>对于投标文件中含义不明确、同类问题表述不一致或者有明显文字和计算错误的内容，评标委员会应当以书面形式要求投标人作出必要的</w:t>
      </w:r>
      <w:bookmarkStart w:id="199" w:name="_Hlk92457660"/>
      <w:r>
        <w:rPr>
          <w:rFonts w:hint="eastAsia"/>
          <w:color w:val="auto"/>
          <w:highlight w:val="none"/>
        </w:rPr>
        <w:t>澄清、说明或者补正</w:t>
      </w:r>
      <w:bookmarkEnd w:id="199"/>
      <w:r>
        <w:rPr>
          <w:rFonts w:hint="eastAsia"/>
          <w:color w:val="auto"/>
          <w:highlight w:val="none"/>
        </w:rPr>
        <w:t>。投标人的澄清、说明或者补正应当采用书面形式，并加盖公章，或者由法定代表人或其授权的代表签名。投标人的澄清、说明或者补正不得超出投标文件的范围或者改变投标文件的实质性内容。</w:t>
      </w:r>
    </w:p>
    <w:p>
      <w:pPr>
        <w:spacing w:line="410" w:lineRule="exact"/>
        <w:ind w:firstLine="211" w:firstLineChars="100"/>
        <w:rPr>
          <w:b/>
          <w:bCs/>
          <w:color w:val="auto"/>
          <w:highlight w:val="none"/>
        </w:rPr>
      </w:pPr>
      <w:r>
        <w:rPr>
          <w:rFonts w:hint="eastAsia"/>
          <w:b/>
          <w:bCs/>
          <w:color w:val="auto"/>
          <w:highlight w:val="none"/>
        </w:rPr>
        <w:t>（六）错误修正</w:t>
      </w:r>
      <w:bookmarkEnd w:id="197"/>
      <w:bookmarkEnd w:id="198"/>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投标文件报价出现前后不一致的，除招标文件另有规定外，按照下列规定修正：</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1</w:t>
      </w:r>
      <w:r>
        <w:rPr>
          <w:rFonts w:ascii="宋体" w:hAnsi="宋体" w:cs="Courier New"/>
          <w:color w:val="auto"/>
          <w:szCs w:val="21"/>
          <w:highlight w:val="none"/>
        </w:rPr>
        <w:t>.</w:t>
      </w:r>
      <w:r>
        <w:rPr>
          <w:rFonts w:hint="eastAsia" w:ascii="宋体" w:hAnsi="宋体" w:cs="Courier New"/>
          <w:color w:val="auto"/>
          <w:szCs w:val="21"/>
          <w:highlight w:val="none"/>
        </w:rPr>
        <w:t>投标文件中开标一览表内容</w:t>
      </w:r>
      <w:bookmarkStart w:id="200" w:name="_Hlk92464203"/>
      <w:r>
        <w:rPr>
          <w:rFonts w:hint="eastAsia" w:ascii="宋体" w:hAnsi="宋体" w:cs="Courier New"/>
          <w:color w:val="auto"/>
          <w:szCs w:val="21"/>
          <w:highlight w:val="none"/>
        </w:rPr>
        <w:t>与投标文件中相应内容不一致的</w:t>
      </w:r>
      <w:bookmarkEnd w:id="200"/>
      <w:r>
        <w:rPr>
          <w:rFonts w:hint="eastAsia" w:ascii="宋体" w:hAnsi="宋体" w:cs="Courier New"/>
          <w:color w:val="auto"/>
          <w:szCs w:val="21"/>
          <w:highlight w:val="none"/>
        </w:rPr>
        <w:t>，以开标一览表为准；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2</w:t>
      </w:r>
      <w:r>
        <w:rPr>
          <w:rFonts w:ascii="宋体" w:hAnsi="宋体" w:cs="Courier New"/>
          <w:color w:val="auto"/>
          <w:szCs w:val="21"/>
          <w:highlight w:val="none"/>
        </w:rPr>
        <w:t>.</w:t>
      </w:r>
      <w:r>
        <w:rPr>
          <w:rFonts w:hint="eastAsia" w:ascii="宋体" w:hAnsi="宋体" w:cs="Courier New"/>
          <w:color w:val="auto"/>
          <w:szCs w:val="21"/>
          <w:highlight w:val="none"/>
        </w:rPr>
        <w:t>大写金额和小写金额不一致的，以大写金额为准；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Courier New"/>
          <w:color w:val="auto"/>
          <w:szCs w:val="21"/>
          <w:highlight w:val="none"/>
        </w:rPr>
        <w:t>单价金额小数点或者百分比有明显错位的，以开标一览表的总价为准，并修改单价；</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4</w:t>
      </w:r>
      <w:r>
        <w:rPr>
          <w:rFonts w:ascii="宋体" w:hAnsi="宋体" w:cs="Courier New"/>
          <w:color w:val="auto"/>
          <w:szCs w:val="21"/>
          <w:highlight w:val="none"/>
        </w:rPr>
        <w:t>.</w:t>
      </w:r>
      <w:r>
        <w:rPr>
          <w:rFonts w:hint="eastAsia" w:ascii="宋体" w:hAnsi="宋体" w:cs="Courier New"/>
          <w:color w:val="auto"/>
          <w:szCs w:val="21"/>
          <w:highlight w:val="none"/>
        </w:rPr>
        <w:t>总价金额与按单价汇总金额不一致的，以单价金额计算结果为准。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同时出现两种以上不一致的，按照前款规定的顺序修正。修正后的报价按照澄清、说明或者补正的规定经投标人确认后产生约束力，投标人不确认的，其投标无效。</w:t>
      </w:r>
    </w:p>
    <w:bookmarkEnd w:id="175"/>
    <w:bookmarkEnd w:id="176"/>
    <w:p>
      <w:pPr>
        <w:pStyle w:val="26"/>
        <w:spacing w:line="410" w:lineRule="exact"/>
        <w:ind w:firstLine="211" w:firstLineChars="100"/>
        <w:rPr>
          <w:rFonts w:hint="eastAsia" w:hAnsi="宋体"/>
          <w:b/>
          <w:color w:val="auto"/>
          <w:highlight w:val="none"/>
        </w:rPr>
      </w:pPr>
      <w:bookmarkStart w:id="201" w:name="_Toc353785299"/>
      <w:bookmarkStart w:id="202" w:name="_Toc254970544"/>
      <w:bookmarkStart w:id="203" w:name="_Toc254970685"/>
      <w:bookmarkStart w:id="204" w:name="_Toc352700429"/>
      <w:r>
        <w:rPr>
          <w:rFonts w:hint="eastAsia" w:hAnsi="宋体"/>
          <w:b/>
          <w:color w:val="auto"/>
          <w:highlight w:val="none"/>
        </w:rPr>
        <w:t>（七）核心产品相同品牌产品投标、串通投标、恶意串通行为的说明：</w:t>
      </w:r>
    </w:p>
    <w:p>
      <w:pPr>
        <w:spacing w:line="410" w:lineRule="exact"/>
        <w:ind w:firstLine="42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本项目不同投标人提供相同品牌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10" w:lineRule="exact"/>
        <w:ind w:firstLine="42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有下列情形之一的视为供应商相互串通投标，投标文件将被视为无效：</w:t>
      </w:r>
    </w:p>
    <w:p>
      <w:pPr>
        <w:spacing w:line="410" w:lineRule="exact"/>
        <w:ind w:firstLine="420"/>
        <w:rPr>
          <w:rFonts w:hint="eastAsia" w:ascii="宋体" w:hAnsi="宋体" w:eastAsia="宋体"/>
          <w:color w:val="auto"/>
          <w:highlight w:val="none"/>
          <w:lang w:eastAsia="zh-CN"/>
        </w:rPr>
      </w:pPr>
      <w:r>
        <w:rPr>
          <w:rFonts w:hint="eastAsia" w:ascii="宋体" w:hAnsi="宋体"/>
          <w:color w:val="auto"/>
          <w:highlight w:val="none"/>
        </w:rPr>
        <w:t>(</w:t>
      </w:r>
      <w:r>
        <w:rPr>
          <w:rFonts w:ascii="宋体" w:hAnsi="宋体"/>
          <w:color w:val="auto"/>
          <w:highlight w:val="none"/>
        </w:rPr>
        <w:t>1)不同投标人的投标文件由同一单位或者个人编制</w:t>
      </w:r>
      <w:bookmarkStart w:id="205" w:name="OLE_LINK10"/>
      <w:r>
        <w:rPr>
          <w:rFonts w:hint="eastAsia" w:ascii="宋体" w:hAnsi="宋体"/>
          <w:color w:val="auto"/>
          <w:highlight w:val="none"/>
          <w:lang w:eastAsia="zh-CN"/>
        </w:rPr>
        <w:t>；</w:t>
      </w:r>
      <w:r>
        <w:rPr>
          <w:rFonts w:hint="eastAsia" w:ascii="宋体" w:hAnsi="宋体"/>
          <w:color w:val="auto"/>
          <w:highlight w:val="none"/>
        </w:rPr>
        <w:t>或不同投标人报名的IP地址一致的</w:t>
      </w:r>
      <w:r>
        <w:rPr>
          <w:rFonts w:hint="eastAsia" w:ascii="宋体" w:hAnsi="宋体"/>
          <w:color w:val="auto"/>
          <w:highlight w:val="none"/>
          <w:lang w:eastAsia="zh-CN"/>
        </w:rPr>
        <w:t>；</w:t>
      </w:r>
      <w:bookmarkEnd w:id="205"/>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2)不同投标人委托同一单位或者个人办理投标事宜；</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3)不同投标人的投标文件载明的项目管理成员或者联系人员为同一人；</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4)不同投标人的投标文件异常一致或者投标报价呈规律性差异；</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5)不同投标人的投标文件相互混装；</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6)不同投标人的投标保证金从同一单位或者个人的账户转出。</w:t>
      </w:r>
    </w:p>
    <w:p>
      <w:pPr>
        <w:spacing w:line="410" w:lineRule="exact"/>
        <w:ind w:firstLine="42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供应商有下列情形之一的，属于</w:t>
      </w:r>
      <w:bookmarkStart w:id="206" w:name="_Hlk90304995"/>
      <w:r>
        <w:rPr>
          <w:rFonts w:hint="eastAsia" w:ascii="宋体" w:hAnsi="宋体"/>
          <w:color w:val="auto"/>
          <w:highlight w:val="none"/>
        </w:rPr>
        <w:t>恶意串通</w:t>
      </w:r>
      <w:bookmarkEnd w:id="206"/>
      <w:r>
        <w:rPr>
          <w:rFonts w:hint="eastAsia" w:ascii="宋体" w:hAnsi="宋体"/>
          <w:color w:val="auto"/>
          <w:highlight w:val="none"/>
        </w:rPr>
        <w:t>：</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供应商直接或者间接从采购人或者采购代理机构处获得其他供应商的相关信息并修改其投标文件：</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供应商按照采购人或者采购代理机构的授意撤换、修改投标文件；</w:t>
      </w:r>
    </w:p>
    <w:p>
      <w:pPr>
        <w:spacing w:line="410" w:lineRule="exact"/>
        <w:ind w:firstLine="0" w:firstLineChars="0"/>
        <w:rPr>
          <w:rFonts w:hint="eastAsia" w:ascii="宋体" w:hAnsi="宋体"/>
          <w:color w:val="auto"/>
          <w:highlight w:val="none"/>
        </w:rPr>
      </w:pPr>
      <w:r>
        <w:rPr>
          <w:rFonts w:ascii="宋体" w:hAnsi="宋体"/>
          <w:color w:val="auto"/>
          <w:highlight w:val="none"/>
        </w:rPr>
        <w:tab/>
      </w: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供应商之间协商报价、技术方案等投标文件的实质性内容；</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属于同一集团、协会、商会等组织成员的供应商按照该组织要求协同参加政府采购活动；</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供应商之间事先约定一致抬高或者压低报价，或者在采购项目中事先约定轮流以高价位或者低价位成交，或者事先约定由某一特定供应商成交，然后再参加投标；</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供应商之间商定部分供应商放弃参加政府采购活动或者放弃成交；</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供应商与采购人或者采购代理机构之间、供应商相互之间，为谋求特定供应商成交或者排斥其他供应商的其他串通行为。</w:t>
      </w:r>
    </w:p>
    <w:p>
      <w:pPr>
        <w:pStyle w:val="26"/>
        <w:spacing w:line="410" w:lineRule="exact"/>
        <w:ind w:firstLine="211" w:firstLineChars="100"/>
        <w:rPr>
          <w:rFonts w:hAnsi="宋体"/>
          <w:b/>
          <w:color w:val="auto"/>
          <w:highlight w:val="none"/>
        </w:rPr>
      </w:pPr>
      <w:r>
        <w:rPr>
          <w:rFonts w:hint="eastAsia" w:hAnsi="宋体"/>
          <w:b/>
          <w:color w:val="auto"/>
          <w:highlight w:val="none"/>
        </w:rPr>
        <w:t>（八）废标</w:t>
      </w:r>
    </w:p>
    <w:p>
      <w:pPr>
        <w:pStyle w:val="26"/>
        <w:spacing w:line="410" w:lineRule="exact"/>
        <w:ind w:firstLine="420"/>
        <w:rPr>
          <w:rFonts w:hAnsi="宋体"/>
          <w:color w:val="auto"/>
          <w:highlight w:val="none"/>
        </w:rPr>
      </w:pPr>
      <w:r>
        <w:rPr>
          <w:rFonts w:hAnsi="宋体"/>
          <w:color w:val="auto"/>
          <w:highlight w:val="none"/>
        </w:rPr>
        <w:t>出现下列情形之一的，应予废标：</w:t>
      </w:r>
    </w:p>
    <w:p>
      <w:pPr>
        <w:pStyle w:val="26"/>
        <w:spacing w:line="410" w:lineRule="exact"/>
        <w:ind w:firstLine="420"/>
        <w:rPr>
          <w:rFonts w:hAnsi="宋体"/>
          <w:color w:val="auto"/>
          <w:highlight w:val="none"/>
        </w:rPr>
      </w:pPr>
      <w:r>
        <w:rPr>
          <w:rFonts w:hint="eastAsia" w:hAnsi="宋体"/>
          <w:color w:val="auto"/>
          <w:highlight w:val="none"/>
        </w:rPr>
        <w:t>1</w:t>
      </w:r>
      <w:r>
        <w:rPr>
          <w:rFonts w:hAnsi="宋体"/>
          <w:color w:val="auto"/>
          <w:highlight w:val="none"/>
        </w:rPr>
        <w:t>.符合专业条件的供应商或者对招标文件作实质响应的供应商不足三家的；</w:t>
      </w:r>
    </w:p>
    <w:p>
      <w:pPr>
        <w:pStyle w:val="26"/>
        <w:spacing w:line="410" w:lineRule="exact"/>
        <w:ind w:firstLine="420"/>
        <w:rPr>
          <w:rFonts w:hAnsi="宋体"/>
          <w:color w:val="auto"/>
          <w:highlight w:val="none"/>
        </w:rPr>
      </w:pPr>
      <w:r>
        <w:rPr>
          <w:rFonts w:hint="eastAsia" w:hAnsi="宋体"/>
          <w:color w:val="auto"/>
          <w:highlight w:val="none"/>
        </w:rPr>
        <w:t>2</w:t>
      </w:r>
      <w:r>
        <w:rPr>
          <w:rFonts w:hAnsi="宋体"/>
          <w:color w:val="auto"/>
          <w:highlight w:val="none"/>
        </w:rPr>
        <w:t>.出现影响采购公正的违法、违规行为的；</w:t>
      </w:r>
    </w:p>
    <w:p>
      <w:pPr>
        <w:pStyle w:val="26"/>
        <w:spacing w:line="410" w:lineRule="exact"/>
        <w:ind w:firstLine="420"/>
        <w:rPr>
          <w:rFonts w:hAnsi="宋体"/>
          <w:color w:val="auto"/>
          <w:highlight w:val="none"/>
        </w:rPr>
      </w:pPr>
      <w:r>
        <w:rPr>
          <w:rFonts w:hint="eastAsia" w:hAnsi="宋体"/>
          <w:color w:val="auto"/>
          <w:highlight w:val="none"/>
        </w:rPr>
        <w:t>3</w:t>
      </w:r>
      <w:r>
        <w:rPr>
          <w:rFonts w:hAnsi="宋体"/>
          <w:color w:val="auto"/>
          <w:highlight w:val="none"/>
        </w:rPr>
        <w:t>.投标人的报价均超过了采购预算，采购人不能支付的；</w:t>
      </w:r>
    </w:p>
    <w:p>
      <w:pPr>
        <w:pStyle w:val="26"/>
        <w:spacing w:line="410" w:lineRule="exact"/>
        <w:ind w:firstLine="420"/>
        <w:rPr>
          <w:rFonts w:hAnsi="宋体"/>
          <w:color w:val="auto"/>
          <w:highlight w:val="none"/>
        </w:rPr>
      </w:pPr>
      <w:r>
        <w:rPr>
          <w:rFonts w:hint="eastAsia" w:hAnsi="宋体"/>
          <w:color w:val="auto"/>
          <w:highlight w:val="none"/>
        </w:rPr>
        <w:t>4</w:t>
      </w:r>
      <w:r>
        <w:rPr>
          <w:rFonts w:hAnsi="宋体"/>
          <w:color w:val="auto"/>
          <w:highlight w:val="none"/>
        </w:rPr>
        <w:t>.因重大变故，采购任务取消的。</w:t>
      </w:r>
      <w:bookmarkEnd w:id="201"/>
      <w:bookmarkEnd w:id="202"/>
      <w:bookmarkEnd w:id="203"/>
      <w:bookmarkEnd w:id="204"/>
    </w:p>
    <w:p>
      <w:pPr>
        <w:spacing w:line="410" w:lineRule="exact"/>
        <w:ind w:firstLine="211" w:firstLineChars="100"/>
        <w:rPr>
          <w:b/>
          <w:bCs/>
          <w:color w:val="auto"/>
          <w:highlight w:val="none"/>
        </w:rPr>
      </w:pPr>
      <w:bookmarkStart w:id="207" w:name="_Toc352700439"/>
      <w:bookmarkStart w:id="208" w:name="_Toc353785309"/>
      <w:r>
        <w:rPr>
          <w:rFonts w:hint="eastAsia"/>
          <w:b/>
          <w:bCs/>
          <w:color w:val="auto"/>
          <w:highlight w:val="none"/>
        </w:rPr>
        <w:t>（</w:t>
      </w:r>
      <w:r>
        <w:rPr>
          <w:rFonts w:hint="eastAsia" w:hAnsi="宋体"/>
          <w:b/>
          <w:color w:val="auto"/>
          <w:highlight w:val="none"/>
        </w:rPr>
        <w:t>九</w:t>
      </w:r>
      <w:r>
        <w:rPr>
          <w:rFonts w:hint="eastAsia"/>
          <w:b/>
          <w:bCs/>
          <w:color w:val="auto"/>
          <w:highlight w:val="none"/>
        </w:rPr>
        <w:t>）评标过程的监控</w:t>
      </w:r>
      <w:bookmarkEnd w:id="207"/>
      <w:bookmarkEnd w:id="208"/>
    </w:p>
    <w:p>
      <w:pPr>
        <w:snapToGrid w:val="0"/>
        <w:spacing w:line="410" w:lineRule="exact"/>
        <w:ind w:firstLine="420"/>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本项目评标过程实行全程录音、录像监控，投标人在评标过程中所进行的试图影响评标结果的不公正活动，可能导致其投标无效。</w:t>
      </w:r>
    </w:p>
    <w:p>
      <w:pPr>
        <w:snapToGrid w:val="0"/>
        <w:spacing w:line="410" w:lineRule="exact"/>
        <w:ind w:firstLine="420"/>
        <w:rPr>
          <w:rFonts w:hint="eastAsia" w:ascii="宋体" w:hAnsi="宋体"/>
          <w:color w:val="auto"/>
          <w:szCs w:val="21"/>
          <w:highlight w:val="none"/>
        </w:rPr>
      </w:pPr>
    </w:p>
    <w:p>
      <w:pPr>
        <w:pStyle w:val="5"/>
        <w:spacing w:before="0" w:after="0" w:line="410" w:lineRule="exact"/>
        <w:ind w:firstLine="0" w:firstLineChars="0"/>
        <w:rPr>
          <w:rFonts w:ascii="方正小标宋_GBK" w:eastAsia="方正小标宋_GBK"/>
          <w:b w:val="0"/>
          <w:color w:val="auto"/>
          <w:sz w:val="24"/>
          <w:szCs w:val="24"/>
          <w:highlight w:val="none"/>
        </w:rPr>
      </w:pPr>
      <w:bookmarkStart w:id="209" w:name="_Toc353785310"/>
      <w:bookmarkStart w:id="210" w:name="_Toc254970546"/>
      <w:bookmarkStart w:id="211" w:name="_Toc352700440"/>
      <w:bookmarkStart w:id="212" w:name="_Toc254970687"/>
      <w:r>
        <w:rPr>
          <w:rFonts w:hint="eastAsia" w:ascii="方正小标宋_GBK" w:eastAsia="方正小标宋_GBK"/>
          <w:b w:val="0"/>
          <w:color w:val="auto"/>
          <w:sz w:val="24"/>
          <w:szCs w:val="24"/>
          <w:highlight w:val="none"/>
        </w:rPr>
        <w:t>六、评标结果</w:t>
      </w:r>
      <w:bookmarkEnd w:id="209"/>
      <w:bookmarkEnd w:id="210"/>
      <w:bookmarkEnd w:id="211"/>
      <w:bookmarkEnd w:id="212"/>
    </w:p>
    <w:p>
      <w:pPr>
        <w:pStyle w:val="26"/>
        <w:spacing w:line="410" w:lineRule="exact"/>
        <w:ind w:firstLine="210" w:firstLineChars="100"/>
        <w:rPr>
          <w:rFonts w:hAnsi="宋体"/>
          <w:color w:val="auto"/>
          <w:highlight w:val="none"/>
        </w:rPr>
      </w:pPr>
      <w:r>
        <w:rPr>
          <w:rFonts w:hint="eastAsia" w:hAnsi="宋体"/>
          <w:bCs/>
          <w:color w:val="auto"/>
          <w:highlight w:val="none"/>
        </w:rPr>
        <w:t>（一）</w:t>
      </w:r>
      <w:r>
        <w:rPr>
          <w:rFonts w:hint="eastAsia" w:hAnsi="宋体"/>
          <w:color w:val="auto"/>
          <w:highlight w:val="none"/>
        </w:rPr>
        <w:t>本中心将在评标结束后2个工作日内将评标报告送采购人，采购人在5个工作日内按照评标报告中推荐的中标候选供应商顺序确定中标人。中标候选人并列的，由采购人或者采购人委托评标委员会按照招标文件规定的方式确定中标人；招标文件未规定的，采取随机抽取的方式确定。采购人也可以授权评标委员会直接确定中标人。</w:t>
      </w:r>
    </w:p>
    <w:p>
      <w:pPr>
        <w:snapToGrid w:val="0"/>
        <w:spacing w:line="410" w:lineRule="exact"/>
        <w:ind w:firstLine="210" w:firstLineChars="100"/>
        <w:rPr>
          <w:rFonts w:ascii="宋体" w:hAnsi="宋体"/>
          <w:color w:val="auto"/>
          <w:highlight w:val="none"/>
        </w:rPr>
      </w:pPr>
      <w:r>
        <w:rPr>
          <w:rFonts w:hint="eastAsia"/>
          <w:color w:val="auto"/>
          <w:highlight w:val="none"/>
        </w:rPr>
        <w:t>（二）中标人确定后，本中心</w:t>
      </w:r>
      <w:r>
        <w:rPr>
          <w:rFonts w:hint="eastAsia" w:ascii="宋体" w:hAnsi="宋体"/>
          <w:color w:val="auto"/>
          <w:highlight w:val="none"/>
        </w:rPr>
        <w:t>在省级以上财政部门指定的媒体上公告中标结果，</w:t>
      </w:r>
      <w:r>
        <w:rPr>
          <w:rFonts w:hint="eastAsia" w:hAnsi="宋体"/>
          <w:color w:val="auto"/>
          <w:highlight w:val="none"/>
        </w:rPr>
        <w:t>同时向中标人发出中标通知书</w:t>
      </w:r>
      <w:r>
        <w:rPr>
          <w:rFonts w:hint="eastAsia" w:ascii="宋体" w:hAnsi="宋体"/>
          <w:color w:val="auto"/>
          <w:highlight w:val="none"/>
        </w:rPr>
        <w:t>。</w:t>
      </w:r>
    </w:p>
    <w:p>
      <w:pPr>
        <w:pStyle w:val="26"/>
        <w:spacing w:line="410" w:lineRule="exact"/>
        <w:ind w:firstLine="210" w:firstLineChars="100"/>
        <w:rPr>
          <w:rFonts w:hint="eastAsia" w:hAnsi="宋体"/>
          <w:color w:val="auto"/>
          <w:highlight w:val="none"/>
        </w:rPr>
      </w:pPr>
      <w:r>
        <w:rPr>
          <w:rFonts w:hint="eastAsia" w:hAnsi="宋体"/>
          <w:color w:val="auto"/>
          <w:highlight w:val="none"/>
        </w:rPr>
        <w:t>（三）</w:t>
      </w:r>
      <w:bookmarkStart w:id="213" w:name="_Toc353785311"/>
      <w:bookmarkStart w:id="214" w:name="_Toc352700441"/>
      <w:r>
        <w:rPr>
          <w:rFonts w:hint="eastAsia" w:hAnsi="宋体"/>
          <w:color w:val="auto"/>
          <w:highlight w:val="none"/>
        </w:rPr>
        <w:t>中标通知书发出后，采购人不得违法改变中标结果，中标人无正当理由不得放弃中标。</w:t>
      </w:r>
    </w:p>
    <w:p>
      <w:pPr>
        <w:pStyle w:val="26"/>
        <w:spacing w:line="410" w:lineRule="exact"/>
        <w:ind w:firstLine="210" w:firstLineChars="100"/>
        <w:rPr>
          <w:rFonts w:hint="eastAsia" w:hAnsi="宋体"/>
          <w:color w:val="auto"/>
          <w:highlight w:val="none"/>
        </w:rPr>
      </w:pPr>
    </w:p>
    <w:p>
      <w:pPr>
        <w:pStyle w:val="5"/>
        <w:spacing w:before="0" w:after="0" w:line="410" w:lineRule="exact"/>
        <w:ind w:firstLine="0" w:firstLineChars="0"/>
        <w:rPr>
          <w:rFonts w:ascii="方正小标宋_GBK" w:eastAsia="方正小标宋_GBK"/>
          <w:b w:val="0"/>
          <w:color w:val="auto"/>
          <w:sz w:val="24"/>
          <w:szCs w:val="24"/>
          <w:highlight w:val="none"/>
        </w:rPr>
      </w:pPr>
      <w:r>
        <w:rPr>
          <w:rFonts w:hint="eastAsia" w:ascii="方正小标宋_GBK" w:eastAsia="方正小标宋_GBK"/>
          <w:b w:val="0"/>
          <w:color w:val="auto"/>
          <w:sz w:val="24"/>
          <w:szCs w:val="24"/>
          <w:highlight w:val="none"/>
        </w:rPr>
        <w:t>七、签订合同</w:t>
      </w:r>
      <w:bookmarkEnd w:id="213"/>
      <w:bookmarkEnd w:id="214"/>
    </w:p>
    <w:p>
      <w:pPr>
        <w:pStyle w:val="26"/>
        <w:spacing w:line="410" w:lineRule="exact"/>
        <w:ind w:firstLine="210" w:firstLineChars="100"/>
        <w:rPr>
          <w:rFonts w:hAnsi="宋体"/>
          <w:color w:val="auto"/>
          <w:highlight w:val="none"/>
        </w:rPr>
      </w:pPr>
      <w:r>
        <w:rPr>
          <w:rFonts w:hint="eastAsia" w:hAnsi="宋体" w:cs="Times New Roman"/>
          <w:color w:val="auto"/>
          <w:szCs w:val="32"/>
          <w:highlight w:val="none"/>
        </w:rPr>
        <w:t>（一）</w:t>
      </w:r>
      <w:r>
        <w:rPr>
          <w:rFonts w:hint="eastAsia" w:hAnsi="宋体"/>
          <w:color w:val="auto"/>
          <w:highlight w:val="none"/>
        </w:rPr>
        <w:t>采购人应当自中标通知书发出之日起15日内，按照招标文件和中标人投标文件的规定，与中标人签订书面合同。所签订的合同不得对招标文件确定的事项和中标人投标文件作实质性修改。</w:t>
      </w:r>
    </w:p>
    <w:p>
      <w:pPr>
        <w:pStyle w:val="26"/>
        <w:spacing w:line="410" w:lineRule="exact"/>
        <w:ind w:firstLine="210" w:firstLineChars="100"/>
        <w:rPr>
          <w:rFonts w:hAnsi="宋体"/>
          <w:color w:val="auto"/>
          <w:highlight w:val="none"/>
        </w:rPr>
      </w:pPr>
      <w:r>
        <w:rPr>
          <w:rFonts w:hint="eastAsia" w:hAnsi="宋体"/>
          <w:color w:val="auto"/>
          <w:highlight w:val="none"/>
        </w:rPr>
        <w:t>（二）中标通知书对采购人和中标人均具有法律效力。中标通知书发出后，采购人改变中标结果的，或者中标人放弃中标项目的，应当依法承担法律责任。</w:t>
      </w:r>
    </w:p>
    <w:p>
      <w:pPr>
        <w:pStyle w:val="26"/>
        <w:spacing w:line="410" w:lineRule="exact"/>
        <w:ind w:firstLine="210" w:firstLineChars="100"/>
        <w:rPr>
          <w:rFonts w:hAnsi="宋体"/>
          <w:color w:val="auto"/>
          <w:highlight w:val="none"/>
        </w:rPr>
      </w:pPr>
      <w:r>
        <w:rPr>
          <w:rFonts w:hint="eastAsia" w:hAnsi="宋体"/>
          <w:color w:val="auto"/>
          <w:highlight w:val="none"/>
        </w:rPr>
        <w:t>（三）</w:t>
      </w:r>
      <w:r>
        <w:rPr>
          <w:rFonts w:hint="eastAsia" w:hAnsi="宋体" w:cs="宋体"/>
          <w:color w:val="auto"/>
          <w:kern w:val="0"/>
          <w:highlight w:val="none"/>
        </w:rPr>
        <w:t>中标人可凭成交通知书或政府采购合同等在内的相关材料、信息，通过中征应收账款融资服务平台向银行业金融机构在线申请</w:t>
      </w:r>
      <w:r>
        <w:rPr>
          <w:rFonts w:hAnsi="宋体" w:cs="宋体"/>
          <w:color w:val="auto"/>
          <w:kern w:val="0"/>
          <w:highlight w:val="none"/>
        </w:rPr>
        <w:t>“</w:t>
      </w:r>
      <w:r>
        <w:rPr>
          <w:rFonts w:hint="eastAsia" w:hAnsi="宋体" w:cs="宋体"/>
          <w:color w:val="auto"/>
          <w:kern w:val="0"/>
          <w:highlight w:val="none"/>
        </w:rPr>
        <w:t>政采贷”融资。</w:t>
      </w:r>
    </w:p>
    <w:p>
      <w:pPr>
        <w:pStyle w:val="26"/>
        <w:spacing w:line="410" w:lineRule="exact"/>
        <w:ind w:firstLine="210" w:firstLineChars="100"/>
        <w:rPr>
          <w:rFonts w:hAnsi="宋体"/>
          <w:color w:val="auto"/>
          <w:highlight w:val="none"/>
        </w:rPr>
      </w:pPr>
      <w:r>
        <w:rPr>
          <w:rFonts w:hint="eastAsia" w:hAnsi="宋体"/>
          <w:color w:val="auto"/>
          <w:highlight w:val="none"/>
        </w:rPr>
        <w:t>（四）中标人拒绝与采购人签订合同的，采购人可以按照评标报告推荐的中标候选人名单排序，确定下一候选人为中标人，也可以重新开展政府采购活动。</w:t>
      </w:r>
    </w:p>
    <w:p>
      <w:pPr>
        <w:pStyle w:val="26"/>
        <w:spacing w:line="410" w:lineRule="exact"/>
        <w:ind w:firstLine="210" w:firstLineChars="100"/>
        <w:rPr>
          <w:rFonts w:hint="eastAsia" w:hAnsi="宋体"/>
          <w:color w:val="auto"/>
          <w:highlight w:val="none"/>
        </w:rPr>
      </w:pPr>
      <w:r>
        <w:rPr>
          <w:rFonts w:hint="eastAsia" w:hAnsi="宋体"/>
          <w:color w:val="auto"/>
          <w:highlight w:val="none"/>
        </w:rPr>
        <w:t>（五）采购人与中标人应当根据合同的约定依法履行合同义务。政府采购合同的履行、违约责任和解决争议的方法等适用《中华人民共和国民法典》。</w:t>
      </w:r>
    </w:p>
    <w:p>
      <w:pPr>
        <w:pStyle w:val="26"/>
        <w:spacing w:line="410" w:lineRule="exact"/>
        <w:ind w:firstLine="0" w:firstLineChars="0"/>
        <w:rPr>
          <w:rFonts w:hint="eastAsia" w:hAnsi="宋体"/>
          <w:color w:val="auto"/>
          <w:highlight w:val="none"/>
        </w:rPr>
      </w:pPr>
    </w:p>
    <w:p>
      <w:pPr>
        <w:spacing w:line="410" w:lineRule="exact"/>
        <w:ind w:firstLine="0" w:firstLineChars="0"/>
        <w:rPr>
          <w:rFonts w:ascii="方正小标宋_GBK" w:eastAsia="方正小标宋_GBK"/>
          <w:b/>
          <w:color w:val="auto"/>
          <w:sz w:val="24"/>
          <w:highlight w:val="none"/>
        </w:rPr>
      </w:pPr>
      <w:bookmarkStart w:id="215" w:name="_Toc352315998"/>
      <w:bookmarkStart w:id="216" w:name="_Toc352700445"/>
      <w:bookmarkStart w:id="217" w:name="_Toc353785315"/>
      <w:r>
        <w:rPr>
          <w:rFonts w:hint="eastAsia" w:ascii="方正小标宋_GBK" w:eastAsia="方正小标宋_GBK"/>
          <w:b/>
          <w:color w:val="auto"/>
          <w:sz w:val="24"/>
          <w:highlight w:val="none"/>
        </w:rPr>
        <w:t>八、适用法律</w:t>
      </w:r>
    </w:p>
    <w:p>
      <w:pPr>
        <w:spacing w:line="410" w:lineRule="exact"/>
        <w:ind w:firstLine="210" w:firstLineChars="100"/>
        <w:rPr>
          <w:rFonts w:ascii="宋体" w:hAnsi="宋体"/>
          <w:color w:val="auto"/>
          <w:szCs w:val="21"/>
          <w:highlight w:val="none"/>
        </w:rPr>
      </w:pPr>
      <w:r>
        <w:rPr>
          <w:rFonts w:hint="eastAsia" w:ascii="宋体" w:hAnsi="宋体"/>
          <w:color w:val="auto"/>
          <w:szCs w:val="21"/>
          <w:highlight w:val="none"/>
        </w:rPr>
        <w:t>本项目采购活动适用于《中华人民共和国政府采购法》及其实施条例、《政府采购货物和服务招标投标管理办法》等规定。</w:t>
      </w:r>
    </w:p>
    <w:p>
      <w:pPr>
        <w:spacing w:line="410" w:lineRule="exact"/>
        <w:ind w:firstLine="0" w:firstLineChars="0"/>
        <w:rPr>
          <w:rFonts w:hint="eastAsia" w:ascii="宋体" w:hAnsi="宋体"/>
          <w:color w:val="auto"/>
          <w:szCs w:val="21"/>
          <w:highlight w:val="none"/>
        </w:rPr>
      </w:pPr>
    </w:p>
    <w:p>
      <w:pPr>
        <w:pStyle w:val="5"/>
        <w:spacing w:before="0" w:after="0" w:line="410" w:lineRule="exact"/>
        <w:ind w:firstLine="0" w:firstLineChars="0"/>
        <w:rPr>
          <w:rFonts w:ascii="方正小标宋_GBK" w:eastAsia="方正小标宋_GBK"/>
          <w:b w:val="0"/>
          <w:color w:val="auto"/>
          <w:sz w:val="24"/>
          <w:szCs w:val="24"/>
          <w:highlight w:val="none"/>
        </w:rPr>
      </w:pPr>
      <w:bookmarkStart w:id="218" w:name="_九、其他事项"/>
      <w:bookmarkEnd w:id="218"/>
      <w:r>
        <w:rPr>
          <w:rFonts w:hint="eastAsia" w:ascii="方正小标宋_GBK" w:eastAsia="方正小标宋_GBK"/>
          <w:b w:val="0"/>
          <w:color w:val="auto"/>
          <w:sz w:val="24"/>
          <w:szCs w:val="24"/>
          <w:highlight w:val="none"/>
        </w:rPr>
        <w:t>九、其他事项</w:t>
      </w:r>
      <w:bookmarkEnd w:id="215"/>
      <w:bookmarkEnd w:id="216"/>
      <w:bookmarkEnd w:id="217"/>
    </w:p>
    <w:p>
      <w:pPr>
        <w:pStyle w:val="26"/>
        <w:spacing w:line="410" w:lineRule="exact"/>
        <w:ind w:firstLine="210" w:firstLineChars="100"/>
        <w:rPr>
          <w:rFonts w:hAnsi="宋体"/>
          <w:bCs/>
          <w:color w:val="auto"/>
          <w:highlight w:val="none"/>
        </w:rPr>
      </w:pPr>
      <w:r>
        <w:rPr>
          <w:rFonts w:hint="eastAsia" w:hAnsi="宋体"/>
          <w:bCs/>
          <w:color w:val="auto"/>
          <w:highlight w:val="none"/>
        </w:rPr>
        <w:t>（一）代理服务费</w:t>
      </w:r>
    </w:p>
    <w:p>
      <w:pPr>
        <w:pStyle w:val="26"/>
        <w:spacing w:line="410" w:lineRule="exact"/>
        <w:ind w:firstLine="420"/>
        <w:rPr>
          <w:rFonts w:hAnsi="宋体"/>
          <w:color w:val="auto"/>
          <w:highlight w:val="none"/>
        </w:rPr>
      </w:pPr>
      <w:r>
        <w:rPr>
          <w:rFonts w:hAnsi="宋体"/>
          <w:color w:val="auto"/>
          <w:highlight w:val="none"/>
        </w:rPr>
        <w:t>1.</w:t>
      </w:r>
      <w:bookmarkStart w:id="219" w:name="_Hlk92466646"/>
      <w:r>
        <w:rPr>
          <w:rFonts w:hint="eastAsia" w:hAnsi="宋体"/>
          <w:color w:val="auto"/>
          <w:highlight w:val="none"/>
        </w:rPr>
        <w:t>本中心按钦州市物价局“钦市价费﹝2013﹞4号”文件规定向中标人收取代理服务费，中标人须向本中心一次付清代理服务费。</w:t>
      </w:r>
      <w:bookmarkEnd w:id="219"/>
    </w:p>
    <w:p>
      <w:pPr>
        <w:pStyle w:val="26"/>
        <w:spacing w:line="410" w:lineRule="exact"/>
        <w:ind w:firstLine="420"/>
        <w:rPr>
          <w:rFonts w:hAnsi="宋体"/>
          <w:bCs/>
          <w:color w:val="auto"/>
          <w:highlight w:val="none"/>
        </w:rPr>
      </w:pPr>
      <w:r>
        <w:rPr>
          <w:rFonts w:hAnsi="宋体"/>
          <w:bCs/>
          <w:color w:val="auto"/>
          <w:highlight w:val="none"/>
        </w:rPr>
        <w:t>2.</w:t>
      </w:r>
      <w:bookmarkStart w:id="220" w:name="_Hlk92466736"/>
      <w:r>
        <w:rPr>
          <w:rFonts w:hint="eastAsia" w:hAnsi="宋体"/>
          <w:bCs/>
          <w:color w:val="auto"/>
          <w:highlight w:val="none"/>
        </w:rPr>
        <w:t>代理服务收费标准：</w:t>
      </w:r>
      <w:bookmarkEnd w:id="220"/>
    </w:p>
    <w:tbl>
      <w:tblPr>
        <w:tblStyle w:val="48"/>
        <w:tblW w:w="0" w:type="auto"/>
        <w:tblInd w:w="534" w:type="dxa"/>
        <w:tblLayout w:type="fixed"/>
        <w:tblCellMar>
          <w:top w:w="0" w:type="dxa"/>
          <w:left w:w="108" w:type="dxa"/>
          <w:bottom w:w="0" w:type="dxa"/>
          <w:right w:w="108" w:type="dxa"/>
        </w:tblCellMar>
      </w:tblPr>
      <w:tblGrid>
        <w:gridCol w:w="3255"/>
        <w:gridCol w:w="1899"/>
        <w:gridCol w:w="1980"/>
        <w:gridCol w:w="1980"/>
      </w:tblGrid>
      <w:tr>
        <w:tblPrEx>
          <w:tblCellMar>
            <w:top w:w="0" w:type="dxa"/>
            <w:left w:w="108" w:type="dxa"/>
            <w:bottom w:w="0" w:type="dxa"/>
            <w:right w:w="108" w:type="dxa"/>
          </w:tblCellMar>
        </w:tblPrEx>
        <w:trPr>
          <w:trHeight w:val="1870" w:hRule="atLeast"/>
        </w:trPr>
        <w:tc>
          <w:tcPr>
            <w:tcW w:w="3255" w:type="dxa"/>
            <w:tcBorders>
              <w:top w:val="single" w:color="auto" w:sz="4" w:space="0"/>
              <w:left w:val="single" w:color="000000" w:sz="4" w:space="0"/>
              <w:bottom w:val="single" w:color="000000" w:sz="4" w:space="0"/>
              <w:right w:val="single" w:color="000000" w:sz="4" w:space="0"/>
              <w:tl2br w:val="single" w:color="auto" w:sz="4" w:space="0"/>
            </w:tcBorders>
            <w:noWrap w:val="0"/>
            <w:vAlign w:val="top"/>
          </w:tcPr>
          <w:p>
            <w:pPr>
              <w:widowControl/>
              <w:ind w:firstLine="420"/>
              <w:rPr>
                <w:rFonts w:hint="eastAsia" w:ascii="宋体" w:hAnsi="宋体"/>
                <w:color w:val="auto"/>
                <w:kern w:val="0"/>
                <w:szCs w:val="21"/>
                <w:highlight w:val="none"/>
              </w:rPr>
            </w:pPr>
            <w:r>
              <w:rPr>
                <w:rFonts w:ascii="宋体" w:hAnsi="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8255</wp:posOffset>
                      </wp:positionV>
                      <wp:extent cx="914400" cy="1273810"/>
                      <wp:effectExtent l="5080" t="3810" r="20320" b="17780"/>
                      <wp:wrapNone/>
                      <wp:docPr id="1" name="Line 2"/>
                      <wp:cNvGraphicFramePr/>
                      <a:graphic xmlns:a="http://schemas.openxmlformats.org/drawingml/2006/main">
                        <a:graphicData uri="http://schemas.microsoft.com/office/word/2010/wordprocessingShape">
                          <wps:wsp>
                            <wps:cNvCnPr/>
                            <wps:spPr>
                              <a:xfrm>
                                <a:off x="0" y="0"/>
                                <a:ext cx="914400" cy="127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82.8pt;margin-top:0.65pt;height:100.3pt;width:72pt;z-index:251659264;mso-width-relative:page;mso-height-relative:page;" filled="f" stroked="t" coordsize="21600,21600" o:gfxdata="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ExngzWAAAACQEAAA8A&#10;AAAAAAAAAQAgAAAAIgAAAGRycy9kb3ducmV2LnhtbFBLAQIUABQAAAAIAIdO4kAdHVfq4AEAAN4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服务类型</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费率</w:t>
            </w:r>
          </w:p>
          <w:p>
            <w:pPr>
              <w:widowControl/>
              <w:ind w:left="2" w:firstLine="420"/>
              <w:jc w:val="left"/>
              <w:rPr>
                <w:rFonts w:ascii="宋体" w:hAnsi="宋体"/>
                <w:color w:val="auto"/>
                <w:kern w:val="0"/>
                <w:szCs w:val="21"/>
                <w:highlight w:val="none"/>
              </w:rPr>
            </w:pPr>
          </w:p>
          <w:p>
            <w:pPr>
              <w:widowControl/>
              <w:ind w:firstLine="0" w:firstLineChars="0"/>
              <w:jc w:val="left"/>
              <w:rPr>
                <w:rFonts w:ascii="宋体" w:hAnsi="宋体"/>
                <w:color w:val="auto"/>
                <w:kern w:val="0"/>
                <w:szCs w:val="21"/>
                <w:highlight w:val="none"/>
              </w:rPr>
            </w:pPr>
          </w:p>
          <w:p>
            <w:pPr>
              <w:widowControl/>
              <w:ind w:firstLine="0" w:firstLineChars="0"/>
              <w:jc w:val="left"/>
              <w:rPr>
                <w:rFonts w:ascii="宋体" w:hAnsi="宋体"/>
                <w:color w:val="auto"/>
                <w:kern w:val="0"/>
                <w:szCs w:val="21"/>
                <w:highlight w:val="none"/>
              </w:rPr>
            </w:pPr>
            <w:r>
              <w:rPr>
                <w:rFonts w:hint="eastAsia" w:ascii="宋体" w:hAnsi="宋体"/>
                <w:color w:val="auto"/>
                <w:kern w:val="0"/>
                <w:szCs w:val="21"/>
                <w:highlight w:val="none"/>
              </w:rPr>
              <w:t>中标金额（万元）</w:t>
            </w:r>
          </w:p>
        </w:tc>
        <w:tc>
          <w:tcPr>
            <w:tcW w:w="1899" w:type="dxa"/>
            <w:tcBorders>
              <w:top w:val="single" w:color="000000" w:sz="4" w:space="0"/>
              <w:left w:val="nil"/>
              <w:right w:val="single" w:color="auto"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货物招标</w:t>
            </w:r>
          </w:p>
        </w:tc>
        <w:tc>
          <w:tcPr>
            <w:tcW w:w="1980" w:type="dxa"/>
            <w:tcBorders>
              <w:top w:val="single" w:color="000000" w:sz="4" w:space="0"/>
              <w:left w:val="single" w:color="auto" w:sz="4" w:space="0"/>
              <w:right w:val="single" w:color="auto"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服务招标</w:t>
            </w:r>
          </w:p>
        </w:tc>
        <w:tc>
          <w:tcPr>
            <w:tcW w:w="1980" w:type="dxa"/>
            <w:tcBorders>
              <w:top w:val="single" w:color="000000" w:sz="4" w:space="0"/>
              <w:left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工程招标</w:t>
            </w:r>
          </w:p>
        </w:tc>
      </w:tr>
      <w:tr>
        <w:tblPrEx>
          <w:tblCellMar>
            <w:top w:w="0" w:type="dxa"/>
            <w:left w:w="108" w:type="dxa"/>
            <w:bottom w:w="0" w:type="dxa"/>
            <w:right w:w="108" w:type="dxa"/>
          </w:tblCellMar>
        </w:tblPrEx>
        <w:trPr>
          <w:trHeight w:val="397"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100以下</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0.8%</w:t>
            </w:r>
          </w:p>
        </w:tc>
      </w:tr>
      <w:tr>
        <w:tblPrEx>
          <w:tblCellMar>
            <w:top w:w="0" w:type="dxa"/>
            <w:left w:w="108" w:type="dxa"/>
            <w:bottom w:w="0" w:type="dxa"/>
            <w:right w:w="108" w:type="dxa"/>
          </w:tblCellMar>
        </w:tblPrEx>
        <w:trPr>
          <w:trHeight w:val="458"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100-500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0.88%</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0.56%</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51" w:firstLineChars="215"/>
              <w:jc w:val="center"/>
              <w:rPr>
                <w:rFonts w:ascii="宋体" w:hAnsi="宋体"/>
                <w:color w:val="auto"/>
                <w:kern w:val="0"/>
                <w:szCs w:val="21"/>
                <w:highlight w:val="none"/>
              </w:rPr>
            </w:pPr>
            <w:r>
              <w:rPr>
                <w:rFonts w:hint="eastAsia" w:ascii="宋体" w:hAnsi="宋体"/>
                <w:color w:val="auto"/>
                <w:kern w:val="0"/>
                <w:szCs w:val="21"/>
                <w:highlight w:val="none"/>
              </w:rPr>
              <w:t>500-1000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0.36%</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0.44%</w:t>
            </w:r>
          </w:p>
        </w:tc>
      </w:tr>
      <w:tr>
        <w:tblPrEx>
          <w:tblCellMar>
            <w:top w:w="0" w:type="dxa"/>
            <w:left w:w="108" w:type="dxa"/>
            <w:bottom w:w="0" w:type="dxa"/>
            <w:right w:w="108" w:type="dxa"/>
          </w:tblCellMar>
        </w:tblPrEx>
        <w:trPr>
          <w:trHeight w:val="456"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1000-5000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0.28%</w:t>
            </w:r>
          </w:p>
        </w:tc>
      </w:tr>
      <w:tr>
        <w:tblPrEx>
          <w:tblCellMar>
            <w:top w:w="0" w:type="dxa"/>
            <w:left w:w="108" w:type="dxa"/>
            <w:bottom w:w="0" w:type="dxa"/>
            <w:right w:w="108" w:type="dxa"/>
          </w:tblCellMar>
        </w:tblPrEx>
        <w:trPr>
          <w:trHeight w:val="448"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5000-10000</w:t>
            </w:r>
          </w:p>
        </w:tc>
        <w:tc>
          <w:tcPr>
            <w:tcW w:w="1899"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0.16%</w:t>
            </w:r>
          </w:p>
        </w:tc>
      </w:tr>
      <w:tr>
        <w:tblPrEx>
          <w:tblCellMar>
            <w:top w:w="0" w:type="dxa"/>
            <w:left w:w="108" w:type="dxa"/>
            <w:bottom w:w="0" w:type="dxa"/>
            <w:right w:w="108" w:type="dxa"/>
          </w:tblCellMar>
        </w:tblPrEx>
        <w:trPr>
          <w:trHeight w:val="455"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10000-50000</w:t>
            </w:r>
          </w:p>
        </w:tc>
        <w:tc>
          <w:tcPr>
            <w:tcW w:w="1899"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r>
      <w:tr>
        <w:tblPrEx>
          <w:tblCellMar>
            <w:top w:w="0" w:type="dxa"/>
            <w:left w:w="108" w:type="dxa"/>
            <w:bottom w:w="0" w:type="dxa"/>
            <w:right w:w="108" w:type="dxa"/>
          </w:tblCellMar>
        </w:tblPrEx>
        <w:trPr>
          <w:trHeight w:val="460"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50000-100000</w:t>
            </w:r>
          </w:p>
        </w:tc>
        <w:tc>
          <w:tcPr>
            <w:tcW w:w="1899"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r>
      <w:tr>
        <w:tblPrEx>
          <w:tblCellMar>
            <w:top w:w="0" w:type="dxa"/>
            <w:left w:w="108" w:type="dxa"/>
            <w:bottom w:w="0" w:type="dxa"/>
            <w:right w:w="108" w:type="dxa"/>
          </w:tblCellMar>
        </w:tblPrEx>
        <w:trPr>
          <w:trHeight w:val="466" w:hRule="atLeast"/>
        </w:trPr>
        <w:tc>
          <w:tcPr>
            <w:tcW w:w="3255" w:type="dxa"/>
            <w:tcBorders>
              <w:top w:val="single" w:color="auto" w:sz="4" w:space="0"/>
              <w:left w:val="single" w:color="000000" w:sz="4" w:space="0"/>
              <w:bottom w:val="single" w:color="auto"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100000-500000</w:t>
            </w:r>
          </w:p>
        </w:tc>
        <w:tc>
          <w:tcPr>
            <w:tcW w:w="1899"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r>
      <w:tr>
        <w:tblPrEx>
          <w:tblCellMar>
            <w:top w:w="0" w:type="dxa"/>
            <w:left w:w="108" w:type="dxa"/>
            <w:bottom w:w="0" w:type="dxa"/>
            <w:right w:w="108" w:type="dxa"/>
          </w:tblCellMar>
        </w:tblPrEx>
        <w:trPr>
          <w:trHeight w:val="444"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500000-1000000</w:t>
            </w:r>
          </w:p>
        </w:tc>
        <w:tc>
          <w:tcPr>
            <w:tcW w:w="1899"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1000000以上</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r>
    </w:tbl>
    <w:p>
      <w:pPr>
        <w:pStyle w:val="26"/>
        <w:spacing w:line="400" w:lineRule="atLeast"/>
        <w:ind w:firstLine="315" w:firstLineChars="150"/>
        <w:rPr>
          <w:rFonts w:hAnsi="宋体"/>
          <w:color w:val="auto"/>
          <w:highlight w:val="none"/>
        </w:rPr>
      </w:pPr>
      <w:r>
        <w:rPr>
          <w:rFonts w:hAnsi="宋体"/>
          <w:color w:val="auto"/>
          <w:highlight w:val="none"/>
        </w:rPr>
        <w:tab/>
      </w:r>
      <w:bookmarkStart w:id="221" w:name="_Hlk92466755"/>
      <w:r>
        <w:rPr>
          <w:rFonts w:hint="eastAsia" w:hAnsi="宋体"/>
          <w:color w:val="auto"/>
          <w:highlight w:val="none"/>
        </w:rPr>
        <w:t>注：代理服务收费按差额定率累进法计算</w:t>
      </w:r>
      <w:bookmarkEnd w:id="221"/>
      <w:r>
        <w:rPr>
          <w:rFonts w:hint="eastAsia" w:hAnsi="宋体"/>
          <w:color w:val="auto"/>
          <w:highlight w:val="none"/>
        </w:rPr>
        <w:t>。</w:t>
      </w:r>
    </w:p>
    <w:p>
      <w:pPr>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3.缴纳代理服务费银行账户：</w:t>
      </w:r>
    </w:p>
    <w:p>
      <w:pPr>
        <w:spacing w:line="410" w:lineRule="exact"/>
        <w:ind w:left="420" w:firstLine="210" w:firstLineChars="100"/>
        <w:rPr>
          <w:rFonts w:hint="eastAsia" w:ascii="宋体" w:hAnsi="宋体" w:cs="Courier New"/>
          <w:color w:val="auto"/>
          <w:szCs w:val="21"/>
          <w:highlight w:val="none"/>
        </w:rPr>
      </w:pPr>
      <w:r>
        <w:rPr>
          <w:rFonts w:hint="eastAsia" w:ascii="宋体" w:hAnsi="宋体" w:cs="Courier New"/>
          <w:color w:val="auto"/>
          <w:szCs w:val="21"/>
          <w:highlight w:val="none"/>
        </w:rPr>
        <w:t>开户名称:钦州市政府采购中心</w:t>
      </w:r>
    </w:p>
    <w:p>
      <w:pPr>
        <w:spacing w:line="410" w:lineRule="exact"/>
        <w:ind w:firstLine="630" w:firstLineChars="300"/>
        <w:rPr>
          <w:rFonts w:hint="eastAsia" w:ascii="宋体" w:hAnsi="宋体" w:cs="Courier New"/>
          <w:color w:val="auto"/>
          <w:szCs w:val="21"/>
          <w:highlight w:val="none"/>
        </w:rPr>
      </w:pPr>
      <w:r>
        <w:rPr>
          <w:rFonts w:hint="eastAsia" w:ascii="宋体" w:hAnsi="宋体" w:cs="Courier New"/>
          <w:color w:val="auto"/>
          <w:szCs w:val="21"/>
          <w:highlight w:val="none"/>
        </w:rPr>
        <w:t>开户银行:兴业银行钦州支行</w:t>
      </w:r>
    </w:p>
    <w:p>
      <w:pPr>
        <w:spacing w:line="410" w:lineRule="exact"/>
        <w:ind w:firstLine="630" w:firstLineChars="300"/>
        <w:rPr>
          <w:rFonts w:hint="eastAsia" w:ascii="仿宋_GB2312" w:hAnsi="宋体" w:eastAsia="仿宋_GB2312" w:cs="Courier New"/>
          <w:b/>
          <w:color w:val="auto"/>
          <w:sz w:val="28"/>
          <w:szCs w:val="28"/>
          <w:highlight w:val="none"/>
        </w:rPr>
      </w:pPr>
      <w:r>
        <w:rPr>
          <w:rFonts w:hint="eastAsia" w:ascii="宋体" w:hAnsi="宋体" w:cs="Courier New"/>
          <w:color w:val="auto"/>
          <w:szCs w:val="21"/>
          <w:highlight w:val="none"/>
        </w:rPr>
        <w:t>银行账号:554010100100129709</w:t>
      </w:r>
    </w:p>
    <w:p>
      <w:pPr>
        <w:pStyle w:val="26"/>
        <w:spacing w:line="400" w:lineRule="atLeast"/>
        <w:ind w:firstLine="210" w:firstLineChars="100"/>
        <w:rPr>
          <w:rFonts w:hAnsi="宋体"/>
          <w:bCs/>
          <w:color w:val="auto"/>
          <w:highlight w:val="none"/>
        </w:rPr>
      </w:pPr>
      <w:r>
        <w:rPr>
          <w:rFonts w:hint="eastAsia" w:hAnsi="宋体"/>
          <w:bCs/>
          <w:color w:val="auto"/>
          <w:highlight w:val="none"/>
        </w:rPr>
        <w:t>（二）解释权：</w:t>
      </w:r>
      <w:bookmarkStart w:id="222" w:name="_Hlk92466777"/>
      <w:r>
        <w:rPr>
          <w:rFonts w:hint="eastAsia" w:hAnsi="宋体"/>
          <w:bCs/>
          <w:color w:val="auto"/>
          <w:spacing w:val="-4"/>
          <w:highlight w:val="none"/>
        </w:rPr>
        <w:t>本招标文件解释权属本中心</w:t>
      </w:r>
      <w:bookmarkEnd w:id="222"/>
      <w:r>
        <w:rPr>
          <w:rFonts w:hint="eastAsia" w:hAnsi="宋体"/>
          <w:bCs/>
          <w:color w:val="auto"/>
          <w:spacing w:val="-4"/>
          <w:highlight w:val="none"/>
        </w:rPr>
        <w:t>。</w:t>
      </w:r>
    </w:p>
    <w:p>
      <w:pPr>
        <w:pStyle w:val="26"/>
        <w:spacing w:line="400" w:lineRule="atLeast"/>
        <w:ind w:firstLine="210" w:firstLineChars="100"/>
        <w:rPr>
          <w:rFonts w:hAnsi="宋体"/>
          <w:bCs/>
          <w:color w:val="auto"/>
          <w:highlight w:val="none"/>
        </w:rPr>
      </w:pPr>
      <w:r>
        <w:rPr>
          <w:rFonts w:hint="eastAsia" w:hAnsi="宋体"/>
          <w:bCs/>
          <w:color w:val="auto"/>
          <w:highlight w:val="none"/>
        </w:rPr>
        <w:t>（三）有关事宜</w:t>
      </w:r>
    </w:p>
    <w:p>
      <w:pPr>
        <w:pStyle w:val="26"/>
        <w:spacing w:line="400" w:lineRule="atLeast"/>
        <w:ind w:firstLine="0" w:firstLineChars="0"/>
        <w:rPr>
          <w:rFonts w:hAnsi="宋体"/>
          <w:color w:val="auto"/>
          <w:highlight w:val="none"/>
        </w:rPr>
      </w:pPr>
      <w:r>
        <w:rPr>
          <w:rFonts w:hAnsi="宋体"/>
          <w:color w:val="auto"/>
          <w:highlight w:val="none"/>
        </w:rPr>
        <w:tab/>
      </w:r>
      <w:r>
        <w:rPr>
          <w:rFonts w:hint="eastAsia" w:hAnsi="宋体"/>
          <w:color w:val="auto"/>
          <w:highlight w:val="none"/>
        </w:rPr>
        <w:t>所有与本招标文件有关的函件请按下列通讯地址联系：</w:t>
      </w:r>
    </w:p>
    <w:p>
      <w:pPr>
        <w:pStyle w:val="26"/>
        <w:spacing w:line="400" w:lineRule="atLeast"/>
        <w:ind w:firstLine="420"/>
        <w:rPr>
          <w:rFonts w:hAnsi="宋体"/>
          <w:color w:val="auto"/>
          <w:highlight w:val="none"/>
        </w:rPr>
      </w:pPr>
      <w:bookmarkStart w:id="223" w:name="_Hlk92466867"/>
      <w:r>
        <w:rPr>
          <w:rFonts w:hint="eastAsia" w:hAnsi="宋体"/>
          <w:color w:val="auto"/>
          <w:highlight w:val="none"/>
        </w:rPr>
        <w:t>钦州市政府采购中心</w:t>
      </w:r>
    </w:p>
    <w:p>
      <w:pPr>
        <w:pStyle w:val="26"/>
        <w:tabs>
          <w:tab w:val="left" w:pos="1990"/>
        </w:tabs>
        <w:spacing w:line="400" w:lineRule="atLeast"/>
        <w:ind w:firstLine="420"/>
        <w:rPr>
          <w:rFonts w:hAnsi="宋体"/>
          <w:color w:val="auto"/>
          <w:highlight w:val="none"/>
          <w:u w:val="single"/>
        </w:rPr>
      </w:pPr>
      <w:r>
        <w:rPr>
          <w:rFonts w:hint="eastAsia" w:hAnsi="宋体"/>
          <w:color w:val="auto"/>
          <w:highlight w:val="none"/>
        </w:rPr>
        <w:t>邮政编码：535000</w:t>
      </w:r>
    </w:p>
    <w:p>
      <w:pPr>
        <w:pStyle w:val="26"/>
        <w:tabs>
          <w:tab w:val="left" w:pos="1990"/>
        </w:tabs>
        <w:spacing w:line="400" w:lineRule="atLeast"/>
        <w:ind w:firstLine="420"/>
        <w:rPr>
          <w:rFonts w:hAnsi="宋体"/>
          <w:color w:val="auto"/>
          <w:spacing w:val="-4"/>
          <w:highlight w:val="none"/>
        </w:rPr>
      </w:pPr>
      <w:r>
        <w:rPr>
          <w:rFonts w:hint="eastAsia" w:hAnsi="宋体"/>
          <w:color w:val="auto"/>
          <w:highlight w:val="none"/>
        </w:rPr>
        <w:t>通讯地址：</w:t>
      </w:r>
      <w:r>
        <w:rPr>
          <w:rFonts w:hint="eastAsia" w:ascii="Times New Roman" w:hAnsi="Times New Roman" w:cs="Times New Roman"/>
          <w:color w:val="auto"/>
          <w:szCs w:val="24"/>
          <w:highlight w:val="none"/>
        </w:rPr>
        <w:t>钦州市金海湾东大街8号</w:t>
      </w:r>
    </w:p>
    <w:bookmarkEnd w:id="90"/>
    <w:bookmarkEnd w:id="223"/>
    <w:p>
      <w:pPr>
        <w:widowControl/>
        <w:spacing w:line="400" w:lineRule="atLeast"/>
        <w:ind w:firstLine="420"/>
        <w:jc w:val="left"/>
        <w:rPr>
          <w:color w:val="auto"/>
          <w:highlight w:val="none"/>
        </w:rPr>
      </w:pPr>
      <w:bookmarkStart w:id="224" w:name="_Hlk108515537"/>
      <w:r>
        <w:rPr>
          <w:rFonts w:hint="eastAsia" w:hAnsi="宋体"/>
          <w:color w:val="auto"/>
          <w:highlight w:val="none"/>
        </w:rPr>
        <w:t>钦州市政府采购中心联系方式</w:t>
      </w:r>
      <w:r>
        <w:rPr>
          <w:rFonts w:hint="eastAsia"/>
          <w:color w:val="auto"/>
          <w:highlight w:val="none"/>
        </w:rPr>
        <w:t>：</w:t>
      </w:r>
    </w:p>
    <w:p>
      <w:pPr>
        <w:widowControl/>
        <w:spacing w:line="400" w:lineRule="atLeast"/>
        <w:ind w:firstLine="420"/>
        <w:jc w:val="left"/>
        <w:rPr>
          <w:color w:val="auto"/>
          <w:highlight w:val="none"/>
        </w:rPr>
      </w:pPr>
      <w:r>
        <w:rPr>
          <w:rFonts w:hint="eastAsia"/>
          <w:color w:val="auto"/>
          <w:highlight w:val="none"/>
        </w:rPr>
        <w:t>(1)采购部(采购文件)</w:t>
      </w:r>
    </w:p>
    <w:p>
      <w:pPr>
        <w:widowControl/>
        <w:spacing w:line="400" w:lineRule="atLeast"/>
        <w:ind w:firstLine="42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00" w:lineRule="atLeast"/>
        <w:ind w:firstLine="420"/>
        <w:jc w:val="left"/>
        <w:rPr>
          <w:color w:val="auto"/>
          <w:highlight w:val="none"/>
        </w:rPr>
      </w:pPr>
      <w:r>
        <w:rPr>
          <w:rFonts w:hint="eastAsia"/>
          <w:color w:val="auto"/>
          <w:highlight w:val="none"/>
        </w:rPr>
        <w:t>(2)综合二部(保证金、开标、评标、中标及合同管理)</w:t>
      </w:r>
    </w:p>
    <w:p>
      <w:pPr>
        <w:widowControl/>
        <w:spacing w:line="400" w:lineRule="atLeast"/>
        <w:ind w:firstLine="42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pPr>
        <w:widowControl/>
        <w:spacing w:line="400" w:lineRule="atLeast"/>
        <w:ind w:firstLine="420"/>
        <w:jc w:val="left"/>
        <w:rPr>
          <w:color w:val="auto"/>
          <w:highlight w:val="none"/>
        </w:rPr>
      </w:pPr>
      <w:r>
        <w:rPr>
          <w:color w:val="auto"/>
          <w:highlight w:val="none"/>
        </w:rPr>
        <w:t>(4)</w:t>
      </w:r>
      <w:r>
        <w:rPr>
          <w:rFonts w:hint="eastAsia"/>
          <w:color w:val="auto"/>
          <w:highlight w:val="none"/>
        </w:rPr>
        <w:t>政采云技术支持热线：</w:t>
      </w:r>
      <w:r>
        <w:rPr>
          <w:rFonts w:hAnsi="宋体"/>
          <w:color w:val="auto"/>
          <w:highlight w:val="none"/>
        </w:rPr>
        <w:t>95763</w:t>
      </w:r>
    </w:p>
    <w:bookmarkEnd w:id="224"/>
    <w:p>
      <w:pPr>
        <w:ind w:firstLine="420"/>
        <w:rPr>
          <w:color w:val="auto"/>
          <w:highlight w:val="none"/>
        </w:rPr>
      </w:pPr>
      <w:r>
        <w:rPr>
          <w:color w:val="auto"/>
          <w:highlight w:val="none"/>
        </w:rPr>
        <w:br w:type="page"/>
      </w:r>
    </w:p>
    <w:p>
      <w:pPr>
        <w:ind w:firstLine="420"/>
        <w:rPr>
          <w:color w:val="auto"/>
          <w:highlight w:val="none"/>
        </w:rPr>
      </w:pPr>
    </w:p>
    <w:p>
      <w:pPr>
        <w:ind w:firstLine="420"/>
        <w:rPr>
          <w:color w:val="auto"/>
          <w:highlight w:val="none"/>
        </w:rPr>
      </w:pPr>
    </w:p>
    <w:p>
      <w:pPr>
        <w:ind w:firstLine="420"/>
        <w:rPr>
          <w:rFonts w:hint="eastAsia"/>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rFonts w:hint="eastAsia"/>
          <w:color w:val="auto"/>
          <w:highlight w:val="none"/>
        </w:rPr>
      </w:pPr>
    </w:p>
    <w:p>
      <w:pPr>
        <w:ind w:firstLine="420"/>
        <w:rPr>
          <w:rFonts w:hint="eastAsia"/>
          <w:color w:val="auto"/>
          <w:highlight w:val="none"/>
        </w:rPr>
      </w:pPr>
    </w:p>
    <w:p>
      <w:pPr>
        <w:pStyle w:val="45"/>
        <w:ind w:left="0" w:leftChars="0" w:right="0" w:rightChars="0" w:firstLine="0" w:firstLineChars="0"/>
        <w:jc w:val="center"/>
        <w:rPr>
          <w:color w:val="auto"/>
          <w:highlight w:val="none"/>
        </w:rPr>
      </w:pPr>
      <w:bookmarkStart w:id="225" w:name="_Toc91512286"/>
      <w:r>
        <w:rPr>
          <w:rFonts w:hint="eastAsia"/>
          <w:color w:val="auto"/>
          <w:highlight w:val="none"/>
        </w:rPr>
        <w:t xml:space="preserve">第四章  </w:t>
      </w:r>
      <w:bookmarkEnd w:id="225"/>
      <w:r>
        <w:rPr>
          <w:rFonts w:hint="eastAsia"/>
          <w:color w:val="auto"/>
          <w:highlight w:val="none"/>
        </w:rPr>
        <w:t>评定标准及推荐原则</w:t>
      </w:r>
    </w:p>
    <w:p>
      <w:pPr>
        <w:ind w:firstLine="0" w:firstLineChars="0"/>
        <w:rPr>
          <w:color w:val="auto"/>
          <w:highlight w:val="none"/>
        </w:rPr>
      </w:pPr>
      <w:r>
        <w:rPr>
          <w:color w:val="auto"/>
          <w:highlight w:val="none"/>
        </w:rPr>
        <w:br w:type="page"/>
      </w:r>
      <w:bookmarkStart w:id="226" w:name="_Hlk92268453"/>
    </w:p>
    <w:bookmarkEnd w:id="226"/>
    <w:p>
      <w:pPr>
        <w:spacing w:line="380" w:lineRule="exact"/>
        <w:ind w:firstLine="0" w:firstLineChars="0"/>
        <w:jc w:val="center"/>
        <w:rPr>
          <w:rFonts w:ascii="宋体" w:hAnsi="宋体"/>
          <w:b/>
          <w:color w:val="auto"/>
          <w:sz w:val="32"/>
          <w:szCs w:val="32"/>
          <w:highlight w:val="none"/>
        </w:rPr>
      </w:pPr>
      <w:r>
        <w:rPr>
          <w:rFonts w:hint="eastAsia" w:ascii="宋体" w:hAnsi="宋体"/>
          <w:b/>
          <w:color w:val="auto"/>
          <w:sz w:val="32"/>
          <w:highlight w:val="none"/>
        </w:rPr>
        <w:t>评定标准和推荐原则</w:t>
      </w:r>
    </w:p>
    <w:p>
      <w:pPr>
        <w:pStyle w:val="26"/>
        <w:spacing w:line="500" w:lineRule="exact"/>
        <w:ind w:firstLine="0" w:firstLineChars="0"/>
        <w:jc w:val="left"/>
        <w:rPr>
          <w:rFonts w:hAnsi="宋体"/>
          <w:b/>
          <w:bCs/>
          <w:color w:val="auto"/>
          <w:highlight w:val="none"/>
        </w:rPr>
      </w:pPr>
      <w:r>
        <w:rPr>
          <w:rFonts w:hint="eastAsia" w:hAnsi="宋体"/>
          <w:b/>
          <w:bCs/>
          <w:color w:val="auto"/>
          <w:highlight w:val="none"/>
        </w:rPr>
        <w:t>一、评标原则</w:t>
      </w:r>
    </w:p>
    <w:p>
      <w:pPr>
        <w:pStyle w:val="26"/>
        <w:spacing w:line="500" w:lineRule="exact"/>
        <w:ind w:firstLine="210" w:firstLineChars="100"/>
        <w:jc w:val="left"/>
        <w:rPr>
          <w:rFonts w:hAnsi="宋体"/>
          <w:color w:val="auto"/>
          <w:highlight w:val="none"/>
        </w:rPr>
      </w:pPr>
      <w:r>
        <w:rPr>
          <w:rFonts w:hint="eastAsia" w:hAnsi="宋体"/>
          <w:color w:val="auto"/>
          <w:highlight w:val="none"/>
        </w:rPr>
        <w:t>（一）评标依据：评标委员会将以招投标文件为评标依据，</w:t>
      </w:r>
      <w:r>
        <w:rPr>
          <w:rFonts w:hAnsi="宋体"/>
          <w:color w:val="auto"/>
          <w:highlight w:val="none"/>
        </w:rPr>
        <w:t>对投标人的投标报价、</w:t>
      </w:r>
      <w:r>
        <w:rPr>
          <w:rFonts w:hint="eastAsia" w:hAnsi="宋体"/>
          <w:bCs/>
          <w:color w:val="auto"/>
          <w:highlight w:val="none"/>
        </w:rPr>
        <w:t>技术商务资信</w:t>
      </w:r>
      <w:r>
        <w:rPr>
          <w:rFonts w:hAnsi="宋体"/>
          <w:color w:val="auto"/>
          <w:highlight w:val="none"/>
        </w:rPr>
        <w:t>等方面内容</w:t>
      </w:r>
      <w:r>
        <w:rPr>
          <w:rFonts w:hint="eastAsia" w:hAnsi="宋体"/>
          <w:color w:val="auto"/>
          <w:highlight w:val="none"/>
        </w:rPr>
        <w:t>进行评价。</w:t>
      </w:r>
    </w:p>
    <w:p>
      <w:pPr>
        <w:pStyle w:val="26"/>
        <w:spacing w:line="500" w:lineRule="exact"/>
        <w:ind w:firstLine="210" w:firstLineChars="100"/>
        <w:jc w:val="left"/>
        <w:rPr>
          <w:rFonts w:hAnsi="宋体"/>
          <w:color w:val="auto"/>
          <w:highlight w:val="none"/>
        </w:rPr>
      </w:pPr>
      <w:r>
        <w:rPr>
          <w:rFonts w:hint="eastAsia" w:hAnsi="宋体"/>
          <w:color w:val="auto"/>
          <w:highlight w:val="none"/>
        </w:rPr>
        <w:t>（二）评标委员会组成：由采购人代表和评审专家组成，成员人数应当为5人以上单数，其中评审专家的人数不得少于成员总数的三分之二。</w:t>
      </w:r>
    </w:p>
    <w:p>
      <w:pPr>
        <w:pStyle w:val="26"/>
        <w:spacing w:line="500" w:lineRule="exact"/>
        <w:ind w:firstLine="210" w:firstLineChars="100"/>
        <w:jc w:val="left"/>
        <w:rPr>
          <w:rFonts w:hAnsi="宋体"/>
          <w:color w:val="auto"/>
          <w:highlight w:val="none"/>
        </w:rPr>
      </w:pPr>
      <w:r>
        <w:rPr>
          <w:rFonts w:hint="eastAsia" w:hAnsi="宋体"/>
          <w:color w:val="auto"/>
          <w:highlight w:val="none"/>
        </w:rPr>
        <w:t>（三）评分方式：评标委员会各成员独立对每个投标人的投标文件进行评价。</w:t>
      </w:r>
    </w:p>
    <w:p>
      <w:pPr>
        <w:pStyle w:val="26"/>
        <w:spacing w:line="500" w:lineRule="exact"/>
        <w:ind w:firstLine="0" w:firstLineChars="0"/>
        <w:jc w:val="left"/>
        <w:rPr>
          <w:rFonts w:hAnsi="宋体"/>
          <w:b/>
          <w:bCs/>
          <w:color w:val="auto"/>
          <w:highlight w:val="none"/>
        </w:rPr>
      </w:pPr>
      <w:r>
        <w:rPr>
          <w:rFonts w:hint="eastAsia" w:hAnsi="宋体"/>
          <w:b/>
          <w:bCs/>
          <w:color w:val="auto"/>
          <w:highlight w:val="none"/>
        </w:rPr>
        <w:t>二、评分细则</w:t>
      </w:r>
    </w:p>
    <w:p>
      <w:pPr>
        <w:spacing w:line="5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综合评分法：对满足招标文件全部实质性要求的投标人投标文件</w:t>
      </w:r>
      <w:r>
        <w:rPr>
          <w:rFonts w:ascii="宋体" w:hAnsi="宋体" w:cs="Arial"/>
          <w:color w:val="auto"/>
          <w:szCs w:val="21"/>
          <w:highlight w:val="none"/>
        </w:rPr>
        <w:t>按照评审因素的量化指标评审</w:t>
      </w:r>
      <w:r>
        <w:rPr>
          <w:rFonts w:hint="eastAsia" w:ascii="宋体" w:hAnsi="宋体" w:cs="Arial"/>
          <w:color w:val="auto"/>
          <w:szCs w:val="21"/>
          <w:highlight w:val="none"/>
        </w:rPr>
        <w:t>并汇总(</w:t>
      </w:r>
      <w:r>
        <w:rPr>
          <w:rFonts w:hint="eastAsia" w:ascii="宋体" w:hAnsi="宋体" w:cs="Courier New"/>
          <w:color w:val="auto"/>
          <w:szCs w:val="21"/>
          <w:highlight w:val="none"/>
        </w:rPr>
        <w:t>四舍五入取至百分位)。</w:t>
      </w:r>
    </w:p>
    <w:p>
      <w:pPr>
        <w:spacing w:line="500" w:lineRule="exact"/>
        <w:ind w:firstLine="211" w:firstLineChars="100"/>
        <w:rPr>
          <w:rFonts w:ascii="宋体" w:hAnsi="宋体"/>
          <w:b/>
          <w:bCs/>
          <w:color w:val="auto"/>
          <w:highlight w:val="none"/>
        </w:rPr>
      </w:pPr>
      <w:r>
        <w:rPr>
          <w:rFonts w:hint="eastAsia" w:ascii="宋体" w:hAnsi="宋体"/>
          <w:b/>
          <w:bCs/>
          <w:color w:val="auto"/>
          <w:highlight w:val="none"/>
        </w:rPr>
        <w:t>（一）报价分（</w:t>
      </w:r>
      <w:r>
        <w:rPr>
          <w:rFonts w:ascii="宋体" w:hAnsi="宋体"/>
          <w:b/>
          <w:bCs/>
          <w:color w:val="auto"/>
          <w:highlight w:val="none"/>
        </w:rPr>
        <w:t>30</w:t>
      </w:r>
      <w:r>
        <w:rPr>
          <w:rFonts w:hint="eastAsia" w:ascii="宋体" w:hAnsi="宋体"/>
          <w:b/>
          <w:bCs/>
          <w:color w:val="auto"/>
          <w:highlight w:val="none"/>
        </w:rPr>
        <w:t>分）</w:t>
      </w:r>
    </w:p>
    <w:p>
      <w:pPr>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ab/>
      </w:r>
      <w:r>
        <w:rPr>
          <w:rFonts w:hint="eastAsia" w:ascii="宋体" w:hAnsi="宋体" w:cs="Courier New"/>
          <w:color w:val="auto"/>
          <w:szCs w:val="21"/>
          <w:highlight w:val="none"/>
        </w:rPr>
        <w:t>1.投标人的价格分统一按照下列公式计算：</w:t>
      </w:r>
    </w:p>
    <w:p>
      <w:pPr>
        <w:spacing w:line="500" w:lineRule="exact"/>
        <w:ind w:firstLine="422"/>
        <w:jc w:val="left"/>
        <w:rPr>
          <w:rFonts w:hint="eastAsia" w:ascii="宋体" w:hAnsi="宋体" w:cs="Courier New"/>
          <w:b/>
          <w:color w:val="auto"/>
          <w:szCs w:val="21"/>
          <w:highlight w:val="none"/>
        </w:rPr>
      </w:pPr>
      <w:r>
        <w:rPr>
          <w:rFonts w:hint="eastAsia" w:ascii="宋体" w:hAnsi="宋体" w:cs="Courier New"/>
          <w:b/>
          <w:color w:val="auto"/>
          <w:szCs w:val="21"/>
          <w:highlight w:val="none"/>
        </w:rPr>
        <w:tab/>
      </w:r>
      <w:r>
        <w:rPr>
          <w:rFonts w:hint="eastAsia" w:ascii="宋体" w:hAnsi="宋体" w:cs="Courier New"/>
          <w:b/>
          <w:color w:val="auto"/>
          <w:szCs w:val="21"/>
          <w:highlight w:val="none"/>
        </w:rPr>
        <w:t>某投标人价格分=（评标基准价/某投标人评标价）×30分</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注：</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提供的全部货物符合《政府采购促进中小企业发展管理办法》（财库﹝2020﹞46号）规定，并在投标文件中提供《中小企业声明函》（格式见第六章，投标人须对声明的真实性负责）。评审中将对小微型企业报价给予20%的扣除，扣除后的价格为评标价。</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highlight w:val="none"/>
        </w:rPr>
        <w:t>投标人获得政策性价格扣除的，评标价</w:t>
      </w:r>
      <w:r>
        <w:rPr>
          <w:rFonts w:ascii="宋体" w:hAnsi="宋体" w:cs="Courier New"/>
          <w:color w:val="auto"/>
          <w:highlight w:val="none"/>
        </w:rPr>
        <w:t>=</w:t>
      </w:r>
      <w:r>
        <w:rPr>
          <w:rFonts w:hint="eastAsia" w:ascii="宋体" w:hAnsi="宋体" w:cs="Courier New"/>
          <w:color w:val="auto"/>
          <w:highlight w:val="none"/>
        </w:rPr>
        <w:t>投标报价×（</w:t>
      </w:r>
      <w:r>
        <w:rPr>
          <w:rFonts w:ascii="宋体" w:hAnsi="宋体" w:cs="Courier New"/>
          <w:color w:val="auto"/>
          <w:highlight w:val="none"/>
        </w:rPr>
        <w:t>1-</w:t>
      </w:r>
      <w:r>
        <w:rPr>
          <w:rFonts w:hint="eastAsia" w:ascii="宋体" w:hAnsi="宋体" w:cs="Courier New"/>
          <w:color w:val="auto"/>
          <w:highlight w:val="none"/>
        </w:rPr>
        <w:t>2</w:t>
      </w:r>
      <w:r>
        <w:rPr>
          <w:rFonts w:ascii="宋体" w:hAnsi="宋体" w:cs="Courier New"/>
          <w:color w:val="auto"/>
          <w:highlight w:val="none"/>
        </w:rPr>
        <w:t>0%</w:t>
      </w:r>
      <w:r>
        <w:rPr>
          <w:rFonts w:hint="eastAsia" w:ascii="宋体" w:hAnsi="宋体" w:cs="Courier New"/>
          <w:color w:val="auto"/>
          <w:highlight w:val="none"/>
        </w:rPr>
        <w:t>），否则评标价</w:t>
      </w:r>
      <w:r>
        <w:rPr>
          <w:rFonts w:ascii="宋体" w:hAnsi="宋体" w:cs="Courier New"/>
          <w:color w:val="auto"/>
          <w:highlight w:val="none"/>
        </w:rPr>
        <w:t>=</w:t>
      </w:r>
      <w:r>
        <w:rPr>
          <w:rFonts w:hint="eastAsia" w:ascii="宋体" w:hAnsi="宋体" w:cs="Courier New"/>
          <w:color w:val="auto"/>
          <w:highlight w:val="none"/>
        </w:rPr>
        <w:t>投标报价。满足招标文件全部实质性要求的投标人最低评标价为评标基准价。评标价仅作评标时使用，中标金额＝投标报价。</w:t>
      </w:r>
    </w:p>
    <w:p>
      <w:pPr>
        <w:widowControl/>
        <w:spacing w:line="500" w:lineRule="exact"/>
        <w:ind w:firstLine="42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30" w:lineRule="exact"/>
        <w:ind w:firstLine="282" w:firstLineChars="134"/>
        <w:rPr>
          <w:rFonts w:hint="eastAsia" w:ascii="宋体" w:hAnsi="宋体" w:eastAsia="宋体" w:cs="宋体"/>
          <w:b/>
          <w:bCs/>
          <w:color w:val="000000"/>
          <w:spacing w:val="-12"/>
          <w:kern w:val="0"/>
          <w:sz w:val="21"/>
          <w:szCs w:val="21"/>
        </w:rPr>
      </w:pPr>
      <w:r>
        <w:rPr>
          <w:rFonts w:hint="eastAsia" w:ascii="宋体" w:hAnsi="宋体" w:eastAsia="宋体" w:cs="宋体"/>
          <w:b/>
          <w:bCs/>
          <w:color w:val="000000"/>
          <w:kern w:val="0"/>
          <w:sz w:val="21"/>
          <w:szCs w:val="21"/>
        </w:rPr>
        <w:t>（二）技术商务资信分</w:t>
      </w:r>
      <w:r>
        <w:rPr>
          <w:rFonts w:hint="eastAsia" w:ascii="宋体" w:hAnsi="宋体" w:eastAsia="宋体" w:cs="宋体"/>
          <w:b/>
          <w:bCs/>
          <w:color w:val="000000"/>
          <w:spacing w:val="-12"/>
          <w:kern w:val="0"/>
          <w:sz w:val="21"/>
          <w:szCs w:val="21"/>
        </w:rPr>
        <w:t>（70分）</w:t>
      </w:r>
    </w:p>
    <w:p>
      <w:pPr>
        <w:widowControl/>
        <w:spacing w:line="430" w:lineRule="exact"/>
        <w:ind w:firstLine="422"/>
        <w:jc w:val="left"/>
        <w:outlineLvl w:val="1"/>
        <w:rPr>
          <w:rFonts w:hint="eastAsia" w:ascii="宋体" w:hAnsi="宋体" w:eastAsia="宋体" w:cs="宋体"/>
          <w:b/>
          <w:bCs/>
          <w:color w:val="000000"/>
          <w:kern w:val="0"/>
          <w:sz w:val="21"/>
          <w:szCs w:val="21"/>
          <w:lang w:bidi="ar"/>
        </w:rPr>
      </w:pPr>
      <w:bookmarkStart w:id="227" w:name="_Hlk124258602"/>
      <w:r>
        <w:rPr>
          <w:rFonts w:hint="eastAsia" w:ascii="宋体" w:hAnsi="宋体" w:eastAsia="宋体" w:cs="宋体"/>
          <w:b/>
          <w:bCs/>
          <w:color w:val="000000"/>
          <w:kern w:val="0"/>
          <w:sz w:val="21"/>
          <w:szCs w:val="21"/>
          <w:lang w:bidi="ar"/>
        </w:rPr>
        <w:t>1.技术分(</w:t>
      </w:r>
      <w:r>
        <w:rPr>
          <w:rFonts w:hint="eastAsia" w:ascii="宋体" w:hAnsi="宋体" w:cs="宋体"/>
          <w:b/>
          <w:bCs/>
          <w:color w:val="000000"/>
          <w:kern w:val="0"/>
          <w:sz w:val="21"/>
          <w:szCs w:val="21"/>
          <w:lang w:val="en-US" w:eastAsia="zh-CN" w:bidi="ar"/>
        </w:rPr>
        <w:t>61</w:t>
      </w:r>
      <w:r>
        <w:rPr>
          <w:rFonts w:hint="eastAsia" w:ascii="宋体" w:hAnsi="宋体" w:eastAsia="宋体" w:cs="宋体"/>
          <w:b/>
          <w:bCs/>
          <w:color w:val="000000"/>
          <w:kern w:val="0"/>
          <w:sz w:val="21"/>
          <w:szCs w:val="21"/>
          <w:lang w:bidi="ar"/>
        </w:rPr>
        <w:t>分)</w:t>
      </w:r>
    </w:p>
    <w:p>
      <w:pPr>
        <w:widowControl/>
        <w:spacing w:line="430" w:lineRule="exact"/>
        <w:ind w:firstLine="422"/>
        <w:jc w:val="left"/>
        <w:outlineLvl w:val="1"/>
        <w:rPr>
          <w:rFonts w:hint="eastAsia" w:ascii="宋体" w:hAnsi="宋体" w:eastAsia="宋体" w:cs="宋体"/>
          <w:color w:val="000000"/>
          <w:sz w:val="21"/>
          <w:szCs w:val="21"/>
        </w:rPr>
      </w:pPr>
      <w:r>
        <w:rPr>
          <w:rFonts w:hint="eastAsia" w:ascii="宋体" w:hAnsi="宋体" w:eastAsia="宋体" w:cs="宋体"/>
          <w:b/>
          <w:bCs/>
          <w:color w:val="000000"/>
          <w:kern w:val="0"/>
          <w:sz w:val="21"/>
          <w:szCs w:val="21"/>
          <w:lang w:bidi="ar"/>
        </w:rPr>
        <w:t>1.1设备性能分（</w:t>
      </w:r>
      <w:r>
        <w:rPr>
          <w:rFonts w:hint="eastAsia" w:ascii="宋体" w:hAnsi="宋体" w:eastAsia="宋体" w:cs="宋体"/>
          <w:b/>
          <w:bCs/>
          <w:color w:val="000000"/>
          <w:kern w:val="0"/>
          <w:sz w:val="21"/>
          <w:szCs w:val="21"/>
          <w:lang w:val="en-US" w:eastAsia="zh-CN" w:bidi="ar"/>
        </w:rPr>
        <w:t>20</w:t>
      </w:r>
      <w:r>
        <w:rPr>
          <w:rFonts w:hint="eastAsia" w:ascii="宋体" w:hAnsi="宋体" w:eastAsia="宋体" w:cs="宋体"/>
          <w:b/>
          <w:bCs/>
          <w:color w:val="000000"/>
          <w:kern w:val="0"/>
          <w:sz w:val="21"/>
          <w:szCs w:val="21"/>
          <w:lang w:bidi="ar"/>
        </w:rPr>
        <w:t xml:space="preserve">分） </w:t>
      </w:r>
    </w:p>
    <w:p>
      <w:pPr>
        <w:spacing w:line="43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1.1.1投标产品“主要技术参数及性能（配置）”全部无负偏离，完全满足招标文件要求的，得3分。</w:t>
      </w:r>
    </w:p>
    <w:p>
      <w:pPr>
        <w:spacing w:line="430" w:lineRule="exact"/>
        <w:ind w:firstLine="420"/>
        <w:rPr>
          <w:rFonts w:hint="eastAsia" w:ascii="宋体" w:hAnsi="宋体" w:eastAsia="宋体" w:cs="宋体"/>
          <w:sz w:val="21"/>
          <w:szCs w:val="21"/>
        </w:rPr>
      </w:pPr>
      <w:r>
        <w:rPr>
          <w:rFonts w:hint="eastAsia" w:ascii="宋体" w:hAnsi="宋体" w:eastAsia="宋体" w:cs="宋体"/>
          <w:color w:val="000000"/>
          <w:sz w:val="21"/>
          <w:szCs w:val="21"/>
        </w:rPr>
        <w:t>1.1.2投标产品“主要技术参数及性能（配置）”标注“▲”项有正偏离且被评标委员会接受的，每优于一项加</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分，满分1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p>
      <w:pPr>
        <w:widowControl/>
        <w:spacing w:line="430" w:lineRule="exact"/>
        <w:ind w:firstLine="422"/>
        <w:jc w:val="left"/>
        <w:outlineLvl w:val="1"/>
        <w:rPr>
          <w:rFonts w:hint="eastAsia" w:ascii="宋体" w:hAnsi="宋体" w:eastAsia="宋体" w:cs="宋体"/>
          <w:sz w:val="21"/>
          <w:szCs w:val="21"/>
        </w:rPr>
      </w:pPr>
      <w:bookmarkStart w:id="228" w:name="OLE_LINK1"/>
      <w:r>
        <w:rPr>
          <w:rFonts w:hint="eastAsia" w:ascii="宋体" w:hAnsi="宋体" w:eastAsia="宋体" w:cs="宋体"/>
          <w:b/>
          <w:bCs/>
          <w:color w:val="000000"/>
          <w:kern w:val="0"/>
          <w:sz w:val="21"/>
          <w:szCs w:val="21"/>
          <w:lang w:bidi="ar"/>
        </w:rPr>
        <w:t>1.2安装调试</w:t>
      </w:r>
      <w:r>
        <w:rPr>
          <w:rFonts w:hint="eastAsia" w:ascii="宋体" w:hAnsi="宋体" w:cs="宋体"/>
          <w:b/>
          <w:bCs/>
          <w:color w:val="000000"/>
          <w:kern w:val="0"/>
          <w:sz w:val="21"/>
          <w:szCs w:val="21"/>
          <w:lang w:val="en-US" w:eastAsia="zh-CN" w:bidi="ar"/>
        </w:rPr>
        <w:t>施工</w:t>
      </w:r>
      <w:r>
        <w:rPr>
          <w:rFonts w:hint="eastAsia" w:ascii="宋体" w:hAnsi="宋体" w:eastAsia="宋体" w:cs="宋体"/>
          <w:b/>
          <w:bCs/>
          <w:color w:val="000000"/>
          <w:kern w:val="0"/>
          <w:sz w:val="21"/>
          <w:szCs w:val="21"/>
          <w:lang w:bidi="ar"/>
        </w:rPr>
        <w:t>方案分（12分）</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由评委根据投标文件中项目安装调试施工方案的内容进行综合评定，提供针对本项目的施工组织方案。项目实施方案包括但不限于以下内容：①供货组织、对接及运输方案；②具备项目实施的设备及运输工具；③施工组织机构；④安装方法及安装进度计划；⑤施工进度保障措施；⑥质量保证措施；⑦安装调试验收方案；⑧履行合同能力的项目实施人员；⑨文明施工保障措施。</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一档（3分）：项目实施方案具备以上9项要素中1-3项，不满足本项目的实际要求。</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二档（6分）：项目实施方案具备以上9项要素中4-6项，拟投入本项目施工人员不少于3人（含3人）</w:t>
      </w:r>
      <w:r>
        <w:rPr>
          <w:rFonts w:hint="eastAsia" w:ascii="宋体" w:hAnsi="宋体" w:cs="宋体"/>
          <w:sz w:val="21"/>
          <w:szCs w:val="21"/>
          <w:lang w:eastAsia="zh-CN"/>
        </w:rPr>
        <w:t>、</w:t>
      </w:r>
      <w:r>
        <w:rPr>
          <w:rFonts w:hint="eastAsia" w:ascii="宋体" w:hAnsi="宋体" w:eastAsia="宋体" w:cs="宋体"/>
          <w:sz w:val="21"/>
          <w:szCs w:val="21"/>
        </w:rPr>
        <w:t>技术人员具备</w:t>
      </w:r>
      <w:r>
        <w:rPr>
          <w:rFonts w:hint="eastAsia" w:ascii="宋体" w:hAnsi="宋体" w:cs="宋体"/>
          <w:sz w:val="21"/>
          <w:szCs w:val="21"/>
          <w:lang w:val="en-US" w:eastAsia="zh-CN"/>
        </w:rPr>
        <w:t>相关</w:t>
      </w:r>
      <w:r>
        <w:rPr>
          <w:rFonts w:hint="eastAsia" w:ascii="宋体" w:hAnsi="宋体" w:eastAsia="宋体" w:cs="宋体"/>
          <w:sz w:val="21"/>
          <w:szCs w:val="21"/>
        </w:rPr>
        <w:t>技能技术资格证书。</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三档（9分）：项目实施方案具备以上9项要素，拟投入本项目施工技术人员不少于6人（含6人）、技术人员具备</w:t>
      </w:r>
      <w:r>
        <w:rPr>
          <w:rFonts w:hint="eastAsia" w:ascii="宋体" w:hAnsi="宋体" w:cs="宋体"/>
          <w:sz w:val="21"/>
          <w:szCs w:val="21"/>
          <w:lang w:val="en-US" w:eastAsia="zh-CN"/>
        </w:rPr>
        <w:t>相关</w:t>
      </w:r>
      <w:r>
        <w:rPr>
          <w:rFonts w:hint="eastAsia" w:ascii="宋体" w:hAnsi="宋体" w:eastAsia="宋体" w:cs="宋体"/>
          <w:sz w:val="21"/>
          <w:szCs w:val="21"/>
        </w:rPr>
        <w:t>技能技术资格证书（包含但不限于：高空作业证、电工证、制冷与空调作业证）。</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四档（12分）：在三档基础上，投标人能提供具备的安装专业技术能力，能提供投标人以往类似案列的现场安装图片及项目施工应急预案。拟投入本项目施工技术人员不少于9人（含9人）、技术人员具备</w:t>
      </w:r>
      <w:r>
        <w:rPr>
          <w:rFonts w:hint="eastAsia" w:ascii="宋体" w:hAnsi="宋体" w:cs="宋体"/>
          <w:sz w:val="21"/>
          <w:szCs w:val="21"/>
          <w:lang w:val="en-US" w:eastAsia="zh-CN"/>
        </w:rPr>
        <w:t>相关</w:t>
      </w:r>
      <w:r>
        <w:rPr>
          <w:rFonts w:hint="eastAsia" w:ascii="宋体" w:hAnsi="宋体" w:eastAsia="宋体" w:cs="宋体"/>
          <w:sz w:val="21"/>
          <w:szCs w:val="21"/>
        </w:rPr>
        <w:t>技能技术资格证书（包含但不限于：高空作业证、电工证、制冷与空调作业证、质量员、施工员）,完全满足并优于项目施工要求。</w:t>
      </w:r>
    </w:p>
    <w:p>
      <w:pPr>
        <w:widowControl/>
        <w:spacing w:line="430" w:lineRule="exact"/>
        <w:ind w:firstLine="422"/>
        <w:jc w:val="left"/>
        <w:outlineLvl w:val="1"/>
        <w:rPr>
          <w:rFonts w:hint="eastAsia" w:ascii="宋体" w:hAnsi="宋体" w:eastAsia="宋体" w:cs="宋体"/>
          <w:sz w:val="21"/>
          <w:szCs w:val="21"/>
          <w:lang w:eastAsia="zh-CN"/>
        </w:rPr>
      </w:pPr>
      <w:r>
        <w:rPr>
          <w:rFonts w:hint="eastAsia" w:ascii="宋体" w:hAnsi="宋体" w:eastAsia="宋体" w:cs="宋体"/>
          <w:sz w:val="21"/>
          <w:szCs w:val="21"/>
        </w:rPr>
        <w:t>（注：上述相关技能技术资格证书材料复印件均需加盖投标人公章。</w:t>
      </w:r>
      <w:r>
        <w:rPr>
          <w:rFonts w:hint="eastAsia" w:ascii="宋体" w:hAnsi="宋体" w:cs="宋体"/>
          <w:sz w:val="21"/>
          <w:szCs w:val="21"/>
          <w:lang w:eastAsia="zh-CN"/>
        </w:rPr>
        <w:t>）</w:t>
      </w:r>
    </w:p>
    <w:bookmarkEnd w:id="228"/>
    <w:p>
      <w:pPr>
        <w:widowControl/>
        <w:spacing w:line="430" w:lineRule="exact"/>
        <w:ind w:firstLine="422"/>
        <w:jc w:val="left"/>
        <w:outlineLvl w:val="1"/>
        <w:rPr>
          <w:rFonts w:hint="eastAsia" w:ascii="宋体" w:hAnsi="宋体" w:eastAsia="宋体" w:cs="宋体"/>
          <w:color w:val="000000"/>
          <w:sz w:val="21"/>
          <w:szCs w:val="21"/>
        </w:rPr>
      </w:pPr>
      <w:r>
        <w:rPr>
          <w:rFonts w:hint="eastAsia" w:ascii="宋体" w:hAnsi="宋体" w:eastAsia="宋体" w:cs="宋体"/>
          <w:b/>
          <w:bCs/>
          <w:color w:val="000000"/>
          <w:kern w:val="0"/>
          <w:sz w:val="21"/>
          <w:szCs w:val="21"/>
          <w:lang w:bidi="ar"/>
        </w:rPr>
        <w:t xml:space="preserve">1.3.安全施工保障方案（满分12分） </w:t>
      </w:r>
    </w:p>
    <w:p>
      <w:pPr>
        <w:spacing w:line="43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由评委根据投标文件中的安全施工保障方案内容进行综合评定，提供针对本项目的安全施工保障方案。包括但不限于以下内容：①对本项目施工安全的理解；②施工安全管理组织机构；③施工安全自控体系；④施工现场保护措施；⑤临时用电措施；⑥高空作业安全保障措施；⑦高温天气施工安全保障措施；⑧应急救援措施；⑨社会治安安全保障措施。</w:t>
      </w:r>
    </w:p>
    <w:p>
      <w:pPr>
        <w:spacing w:line="43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一档（</w:t>
      </w:r>
      <w:r>
        <w:rPr>
          <w:rFonts w:hint="eastAsia" w:ascii="宋体" w:hAnsi="宋体" w:cs="宋体"/>
          <w:color w:val="000000"/>
          <w:sz w:val="21"/>
          <w:szCs w:val="21"/>
          <w:lang w:val="en-US" w:eastAsia="zh-CN"/>
        </w:rPr>
        <w:t>4.5</w:t>
      </w:r>
      <w:r>
        <w:rPr>
          <w:rFonts w:hint="eastAsia" w:ascii="宋体" w:hAnsi="宋体" w:eastAsia="宋体" w:cs="宋体"/>
          <w:color w:val="000000"/>
          <w:sz w:val="21"/>
          <w:szCs w:val="21"/>
        </w:rPr>
        <w:t>分）：安全施工保障方案具备以上9项要素中1-3项，不满足本项目的实际要求。</w:t>
      </w:r>
    </w:p>
    <w:p>
      <w:pPr>
        <w:spacing w:line="43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二档（</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分）：安全施工保障方案具备以上9项要素中4-6项，有专门的安全管理班子人员和制度。主要工序有安全质量技术保证措施和手段。</w:t>
      </w:r>
    </w:p>
    <w:p>
      <w:pPr>
        <w:spacing w:line="430" w:lineRule="exact"/>
        <w:ind w:firstLine="42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三档（</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rPr>
        <w:t>分）：安全施工保障方案具备以上9项要素，有专门的安全管理班子人员和制度。主要工序有安全质量技术保证措施和手段</w:t>
      </w:r>
      <w:r>
        <w:rPr>
          <w:rFonts w:hint="eastAsia" w:ascii="宋体" w:hAnsi="宋体" w:cs="宋体"/>
          <w:color w:val="000000"/>
          <w:sz w:val="21"/>
          <w:szCs w:val="21"/>
          <w:lang w:eastAsia="zh-CN"/>
        </w:rPr>
        <w:t>。</w:t>
      </w:r>
    </w:p>
    <w:p>
      <w:pPr>
        <w:spacing w:line="430" w:lineRule="exact"/>
        <w:ind w:firstLine="420"/>
        <w:rPr>
          <w:rFonts w:hint="eastAsia" w:ascii="宋体" w:hAnsi="宋体" w:eastAsia="宋体" w:cs="宋体"/>
          <w:sz w:val="21"/>
          <w:szCs w:val="21"/>
        </w:rPr>
      </w:pPr>
      <w:r>
        <w:rPr>
          <w:rFonts w:hint="eastAsia" w:ascii="宋体" w:hAnsi="宋体" w:eastAsia="宋体" w:cs="宋体"/>
          <w:color w:val="000000"/>
          <w:sz w:val="21"/>
          <w:szCs w:val="21"/>
        </w:rPr>
        <w:t>（注：上述材料复印件均需加盖投标人公章。）</w:t>
      </w:r>
    </w:p>
    <w:p>
      <w:pPr>
        <w:keepNext/>
        <w:keepLines/>
        <w:spacing w:before="260" w:after="260" w:line="430" w:lineRule="exact"/>
        <w:ind w:firstLine="422"/>
        <w:outlineLvl w:val="1"/>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1.4.售后服务分</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17分</w:t>
      </w:r>
      <w:r>
        <w:rPr>
          <w:rFonts w:hint="eastAsia" w:ascii="宋体" w:hAnsi="宋体" w:eastAsia="宋体" w:cs="宋体"/>
          <w:b/>
          <w:bCs/>
          <w:kern w:val="0"/>
          <w:sz w:val="21"/>
          <w:szCs w:val="21"/>
          <w:lang w:eastAsia="zh-CN"/>
        </w:rPr>
        <w:t>）</w:t>
      </w:r>
    </w:p>
    <w:p>
      <w:pPr>
        <w:spacing w:line="430" w:lineRule="exact"/>
        <w:ind w:firstLine="420"/>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1.4.1</w:t>
      </w:r>
      <w:r>
        <w:rPr>
          <w:rFonts w:hint="eastAsia" w:ascii="宋体" w:hAnsi="宋体" w:eastAsia="宋体" w:cs="宋体"/>
          <w:b/>
          <w:bCs/>
          <w:sz w:val="21"/>
          <w:szCs w:val="21"/>
        </w:rPr>
        <w:t>售后服务方案分（</w:t>
      </w:r>
      <w:r>
        <w:rPr>
          <w:rFonts w:hint="eastAsia" w:ascii="宋体" w:hAnsi="宋体" w:eastAsia="宋体" w:cs="宋体"/>
          <w:b/>
          <w:bCs/>
          <w:sz w:val="21"/>
          <w:szCs w:val="21"/>
          <w:lang w:val="en-US" w:eastAsia="zh-CN"/>
        </w:rPr>
        <w:t>15</w:t>
      </w:r>
      <w:r>
        <w:rPr>
          <w:rFonts w:hint="eastAsia" w:ascii="宋体" w:hAnsi="宋体" w:eastAsia="宋体" w:cs="宋体"/>
          <w:b/>
          <w:bCs/>
          <w:sz w:val="21"/>
          <w:szCs w:val="21"/>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由评委根据投标文件中的售后服务方案内容进行综合评定，提供针对本项目的售后服务方案。售后服务方案包括：①拟投入售后服务的人员名单及设备；②交付使用期； ③故障出现解决方案；④到达现场处理故障时间；⑤免费保修期外维修维护方案 (含零配件的优惠供应等内容)；⑥是否具备故障时的替代产品；⑦培训技术人员方案；⑧定期回访方案；⑨售后应急服务保障措施。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分）：投标人提供的售后服务方案具备以上9项要素中1-3项，不满足采购文件要求，售后服务方案内容缺失。</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分）：投标人提供的售后服务方案具备以上9项要素中4-6项，售后服务人员3人及以上，承诺对维修或维护要求在2小时内响应，</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小时内到达现场，24小时内（包括更换配件）维修并能保证正常使用</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分）：投标人提供的售后服务方案具备以上9项要素</w:t>
      </w:r>
      <w:r>
        <w:rPr>
          <w:rFonts w:hint="eastAsia" w:ascii="宋体" w:hAnsi="宋体" w:eastAsia="宋体" w:cs="宋体"/>
          <w:sz w:val="21"/>
          <w:szCs w:val="21"/>
          <w:lang w:val="en-US" w:eastAsia="zh-CN"/>
        </w:rPr>
        <w:t>，</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投标空调品牌</w:t>
      </w:r>
      <w:r>
        <w:rPr>
          <w:rFonts w:hint="eastAsia" w:ascii="宋体" w:hAnsi="宋体" w:eastAsia="宋体" w:cs="宋体"/>
          <w:color w:val="auto"/>
          <w:sz w:val="21"/>
          <w:szCs w:val="21"/>
          <w:highlight w:val="none"/>
          <w:lang w:val="en-US" w:eastAsia="zh-CN"/>
        </w:rPr>
        <w:t>授权的</w:t>
      </w:r>
      <w:r>
        <w:rPr>
          <w:rFonts w:hint="eastAsia" w:ascii="宋体" w:hAnsi="宋体" w:eastAsia="宋体" w:cs="宋体"/>
          <w:color w:val="auto"/>
          <w:sz w:val="21"/>
          <w:szCs w:val="21"/>
          <w:highlight w:val="none"/>
        </w:rPr>
        <w:t>专业售后服务能力</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，售后服务人员5人及以上，承诺对维修或维护要求在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小时内到达现场，</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小时内（包括更换配件）维修并能保证正常使用</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分）：在三档的基础上，提供有应对设备故障发生后的应急保障措施及措施具体可行，售后服务人员8人及以上，承诺对维修或维护要求在30分钟内作出响应，保证技术人员在2小时内到达现场，</w:t>
      </w:r>
      <w:r>
        <w:rPr>
          <w:rFonts w:hint="eastAsia" w:ascii="宋体" w:hAnsi="宋体" w:eastAsia="宋体" w:cs="宋体"/>
          <w:color w:val="auto"/>
          <w:sz w:val="21"/>
          <w:szCs w:val="21"/>
          <w:highlight w:val="none"/>
          <w:lang w:val="en-US" w:eastAsia="zh-CN"/>
        </w:rPr>
        <w:t>8</w:t>
      </w:r>
      <w:r>
        <w:rPr>
          <w:rFonts w:hint="eastAsia" w:ascii="宋体" w:hAnsi="宋体" w:eastAsia="宋体" w:cs="宋体"/>
          <w:sz w:val="21"/>
          <w:szCs w:val="21"/>
        </w:rPr>
        <w:t>小时内（包括更换配件）维修并能保证正常使用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服务承诺完全满足且优于本项目售后服务采购需求。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Style w:val="115"/>
          <w:rFonts w:hint="eastAsia" w:ascii="宋体" w:hAnsi="宋体" w:eastAsia="宋体" w:cs="宋体"/>
          <w:bCs/>
          <w:color w:val="auto"/>
          <w:sz w:val="21"/>
          <w:szCs w:val="21"/>
          <w:highlight w:val="none"/>
        </w:rPr>
        <w:t>上述材料复印件均需加盖投标人公章。</w:t>
      </w:r>
      <w:r>
        <w:rPr>
          <w:rFonts w:hint="eastAsia" w:ascii="宋体" w:hAnsi="宋体" w:eastAsia="宋体" w:cs="宋体"/>
          <w:color w:val="auto"/>
          <w:sz w:val="21"/>
          <w:szCs w:val="21"/>
          <w:highlight w:val="none"/>
        </w:rPr>
        <w:t>）</w:t>
      </w:r>
    </w:p>
    <w:p>
      <w:pPr>
        <w:pStyle w:val="2"/>
        <w:rPr>
          <w:rFonts w:hint="eastAsia" w:ascii="宋体" w:hAnsi="宋体" w:eastAsia="宋体" w:cs="宋体"/>
          <w:b/>
          <w:bCs/>
          <w:sz w:val="21"/>
          <w:szCs w:val="21"/>
        </w:rPr>
      </w:pPr>
      <w:r>
        <w:rPr>
          <w:rFonts w:hint="eastAsia" w:ascii="宋体" w:hAnsi="宋体" w:eastAsia="宋体" w:cs="宋体"/>
          <w:b/>
          <w:bCs/>
          <w:sz w:val="21"/>
          <w:szCs w:val="21"/>
          <w:lang w:val="en-US" w:eastAsia="zh-CN"/>
        </w:rPr>
        <w:t>1.4.2</w:t>
      </w:r>
      <w:r>
        <w:rPr>
          <w:rFonts w:hint="eastAsia" w:ascii="宋体" w:hAnsi="宋体" w:eastAsia="宋体" w:cs="宋体"/>
          <w:b/>
          <w:bCs/>
          <w:sz w:val="21"/>
          <w:szCs w:val="21"/>
          <w:lang w:val="en-US" w:eastAsia="zh-CN"/>
        </w:rPr>
        <w:t>延保</w:t>
      </w:r>
      <w:r>
        <w:rPr>
          <w:rFonts w:hint="eastAsia" w:ascii="宋体" w:hAnsi="宋体" w:eastAsia="宋体" w:cs="宋体"/>
          <w:b/>
          <w:bCs/>
          <w:sz w:val="21"/>
          <w:szCs w:val="21"/>
        </w:rPr>
        <w:t>年限分（</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分）</w:t>
      </w:r>
    </w:p>
    <w:p>
      <w:pPr>
        <w:pStyle w:val="272"/>
        <w:spacing w:line="360" w:lineRule="auto"/>
        <w:ind w:firstLine="420"/>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rPr>
        <w:t>投标人</w:t>
      </w:r>
      <w:r>
        <w:rPr>
          <w:rFonts w:hint="eastAsia" w:ascii="宋体" w:hAnsi="宋体" w:eastAsia="宋体" w:cs="宋体"/>
          <w:bCs w:val="0"/>
          <w:spacing w:val="0"/>
          <w:kern w:val="2"/>
          <w:sz w:val="21"/>
          <w:szCs w:val="21"/>
        </w:rPr>
        <w:t>承诺</w:t>
      </w:r>
      <w:r>
        <w:rPr>
          <w:rFonts w:hint="eastAsia" w:ascii="宋体" w:hAnsi="宋体" w:eastAsia="宋体" w:cs="宋体"/>
          <w:bCs w:val="0"/>
          <w:spacing w:val="0"/>
          <w:kern w:val="2"/>
          <w:sz w:val="21"/>
          <w:szCs w:val="21"/>
          <w:lang w:val="en-US" w:eastAsia="zh-CN"/>
        </w:rPr>
        <w:t>在质保期6年的基础上，</w:t>
      </w:r>
      <w:r>
        <w:rPr>
          <w:rFonts w:hint="eastAsia" w:ascii="宋体" w:hAnsi="宋体" w:eastAsia="宋体" w:cs="宋体"/>
          <w:bCs w:val="0"/>
          <w:spacing w:val="0"/>
          <w:kern w:val="2"/>
          <w:sz w:val="21"/>
          <w:szCs w:val="21"/>
        </w:rPr>
        <w:t>每延保1年</w:t>
      </w:r>
      <w:r>
        <w:rPr>
          <w:rFonts w:hint="eastAsia" w:ascii="宋体" w:hAnsi="宋体" w:eastAsia="宋体" w:cs="宋体"/>
          <w:bCs w:val="0"/>
          <w:spacing w:val="0"/>
          <w:kern w:val="2"/>
          <w:sz w:val="21"/>
          <w:szCs w:val="21"/>
          <w:lang w:val="en-US" w:eastAsia="zh-CN"/>
        </w:rPr>
        <w:t>得</w:t>
      </w:r>
      <w:r>
        <w:rPr>
          <w:rFonts w:hint="eastAsia" w:ascii="宋体" w:hAnsi="宋体" w:eastAsia="宋体" w:cs="宋体"/>
          <w:bCs w:val="0"/>
          <w:spacing w:val="0"/>
          <w:kern w:val="2"/>
          <w:sz w:val="21"/>
          <w:szCs w:val="21"/>
        </w:rPr>
        <w:t>1分</w:t>
      </w:r>
      <w:r>
        <w:rPr>
          <w:rFonts w:hint="eastAsia" w:ascii="宋体" w:hAnsi="宋体" w:eastAsia="宋体" w:cs="宋体"/>
          <w:bCs w:val="0"/>
          <w:spacing w:val="0"/>
          <w:kern w:val="2"/>
          <w:sz w:val="21"/>
          <w:szCs w:val="21"/>
          <w:lang w:eastAsia="zh-CN"/>
        </w:rPr>
        <w:t>（</w:t>
      </w:r>
      <w:r>
        <w:rPr>
          <w:rFonts w:hint="eastAsia" w:ascii="宋体" w:hAnsi="宋体" w:eastAsia="宋体" w:cs="宋体"/>
          <w:bCs w:val="0"/>
          <w:spacing w:val="0"/>
          <w:kern w:val="2"/>
          <w:sz w:val="21"/>
          <w:szCs w:val="21"/>
          <w:lang w:val="en-US" w:eastAsia="zh-CN"/>
        </w:rPr>
        <w:t>投标人</w:t>
      </w:r>
      <w:r>
        <w:rPr>
          <w:rFonts w:hint="eastAsia" w:ascii="宋体" w:hAnsi="宋体" w:eastAsia="宋体" w:cs="宋体"/>
          <w:bCs w:val="0"/>
          <w:spacing w:val="0"/>
          <w:kern w:val="2"/>
          <w:sz w:val="21"/>
          <w:szCs w:val="21"/>
        </w:rPr>
        <w:t>需提供延保承诺函并加盖投标人公章</w:t>
      </w:r>
      <w:r>
        <w:rPr>
          <w:rFonts w:hint="eastAsia" w:ascii="宋体" w:hAnsi="宋体" w:eastAsia="宋体" w:cs="宋体"/>
          <w:bCs w:val="0"/>
          <w:spacing w:val="0"/>
          <w:kern w:val="2"/>
          <w:sz w:val="21"/>
          <w:szCs w:val="21"/>
          <w:lang w:eastAsia="zh-CN"/>
        </w:rPr>
        <w:t>）</w:t>
      </w:r>
      <w:r>
        <w:rPr>
          <w:rFonts w:hint="eastAsia" w:ascii="宋体" w:hAnsi="宋体" w:eastAsia="宋体" w:cs="宋体"/>
          <w:bCs w:val="0"/>
          <w:spacing w:val="0"/>
          <w:kern w:val="2"/>
          <w:sz w:val="21"/>
          <w:szCs w:val="21"/>
        </w:rPr>
        <w:t>，满分</w:t>
      </w:r>
      <w:r>
        <w:rPr>
          <w:rFonts w:hint="eastAsia" w:ascii="宋体" w:hAnsi="宋体" w:eastAsia="宋体" w:cs="宋体"/>
          <w:bCs w:val="0"/>
          <w:spacing w:val="0"/>
          <w:kern w:val="2"/>
          <w:sz w:val="21"/>
          <w:szCs w:val="21"/>
          <w:lang w:val="en-US" w:eastAsia="zh-CN"/>
        </w:rPr>
        <w:t>2</w:t>
      </w:r>
      <w:r>
        <w:rPr>
          <w:rFonts w:hint="eastAsia" w:ascii="宋体" w:hAnsi="宋体" w:eastAsia="宋体" w:cs="宋体"/>
          <w:bCs w:val="0"/>
          <w:spacing w:val="0"/>
          <w:kern w:val="2"/>
          <w:sz w:val="21"/>
          <w:szCs w:val="21"/>
        </w:rPr>
        <w:t>分。</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b/>
          <w:bCs/>
          <w:kern w:val="0"/>
          <w:sz w:val="21"/>
          <w:szCs w:val="21"/>
          <w:lang w:bidi="ar"/>
        </w:rPr>
        <w:t>2.商务分(</w:t>
      </w:r>
      <w:r>
        <w:rPr>
          <w:rFonts w:hint="eastAsia" w:ascii="宋体" w:hAnsi="宋体" w:eastAsia="宋体" w:cs="宋体"/>
          <w:b/>
          <w:bCs/>
          <w:kern w:val="0"/>
          <w:sz w:val="21"/>
          <w:szCs w:val="21"/>
          <w:lang w:val="en-US" w:eastAsia="zh-CN" w:bidi="ar"/>
        </w:rPr>
        <w:t>9</w:t>
      </w:r>
      <w:r>
        <w:rPr>
          <w:rFonts w:hint="eastAsia" w:ascii="宋体" w:hAnsi="宋体" w:eastAsia="宋体" w:cs="宋体"/>
          <w:b/>
          <w:bCs/>
          <w:kern w:val="0"/>
          <w:sz w:val="21"/>
          <w:szCs w:val="21"/>
          <w:lang w:bidi="ar"/>
        </w:rPr>
        <w:t>分)</w:t>
      </w:r>
    </w:p>
    <w:p>
      <w:pPr>
        <w:spacing w:line="430" w:lineRule="exact"/>
        <w:ind w:firstLine="420"/>
        <w:rPr>
          <w:rFonts w:hint="eastAsia" w:ascii="宋体" w:hAnsi="宋体" w:eastAsia="宋体" w:cs="宋体"/>
          <w:b/>
          <w:bCs/>
          <w:sz w:val="21"/>
          <w:szCs w:val="21"/>
        </w:rPr>
      </w:pPr>
      <w:r>
        <w:rPr>
          <w:rFonts w:hint="eastAsia" w:ascii="宋体" w:hAnsi="宋体" w:eastAsia="宋体" w:cs="宋体"/>
          <w:b/>
          <w:bCs/>
          <w:kern w:val="0"/>
          <w:sz w:val="21"/>
          <w:szCs w:val="21"/>
          <w:lang w:bidi="ar"/>
        </w:rPr>
        <w:t>2.</w:t>
      </w:r>
      <w:r>
        <w:rPr>
          <w:rFonts w:hint="eastAsia" w:ascii="宋体" w:hAnsi="宋体" w:eastAsia="宋体" w:cs="宋体"/>
          <w:b/>
          <w:bCs/>
          <w:sz w:val="21"/>
          <w:szCs w:val="21"/>
        </w:rPr>
        <w:t>1</w:t>
      </w:r>
      <w:r>
        <w:rPr>
          <w:rFonts w:hint="eastAsia" w:ascii="宋体" w:hAnsi="宋体" w:eastAsia="宋体" w:cs="宋体"/>
          <w:b/>
          <w:bCs/>
          <w:sz w:val="21"/>
          <w:szCs w:val="21"/>
        </w:rPr>
        <w:t>信誉分（</w:t>
      </w:r>
      <w:r>
        <w:rPr>
          <w:rFonts w:hint="eastAsia" w:ascii="宋体" w:hAnsi="宋体" w:cs="宋体"/>
          <w:b/>
          <w:bCs/>
          <w:sz w:val="21"/>
          <w:szCs w:val="21"/>
          <w:lang w:val="en-US" w:eastAsia="zh-CN"/>
        </w:rPr>
        <w:t>6</w:t>
      </w:r>
      <w:r>
        <w:rPr>
          <w:rFonts w:hint="eastAsia" w:ascii="宋体" w:hAnsi="宋体" w:eastAsia="宋体" w:cs="宋体"/>
          <w:b/>
          <w:bCs/>
          <w:sz w:val="21"/>
          <w:szCs w:val="21"/>
        </w:rPr>
        <w:t>分）</w:t>
      </w:r>
    </w:p>
    <w:p>
      <w:pPr>
        <w:bidi w:val="0"/>
        <w:spacing w:line="360" w:lineRule="auto"/>
        <w:rPr>
          <w:rFonts w:hint="eastAsia" w:ascii="宋体" w:hAnsi="宋体" w:eastAsia="宋体" w:cs="宋体"/>
          <w:strike/>
          <w:sz w:val="21"/>
          <w:szCs w:val="21"/>
          <w:highlight w:val="yellow"/>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或</w:t>
      </w:r>
      <w:r>
        <w:rPr>
          <w:rFonts w:hint="eastAsia" w:ascii="宋体" w:hAnsi="宋体" w:eastAsia="宋体" w:cs="宋体"/>
          <w:sz w:val="21"/>
          <w:szCs w:val="21"/>
        </w:rPr>
        <w:t>投标空调品牌生产厂家具</w:t>
      </w:r>
      <w:r>
        <w:rPr>
          <w:rFonts w:hint="eastAsia" w:ascii="宋体" w:hAnsi="宋体" w:eastAsia="宋体" w:cs="宋体"/>
          <w:sz w:val="21"/>
          <w:szCs w:val="21"/>
          <w:lang w:val="en-US" w:eastAsia="zh-CN"/>
        </w:rPr>
        <w:t>有</w:t>
      </w:r>
      <w:r>
        <w:rPr>
          <w:rFonts w:hint="eastAsia" w:ascii="宋体" w:hAnsi="宋体" w:eastAsia="宋体" w:cs="宋体"/>
          <w:sz w:val="21"/>
          <w:szCs w:val="21"/>
        </w:rPr>
        <w:t>有效的1S09001质量管理体系认证、1S014001环境管理体系认证、1S045001中国职业健康安全管理体系认证，(提供证书复印件并加盖投标人公章)，每提供一项得</w:t>
      </w:r>
      <w:r>
        <w:rPr>
          <w:rFonts w:hint="eastAsia" w:ascii="宋体" w:hAnsi="宋体" w:eastAsia="宋体" w:cs="宋体"/>
          <w:sz w:val="21"/>
          <w:szCs w:val="21"/>
          <w:lang w:val="en-US" w:eastAsia="zh-CN"/>
        </w:rPr>
        <w:t>2</w:t>
      </w:r>
      <w:r>
        <w:rPr>
          <w:rFonts w:hint="eastAsia" w:ascii="宋体" w:hAnsi="宋体" w:eastAsia="宋体" w:cs="宋体"/>
          <w:sz w:val="21"/>
          <w:szCs w:val="21"/>
        </w:rPr>
        <w:t>分，满分</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分。                                                                                                                                                         </w:t>
      </w:r>
    </w:p>
    <w:p>
      <w:pPr>
        <w:spacing w:line="430" w:lineRule="exact"/>
        <w:ind w:firstLine="420"/>
        <w:rPr>
          <w:rFonts w:hint="eastAsia" w:ascii="宋体" w:hAnsi="宋体" w:eastAsia="宋体" w:cs="宋体"/>
          <w:b/>
          <w:spacing w:val="0"/>
          <w:kern w:val="2"/>
          <w:sz w:val="21"/>
          <w:szCs w:val="21"/>
        </w:rPr>
      </w:pPr>
      <w:bookmarkStart w:id="229" w:name="OLE_LINK6"/>
      <w:r>
        <w:rPr>
          <w:rFonts w:hint="eastAsia" w:ascii="宋体" w:hAnsi="宋体" w:eastAsia="宋体" w:cs="宋体"/>
          <w:b/>
          <w:bCs/>
          <w:sz w:val="21"/>
          <w:szCs w:val="21"/>
        </w:rPr>
        <w:t>2.</w:t>
      </w:r>
      <w:r>
        <w:rPr>
          <w:rFonts w:hint="eastAsia" w:ascii="宋体" w:hAnsi="宋体" w:eastAsia="宋体" w:cs="宋体"/>
          <w:b/>
          <w:bCs/>
          <w:sz w:val="21"/>
          <w:szCs w:val="21"/>
          <w:lang w:val="en-US" w:eastAsia="zh-CN"/>
        </w:rPr>
        <w:t>2</w:t>
      </w:r>
      <w:r>
        <w:rPr>
          <w:rFonts w:hint="eastAsia" w:ascii="宋体" w:hAnsi="宋体" w:eastAsia="宋体" w:cs="宋体"/>
          <w:b/>
          <w:spacing w:val="0"/>
          <w:kern w:val="2"/>
          <w:sz w:val="21"/>
          <w:szCs w:val="21"/>
        </w:rPr>
        <w:t>业绩分 （</w:t>
      </w:r>
      <w:r>
        <w:rPr>
          <w:rFonts w:hint="eastAsia" w:ascii="宋体" w:hAnsi="宋体" w:cs="宋体"/>
          <w:b/>
          <w:spacing w:val="0"/>
          <w:kern w:val="2"/>
          <w:sz w:val="21"/>
          <w:szCs w:val="21"/>
          <w:lang w:val="en-US" w:eastAsia="zh-CN"/>
        </w:rPr>
        <w:t>3</w:t>
      </w:r>
      <w:r>
        <w:rPr>
          <w:rFonts w:hint="eastAsia" w:ascii="宋体" w:hAnsi="宋体" w:eastAsia="宋体" w:cs="宋体"/>
          <w:b/>
          <w:spacing w:val="0"/>
          <w:kern w:val="2"/>
          <w:sz w:val="21"/>
          <w:szCs w:val="21"/>
        </w:rPr>
        <w:t>分）</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rPr>
        <w:t xml:space="preserve"> 投标人自2022年以来（含2022年）有同类项目</w:t>
      </w:r>
      <w:r>
        <w:rPr>
          <w:rFonts w:hint="eastAsia" w:ascii="宋体" w:hAnsi="宋体" w:eastAsia="宋体" w:cs="宋体"/>
          <w:sz w:val="21"/>
          <w:szCs w:val="21"/>
          <w:lang w:val="en-US" w:eastAsia="zh-CN"/>
        </w:rPr>
        <w:t>合同</w:t>
      </w:r>
      <w:r>
        <w:rPr>
          <w:rFonts w:hint="eastAsia" w:ascii="宋体" w:hAnsi="宋体" w:eastAsia="宋体" w:cs="宋体"/>
          <w:sz w:val="21"/>
          <w:szCs w:val="21"/>
        </w:rPr>
        <w:t>（以有效的合同或中标通知书复印件为准），每有一项得1分，满分</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bookmarkEnd w:id="227"/>
    <w:bookmarkEnd w:id="229"/>
    <w:p>
      <w:pPr>
        <w:spacing w:line="43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三、总得分=价格分+技术商务资信分</w:t>
      </w:r>
    </w:p>
    <w:p>
      <w:pPr>
        <w:spacing w:line="43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四、中标候选人</w:t>
      </w:r>
      <w:bookmarkStart w:id="230" w:name="_Hlk92267887"/>
      <w:r>
        <w:rPr>
          <w:rFonts w:hint="eastAsia" w:ascii="宋体" w:hAnsi="宋体" w:eastAsia="宋体" w:cs="宋体"/>
          <w:b/>
          <w:bCs/>
          <w:sz w:val="21"/>
          <w:szCs w:val="21"/>
        </w:rPr>
        <w:t>推荐原则</w:t>
      </w:r>
      <w:bookmarkEnd w:id="230"/>
    </w:p>
    <w:p>
      <w:pPr>
        <w:spacing w:line="5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rPr>
        <w:tab/>
      </w:r>
      <w:r>
        <w:rPr>
          <w:rFonts w:hint="eastAsia" w:ascii="宋体" w:hAnsi="宋体" w:eastAsia="宋体" w:cs="宋体"/>
          <w:sz w:val="21"/>
          <w:szCs w:val="21"/>
        </w:rPr>
        <w:t>评标委员会将根据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rPr>
          <w:color w:val="auto"/>
          <w:highlight w:val="none"/>
        </w:rPr>
      </w:pPr>
    </w:p>
    <w:p>
      <w:pPr>
        <w:pStyle w:val="26"/>
        <w:spacing w:line="420" w:lineRule="exact"/>
        <w:ind w:firstLine="0" w:firstLineChars="0"/>
        <w:jc w:val="left"/>
        <w:rPr>
          <w:color w:val="auto"/>
          <w:highlight w:val="none"/>
        </w:rPr>
      </w:pPr>
      <w:r>
        <w:rPr>
          <w:rFonts w:hint="eastAsia" w:ascii="宋体" w:hAnsi="宋体"/>
          <w:color w:val="auto"/>
          <w:highlight w:val="none"/>
        </w:rPr>
        <w:br w:type="page"/>
      </w: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5"/>
        <w:ind w:left="0" w:leftChars="0" w:right="0" w:rightChars="0" w:firstLine="0" w:firstLineChars="0"/>
        <w:jc w:val="center"/>
        <w:rPr>
          <w:color w:val="auto"/>
          <w:highlight w:val="none"/>
        </w:rPr>
      </w:pPr>
      <w:bookmarkStart w:id="231" w:name="_Toc91512287"/>
      <w:r>
        <w:rPr>
          <w:rFonts w:hint="eastAsia"/>
          <w:color w:val="auto"/>
          <w:highlight w:val="none"/>
        </w:rPr>
        <w:t xml:space="preserve">第五章 </w:t>
      </w:r>
      <w:r>
        <w:rPr>
          <w:color w:val="auto"/>
          <w:highlight w:val="none"/>
        </w:rPr>
        <w:t xml:space="preserve"> </w:t>
      </w:r>
      <w:r>
        <w:rPr>
          <w:rFonts w:hint="eastAsia"/>
          <w:color w:val="auto"/>
          <w:highlight w:val="none"/>
        </w:rPr>
        <w:t>政府采购合同主要条款</w:t>
      </w:r>
      <w:bookmarkEnd w:id="231"/>
    </w:p>
    <w:p>
      <w:pPr>
        <w:ind w:firstLine="480"/>
        <w:jc w:val="center"/>
        <w:rPr>
          <w:color w:val="auto"/>
          <w:sz w:val="24"/>
          <w:highlight w:val="none"/>
        </w:rPr>
      </w:pPr>
      <w:bookmarkStart w:id="232" w:name="_Toc389638324"/>
      <w:r>
        <w:rPr>
          <w:rFonts w:hint="eastAsia"/>
          <w:color w:val="auto"/>
          <w:sz w:val="24"/>
          <w:highlight w:val="none"/>
        </w:rPr>
        <w:t>（拟签订文本）</w:t>
      </w:r>
      <w:bookmarkEnd w:id="232"/>
    </w:p>
    <w:p>
      <w:pPr>
        <w:pStyle w:val="26"/>
        <w:ind w:firstLine="0" w:firstLineChars="0"/>
        <w:jc w:val="left"/>
        <w:rPr>
          <w:color w:val="auto"/>
          <w:highlight w:val="none"/>
        </w:rPr>
      </w:pPr>
      <w:r>
        <w:rPr>
          <w:color w:val="auto"/>
          <w:highlight w:val="none"/>
        </w:rPr>
        <w:br w:type="page"/>
      </w:r>
    </w:p>
    <w:p>
      <w:pPr>
        <w:spacing w:line="600" w:lineRule="exact"/>
        <w:ind w:firstLine="420"/>
        <w:jc w:val="center"/>
        <w:rPr>
          <w:color w:val="auto"/>
          <w:highlight w:val="none"/>
        </w:rPr>
      </w:pPr>
    </w:p>
    <w:p>
      <w:pPr>
        <w:spacing w:line="600" w:lineRule="exact"/>
        <w:ind w:firstLine="884"/>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u w:val="single"/>
        </w:rPr>
        <w:t xml:space="preserve">           </w:t>
      </w:r>
      <w:r>
        <w:rPr>
          <w:rFonts w:hint="eastAsia" w:ascii="宋体" w:hAnsi="宋体" w:cs="宋体"/>
          <w:b/>
          <w:bCs/>
          <w:color w:val="auto"/>
          <w:spacing w:val="-20"/>
          <w:kern w:val="44"/>
          <w:sz w:val="48"/>
          <w:szCs w:val="48"/>
          <w:highlight w:val="none"/>
        </w:rPr>
        <w:t>政府采购货物买卖合同</w:t>
      </w: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spacing w:line="360" w:lineRule="auto"/>
        <w:ind w:left="420" w:leftChars="200" w:firstLine="1600" w:firstLineChars="5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ind w:firstLine="420"/>
        <w:rPr>
          <w:color w:val="auto"/>
          <w:highlight w:val="none"/>
        </w:rPr>
      </w:pPr>
    </w:p>
    <w:p>
      <w:pPr>
        <w:ind w:firstLine="880"/>
        <w:rPr>
          <w:color w:val="auto"/>
          <w:highlight w:val="none"/>
        </w:rPr>
      </w:pPr>
      <w:r>
        <w:rPr>
          <w:rFonts w:eastAsia="黑体"/>
          <w:color w:val="auto"/>
          <w:sz w:val="44"/>
          <w:szCs w:val="44"/>
          <w:highlight w:val="none"/>
        </w:rPr>
        <w:br w:type="page"/>
      </w:r>
    </w:p>
    <w:p>
      <w:pPr>
        <w:spacing w:line="460" w:lineRule="exact"/>
        <w:ind w:firstLine="880"/>
        <w:jc w:val="center"/>
        <w:rPr>
          <w:rFonts w:eastAsia="黑体"/>
          <w:color w:val="auto"/>
          <w:sz w:val="44"/>
          <w:szCs w:val="44"/>
          <w:highlight w:val="none"/>
        </w:rPr>
      </w:pPr>
      <w:r>
        <w:rPr>
          <w:rFonts w:hint="eastAsia" w:eastAsia="黑体"/>
          <w:color w:val="auto"/>
          <w:sz w:val="44"/>
          <w:szCs w:val="44"/>
          <w:highlight w:val="none"/>
        </w:rPr>
        <w:t>使 用 说 明</w:t>
      </w:r>
    </w:p>
    <w:p>
      <w:pPr>
        <w:ind w:firstLine="420"/>
        <w:rPr>
          <w:color w:val="auto"/>
          <w:highlight w:val="none"/>
        </w:rPr>
      </w:pPr>
    </w:p>
    <w:p>
      <w:pPr>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1.本合同标准文本适用于购买现成货物的采购项目，不包括需要供应商定制开发、创新研发的货物采购项目。</w:t>
      </w:r>
    </w:p>
    <w:p>
      <w:pPr>
        <w:ind w:firstLine="560"/>
        <w:rPr>
          <w:rFonts w:eastAsia="黑体"/>
          <w:color w:val="auto"/>
          <w:sz w:val="28"/>
          <w:szCs w:val="28"/>
          <w:highlight w:val="none"/>
        </w:rPr>
      </w:pPr>
      <w:r>
        <w:rPr>
          <w:rFonts w:hint="eastAsia" w:ascii="仿宋_GB2312" w:hAnsi="仿宋_GB2312" w:eastAsia="仿宋_GB2312" w:cs="仿宋_GB2312"/>
          <w:color w:val="auto"/>
          <w:sz w:val="28"/>
          <w:szCs w:val="28"/>
          <w:highlight w:val="none"/>
        </w:rPr>
        <w:t>2.本合同标准文本为政府采购货物买卖合同编制提供参考，可以结合采购项目具体情况，对文本作必要的调整修订后使用。</w:t>
      </w:r>
    </w:p>
    <w:p>
      <w:pPr>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3.本合同标准文本各条款中，如涉及填写多家供应商、制造商，多种采购标的、分包主要内容等信息的，可根据采购项目具体情况添加信息项。</w:t>
      </w:r>
    </w:p>
    <w:p>
      <w:pPr>
        <w:ind w:firstLine="0" w:firstLineChars="0"/>
        <w:rPr>
          <w:rFonts w:hint="eastAsia" w:ascii="仿宋_GB2312" w:hAnsi="仿宋_GB2312" w:eastAsia="仿宋_GB2312" w:cs="仿宋_GB2312"/>
          <w:color w:val="auto"/>
          <w:sz w:val="28"/>
          <w:szCs w:val="28"/>
          <w:highlight w:val="none"/>
        </w:rPr>
      </w:pPr>
      <w:bookmarkStart w:id="233" w:name="_Toc22209"/>
    </w:p>
    <w:p>
      <w:pPr>
        <w:keepNext/>
        <w:keepLines/>
        <w:adjustRightInd w:val="0"/>
        <w:snapToGrid w:val="0"/>
        <w:ind w:firstLine="560"/>
        <w:jc w:val="center"/>
        <w:outlineLvl w:val="1"/>
        <w:rPr>
          <w:rFonts w:hint="eastAsia" w:ascii="黑体" w:hAnsi="华文中宋" w:eastAsia="黑体"/>
          <w:color w:val="auto"/>
          <w:sz w:val="28"/>
          <w:szCs w:val="28"/>
          <w:highlight w:val="none"/>
        </w:rPr>
      </w:pPr>
      <w:r>
        <w:rPr>
          <w:rFonts w:hint="eastAsia" w:ascii="黑体" w:hAnsi="黑体" w:eastAsia="黑体"/>
          <w:color w:val="auto"/>
          <w:sz w:val="28"/>
          <w:szCs w:val="28"/>
          <w:highlight w:val="none"/>
        </w:rPr>
        <w:t xml:space="preserve">第一节 </w:t>
      </w:r>
      <w:r>
        <w:rPr>
          <w:rFonts w:hint="eastAsia" w:ascii="黑体" w:hAnsi="华文中宋" w:eastAsia="黑体"/>
          <w:color w:val="auto"/>
          <w:sz w:val="28"/>
          <w:szCs w:val="28"/>
          <w:highlight w:val="none"/>
        </w:rPr>
        <w:t>政府采购合同协议书</w:t>
      </w:r>
      <w:bookmarkEnd w:id="233"/>
    </w:p>
    <w:p>
      <w:pPr>
        <w:keepNext/>
        <w:keepLines/>
        <w:adjustRightInd w:val="0"/>
        <w:snapToGrid w:val="0"/>
        <w:ind w:firstLine="560"/>
        <w:jc w:val="center"/>
        <w:outlineLvl w:val="1"/>
        <w:rPr>
          <w:rFonts w:hint="eastAsia" w:ascii="黑体" w:hAnsi="华文中宋" w:eastAsia="黑体"/>
          <w:color w:val="auto"/>
          <w:sz w:val="28"/>
          <w:szCs w:val="28"/>
          <w:highlight w:val="none"/>
        </w:rPr>
      </w:pP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（采购人、受采购人委托签订合同的单位或采购文件约定的合同甲方）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line="420" w:lineRule="exact"/>
        <w:ind w:firstLine="420"/>
        <w:rPr>
          <w:rFonts w:hint="eastAsia"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line="420" w:lineRule="exact"/>
        <w:ind w:firstLine="420"/>
        <w:rPr>
          <w:color w:val="auto"/>
          <w:highlight w:val="none"/>
        </w:rPr>
      </w:pP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项目信息</w:t>
      </w:r>
    </w:p>
    <w:p>
      <w:pPr>
        <w:adjustRightInd w:val="0"/>
        <w:snapToGrid w:val="0"/>
        <w:spacing w:line="42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（1）采购项目名称：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tabs>
          <w:tab w:val="left" w:pos="999"/>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（3）项目内容：</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line="420" w:lineRule="exact"/>
        <w:ind w:firstLine="420"/>
        <w:rPr>
          <w:rFonts w:hint="eastAsia"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pPr>
        <w:adjustRightInd w:val="0"/>
        <w:snapToGrid w:val="0"/>
        <w:spacing w:line="420" w:lineRule="exact"/>
        <w:ind w:firstLine="735" w:firstLineChars="350"/>
        <w:rPr>
          <w:rFonts w:hint="eastAsia" w:ascii="宋体" w:hAnsi="宋体" w:cs="宋体"/>
          <w:color w:val="auto"/>
          <w:szCs w:val="21"/>
          <w:highlight w:val="none"/>
          <w:lang w:val="en"/>
        </w:rPr>
      </w:pPr>
      <w:r>
        <w:rPr>
          <w:rFonts w:hint="eastAsia" w:ascii="宋体" w:hAnsi="宋体"/>
          <w:color w:val="auto"/>
          <w:szCs w:val="21"/>
          <w:highlight w:val="none"/>
        </w:rPr>
        <w:t>采购标的的技术要求、商务要求具体见附件。</w:t>
      </w:r>
    </w:p>
    <w:p>
      <w:pPr>
        <w:adjustRightInd w:val="0"/>
        <w:snapToGrid w:val="0"/>
        <w:spacing w:line="420" w:lineRule="exact"/>
        <w:ind w:firstLine="735" w:firstLineChars="350"/>
        <w:rPr>
          <w:rFonts w:hint="eastAsia"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pPr>
        <w:adjustRightInd w:val="0"/>
        <w:snapToGrid w:val="0"/>
        <w:spacing w:line="420" w:lineRule="exact"/>
        <w:ind w:firstLine="42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pPr>
        <w:adjustRightInd w:val="0"/>
        <w:snapToGrid w:val="0"/>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关键部件</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汉仪书宋二S" w:hAnsi="汉仪书宋二S" w:eastAsia="汉仪书宋二S" w:cs="汉仪书宋二S"/>
          <w:color w:val="auto"/>
          <w:kern w:val="0"/>
          <w:szCs w:val="21"/>
          <w:highlight w:val="none"/>
        </w:rPr>
        <w:t>②</w:t>
      </w:r>
      <w:r>
        <w:rPr>
          <w:rFonts w:hint="eastAsia" w:ascii="宋体" w:hAnsi="宋体" w:cs="宋体"/>
          <w:color w:val="auto"/>
          <w:kern w:val="0"/>
          <w:szCs w:val="21"/>
          <w:highlight w:val="none"/>
        </w:rPr>
        <w:t>涉及车辆采购，请填写是否属于新能源汽车：</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是，《政府采购品目分类目录》底级品目名称：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数量：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金额：</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）政府采购组织形式：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政府集中采购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部门集中采购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分散采购</w:t>
      </w:r>
    </w:p>
    <w:p>
      <w:pPr>
        <w:widowControl/>
        <w:autoSpaceDE w:val="0"/>
        <w:autoSpaceDN w:val="0"/>
        <w:adjustRightInd w:val="0"/>
        <w:snapToGrid w:val="0"/>
        <w:spacing w:line="420" w:lineRule="exact"/>
        <w:ind w:firstLine="283" w:firstLineChars="13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）政府采购方式：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公开招标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邀请招标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竞争性谈判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竞争性磋商</w:t>
      </w:r>
    </w:p>
    <w:p>
      <w:pPr>
        <w:widowControl/>
        <w:autoSpaceDE w:val="0"/>
        <w:autoSpaceDN w:val="0"/>
        <w:adjustRightInd w:val="0"/>
        <w:snapToGrid w:val="0"/>
        <w:spacing w:line="420" w:lineRule="exact"/>
        <w:ind w:firstLine="420" w:firstLineChars="0"/>
        <w:jc w:val="left"/>
        <w:rPr>
          <w:rFonts w:hint="eastAsia" w:ascii="宋体" w:hAnsi="宋体" w:cs="宋体"/>
          <w:color w:val="auto"/>
          <w:kern w:val="0"/>
          <w:szCs w:val="21"/>
          <w:highlight w:val="none"/>
          <w:u w:val="single"/>
        </w:rPr>
      </w:pPr>
      <w:r>
        <w:rPr>
          <w:rFonts w:hint="eastAsia" w:ascii="宋体" w:hAnsi="宋体" w:eastAsia="华文楷体" w:cs="宋体"/>
          <w:color w:val="auto"/>
          <w:kern w:val="0"/>
          <w:sz w:val="22"/>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询价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单一来源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框架协议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其他：</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283" w:firstLineChars="135"/>
        <w:jc w:val="left"/>
        <w:rPr>
          <w:rFonts w:hint="eastAsia" w:ascii="宋体" w:hAnsi="宋体"/>
          <w:color w:val="auto"/>
          <w:szCs w:val="21"/>
          <w:highlight w:val="none"/>
        </w:rPr>
      </w:pPr>
      <w:r>
        <w:rPr>
          <w:rFonts w:hint="eastAsia" w:ascii="宋体" w:hAnsi="宋体" w:cs="华文楷体"/>
          <w:color w:val="auto"/>
          <w:kern w:val="0"/>
          <w:szCs w:val="21"/>
          <w:highlight w:val="none"/>
        </w:rPr>
        <w:t>（6）</w:t>
      </w:r>
      <w:r>
        <w:rPr>
          <w:rFonts w:hint="eastAsia" w:ascii="宋体" w:hAnsi="宋体"/>
          <w:color w:val="auto"/>
          <w:szCs w:val="21"/>
          <w:highlight w:val="none"/>
        </w:rPr>
        <w:t>中标（成交）采购标的制造商是否为中小企业：</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snapToGrid w:val="0"/>
        <w:spacing w:line="420" w:lineRule="exact"/>
        <w:ind w:firstLine="420"/>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409" w:firstLineChars="195"/>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ascii="宋体" w:hAnsi="宋体"/>
          <w:color w:val="auto"/>
          <w:szCs w:val="21"/>
          <w:highlight w:val="none"/>
        </w:rPr>
        <w:t>）</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分包供应商/制造商名称（如供应商和制造商不同，请分别填写）：</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分包供应商/制造商类型（如果供应商和制造商不同，只填写制造商类型）：</w:t>
      </w:r>
    </w:p>
    <w:p>
      <w:pPr>
        <w:adjustRightInd w:val="0"/>
        <w:snapToGrid w:val="0"/>
        <w:spacing w:line="420" w:lineRule="exact"/>
        <w:ind w:firstLine="840" w:firstLineChars="400"/>
        <w:rPr>
          <w:rFonts w:hint="eastAsia" w:ascii="宋体" w:hAnsi="宋体"/>
          <w:iCs/>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p>
    <w:p>
      <w:pPr>
        <w:adjustRightInd w:val="0"/>
        <w:snapToGrid w:val="0"/>
        <w:spacing w:line="420" w:lineRule="exact"/>
        <w:ind w:firstLine="735" w:firstLineChars="35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pPr>
        <w:adjustRightInd w:val="0"/>
        <w:snapToGrid w:val="0"/>
        <w:spacing w:line="420" w:lineRule="exact"/>
        <w:ind w:firstLine="0" w:firstLineChars="0"/>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widowControl/>
        <w:tabs>
          <w:tab w:val="left" w:pos="1340"/>
        </w:tabs>
        <w:autoSpaceDE w:val="0"/>
        <w:autoSpaceDN w:val="0"/>
        <w:adjustRightInd w:val="0"/>
        <w:spacing w:line="420" w:lineRule="exact"/>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    外商投资企业类型：</w:t>
      </w:r>
      <w:r>
        <w:rPr>
          <w:rFonts w:hint="eastAsia" w:ascii="宋体" w:hAnsi="宋体" w:cs="宋体"/>
          <w:iCs/>
          <w:color w:val="auto"/>
          <w:kern w:val="0"/>
          <w:szCs w:val="21"/>
          <w:highlight w:val="none"/>
        </w:rPr>
        <w:sym w:font="Wingdings" w:char="00A8"/>
      </w:r>
      <w:r>
        <w:rPr>
          <w:rFonts w:hint="eastAsia" w:ascii="宋体" w:hAnsi="宋体" w:cs="宋体"/>
          <w:color w:val="auto"/>
          <w:kern w:val="0"/>
          <w:szCs w:val="21"/>
          <w:highlight w:val="none"/>
        </w:rPr>
        <w:t xml:space="preserve">全部由外国投资者投资  </w:t>
      </w:r>
      <w:r>
        <w:rPr>
          <w:rFonts w:hint="eastAsia" w:ascii="宋体" w:hAnsi="宋体" w:cs="宋体"/>
          <w:iCs/>
          <w:color w:val="auto"/>
          <w:kern w:val="0"/>
          <w:szCs w:val="21"/>
          <w:highlight w:val="none"/>
        </w:rPr>
        <w:sym w:font="Wingdings" w:char="00A8"/>
      </w:r>
      <w:r>
        <w:rPr>
          <w:rFonts w:hint="eastAsia" w:ascii="宋体" w:hAnsi="宋体" w:cs="宋体"/>
          <w:iCs/>
          <w:color w:val="auto"/>
          <w:kern w:val="0"/>
          <w:szCs w:val="21"/>
          <w:highlight w:val="none"/>
        </w:rPr>
        <w:t>部分由外国投资者投资</w:t>
      </w:r>
    </w:p>
    <w:p>
      <w:pPr>
        <w:adjustRightInd w:val="0"/>
        <w:snapToGrid w:val="0"/>
        <w:spacing w:line="420" w:lineRule="exact"/>
        <w:ind w:firstLine="304" w:firstLineChars="145"/>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pPr>
        <w:adjustRightInd w:val="0"/>
        <w:snapToGrid w:val="0"/>
        <w:spacing w:line="420" w:lineRule="exact"/>
        <w:ind w:firstLine="735" w:firstLineChars="35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s="宋体"/>
          <w:color w:val="auto"/>
          <w:szCs w:val="21"/>
          <w:highlight w:val="none"/>
        </w:rPr>
        <w:t>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否</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widowControl/>
        <w:autoSpaceDE w:val="0"/>
        <w:autoSpaceDN w:val="0"/>
        <w:adjustRightInd w:val="0"/>
        <w:snapToGrid w:val="0"/>
        <w:spacing w:line="420" w:lineRule="exact"/>
        <w:ind w:firstLine="0" w:firstLineChars="0"/>
        <w:jc w:val="left"/>
        <w:rPr>
          <w:rFonts w:hint="eastAsia" w:ascii="宋体" w:hAnsi="宋体"/>
          <w:color w:val="auto"/>
          <w:szCs w:val="21"/>
          <w:highlight w:val="none"/>
        </w:rPr>
      </w:pPr>
      <w:r>
        <w:rPr>
          <w:rFonts w:hint="eastAsia" w:ascii="宋体" w:hAnsi="宋体" w:eastAsia="华文楷体" w:cs="华文楷体"/>
          <w:color w:val="auto"/>
          <w:kern w:val="0"/>
          <w:szCs w:val="21"/>
          <w:highlight w:val="none"/>
        </w:rPr>
        <w:t xml:space="preserve">        </w:t>
      </w:r>
      <w:r>
        <w:rPr>
          <w:rFonts w:hint="eastAsia" w:ascii="宋体" w:hAnsi="宋体"/>
          <w:color w:val="auto"/>
          <w:szCs w:val="21"/>
          <w:highlight w:val="none"/>
        </w:rPr>
        <w:t xml:space="preserve">是否涉及绿色产品： </w:t>
      </w:r>
    </w:p>
    <w:p>
      <w:pPr>
        <w:widowControl/>
        <w:autoSpaceDE w:val="0"/>
        <w:autoSpaceDN w:val="0"/>
        <w:adjustRightInd w:val="0"/>
        <w:spacing w:line="420" w:lineRule="exact"/>
        <w:ind w:firstLine="420"/>
        <w:jc w:val="left"/>
        <w:rPr>
          <w:rFonts w:hint="eastAsia" w:ascii="宋体" w:hAnsi="宋体" w:cs="华文楷体"/>
          <w:color w:val="auto"/>
          <w:kern w:val="0"/>
          <w:sz w:val="22"/>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是，绿色产品政府采购相关政策确定的底级品目名称：</w:t>
      </w:r>
      <w:r>
        <w:rPr>
          <w:rFonts w:hint="eastAsia" w:ascii="宋体" w:hAnsi="宋体" w:cs="华文楷体"/>
          <w:color w:val="auto"/>
          <w:kern w:val="0"/>
          <w:sz w:val="22"/>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adjustRightInd w:val="0"/>
        <w:snapToGrid w:val="0"/>
        <w:spacing w:line="42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pPr>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pPr>
        <w:adjustRightInd w:val="0"/>
        <w:snapToGrid w:val="0"/>
        <w:spacing w:line="420" w:lineRule="exact"/>
        <w:ind w:firstLine="42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pPr>
        <w:spacing w:line="420" w:lineRule="exact"/>
        <w:ind w:firstLine="420"/>
        <w:rPr>
          <w:color w:val="auto"/>
          <w:szCs w:val="21"/>
          <w:highlight w:val="none"/>
        </w:rPr>
      </w:pPr>
      <w:r>
        <w:rPr>
          <w:rFonts w:hint="eastAsia" w:ascii="宋体" w:hAnsi="宋体"/>
          <w:color w:val="auto"/>
          <w:szCs w:val="21"/>
          <w:highlight w:val="none"/>
        </w:rPr>
        <w:t>（3）付款方式（按项目实际勾选填写）：</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pPr>
        <w:snapToGrid w:val="0"/>
        <w:spacing w:line="42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2"/>
        </w:numPr>
        <w:adjustRightInd w:val="0"/>
        <w:snapToGrid w:val="0"/>
        <w:spacing w:line="420" w:lineRule="exact"/>
        <w:ind w:firstLine="422"/>
        <w:rPr>
          <w:rFonts w:hint="eastAsia" w:ascii="宋体" w:hAnsi="宋体"/>
          <w:b/>
          <w:color w:val="auto"/>
          <w:szCs w:val="21"/>
          <w:highlight w:val="none"/>
          <w:u w:val="single"/>
        </w:rPr>
      </w:pPr>
      <w:r>
        <w:rPr>
          <w:rFonts w:hint="eastAsia" w:ascii="宋体" w:hAnsi="宋体"/>
          <w:b/>
          <w:color w:val="auto"/>
          <w:szCs w:val="21"/>
          <w:highlight w:val="none"/>
        </w:rPr>
        <w:t>合同履行</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pPr>
        <w:widowControl/>
        <w:autoSpaceDE w:val="0"/>
        <w:autoSpaceDN w:val="0"/>
        <w:adjustRightInd w:val="0"/>
        <w:spacing w:line="420" w:lineRule="exact"/>
        <w:ind w:firstLine="440"/>
        <w:jc w:val="left"/>
        <w:rPr>
          <w:rFonts w:hint="eastAsia" w:ascii="宋体" w:hAnsi="宋体" w:cs="宋体"/>
          <w:color w:val="auto"/>
          <w:kern w:val="0"/>
          <w:szCs w:val="21"/>
          <w:highlight w:val="none"/>
        </w:rPr>
      </w:pPr>
      <w:r>
        <w:rPr>
          <w:rFonts w:hint="eastAsia" w:ascii="宋体" w:hAnsi="宋体" w:eastAsia="华文楷体" w:cs="宋体"/>
          <w:bCs/>
          <w:color w:val="auto"/>
          <w:kern w:val="0"/>
          <w:sz w:val="22"/>
          <w:szCs w:val="21"/>
          <w:highlight w:val="none"/>
        </w:rPr>
        <w:t xml:space="preserve"> </w:t>
      </w:r>
      <w:r>
        <w:rPr>
          <w:rFonts w:hint="eastAsia" w:ascii="宋体" w:hAnsi="宋体" w:cs="宋体"/>
          <w:color w:val="auto"/>
          <w:kern w:val="0"/>
          <w:szCs w:val="21"/>
          <w:highlight w:val="none"/>
        </w:rPr>
        <w:t xml:space="preserve">  收取履约保证金形式：</w:t>
      </w:r>
      <w:r>
        <w:rPr>
          <w:rFonts w:hint="eastAsia" w:ascii="宋体" w:hAnsi="宋体" w:cs="宋体"/>
          <w:bCs/>
          <w:color w:val="auto"/>
          <w:kern w:val="0"/>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收取履约保证金金额：</w:t>
      </w:r>
      <w:r>
        <w:rPr>
          <w:rFonts w:hint="eastAsia" w:ascii="宋体" w:hAnsi="宋体" w:cs="宋体"/>
          <w:bCs/>
          <w:color w:val="auto"/>
          <w:kern w:val="0"/>
          <w:szCs w:val="21"/>
          <w:highlight w:val="none"/>
          <w:u w:val="single"/>
        </w:rPr>
        <w:t xml:space="preserve">                                  </w:t>
      </w:r>
    </w:p>
    <w:p>
      <w:pPr>
        <w:snapToGrid w:val="0"/>
        <w:spacing w:line="420" w:lineRule="exact"/>
        <w:ind w:firstLine="42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合同验收</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（1）验收组织方式：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一次性验收</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widowControl/>
        <w:autoSpaceDE w:val="0"/>
        <w:autoSpaceDN w:val="0"/>
        <w:adjustRightInd w:val="0"/>
        <w:spacing w:line="420" w:lineRule="exact"/>
        <w:ind w:firstLine="210" w:firstLineChars="10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（7）是否以采购活动中供应商提供的样品作为参考：</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 xml:space="preserve">是  </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否</w:t>
      </w:r>
    </w:p>
    <w:p>
      <w:pPr>
        <w:adjustRightInd w:val="0"/>
        <w:snapToGrid w:val="0"/>
        <w:spacing w:line="420" w:lineRule="exact"/>
        <w:ind w:firstLine="210" w:firstLineChars="1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（2）政府采购合同专用条款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（3）政府采购合同通用条款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（4）中标（成交）通知书</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（5）投标（响应）文件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（6）采购文件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（7）有关技术文件，图纸</w:t>
      </w:r>
    </w:p>
    <w:p>
      <w:pPr>
        <w:widowControl/>
        <w:autoSpaceDE w:val="0"/>
        <w:autoSpaceDN w:val="0"/>
        <w:adjustRightInd w:val="0"/>
        <w:spacing w:line="420" w:lineRule="exact"/>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rPr>
        <w:t>（8）</w:t>
      </w:r>
      <w:r>
        <w:rPr>
          <w:rFonts w:hint="eastAsia" w:ascii="宋体" w:hAnsi="宋体" w:cs="宋体"/>
          <w:color w:val="auto"/>
          <w:szCs w:val="21"/>
          <w:highlight w:val="none"/>
        </w:rPr>
        <w:t>国家法律、行政法规和规章制度规定或合同约定的作为合同组成部分的其他文件</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line="420" w:lineRule="exact"/>
        <w:ind w:firstLine="420"/>
        <w:rPr>
          <w:color w:val="auto"/>
          <w:highlight w:val="none"/>
        </w:rPr>
      </w:pPr>
      <w:r>
        <w:rPr>
          <w:rFonts w:hint="eastAsia" w:ascii="宋体" w:hAnsi="宋体"/>
          <w:color w:val="auto"/>
          <w:szCs w:val="21"/>
          <w:highlight w:val="none"/>
        </w:rPr>
        <w:t>附件：具体标的及其技术要求和商务要求、联合协议、分包意向协议等。</w:t>
      </w:r>
    </w:p>
    <w:p>
      <w:pPr>
        <w:widowControl/>
        <w:spacing w:line="420" w:lineRule="exact"/>
        <w:ind w:firstLine="420"/>
        <w:jc w:val="left"/>
        <w:rPr>
          <w:color w:val="auto"/>
          <w:szCs w:val="21"/>
          <w:highlight w:val="none"/>
        </w:rPr>
      </w:pPr>
      <w:r>
        <w:rPr>
          <w:color w:val="auto"/>
          <w:szCs w:val="21"/>
          <w:highlight w:val="none"/>
        </w:rPr>
        <w:br w:type="page"/>
      </w:r>
    </w:p>
    <w:tbl>
      <w:tblPr>
        <w:tblStyle w:val="48"/>
        <w:tblW w:w="0" w:type="auto"/>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5119" w:type="dxa"/>
            <w:gridSpan w:val="2"/>
            <w:tcBorders>
              <w:bottom w:val="single" w:color="auto" w:sz="2" w:space="0"/>
              <w:right w:val="single" w:color="auto" w:sz="2" w:space="0"/>
            </w:tcBorders>
            <w:noWrap w:val="0"/>
            <w:vAlign w:val="center"/>
          </w:tcPr>
          <w:p>
            <w:pPr>
              <w:adjustRightInd w:val="0"/>
              <w:snapToGrid w:val="0"/>
              <w:spacing w:line="300" w:lineRule="exact"/>
              <w:ind w:firstLine="420"/>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871" w:type="dxa"/>
            <w:gridSpan w:val="2"/>
            <w:tcBorders>
              <w:left w:val="single" w:color="auto" w:sz="2" w:space="0"/>
              <w:bottom w:val="single" w:color="auto" w:sz="2" w:space="0"/>
            </w:tcBorders>
            <w:noWrap w:val="0"/>
            <w:vAlign w:val="center"/>
          </w:tcPr>
          <w:p>
            <w:pPr>
              <w:adjustRightInd w:val="0"/>
              <w:snapToGrid w:val="0"/>
              <w:spacing w:line="300" w:lineRule="exact"/>
              <w:ind w:firstLine="420"/>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869"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法定代表人</w:t>
            </w:r>
          </w:p>
          <w:p>
            <w:pPr>
              <w:adjustRightInd w:val="0"/>
              <w:snapToGrid w:val="0"/>
              <w:spacing w:line="300" w:lineRule="exact"/>
              <w:ind w:firstLine="420"/>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42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869"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拥有者性别</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住  所</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住  所</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 系 人</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 系 人</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联系电话</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联系电话</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通信地址</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通信地址</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邮政编码</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邮政编码</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电子邮箱</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电子邮箱</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统一社会信用代码</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统一社会信用代码</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开户名称</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开户名称</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开户银行</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开户银行</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银行账号</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银行账号</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9990" w:type="dxa"/>
            <w:gridSpan w:val="4"/>
            <w:tcBorders>
              <w:top w:val="single" w:color="auto" w:sz="2" w:space="0"/>
            </w:tcBorders>
            <w:noWrap w:val="0"/>
            <w:vAlign w:val="center"/>
          </w:tcPr>
          <w:p>
            <w:pPr>
              <w:adjustRightInd w:val="0"/>
              <w:snapToGrid w:val="0"/>
              <w:spacing w:before="156" w:beforeLines="50" w:line="360" w:lineRule="auto"/>
              <w:ind w:firstLine="42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keepNext/>
        <w:keepLines/>
        <w:adjustRightInd w:val="0"/>
        <w:snapToGrid w:val="0"/>
        <w:spacing w:before="156" w:beforeLines="50" w:line="360" w:lineRule="auto"/>
        <w:ind w:firstLine="422"/>
        <w:jc w:val="center"/>
        <w:outlineLvl w:val="1"/>
        <w:rPr>
          <w:rFonts w:hint="eastAsia" w:ascii="黑体" w:hAnsi="黑体" w:eastAsia="黑体"/>
          <w:b/>
          <w:bCs/>
          <w:color w:val="auto"/>
          <w:sz w:val="28"/>
          <w:szCs w:val="28"/>
          <w:highlight w:val="none"/>
        </w:rPr>
      </w:pPr>
      <w:r>
        <w:rPr>
          <w:rFonts w:ascii="宋体" w:hAnsi="宋体"/>
          <w:b/>
          <w:bCs/>
          <w:color w:val="auto"/>
          <w:szCs w:val="21"/>
          <w:highlight w:val="none"/>
          <w:u w:val="single"/>
        </w:rPr>
        <w:br w:type="page"/>
      </w:r>
      <w:bookmarkStart w:id="234" w:name="_Toc27624"/>
      <w:r>
        <w:rPr>
          <w:rFonts w:hint="eastAsia" w:ascii="黑体" w:hAnsi="黑体" w:eastAsia="黑体"/>
          <w:color w:val="auto"/>
          <w:sz w:val="28"/>
          <w:szCs w:val="28"/>
          <w:highlight w:val="none"/>
        </w:rPr>
        <w:t>第二节 政府采购合同通用条款</w:t>
      </w:r>
      <w:bookmarkEnd w:id="234"/>
    </w:p>
    <w:p>
      <w:pPr>
        <w:tabs>
          <w:tab w:val="left" w:pos="8820"/>
          <w:tab w:val="left" w:pos="9345"/>
          <w:tab w:val="left" w:pos="9765"/>
        </w:tabs>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3"/>
        </w:num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line="460" w:lineRule="exact"/>
        <w:ind w:firstLine="420"/>
        <w:jc w:val="left"/>
        <w:rPr>
          <w:rFonts w:hint="eastAsia"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60" w:lineRule="exact"/>
        <w:ind w:firstLine="42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pPr>
        <w:spacing w:line="460"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pPr>
        <w:spacing w:line="460"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pPr>
        <w:numPr>
          <w:ilvl w:val="0"/>
          <w:numId w:val="4"/>
        </w:num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合同履行</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line="460" w:lineRule="exact"/>
        <w:ind w:firstLine="42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pPr>
        <w:widowControl/>
        <w:autoSpaceDE w:val="0"/>
        <w:autoSpaceDN w:val="0"/>
        <w:adjustRightInd w:val="0"/>
        <w:spacing w:line="460" w:lineRule="exact"/>
        <w:ind w:firstLine="420"/>
        <w:jc w:val="left"/>
        <w:rPr>
          <w:rFonts w:hint="eastAsia" w:ascii="华文楷体" w:hAnsi="华文楷体" w:eastAsia="华文楷体" w:cs="华文楷体"/>
          <w:color w:val="auto"/>
          <w:kern w:val="0"/>
          <w:szCs w:val="21"/>
          <w:highlight w:val="none"/>
        </w:rPr>
      </w:pPr>
      <w:r>
        <w:rPr>
          <w:rFonts w:hint="eastAsia" w:ascii="宋体" w:hAnsi="宋体"/>
          <w:color w:val="auto"/>
          <w:szCs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8. 质量标准和保证</w:t>
      </w:r>
    </w:p>
    <w:p>
      <w:pPr>
        <w:adjustRightInd w:val="0"/>
        <w:snapToGrid w:val="0"/>
        <w:spacing w:line="460" w:lineRule="exact"/>
        <w:ind w:firstLine="420"/>
        <w:jc w:val="left"/>
        <w:rPr>
          <w:rFonts w:hint="eastAsia" w:ascii="宋体" w:hAnsi="宋体" w:cs="Courier New"/>
          <w:b/>
          <w:color w:val="auto"/>
          <w:szCs w:val="21"/>
          <w:highlight w:val="none"/>
        </w:rPr>
      </w:pPr>
      <w:r>
        <w:rPr>
          <w:rFonts w:hint="eastAsia" w:ascii="宋体" w:hAnsi="宋体" w:cs="Courier New"/>
          <w:color w:val="auto"/>
          <w:szCs w:val="21"/>
          <w:highlight w:val="none"/>
        </w:rPr>
        <w:t>8.1 质量标准</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6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（2）采用中华人民共和国法定计量单位。</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8.2 保证</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60" w:lineRule="exact"/>
        <w:ind w:firstLine="42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235"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235"/>
      <w:r>
        <w:rPr>
          <w:rFonts w:hint="eastAsia" w:ascii="宋体" w:hAnsi="宋体"/>
          <w:color w:val="auto"/>
          <w:szCs w:val="21"/>
          <w:highlight w:val="none"/>
        </w:rPr>
        <w:t>。</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adjustRightInd w:val="0"/>
        <w:snapToGrid w:val="0"/>
        <w:spacing w:line="460" w:lineRule="exact"/>
        <w:ind w:firstLine="42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12. 合同价款支付</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pPr>
        <w:keepNext/>
        <w:keepLines/>
        <w:spacing w:line="460" w:lineRule="exact"/>
        <w:ind w:firstLine="420"/>
        <w:outlineLvl w:val="1"/>
        <w:rPr>
          <w:rFonts w:ascii="Arial" w:hAnsi="Arial"/>
          <w:b/>
          <w:bCs/>
          <w:color w:val="auto"/>
          <w:sz w:val="24"/>
          <w:szCs w:val="32"/>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Cs w:val="21"/>
          <w:highlight w:val="none"/>
        </w:rPr>
        <w:t>政府采购合同专用条款</w:t>
      </w:r>
      <w:r>
        <w:rPr>
          <w:rFonts w:hint="eastAsia" w:ascii="宋体" w:hAnsi="宋体"/>
          <w:color w:val="auto"/>
          <w:szCs w:val="21"/>
          <w:highlight w:val="none"/>
        </w:rPr>
        <w:t>】中约定。</w:t>
      </w:r>
    </w:p>
    <w:p>
      <w:pPr>
        <w:spacing w:line="460" w:lineRule="exact"/>
        <w:ind w:firstLine="482"/>
        <w:rPr>
          <w:rFonts w:hint="eastAsia" w:ascii="宋体" w:hAnsi="宋体"/>
          <w:b/>
          <w:bCs/>
          <w:color w:val="auto"/>
          <w:sz w:val="24"/>
          <w:highlight w:val="none"/>
        </w:rPr>
      </w:pPr>
      <w:r>
        <w:rPr>
          <w:rFonts w:hint="eastAsia" w:ascii="宋体" w:hAnsi="宋体"/>
          <w:b/>
          <w:bCs/>
          <w:color w:val="auto"/>
          <w:sz w:val="24"/>
          <w:highlight w:val="none"/>
        </w:rPr>
        <w:t>13. 履约保证金</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6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w:t>
      </w:r>
      <w:r>
        <w:rPr>
          <w:rFonts w:hint="eastAsia" w:ascii="宋体" w:hAnsi="宋体"/>
          <w:color w:val="auto"/>
          <w:spacing w:val="-20"/>
          <w:szCs w:val="21"/>
          <w:highlight w:val="none"/>
        </w:rPr>
        <w:t>、</w:t>
      </w:r>
      <w:r>
        <w:rPr>
          <w:rFonts w:hint="eastAsia" w:ascii="宋体" w:hAnsi="宋体"/>
          <w:color w:val="auto"/>
          <w:szCs w:val="21"/>
          <w:highlight w:val="none"/>
        </w:rPr>
        <w:t>启动</w:t>
      </w:r>
      <w:r>
        <w:rPr>
          <w:rFonts w:hint="eastAsia" w:ascii="宋体" w:hAnsi="宋体"/>
          <w:color w:val="auto"/>
          <w:spacing w:val="-20"/>
          <w:szCs w:val="21"/>
          <w:highlight w:val="none"/>
        </w:rPr>
        <w:t>、</w:t>
      </w:r>
      <w:r>
        <w:rPr>
          <w:rFonts w:hint="eastAsia" w:ascii="宋体" w:hAnsi="宋体"/>
          <w:color w:val="auto"/>
          <w:szCs w:val="21"/>
          <w:highlight w:val="none"/>
        </w:rPr>
        <w:t>运营</w:t>
      </w:r>
      <w:r>
        <w:rPr>
          <w:rFonts w:hint="eastAsia" w:ascii="宋体" w:hAnsi="宋体"/>
          <w:color w:val="auto"/>
          <w:spacing w:val="-20"/>
          <w:szCs w:val="21"/>
          <w:highlight w:val="none"/>
        </w:rPr>
        <w:t>、</w:t>
      </w:r>
      <w:r>
        <w:rPr>
          <w:rFonts w:hint="eastAsia" w:ascii="宋体" w:hAnsi="宋体"/>
          <w:color w:val="auto"/>
          <w:szCs w:val="21"/>
          <w:highlight w:val="none"/>
        </w:rPr>
        <w:t>维护</w:t>
      </w:r>
      <w:r>
        <w:rPr>
          <w:rFonts w:hint="eastAsia" w:ascii="宋体" w:hAnsi="宋体"/>
          <w:color w:val="auto"/>
          <w:spacing w:val="-20"/>
          <w:szCs w:val="21"/>
          <w:highlight w:val="none"/>
        </w:rPr>
        <w:t>、</w:t>
      </w:r>
      <w:r>
        <w:rPr>
          <w:rFonts w:hint="eastAsia" w:ascii="宋体" w:hAnsi="宋体"/>
          <w:color w:val="auto"/>
          <w:szCs w:val="21"/>
          <w:highlight w:val="none"/>
        </w:rPr>
        <w:t>废弃处置等对甲方操作人员进行培训</w:t>
      </w:r>
      <w:r>
        <w:rPr>
          <w:rFonts w:hint="eastAsia" w:ascii="宋体" w:hAnsi="宋体" w:cs="宋体"/>
          <w:color w:val="auto"/>
          <w:szCs w:val="15"/>
          <w:highlight w:val="none"/>
        </w:rPr>
        <w:t>；</w:t>
      </w:r>
    </w:p>
    <w:p>
      <w:pPr>
        <w:widowControl/>
        <w:autoSpaceDE w:val="0"/>
        <w:autoSpaceDN w:val="0"/>
        <w:adjustRightInd w:val="0"/>
        <w:spacing w:line="46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（5）依照法律、行政法规的规定或者按照</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约定，货物在有效使用年限届满后应予回收的，乙方负有自行或者委托第三人对货物予以回收的义务；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15. 违约责任</w:t>
      </w:r>
    </w:p>
    <w:p>
      <w:pPr>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pPr>
        <w:autoSpaceDE w:val="0"/>
        <w:autoSpaceDN w:val="0"/>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15.2 迟延交货的违约责任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15.3 迟延支付的违约责任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5"/>
        </w:num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合同变更、中止与终止</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16.1合同的变更</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16.2合同的中止</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60" w:lineRule="exact"/>
        <w:ind w:firstLine="42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16.3合同的终止</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60" w:lineRule="exact"/>
        <w:ind w:firstLine="42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pPr>
        <w:widowControl/>
        <w:autoSpaceDE w:val="0"/>
        <w:autoSpaceDN w:val="0"/>
        <w:adjustRightInd w:val="0"/>
        <w:spacing w:line="460" w:lineRule="exact"/>
        <w:ind w:firstLine="440"/>
        <w:jc w:val="left"/>
        <w:rPr>
          <w:rFonts w:hint="eastAsia" w:ascii="宋体" w:hAnsi="宋体" w:eastAsia="华文楷体" w:cs="华文楷体"/>
          <w:color w:val="auto"/>
          <w:kern w:val="0"/>
          <w:sz w:val="22"/>
          <w:szCs w:val="21"/>
          <w:highlight w:val="none"/>
        </w:rPr>
      </w:pPr>
      <w:r>
        <w:rPr>
          <w:rFonts w:hint="eastAsia" w:ascii="宋体" w:hAnsi="宋体" w:eastAsia="华文楷体" w:cs="华文楷体"/>
          <w:color w:val="auto"/>
          <w:kern w:val="0"/>
          <w:sz w:val="22"/>
          <w:szCs w:val="21"/>
          <w:highlight w:val="none"/>
        </w:rPr>
        <w:t xml:space="preserve">16.4 </w:t>
      </w:r>
      <w:r>
        <w:rPr>
          <w:rFonts w:hint="eastAsia" w:ascii="宋体" w:hAnsi="宋体"/>
          <w:color w:val="auto"/>
          <w:szCs w:val="21"/>
          <w:highlight w:val="none"/>
        </w:rPr>
        <w:t>涉及国家利益、社会公共利益的情形</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19.2 选择仲裁的，应在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中明确仲裁机构及仲裁地；通过诉讼方式解决的，可以在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中进一步约定选择与争议有实际联系的地点的人民法院管辖，但管辖法院的约定不得违反级别管辖和专属管辖的规定。</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19.3 如甲乙双方有争议的事项不影响合同其他部分的履行，在争议解决期间，合同其他部分应当继续履行。</w:t>
      </w:r>
    </w:p>
    <w:p>
      <w:pPr>
        <w:autoSpaceDE w:val="0"/>
        <w:autoSpaceDN w:val="0"/>
        <w:adjustRightInd w:val="0"/>
        <w:snapToGrid w:val="0"/>
        <w:spacing w:line="460" w:lineRule="exact"/>
        <w:ind w:firstLine="482"/>
        <w:jc w:val="left"/>
        <w:rPr>
          <w:rFonts w:hint="eastAsia" w:ascii="宋体" w:hAnsi="宋体"/>
          <w:color w:val="auto"/>
          <w:sz w:val="24"/>
          <w:highlight w:val="none"/>
        </w:rPr>
      </w:pPr>
      <w:r>
        <w:rPr>
          <w:rFonts w:hint="eastAsia" w:ascii="宋体" w:hAnsi="宋体"/>
          <w:b/>
          <w:color w:val="auto"/>
          <w:sz w:val="24"/>
          <w:highlight w:val="none"/>
        </w:rPr>
        <w:t>20. 政府采购政策</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spacing w:line="460" w:lineRule="exact"/>
        <w:ind w:firstLine="420"/>
        <w:rPr>
          <w:color w:val="auto"/>
          <w:szCs w:val="22"/>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w:t>
      </w:r>
      <w:bookmarkStart w:id="260" w:name="_GoBack"/>
      <w:r>
        <w:rPr>
          <w:rFonts w:hint="eastAsia" w:ascii="宋体" w:hAnsi="宋体"/>
          <w:color w:val="auto"/>
          <w:szCs w:val="21"/>
          <w:highlight w:val="none"/>
        </w:rPr>
        <w:t>须</w:t>
      </w:r>
      <w:bookmarkEnd w:id="260"/>
      <w:r>
        <w:rPr>
          <w:rFonts w:hint="eastAsia" w:ascii="宋体" w:hAnsi="宋体"/>
          <w:color w:val="auto"/>
          <w:szCs w:val="21"/>
          <w:highlight w:val="none"/>
        </w:rPr>
        <w:t>将联合协议或者分包意向协议作为采购合同的组成部分。</w:t>
      </w:r>
    </w:p>
    <w:p>
      <w:p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21.1 本合同的订立、生效、解释、履行及与本合同有关的争议解决，均适用法律、行政法规。</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21.2 本合同条款与法律、行政法规的强制性规定不一致的，双方当事人应按照法律、行政法规的强制性规定修改本合同的相关条款。</w:t>
      </w:r>
    </w:p>
    <w:p>
      <w:pPr>
        <w:autoSpaceDE w:val="0"/>
        <w:autoSpaceDN w:val="0"/>
        <w:adjustRightInd w:val="0"/>
        <w:snapToGrid w:val="0"/>
        <w:spacing w:line="460" w:lineRule="exact"/>
        <w:ind w:firstLine="420" w:firstLineChars="0"/>
        <w:jc w:val="left"/>
        <w:rPr>
          <w:rFonts w:hint="eastAsia" w:ascii="宋体" w:hAnsi="宋体"/>
          <w:b/>
          <w:color w:val="auto"/>
          <w:sz w:val="24"/>
          <w:highlight w:val="none"/>
        </w:rPr>
      </w:pPr>
      <w:r>
        <w:rPr>
          <w:rFonts w:hint="eastAsia" w:ascii="宋体" w:hAnsi="宋体"/>
          <w:b/>
          <w:color w:val="auto"/>
          <w:sz w:val="24"/>
          <w:highlight w:val="none"/>
        </w:rPr>
        <w:t>22. 通知</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22.2 一方当事人变更名称、住所、联系人、联系电话或电子邮箱等信息的，应当在变更后3日内及时书面通知对方，对方实际收到变更通知前的送达仍为有效送达。</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pPr>
        <w:numPr>
          <w:ilvl w:val="0"/>
          <w:numId w:val="6"/>
        </w:num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60" w:lineRule="exact"/>
        <w:ind w:firstLine="420"/>
        <w:jc w:val="left"/>
        <w:rPr>
          <w:rFonts w:hint="eastAsia"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236" w:name="_Toc20313"/>
    </w:p>
    <w:p>
      <w:pPr>
        <w:adjustRightInd w:val="0"/>
        <w:snapToGrid w:val="0"/>
        <w:ind w:firstLine="560"/>
        <w:jc w:val="center"/>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pPr>
        <w:keepNext/>
        <w:keepLines/>
        <w:adjustRightInd w:val="0"/>
        <w:snapToGrid w:val="0"/>
        <w:spacing w:line="360" w:lineRule="auto"/>
        <w:ind w:firstLine="560"/>
        <w:jc w:val="center"/>
        <w:outlineLvl w:val="1"/>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t>第三节 政府采购合同专用条款</w:t>
      </w:r>
      <w:bookmarkEnd w:id="236"/>
    </w:p>
    <w:tbl>
      <w:tblPr>
        <w:tblStyle w:val="48"/>
        <w:tblW w:w="0" w:type="auto"/>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9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第1.2（6）项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联合体具体要求</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第1.2（7）项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其他术语解释</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第4.4款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第4.6款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ind w:firstLine="420"/>
              <w:jc w:val="center"/>
              <w:rPr>
                <w:color w:val="auto"/>
                <w:highlight w:val="none"/>
              </w:rPr>
            </w:pPr>
            <w:r>
              <w:rPr>
                <w:rFonts w:hint="eastAsia" w:ascii="宋体" w:hAnsi="宋体"/>
                <w:color w:val="auto"/>
                <w:szCs w:val="21"/>
                <w:highlight w:val="none"/>
              </w:rPr>
              <w:t>第5.4款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第6.1款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包装特殊要求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noWrap w:val="0"/>
            <w:vAlign w:val="center"/>
          </w:tcPr>
          <w:p>
            <w:pPr>
              <w:adjustRightInd w:val="0"/>
              <w:snapToGrid w:val="0"/>
              <w:ind w:firstLine="420"/>
              <w:jc w:val="center"/>
              <w:rPr>
                <w:rFonts w:hint="eastAsia" w:ascii="宋体" w:hAnsi="宋体"/>
                <w:color w:val="auto"/>
                <w:szCs w:val="21"/>
                <w:highlight w:val="none"/>
              </w:rPr>
            </w:pP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运输特殊要求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第8.2（1）项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质量保证期</w:t>
            </w:r>
          </w:p>
        </w:tc>
        <w:tc>
          <w:tcPr>
            <w:tcW w:w="5954" w:type="dxa"/>
            <w:noWrap w:val="0"/>
            <w:vAlign w:val="center"/>
          </w:tcPr>
          <w:p>
            <w:pPr>
              <w:autoSpaceDE w:val="0"/>
              <w:autoSpaceDN w:val="0"/>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第8.2（3）项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货物质量缺陷</w:t>
            </w:r>
          </w:p>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响应时间</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snapToGrid w:val="0"/>
              <w:ind w:firstLine="42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pPr>
              <w:widowControl/>
              <w:autoSpaceDE w:val="0"/>
              <w:autoSpaceDN w:val="0"/>
              <w:adjustRightInd w:val="0"/>
              <w:ind w:firstLine="440"/>
              <w:jc w:val="center"/>
              <w:rPr>
                <w:rFonts w:hint="eastAsia" w:ascii="华文楷体" w:hAnsi="华文楷体" w:eastAsia="华文楷体" w:cs="华文楷体"/>
                <w:color w:val="auto"/>
                <w:kern w:val="0"/>
                <w:sz w:val="22"/>
                <w:szCs w:val="21"/>
                <w:highlight w:val="none"/>
              </w:rPr>
            </w:pPr>
            <w:r>
              <w:rPr>
                <w:rFonts w:hint="eastAsia" w:ascii="宋体" w:hAnsi="宋体" w:cs="宋体"/>
                <w:color w:val="auto"/>
                <w:kern w:val="0"/>
                <w:sz w:val="22"/>
                <w:szCs w:val="21"/>
                <w:highlight w:val="none"/>
              </w:rPr>
              <w:t>第11.1款</w:t>
            </w:r>
          </w:p>
        </w:tc>
        <w:tc>
          <w:tcPr>
            <w:tcW w:w="2362" w:type="dxa"/>
            <w:noWrap w:val="0"/>
            <w:vAlign w:val="center"/>
          </w:tcPr>
          <w:p>
            <w:pPr>
              <w:adjustRightInd w:val="0"/>
              <w:snapToGrid w:val="0"/>
              <w:ind w:firstLine="420"/>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第13.2款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履约保证金不予退还的情形</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第13.3款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货物回收的约定</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迟延交货赔偿费</w:t>
            </w:r>
          </w:p>
        </w:tc>
        <w:tc>
          <w:tcPr>
            <w:tcW w:w="5954" w:type="dxa"/>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954" w:type="dxa"/>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第15.4款</w:t>
            </w:r>
          </w:p>
        </w:tc>
        <w:tc>
          <w:tcPr>
            <w:tcW w:w="2362" w:type="dxa"/>
            <w:tcBorders>
              <w:left w:val="single" w:color="auto" w:sz="2" w:space="0"/>
              <w:bottom w:val="single" w:color="auto" w:sz="2" w:space="0"/>
              <w:right w:val="single" w:color="auto" w:sz="2" w:space="0"/>
            </w:tcBorders>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其他违约责任</w:t>
            </w:r>
          </w:p>
        </w:tc>
        <w:tc>
          <w:tcPr>
            <w:tcW w:w="5954" w:type="dxa"/>
            <w:tcBorders>
              <w:left w:val="single" w:color="auto" w:sz="2" w:space="0"/>
              <w:bottom w:val="single" w:color="auto" w:sz="2" w:space="0"/>
            </w:tcBorders>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第19.2款</w:t>
            </w:r>
          </w:p>
        </w:tc>
        <w:tc>
          <w:tcPr>
            <w:tcW w:w="2362" w:type="dxa"/>
            <w:tcBorders>
              <w:top w:val="single" w:color="auto" w:sz="2" w:space="0"/>
              <w:left w:val="single" w:color="auto" w:sz="2" w:space="0"/>
              <w:right w:val="single" w:color="auto" w:sz="2" w:space="0"/>
            </w:tcBorders>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解决争议的方法</w:t>
            </w:r>
          </w:p>
        </w:tc>
        <w:tc>
          <w:tcPr>
            <w:tcW w:w="5954" w:type="dxa"/>
            <w:tcBorders>
              <w:top w:val="single" w:color="auto" w:sz="2" w:space="0"/>
              <w:left w:val="single" w:color="auto" w:sz="2" w:space="0"/>
            </w:tcBorders>
            <w:noWrap w:val="0"/>
            <w:vAlign w:val="center"/>
          </w:tcPr>
          <w:p>
            <w:pPr>
              <w:autoSpaceDE w:val="0"/>
              <w:autoSpaceDN w:val="0"/>
              <w:adjustRightInd w:val="0"/>
              <w:snapToGrid w:val="0"/>
              <w:ind w:firstLine="420"/>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pPr>
              <w:autoSpaceDE w:val="0"/>
              <w:autoSpaceDN w:val="0"/>
              <w:adjustRightInd w:val="0"/>
              <w:snapToGrid w:val="0"/>
              <w:ind w:firstLine="420"/>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pPr>
              <w:adjustRightInd w:val="0"/>
              <w:snapToGrid w:val="0"/>
              <w:ind w:firstLine="420"/>
              <w:jc w:val="left"/>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第23.1款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bCs/>
                <w:color w:val="auto"/>
                <w:szCs w:val="21"/>
                <w:highlight w:val="none"/>
              </w:rPr>
              <w:t>其他专用条款</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bl>
    <w:p>
      <w:pPr>
        <w:widowControl/>
        <w:ind w:firstLine="420"/>
        <w:jc w:val="left"/>
        <w:rPr>
          <w:rFonts w:ascii="宋体" w:hAnsi="Courier New" w:cs="Courier New"/>
          <w:color w:val="auto"/>
          <w:szCs w:val="21"/>
          <w:highlight w:val="none"/>
        </w:rPr>
      </w:pPr>
    </w:p>
    <w:p>
      <w:pPr>
        <w:widowControl/>
        <w:ind w:firstLine="0" w:firstLineChars="0"/>
        <w:jc w:val="left"/>
        <w:rPr>
          <w:rFonts w:hint="eastAsia" w:ascii="宋体" w:hAnsi="Courier New" w:cs="Courier New"/>
          <w:color w:val="auto"/>
          <w:szCs w:val="21"/>
          <w:highlight w:val="none"/>
        </w:rPr>
      </w:pPr>
      <w:r>
        <w:rPr>
          <w:rFonts w:ascii="宋体" w:hAnsi="Courier New" w:cs="Courier New"/>
          <w:color w:val="auto"/>
          <w:szCs w:val="21"/>
          <w:highlight w:val="none"/>
        </w:rPr>
        <w:br w:type="page"/>
      </w:r>
    </w:p>
    <w:p>
      <w:pPr>
        <w:ind w:firstLine="0" w:firstLineChars="0"/>
        <w:rPr>
          <w:rFonts w:hint="eastAsia"/>
          <w:color w:val="auto"/>
          <w:highlight w:val="none"/>
        </w:rPr>
      </w:pPr>
      <w:bookmarkStart w:id="237" w:name="_Hlk92701478"/>
    </w:p>
    <w:bookmarkEnd w:id="237"/>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5"/>
        <w:ind w:left="0" w:leftChars="0" w:right="0" w:rightChars="0" w:firstLine="0" w:firstLineChars="0"/>
        <w:jc w:val="center"/>
        <w:rPr>
          <w:color w:val="auto"/>
          <w:highlight w:val="none"/>
        </w:rPr>
      </w:pPr>
      <w:bookmarkStart w:id="238" w:name="_Toc352700352"/>
      <w:bookmarkStart w:id="239" w:name="_Toc352700448"/>
      <w:bookmarkStart w:id="240" w:name="_Toc91512288"/>
      <w:r>
        <w:rPr>
          <w:rFonts w:hint="eastAsia"/>
          <w:color w:val="auto"/>
          <w:highlight w:val="none"/>
        </w:rPr>
        <w:t>第六章　投标文件格式</w:t>
      </w:r>
      <w:bookmarkEnd w:id="238"/>
      <w:bookmarkEnd w:id="239"/>
      <w:bookmarkEnd w:id="240"/>
    </w:p>
    <w:p>
      <w:pPr>
        <w:pStyle w:val="26"/>
        <w:ind w:firstLine="0" w:firstLineChars="0"/>
        <w:rPr>
          <w:rFonts w:hAnsi="宋体"/>
          <w:b/>
          <w:color w:val="auto"/>
          <w:sz w:val="32"/>
          <w:szCs w:val="32"/>
          <w:highlight w:val="none"/>
        </w:rPr>
      </w:pPr>
      <w:r>
        <w:rPr>
          <w:rFonts w:hAnsi="宋体"/>
          <w:color w:val="auto"/>
          <w:highlight w:val="none"/>
        </w:rPr>
        <w:br w:type="page"/>
      </w:r>
      <w:r>
        <w:rPr>
          <w:rFonts w:hAnsi="宋体"/>
          <w:color w:val="auto"/>
          <w:highlight w:val="none"/>
        </w:rPr>
        <w:t xml:space="preserve"> </w:t>
      </w:r>
      <w:r>
        <w:rPr>
          <w:rFonts w:hint="eastAsia" w:hAnsi="宋体"/>
          <w:b/>
          <w:color w:val="auto"/>
          <w:sz w:val="32"/>
          <w:szCs w:val="32"/>
          <w:highlight w:val="none"/>
        </w:rPr>
        <w:t>一、资格文件</w:t>
      </w:r>
    </w:p>
    <w:p>
      <w:pPr>
        <w:tabs>
          <w:tab w:val="left" w:pos="3402"/>
        </w:tabs>
        <w:spacing w:line="320" w:lineRule="exact"/>
        <w:ind w:firstLine="0" w:firstLineChars="0"/>
        <w:jc w:val="left"/>
        <w:rPr>
          <w:rFonts w:hint="eastAsia" w:ascii="仿宋_GB2312" w:hAnsi="Adobe 仿宋 Std R" w:eastAsia="仿宋_GB2312"/>
          <w:b/>
          <w:color w:val="auto"/>
          <w:spacing w:val="10"/>
          <w:sz w:val="32"/>
          <w:szCs w:val="32"/>
          <w:highlight w:val="none"/>
        </w:rPr>
      </w:pPr>
    </w:p>
    <w:p>
      <w:pPr>
        <w:tabs>
          <w:tab w:val="left" w:pos="3402"/>
        </w:tabs>
        <w:spacing w:line="240" w:lineRule="auto"/>
        <w:ind w:firstLine="602" w:firstLineChars="0"/>
        <w:jc w:val="center"/>
        <w:rPr>
          <w:rFonts w:ascii="仿宋_GB2312" w:hAnsi="Adobe 仿宋 Std R" w:eastAsia="仿宋_GB2312"/>
          <w:b/>
          <w:color w:val="auto"/>
          <w:spacing w:val="10"/>
          <w:sz w:val="32"/>
          <w:szCs w:val="32"/>
          <w:highlight w:val="none"/>
        </w:rPr>
      </w:pPr>
      <w:r>
        <w:rPr>
          <w:rFonts w:hint="eastAsia" w:ascii="仿宋_GB2312" w:hAnsi="Adobe 仿宋 Std R" w:eastAsia="仿宋_GB2312"/>
          <w:b/>
          <w:color w:val="auto"/>
          <w:spacing w:val="10"/>
          <w:sz w:val="32"/>
          <w:szCs w:val="32"/>
          <w:highlight w:val="none"/>
        </w:rPr>
        <w:t>投标人具备参加政府采购活动条件的承诺书</w:t>
      </w:r>
      <w:r>
        <w:rPr>
          <w:rFonts w:hint="eastAsia" w:ascii="仿宋_GB2312" w:hAnsi="Adobe 仿宋 Std R" w:eastAsia="仿宋_GB2312" w:cs="黑体"/>
          <w:bCs/>
          <w:color w:val="auto"/>
          <w:sz w:val="24"/>
          <w:highlight w:val="none"/>
        </w:rPr>
        <w:t>(格式)</w:t>
      </w:r>
    </w:p>
    <w:p>
      <w:pPr>
        <w:tabs>
          <w:tab w:val="left" w:pos="3402"/>
        </w:tabs>
        <w:spacing w:line="240" w:lineRule="auto"/>
        <w:ind w:firstLine="0" w:firstLineChars="0"/>
        <w:jc w:val="left"/>
        <w:rPr>
          <w:rFonts w:ascii="仿宋_GB2312" w:hAnsi="仿宋" w:eastAsia="仿宋_GB2312"/>
          <w:b/>
          <w:color w:val="auto"/>
          <w:spacing w:val="10"/>
          <w:szCs w:val="21"/>
          <w:highlight w:val="none"/>
        </w:rPr>
      </w:pPr>
    </w:p>
    <w:p>
      <w:pPr>
        <w:spacing w:line="520" w:lineRule="exact"/>
        <w:ind w:firstLine="0" w:firstLineChars="0"/>
        <w:rPr>
          <w:rFonts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firstLineChars="0"/>
        <w:rPr>
          <w:rFonts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投标人名称)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特此承诺。</w:t>
      </w:r>
    </w:p>
    <w:p>
      <w:pPr>
        <w:spacing w:line="240" w:lineRule="auto"/>
        <w:ind w:firstLine="420" w:firstLineChars="0"/>
        <w:rPr>
          <w:rFonts w:ascii="宋体" w:hAnsi="宋体"/>
          <w:bCs/>
          <w:color w:val="auto"/>
          <w:szCs w:val="22"/>
          <w:highlight w:val="none"/>
        </w:rPr>
      </w:pPr>
    </w:p>
    <w:p>
      <w:pPr>
        <w:spacing w:line="240" w:lineRule="auto"/>
        <w:ind w:firstLine="420" w:firstLineChars="0"/>
        <w:rPr>
          <w:rFonts w:ascii="宋体" w:hAnsi="宋体"/>
          <w:bCs/>
          <w:color w:val="auto"/>
          <w:szCs w:val="22"/>
          <w:highlight w:val="none"/>
        </w:rPr>
      </w:pPr>
    </w:p>
    <w:p>
      <w:pPr>
        <w:spacing w:line="240" w:lineRule="auto"/>
        <w:ind w:firstLine="420" w:firstLineChars="0"/>
        <w:rPr>
          <w:rFonts w:hint="eastAsia" w:ascii="宋体" w:hAnsi="宋体"/>
          <w:bCs/>
          <w:color w:val="auto"/>
          <w:szCs w:val="22"/>
          <w:highlight w:val="none"/>
        </w:rPr>
      </w:pPr>
    </w:p>
    <w:p>
      <w:pPr>
        <w:spacing w:line="440" w:lineRule="exact"/>
        <w:ind w:right="1050" w:rightChars="500" w:firstLine="5250" w:firstLineChars="250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40" w:lineRule="exact"/>
        <w:ind w:right="420" w:firstLine="0" w:firstLineChars="0"/>
        <w:jc w:val="center"/>
        <w:rPr>
          <w:rFonts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tabs>
          <w:tab w:val="left" w:pos="3402"/>
        </w:tabs>
        <w:ind w:firstLine="683"/>
        <w:jc w:val="center"/>
        <w:rPr>
          <w:rFonts w:ascii="仿宋_GB2312" w:hAnsi="仿宋" w:eastAsia="仿宋_GB2312"/>
          <w:b/>
          <w:color w:val="auto"/>
          <w:spacing w:val="10"/>
          <w:sz w:val="28"/>
          <w:szCs w:val="28"/>
          <w:highlight w:val="none"/>
        </w:rPr>
      </w:pPr>
      <w:r>
        <w:rPr>
          <w:rFonts w:hint="eastAsia" w:ascii="仿宋_GB2312" w:hAnsi="仿宋" w:eastAsia="仿宋_GB2312"/>
          <w:b/>
          <w:color w:val="auto"/>
          <w:spacing w:val="10"/>
          <w:sz w:val="32"/>
          <w:szCs w:val="32"/>
          <w:highlight w:val="none"/>
        </w:rPr>
        <w:t>无重大违法记录的书面声明</w:t>
      </w:r>
      <w:r>
        <w:rPr>
          <w:rFonts w:hint="eastAsia" w:ascii="仿宋_GB2312" w:hAnsi="仿宋" w:eastAsia="仿宋_GB2312"/>
          <w:bCs/>
          <w:color w:val="auto"/>
          <w:spacing w:val="10"/>
          <w:sz w:val="24"/>
          <w:highlight w:val="none"/>
        </w:rPr>
        <w:t>（格式）</w:t>
      </w:r>
    </w:p>
    <w:p>
      <w:pPr>
        <w:tabs>
          <w:tab w:val="left" w:pos="3402"/>
        </w:tabs>
        <w:ind w:firstLine="0" w:firstLineChars="0"/>
        <w:jc w:val="left"/>
        <w:rPr>
          <w:rFonts w:hint="eastAsia" w:ascii="仿宋_GB2312" w:hAnsi="仿宋" w:eastAsia="仿宋_GB2312"/>
          <w:b/>
          <w:color w:val="auto"/>
          <w:spacing w:val="10"/>
          <w:szCs w:val="21"/>
          <w:highlight w:val="none"/>
        </w:rPr>
      </w:pPr>
    </w:p>
    <w:p>
      <w:pPr>
        <w:spacing w:line="440" w:lineRule="exact"/>
        <w:ind w:firstLine="0" w:firstLineChars="0"/>
        <w:rPr>
          <w:rFonts w:hint="eastAsia" w:ascii="宋体" w:hAnsi="宋体"/>
          <w:bCs/>
          <w:color w:val="auto"/>
          <w:highlight w:val="none"/>
        </w:rPr>
      </w:pPr>
      <w:r>
        <w:rPr>
          <w:rFonts w:hint="eastAsia" w:ascii="宋体" w:hAnsi="宋体"/>
          <w:bCs/>
          <w:color w:val="auto"/>
          <w:highlight w:val="none"/>
        </w:rPr>
        <w:t>钦州市政府采购中心：</w:t>
      </w:r>
    </w:p>
    <w:p>
      <w:pPr>
        <w:spacing w:line="44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w:t>
      </w:r>
      <w:r>
        <w:rPr>
          <w:rFonts w:ascii="宋体" w:hAnsi="宋体"/>
          <w:bCs/>
          <w:color w:val="auto"/>
          <w:highlight w:val="none"/>
        </w:rPr>
        <w:t>）</w:t>
      </w:r>
      <w:r>
        <w:rPr>
          <w:rFonts w:hint="eastAsia" w:ascii="宋体" w:hAnsi="宋体"/>
          <w:bCs/>
          <w:color w:val="auto"/>
          <w:highlight w:val="none"/>
        </w:rPr>
        <w:t>项的规定，</w:t>
      </w:r>
      <w:r>
        <w:rPr>
          <w:rFonts w:hint="eastAsia" w:ascii="宋体" w:hAnsi="宋体"/>
          <w:bCs/>
          <w:color w:val="auto"/>
          <w:highlight w:val="none"/>
          <w:u w:val="single"/>
        </w:rPr>
        <w:t>（投标人名称）</w:t>
      </w:r>
      <w:r>
        <w:rPr>
          <w:rFonts w:hint="eastAsia" w:ascii="宋体" w:hAnsi="宋体"/>
          <w:bCs/>
          <w:color w:val="auto"/>
          <w:highlight w:val="none"/>
        </w:rPr>
        <w:t>郑重声明：</w:t>
      </w:r>
    </w:p>
    <w:p>
      <w:pPr>
        <w:spacing w:line="44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投标人名称)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44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ind w:firstLine="420"/>
        <w:rPr>
          <w:rFonts w:hint="eastAsia" w:ascii="宋体" w:hAnsi="宋体"/>
          <w:bCs/>
          <w:color w:val="auto"/>
          <w:highlight w:val="none"/>
        </w:rPr>
      </w:pPr>
      <w:r>
        <w:rPr>
          <w:rFonts w:hint="eastAsia" w:ascii="宋体" w:hAnsi="宋体"/>
          <w:bCs/>
          <w:color w:val="auto"/>
          <w:highlight w:val="none"/>
        </w:rPr>
        <w:t>特此声明。</w:t>
      </w:r>
    </w:p>
    <w:p>
      <w:pPr>
        <w:ind w:firstLine="420"/>
        <w:rPr>
          <w:rFonts w:ascii="宋体" w:hAnsi="宋体"/>
          <w:bCs/>
          <w:color w:val="auto"/>
          <w:highlight w:val="none"/>
        </w:rPr>
      </w:pPr>
    </w:p>
    <w:p>
      <w:pPr>
        <w:ind w:firstLine="420"/>
        <w:rPr>
          <w:rFonts w:ascii="宋体" w:hAnsi="宋体"/>
          <w:bCs/>
          <w:color w:val="auto"/>
          <w:highlight w:val="none"/>
        </w:rPr>
      </w:pPr>
    </w:p>
    <w:p>
      <w:pPr>
        <w:ind w:firstLine="420"/>
        <w:rPr>
          <w:rFonts w:hint="eastAsia" w:ascii="宋体" w:hAnsi="宋体"/>
          <w:bCs/>
          <w:color w:val="auto"/>
          <w:highlight w:val="none"/>
        </w:rPr>
      </w:pPr>
    </w:p>
    <w:p>
      <w:pPr>
        <w:ind w:right="1050" w:rightChars="500" w:firstLine="4819" w:firstLineChars="2295"/>
        <w:jc w:val="left"/>
        <w:rPr>
          <w:rFonts w:hint="eastAsia"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p>
    <w:p>
      <w:pPr>
        <w:ind w:right="1050" w:rightChars="500" w:firstLine="420"/>
        <w:jc w:val="right"/>
        <w:rPr>
          <w:rFonts w:ascii="宋体" w:hAnsi="宋体"/>
          <w:bCs/>
          <w:color w:val="auto"/>
          <w:highlight w:val="none"/>
        </w:rPr>
      </w:pPr>
      <w:r>
        <w:rPr>
          <w:rFonts w:hint="eastAsia" w:ascii="宋体" w:hAnsi="宋体"/>
          <w:bCs/>
          <w:color w:val="auto"/>
          <w:highlight w:val="none"/>
        </w:rPr>
        <w:t>日期：</w:t>
      </w:r>
      <w:bookmarkStart w:id="241" w:name="_Hlk112336125"/>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241"/>
    </w:p>
    <w:p>
      <w:pPr>
        <w:snapToGrid w:val="0"/>
        <w:spacing w:before="156" w:beforeLines="50" w:after="50" w:line="360" w:lineRule="exact"/>
        <w:ind w:firstLine="0" w:firstLineChars="0"/>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二、资信技术文件</w:t>
      </w:r>
    </w:p>
    <w:p>
      <w:pPr>
        <w:snapToGrid w:val="0"/>
        <w:spacing w:before="156" w:beforeLines="50" w:after="50" w:line="360" w:lineRule="exact"/>
        <w:ind w:firstLine="0" w:firstLineChars="0"/>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投 标 函</w:t>
      </w:r>
      <w:r>
        <w:rPr>
          <w:rFonts w:hint="eastAsia" w:ascii="仿宋_GB2312" w:hAnsi="宋体" w:eastAsia="仿宋_GB2312"/>
          <w:bCs/>
          <w:color w:val="auto"/>
          <w:sz w:val="24"/>
          <w:highlight w:val="none"/>
        </w:rPr>
        <w:t>（格式）</w:t>
      </w:r>
    </w:p>
    <w:p>
      <w:pPr>
        <w:ind w:firstLine="0" w:firstLineChars="0"/>
        <w:rPr>
          <w:rFonts w:ascii="宋体" w:hAnsi="宋体"/>
          <w:color w:val="auto"/>
          <w:szCs w:val="21"/>
          <w:highlight w:val="none"/>
        </w:rPr>
      </w:pPr>
      <w:r>
        <w:rPr>
          <w:rFonts w:hint="eastAsia" w:ascii="宋体" w:hAnsi="宋体"/>
          <w:color w:val="auto"/>
          <w:szCs w:val="21"/>
          <w:highlight w:val="none"/>
        </w:rPr>
        <w:t>致：钦州市政府采购中心：</w:t>
      </w:r>
    </w:p>
    <w:p>
      <w:pPr>
        <w:ind w:firstLine="0" w:firstLineChars="0"/>
        <w:rPr>
          <w:rFonts w:ascii="宋体" w:hAnsi="宋体"/>
          <w:color w:val="auto"/>
          <w:szCs w:val="21"/>
          <w:highlight w:val="none"/>
        </w:rPr>
      </w:pPr>
    </w:p>
    <w:p>
      <w:pPr>
        <w:ind w:firstLine="0" w:firstLineChars="0"/>
        <w:jc w:val="lef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根据贵方为</w:t>
      </w:r>
      <w:r>
        <w:rPr>
          <w:rFonts w:hint="eastAsia" w:ascii="宋体" w:hAnsi="宋体"/>
          <w:color w:val="auto"/>
          <w:szCs w:val="21"/>
          <w:highlight w:val="none"/>
          <w:u w:val="single"/>
        </w:rPr>
        <w:t xml:space="preserve">   （项目名称）</w:t>
      </w:r>
      <w:r>
        <w:rPr>
          <w:rFonts w:ascii="宋体" w:hAnsi="宋体"/>
          <w:color w:val="auto"/>
          <w:szCs w:val="21"/>
          <w:highlight w:val="none"/>
          <w:u w:val="single"/>
        </w:rPr>
        <w:t xml:space="preserve">   </w:t>
      </w:r>
      <w:r>
        <w:rPr>
          <w:rFonts w:hint="eastAsia" w:ascii="宋体" w:hAnsi="宋体"/>
          <w:color w:val="auto"/>
          <w:szCs w:val="21"/>
          <w:highlight w:val="none"/>
        </w:rPr>
        <w:t>招标文件</w:t>
      </w:r>
      <w:r>
        <w:rPr>
          <w:rFonts w:hint="eastAsia" w:ascii="宋体" w:hAnsi="宋体"/>
          <w:color w:val="auto"/>
          <w:szCs w:val="21"/>
          <w:highlight w:val="none"/>
          <w:u w:val="single"/>
        </w:rPr>
        <w:t xml:space="preserve"> （项目编号及分标号）</w:t>
      </w:r>
      <w:r>
        <w:rPr>
          <w:rFonts w:ascii="宋体" w:hAnsi="宋体"/>
          <w:color w:val="auto"/>
          <w:szCs w:val="21"/>
          <w:highlight w:val="none"/>
          <w:u w:val="single"/>
        </w:rPr>
        <w:t xml:space="preserve"> </w:t>
      </w:r>
      <w:r>
        <w:rPr>
          <w:rFonts w:hint="eastAsia" w:ascii="宋体" w:hAnsi="宋体"/>
          <w:color w:val="auto"/>
          <w:szCs w:val="21"/>
          <w:highlight w:val="none"/>
        </w:rPr>
        <w:t>，</w:t>
      </w:r>
      <w:bookmarkStart w:id="242" w:name="_Hlk92702218"/>
      <w:r>
        <w:rPr>
          <w:rFonts w:hint="eastAsia" w:ascii="宋体" w:hAnsi="宋体"/>
          <w:color w:val="auto"/>
          <w:szCs w:val="21"/>
          <w:highlight w:val="none"/>
        </w:rPr>
        <w:t>我方</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经正式授权代表</w:t>
      </w:r>
      <w:r>
        <w:rPr>
          <w:rFonts w:hint="eastAsia" w:ascii="宋体" w:hAnsi="宋体"/>
          <w:color w:val="auto"/>
          <w:szCs w:val="21"/>
          <w:highlight w:val="none"/>
          <w:u w:val="single"/>
        </w:rPr>
        <w:t xml:space="preserve">   （被授权人）   </w:t>
      </w:r>
      <w:r>
        <w:rPr>
          <w:rFonts w:hint="eastAsia" w:ascii="宋体" w:hAnsi="宋体"/>
          <w:color w:val="auto"/>
          <w:szCs w:val="21"/>
          <w:highlight w:val="none"/>
        </w:rPr>
        <w:t>提交</w:t>
      </w:r>
      <w:bookmarkEnd w:id="242"/>
      <w:r>
        <w:rPr>
          <w:rFonts w:hint="eastAsia" w:ascii="宋体" w:hAnsi="宋体"/>
          <w:color w:val="auto"/>
          <w:szCs w:val="21"/>
          <w:highlight w:val="none"/>
        </w:rPr>
        <w:t>投标文件：</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据此函，投标人承诺：</w:t>
      </w:r>
    </w:p>
    <w:p>
      <w:pPr>
        <w:snapToGrid w:val="0"/>
        <w:spacing w:line="360"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我方已详细审阅招标文件（包括澄清或者修改文件），已经了解我方对于招标文件、采购过程、采购结果有依法进行询问、质疑、投诉的权利及相关渠道和要求。</w:t>
      </w:r>
    </w:p>
    <w:p>
      <w:pPr>
        <w:snapToGrid w:val="0"/>
        <w:spacing w:line="360" w:lineRule="exact"/>
        <w:ind w:firstLine="42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我方在投标之前已经与贵方进行了充分的沟通，完全理解并接受招标文件的各项规定和要求，对招标文件的合理性、合法性不再有异议。</w:t>
      </w:r>
    </w:p>
    <w:p>
      <w:pPr>
        <w:snapToGrid w:val="0"/>
        <w:spacing w:line="360"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我方同意在开标日期起遵循本投标文件，并在投标有效期9</w:t>
      </w:r>
      <w:r>
        <w:rPr>
          <w:rFonts w:ascii="宋体" w:hAnsi="宋体"/>
          <w:color w:val="auto"/>
          <w:szCs w:val="21"/>
          <w:highlight w:val="none"/>
        </w:rPr>
        <w:t>0</w:t>
      </w:r>
      <w:r>
        <w:rPr>
          <w:rFonts w:hint="eastAsia" w:ascii="宋体" w:hAnsi="宋体"/>
          <w:color w:val="auto"/>
          <w:szCs w:val="21"/>
          <w:highlight w:val="none"/>
        </w:rPr>
        <w:t>天内均具有约束力。</w:t>
      </w:r>
    </w:p>
    <w:p>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.我方承诺具备《中华人民共和国政府采购法》中规定的参加政府采购活动供应商应当具备的条件。</w:t>
      </w:r>
    </w:p>
    <w:p>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6</w:t>
      </w:r>
      <w:r>
        <w:rPr>
          <w:rFonts w:hint="eastAsia" w:ascii="宋体" w:hAnsi="宋体"/>
          <w:color w:val="auto"/>
          <w:szCs w:val="21"/>
          <w:highlight w:val="none"/>
        </w:rPr>
        <w:t>.我方根据招标文件的规定，承担完成合同的责任和义务。</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7</w:t>
      </w:r>
      <w:r>
        <w:rPr>
          <w:rFonts w:hint="eastAsia" w:ascii="宋体" w:hAnsi="宋体"/>
          <w:color w:val="auto"/>
          <w:szCs w:val="21"/>
          <w:highlight w:val="none"/>
        </w:rPr>
        <w:t>.如果在投标截止时间后的投标有效期内撤回投标或者有其他违约行为，我方的投标保证金可被贵方全部没收。</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8</w:t>
      </w:r>
      <w:r>
        <w:rPr>
          <w:rFonts w:hint="eastAsia" w:ascii="宋体" w:hAnsi="宋体"/>
          <w:color w:val="auto"/>
          <w:szCs w:val="21"/>
          <w:highlight w:val="none"/>
        </w:rPr>
        <w:t>.同意向贵方提供贵方可能要求的与本投标有关的人员、数据和资料。</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9</w:t>
      </w:r>
      <w:r>
        <w:rPr>
          <w:rFonts w:hint="eastAsia" w:ascii="宋体" w:hAnsi="宋体"/>
          <w:color w:val="auto"/>
          <w:szCs w:val="21"/>
          <w:highlight w:val="none"/>
        </w:rPr>
        <w:t>.我方完全理解贵方不一定要接受最低报价的投标人为中标人。</w:t>
      </w:r>
    </w:p>
    <w:p>
      <w:pPr>
        <w:ind w:firstLine="424" w:firstLineChars="202"/>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我方向贵方提交的所有投标文件、资料都是准确的和真实的。</w:t>
      </w:r>
    </w:p>
    <w:p>
      <w:pPr>
        <w:ind w:firstLine="0" w:firstLineChars="0"/>
        <w:rPr>
          <w:rFonts w:ascii="宋体" w:hAnsi="宋体"/>
          <w:color w:val="auto"/>
          <w:szCs w:val="21"/>
          <w:highlight w:val="none"/>
        </w:rPr>
      </w:pPr>
    </w:p>
    <w:p>
      <w:pPr>
        <w:ind w:firstLine="426" w:firstLineChars="0"/>
        <w:rPr>
          <w:rFonts w:ascii="宋体" w:hAnsi="宋体"/>
          <w:color w:val="auto"/>
          <w:szCs w:val="21"/>
          <w:highlight w:val="none"/>
        </w:rPr>
      </w:pPr>
      <w:r>
        <w:rPr>
          <w:rFonts w:hint="eastAsia" w:ascii="宋体" w:hAnsi="宋体"/>
          <w:color w:val="auto"/>
          <w:szCs w:val="21"/>
          <w:highlight w:val="none"/>
        </w:rPr>
        <w:t>与我公司有关的正式通讯方式：</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p>
    <w:p>
      <w:pPr>
        <w:ind w:firstLine="0" w:firstLineChars="0"/>
        <w:rPr>
          <w:rFonts w:ascii="宋体" w:hAnsi="宋体"/>
          <w:color w:val="auto"/>
          <w:szCs w:val="21"/>
          <w:highlight w:val="none"/>
        </w:rPr>
      </w:pPr>
    </w:p>
    <w:p>
      <w:pPr>
        <w:ind w:firstLine="0" w:firstLineChars="0"/>
        <w:rPr>
          <w:rFonts w:hint="eastAsia" w:ascii="宋体" w:hAnsi="宋体"/>
          <w:color w:val="auto"/>
          <w:szCs w:val="21"/>
          <w:highlight w:val="none"/>
        </w:rPr>
      </w:pPr>
    </w:p>
    <w:p>
      <w:pPr>
        <w:ind w:firstLine="0" w:firstLineChars="0"/>
        <w:rPr>
          <w:rFonts w:ascii="宋体" w:hAnsi="宋体"/>
          <w:color w:val="auto"/>
          <w:szCs w:val="21"/>
          <w:highlight w:val="none"/>
          <w:u w:val="singl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ind w:firstLine="0" w:firstLineChars="0"/>
        <w:rPr>
          <w:rFonts w:hint="eastAsia"/>
          <w:color w:val="auto"/>
          <w:highlight w:val="none"/>
        </w:rPr>
      </w:pPr>
    </w:p>
    <w:p>
      <w:pPr>
        <w:tabs>
          <w:tab w:val="left" w:pos="3870"/>
          <w:tab w:val="left" w:pos="4085"/>
        </w:tabs>
        <w:snapToGrid w:val="0"/>
        <w:spacing w:line="600" w:lineRule="exact"/>
        <w:ind w:firstLine="0" w:firstLineChars="0"/>
        <w:jc w:val="center"/>
        <w:rPr>
          <w:rFonts w:hint="eastAsia" w:ascii="仿宋_GB2312" w:hAnsi="宋体" w:eastAsia="仿宋_GB2312"/>
          <w:b/>
          <w:color w:val="auto"/>
          <w:sz w:val="28"/>
          <w:szCs w:val="28"/>
          <w:highlight w:val="none"/>
        </w:rPr>
      </w:pPr>
      <w:bookmarkStart w:id="243" w:name="_Hlk92702580"/>
      <w:r>
        <w:rPr>
          <w:rFonts w:hint="eastAsia" w:ascii="仿宋_GB2312" w:hAnsi="宋体" w:eastAsia="仿宋_GB2312"/>
          <w:b/>
          <w:color w:val="auto"/>
          <w:sz w:val="32"/>
          <w:szCs w:val="32"/>
          <w:highlight w:val="none"/>
        </w:rPr>
        <w:t>授权委托书</w:t>
      </w:r>
      <w:r>
        <w:rPr>
          <w:rFonts w:hint="eastAsia" w:ascii="仿宋_GB2312" w:hAnsi="宋体" w:eastAsia="仿宋_GB2312"/>
          <w:bCs/>
          <w:color w:val="auto"/>
          <w:sz w:val="24"/>
          <w:highlight w:val="none"/>
        </w:rPr>
        <w:t>（格式）</w:t>
      </w:r>
    </w:p>
    <w:p>
      <w:pPr>
        <w:snapToGrid w:val="0"/>
        <w:spacing w:before="156" w:beforeLines="50" w:after="50"/>
        <w:ind w:firstLine="0" w:firstLineChars="0"/>
        <w:rPr>
          <w:rFonts w:hint="eastAsia"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（投标人名称）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的投标活动，并代表我方全权办理针对上述项目的投标、开标、评标、签约等具体事务和签署相关文件。</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ind w:firstLine="525" w:firstLineChars="250"/>
        <w:rPr>
          <w:rFonts w:hint="eastAsia" w:ascii="宋体" w:hAnsi="宋体"/>
          <w:color w:val="auto"/>
          <w:szCs w:val="21"/>
          <w:highlight w:val="none"/>
        </w:rPr>
      </w:pPr>
    </w:p>
    <w:p>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hAnsi="宋体"/>
          <w:color w:val="auto"/>
          <w:highlight w:val="none"/>
        </w:rPr>
      </w:pPr>
      <w:r>
        <w:rPr>
          <w:rFonts w:hint="eastAsia" w:hAnsi="宋体"/>
          <w:color w:val="auto"/>
          <w:highlight w:val="none"/>
        </w:rPr>
        <w:t>附：委托代理人身份证(正反面</w:t>
      </w:r>
      <w:r>
        <w:rPr>
          <w:rFonts w:hAnsi="宋体"/>
          <w:color w:val="auto"/>
          <w:highlight w:val="none"/>
        </w:rPr>
        <w:t>)</w:t>
      </w:r>
    </w:p>
    <w:p>
      <w:pPr>
        <w:ind w:left="420" w:firstLine="0" w:firstLineChars="0"/>
        <w:rPr>
          <w:rFonts w:ascii="宋体" w:hAnsi="宋体"/>
          <w:color w:val="auto"/>
          <w:highlight w:val="none"/>
        </w:rPr>
      </w:pPr>
    </w:p>
    <w:p>
      <w:pPr>
        <w:ind w:left="420" w:firstLine="0" w:firstLineChars="0"/>
        <w:rPr>
          <w:rFonts w:ascii="宋体" w:hAnsi="宋体"/>
          <w:color w:val="auto"/>
          <w:highlight w:val="none"/>
        </w:rPr>
      </w:pPr>
    </w:p>
    <w:p>
      <w:pPr>
        <w:ind w:left="420" w:firstLine="0" w:firstLineChars="0"/>
        <w:rPr>
          <w:rFonts w:hint="eastAsia" w:ascii="宋体" w:hAnsi="宋体"/>
          <w:color w:val="auto"/>
          <w:highlight w:val="none"/>
        </w:rPr>
      </w:pPr>
    </w:p>
    <w:p>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243"/>
    <w:p>
      <w:pPr>
        <w:spacing w:line="360" w:lineRule="exact"/>
        <w:ind w:firstLine="0" w:firstLineChars="0"/>
        <w:rPr>
          <w:color w:val="auto"/>
          <w:highlight w:val="none"/>
        </w:rPr>
      </w:pPr>
      <w:r>
        <w:rPr>
          <w:color w:val="auto"/>
          <w:highlight w:val="none"/>
        </w:rPr>
        <w:br w:type="page"/>
      </w:r>
    </w:p>
    <w:p>
      <w:pPr>
        <w:snapToGrid w:val="0"/>
        <w:spacing w:before="156" w:beforeLines="50" w:after="50" w:line="360" w:lineRule="exact"/>
        <w:ind w:firstLine="0" w:firstLineChars="0"/>
        <w:jc w:val="center"/>
        <w:rPr>
          <w:rFonts w:ascii="仿宋_GB2312" w:eastAsia="仿宋_GB2312"/>
          <w:b/>
          <w:color w:val="auto"/>
          <w:sz w:val="28"/>
          <w:szCs w:val="28"/>
          <w:highlight w:val="none"/>
        </w:rPr>
      </w:pPr>
      <w:bookmarkStart w:id="244" w:name="_Hlk92702799"/>
      <w:r>
        <w:rPr>
          <w:rFonts w:hint="eastAsia" w:ascii="仿宋_GB2312" w:hAnsi="宋体" w:eastAsia="仿宋_GB2312"/>
          <w:b/>
          <w:color w:val="auto"/>
          <w:sz w:val="32"/>
          <w:szCs w:val="32"/>
          <w:highlight w:val="none"/>
        </w:rPr>
        <w:t>商务响应</w:t>
      </w:r>
      <w:r>
        <w:rPr>
          <w:rFonts w:hint="eastAsia" w:ascii="仿宋_GB2312" w:eastAsia="仿宋_GB2312"/>
          <w:b/>
          <w:color w:val="auto"/>
          <w:sz w:val="32"/>
          <w:szCs w:val="32"/>
          <w:highlight w:val="none"/>
        </w:rPr>
        <w:t>表</w:t>
      </w:r>
      <w:bookmarkStart w:id="245" w:name="_Hlk111728555"/>
      <w:r>
        <w:rPr>
          <w:rFonts w:hint="eastAsia" w:ascii="仿宋_GB2312" w:eastAsia="仿宋_GB2312"/>
          <w:bCs/>
          <w:color w:val="auto"/>
          <w:sz w:val="24"/>
          <w:highlight w:val="none"/>
        </w:rPr>
        <w:t>（格式）</w:t>
      </w:r>
      <w:bookmarkEnd w:id="245"/>
    </w:p>
    <w:p>
      <w:pPr>
        <w:ind w:firstLine="0" w:firstLineChars="0"/>
        <w:rPr>
          <w:rFonts w:hint="eastAsia"/>
          <w:color w:val="auto"/>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3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是否响应</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质保期</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运维技术服务要求</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交货时间及地点</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105"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bl>
    <w:p>
      <w:pPr>
        <w:tabs>
          <w:tab w:val="left" w:pos="3870"/>
          <w:tab w:val="left" w:pos="4085"/>
        </w:tabs>
        <w:snapToGrid w:val="0"/>
        <w:spacing w:line="360" w:lineRule="exact"/>
        <w:ind w:firstLine="0" w:firstLineChars="0"/>
        <w:rPr>
          <w:rFonts w:ascii="宋体" w:hAnsi="宋体"/>
          <w:b/>
          <w:color w:val="auto"/>
          <w:szCs w:val="21"/>
          <w:highlight w:val="none"/>
        </w:rPr>
      </w:pPr>
    </w:p>
    <w:p>
      <w:pPr>
        <w:tabs>
          <w:tab w:val="left" w:pos="3870"/>
          <w:tab w:val="left" w:pos="4085"/>
        </w:tabs>
        <w:snapToGrid w:val="0"/>
        <w:spacing w:line="360" w:lineRule="exact"/>
        <w:ind w:firstLine="0" w:firstLineChars="0"/>
        <w:rPr>
          <w:rFonts w:hint="eastAsia" w:ascii="宋体" w:hAnsi="宋体"/>
          <w:b/>
          <w:color w:val="auto"/>
          <w:szCs w:val="21"/>
          <w:highlight w:val="none"/>
        </w:rPr>
      </w:pP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244"/>
    <w:p>
      <w:pPr>
        <w:snapToGrid w:val="0"/>
        <w:spacing w:line="360" w:lineRule="exact"/>
        <w:ind w:firstLine="0" w:firstLineChars="0"/>
        <w:rPr>
          <w:rFonts w:hint="eastAsia" w:ascii="宋体" w:hAnsi="宋体"/>
          <w:b/>
          <w:color w:val="auto"/>
          <w:szCs w:val="21"/>
          <w:highlight w:val="none"/>
        </w:rPr>
      </w:pPr>
    </w:p>
    <w:p>
      <w:pPr>
        <w:snapToGrid w:val="0"/>
        <w:spacing w:line="700" w:lineRule="exact"/>
        <w:ind w:firstLine="0" w:firstLineChars="0"/>
        <w:jc w:val="center"/>
        <w:rPr>
          <w:rFonts w:hint="eastAsia" w:ascii="宋体" w:hAnsi="宋体"/>
          <w:b/>
          <w:color w:val="auto"/>
          <w:sz w:val="32"/>
          <w:szCs w:val="32"/>
          <w:highlight w:val="none"/>
        </w:rPr>
      </w:pPr>
      <w:r>
        <w:rPr>
          <w:rFonts w:hint="eastAsia" w:ascii="仿宋_GB2312" w:hAnsi="宋体" w:eastAsia="仿宋_GB2312"/>
          <w:b/>
          <w:color w:val="auto"/>
          <w:sz w:val="32"/>
          <w:szCs w:val="32"/>
          <w:highlight w:val="none"/>
        </w:rPr>
        <w:t>技术响应表</w:t>
      </w:r>
      <w:bookmarkStart w:id="246" w:name="_Hlk111728645"/>
      <w:r>
        <w:rPr>
          <w:rFonts w:hint="eastAsia" w:ascii="仿宋_GB2312" w:eastAsia="仿宋_GB2312"/>
          <w:bCs/>
          <w:color w:val="auto"/>
          <w:sz w:val="24"/>
          <w:highlight w:val="none"/>
        </w:rPr>
        <w:t>（格式）</w:t>
      </w:r>
      <w:bookmarkEnd w:id="246"/>
    </w:p>
    <w:p>
      <w:pPr>
        <w:snapToGrid w:val="0"/>
        <w:spacing w:line="160" w:lineRule="exact"/>
        <w:ind w:firstLine="0" w:firstLineChars="0"/>
        <w:jc w:val="center"/>
        <w:rPr>
          <w:rFonts w:ascii="宋体" w:hAnsi="宋体"/>
          <w:b/>
          <w:color w:val="auto"/>
          <w:szCs w:val="21"/>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3"/>
        <w:gridCol w:w="1735"/>
        <w:gridCol w:w="1815"/>
        <w:gridCol w:w="3600"/>
        <w:gridCol w:w="1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1283" w:type="dxa"/>
            <w:vMerge w:val="restart"/>
            <w:tcBorders>
              <w:top w:val="single" w:color="auto" w:sz="4" w:space="0"/>
              <w:left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序号</w:t>
            </w:r>
          </w:p>
        </w:tc>
        <w:tc>
          <w:tcPr>
            <w:tcW w:w="3550"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招标文件要求</w:t>
            </w:r>
          </w:p>
        </w:tc>
        <w:tc>
          <w:tcPr>
            <w:tcW w:w="3600" w:type="dxa"/>
            <w:vMerge w:val="restart"/>
            <w:tcBorders>
              <w:top w:val="single" w:color="auto" w:sz="4" w:space="0"/>
              <w:left w:val="single" w:color="auto" w:sz="4" w:space="0"/>
              <w:right w:val="single" w:color="auto" w:sz="4" w:space="0"/>
            </w:tcBorders>
            <w:noWrap w:val="0"/>
            <w:vAlign w:val="center"/>
          </w:tcPr>
          <w:p>
            <w:pPr>
              <w:ind w:firstLine="23" w:firstLineChars="11"/>
              <w:jc w:val="center"/>
              <w:rPr>
                <w:rFonts w:hint="eastAsia"/>
                <w:color w:val="auto"/>
                <w:highlight w:val="none"/>
              </w:rPr>
            </w:pPr>
            <w:r>
              <w:rPr>
                <w:rFonts w:hint="eastAsia"/>
                <w:color w:val="auto"/>
                <w:highlight w:val="none"/>
              </w:rPr>
              <w:t>投标文件响应</w:t>
            </w:r>
          </w:p>
        </w:tc>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exact"/>
          <w:jc w:val="center"/>
        </w:trPr>
        <w:tc>
          <w:tcPr>
            <w:tcW w:w="1283" w:type="dxa"/>
            <w:vMerge w:val="continue"/>
            <w:tcBorders>
              <w:left w:val="single" w:color="auto" w:sz="4" w:space="0"/>
              <w:bottom w:val="single" w:color="auto" w:sz="4" w:space="0"/>
              <w:right w:val="single" w:color="auto" w:sz="4" w:space="0"/>
            </w:tcBorders>
            <w:noWrap w:val="0"/>
            <w:vAlign w:val="center"/>
          </w:tcPr>
          <w:p>
            <w:pPr>
              <w:pStyle w:val="26"/>
              <w:snapToGrid w:val="0"/>
              <w:spacing w:line="360" w:lineRule="exact"/>
              <w:ind w:firstLine="0" w:firstLineChars="0"/>
              <w:jc w:val="center"/>
              <w:outlineLvl w:val="0"/>
              <w:rPr>
                <w:rFonts w:hAnsi="宋体"/>
                <w:color w:val="auto"/>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标的名称</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招标要求</w:t>
            </w:r>
          </w:p>
        </w:tc>
        <w:tc>
          <w:tcPr>
            <w:tcW w:w="3600" w:type="dxa"/>
            <w:vMerge w:val="continue"/>
            <w:tcBorders>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p>
        </w:tc>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1</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right="-15" w:rightChars="-7" w:firstLine="0" w:firstLineChars="0"/>
              <w:jc w:val="center"/>
              <w:rPr>
                <w:rFonts w:hint="eastAsia"/>
                <w:color w:val="auto"/>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ind w:left="-2" w:leftChars="-1" w:firstLine="0" w:firstLineChars="0"/>
              <w:jc w:val="center"/>
              <w:rPr>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ind w:left="-2" w:leftChars="-1" w:firstLine="0" w:firstLineChars="0"/>
              <w:jc w:val="center"/>
              <w:rPr>
                <w:rFonts w:hint="eastAsia"/>
                <w:color w:val="auto"/>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2</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right="-15" w:rightChars="-7" w:firstLine="0" w:firstLineChars="0"/>
              <w:jc w:val="center"/>
              <w:outlineLvl w:val="0"/>
              <w:rPr>
                <w:rFonts w:hint="eastAsia"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3</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right="-15" w:rightChars="-7" w:firstLine="0" w:firstLineChars="0"/>
              <w:jc w:val="center"/>
              <w:outlineLvl w:val="0"/>
              <w:rPr>
                <w:rFonts w:hint="eastAsia"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right="-15" w:rightChars="-7" w:firstLine="0" w:firstLineChars="0"/>
              <w:jc w:val="center"/>
              <w:outlineLvl w:val="0"/>
              <w:rPr>
                <w:rFonts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bl>
    <w:p>
      <w:pPr>
        <w:pStyle w:val="20"/>
        <w:spacing w:line="380" w:lineRule="exact"/>
        <w:ind w:firstLine="0" w:firstLineChars="0"/>
        <w:rPr>
          <w:color w:val="auto"/>
          <w:sz w:val="21"/>
          <w:szCs w:val="21"/>
          <w:highlight w:val="none"/>
        </w:rPr>
      </w:pPr>
      <w:r>
        <w:rPr>
          <w:rFonts w:hint="eastAsia"/>
          <w:color w:val="auto"/>
          <w:sz w:val="21"/>
          <w:szCs w:val="21"/>
          <w:highlight w:val="none"/>
        </w:rPr>
        <w:t>注：</w:t>
      </w:r>
      <w:r>
        <w:rPr>
          <w:rFonts w:hint="eastAsia"/>
          <w:b w:val="0"/>
          <w:bCs w:val="0"/>
          <w:color w:val="auto"/>
          <w:sz w:val="21"/>
          <w:szCs w:val="21"/>
          <w:highlight w:val="none"/>
        </w:rPr>
        <w:t>投标人应根据投标设备的性能指标、对照招标文件要求在“偏离情况”栏注明“正偏离”、“负偏离”或“无偏离”。投标技术规格与招标要求相同的为无偏离，投标技术规格高于招标要求的为正偏离，低于招标要求的为负偏离。</w:t>
      </w:r>
    </w:p>
    <w:p>
      <w:pPr>
        <w:pStyle w:val="20"/>
        <w:spacing w:line="360" w:lineRule="exact"/>
        <w:ind w:firstLine="0" w:firstLineChars="0"/>
        <w:rPr>
          <w:rFonts w:hint="eastAsia"/>
          <w:color w:val="auto"/>
          <w:sz w:val="21"/>
          <w:szCs w:val="21"/>
          <w:highlight w:val="none"/>
        </w:rPr>
      </w:pPr>
    </w:p>
    <w:p>
      <w:pPr>
        <w:pStyle w:val="20"/>
        <w:spacing w:line="360" w:lineRule="exact"/>
        <w:ind w:firstLine="0" w:firstLineChars="0"/>
        <w:rPr>
          <w:rFonts w:ascii="宋体" w:hAnsi="宋体"/>
          <w:b w:val="0"/>
          <w:color w:val="auto"/>
          <w:sz w:val="21"/>
          <w:szCs w:val="21"/>
          <w:highlight w:val="none"/>
        </w:rPr>
      </w:pP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pacing w:line="380" w:lineRule="atLeast"/>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ind w:firstLine="420"/>
        <w:jc w:val="center"/>
        <w:rPr>
          <w:rFonts w:ascii="宋体" w:hAnsi="宋体"/>
          <w:color w:val="auto"/>
          <w:szCs w:val="21"/>
          <w:highlight w:val="none"/>
        </w:rPr>
      </w:pPr>
      <w:r>
        <w:rPr>
          <w:rFonts w:ascii="宋体" w:hAnsi="宋体"/>
          <w:color w:val="auto"/>
          <w:szCs w:val="21"/>
          <w:highlight w:val="none"/>
        </w:rPr>
        <w:br w:type="page"/>
      </w:r>
    </w:p>
    <w:p>
      <w:pPr>
        <w:autoSpaceDE w:val="0"/>
        <w:autoSpaceDN w:val="0"/>
        <w:adjustRightInd w:val="0"/>
        <w:ind w:firstLine="562"/>
        <w:jc w:val="center"/>
        <w:rPr>
          <w:rFonts w:ascii="宋体" w:hAnsi="宋体"/>
          <w:b/>
          <w:color w:val="auto"/>
          <w:sz w:val="28"/>
          <w:szCs w:val="28"/>
          <w:highlight w:val="none"/>
        </w:rPr>
      </w:pPr>
      <w:r>
        <w:rPr>
          <w:rFonts w:hint="eastAsia" w:ascii="宋体" w:hAnsi="宋体"/>
          <w:b/>
          <w:color w:val="auto"/>
          <w:sz w:val="28"/>
          <w:szCs w:val="28"/>
          <w:highlight w:val="none"/>
        </w:rPr>
        <w:t>服务人员配置表</w:t>
      </w:r>
      <w:r>
        <w:rPr>
          <w:rFonts w:hint="eastAsia" w:ascii="仿宋" w:hAnsi="仿宋" w:eastAsia="仿宋"/>
          <w:color w:val="auto"/>
          <w:sz w:val="24"/>
          <w:highlight w:val="none"/>
        </w:rPr>
        <w:t>(格式</w:t>
      </w:r>
      <w:r>
        <w:rPr>
          <w:rFonts w:ascii="仿宋" w:hAnsi="仿宋" w:eastAsia="仿宋"/>
          <w:color w:val="auto"/>
          <w:sz w:val="24"/>
          <w:highlight w:val="none"/>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42"/>
        <w:gridCol w:w="2835"/>
        <w:gridCol w:w="1417"/>
        <w:gridCol w:w="141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51"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序号</w:t>
            </w:r>
          </w:p>
        </w:tc>
        <w:tc>
          <w:tcPr>
            <w:tcW w:w="1642"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姓名</w:t>
            </w:r>
          </w:p>
        </w:tc>
        <w:tc>
          <w:tcPr>
            <w:tcW w:w="2835" w:type="dxa"/>
            <w:noWrap w:val="0"/>
            <w:vAlign w:val="center"/>
          </w:tcPr>
          <w:p>
            <w:pPr>
              <w:autoSpaceDE w:val="0"/>
              <w:autoSpaceDN w:val="0"/>
              <w:adjustRightInd w:val="0"/>
              <w:ind w:firstLine="0" w:firstLineChars="0"/>
              <w:jc w:val="center"/>
              <w:rPr>
                <w:rFonts w:ascii="宋体" w:hAnsi="宋体"/>
                <w:color w:val="auto"/>
                <w:highlight w:val="none"/>
              </w:rPr>
            </w:pPr>
            <w:r>
              <w:rPr>
                <w:rFonts w:hint="eastAsia" w:ascii="宋体" w:hAnsi="宋体"/>
                <w:color w:val="auto"/>
                <w:highlight w:val="none"/>
              </w:rPr>
              <w:t>身份证号码</w:t>
            </w:r>
          </w:p>
        </w:tc>
        <w:tc>
          <w:tcPr>
            <w:tcW w:w="1417"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岗位</w:t>
            </w:r>
          </w:p>
        </w:tc>
        <w:tc>
          <w:tcPr>
            <w:tcW w:w="1418"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专业</w:t>
            </w:r>
          </w:p>
        </w:tc>
        <w:tc>
          <w:tcPr>
            <w:tcW w:w="1641"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执业资格/职称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1</w:t>
            </w:r>
          </w:p>
        </w:tc>
        <w:tc>
          <w:tcPr>
            <w:tcW w:w="1642" w:type="dxa"/>
            <w:noWrap w:val="0"/>
            <w:vAlign w:val="center"/>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2</w:t>
            </w:r>
          </w:p>
        </w:tc>
        <w:tc>
          <w:tcPr>
            <w:tcW w:w="1642" w:type="dxa"/>
            <w:noWrap w:val="0"/>
            <w:vAlign w:val="center"/>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3</w:t>
            </w:r>
          </w:p>
        </w:tc>
        <w:tc>
          <w:tcPr>
            <w:tcW w:w="1642" w:type="dxa"/>
            <w:noWrap w:val="0"/>
            <w:vAlign w:val="center"/>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w:t>
            </w:r>
          </w:p>
        </w:tc>
        <w:tc>
          <w:tcPr>
            <w:tcW w:w="1642" w:type="dxa"/>
            <w:noWrap w:val="0"/>
            <w:vAlign w:val="top"/>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bl>
    <w:p>
      <w:pPr>
        <w:snapToGrid w:val="0"/>
        <w:spacing w:before="50" w:after="50"/>
        <w:ind w:right="-817" w:rightChars="-389" w:firstLine="0" w:firstLineChars="0"/>
        <w:rPr>
          <w:rFonts w:ascii="宋体" w:hAnsi="宋体"/>
          <w:bCs/>
          <w:color w:val="auto"/>
          <w:highlight w:val="none"/>
        </w:rPr>
      </w:pPr>
      <w:r>
        <w:rPr>
          <w:rFonts w:hint="eastAsia" w:ascii="宋体" w:hAnsi="宋体"/>
          <w:bCs/>
          <w:color w:val="auto"/>
          <w:highlight w:val="none"/>
          <w:lang w:val="zh-CN"/>
        </w:rPr>
        <w:t>注:应</w:t>
      </w:r>
      <w:r>
        <w:rPr>
          <w:rFonts w:hint="eastAsia" w:ascii="宋体" w:hAnsi="宋体"/>
          <w:bCs/>
          <w:color w:val="auto"/>
          <w:highlight w:val="none"/>
        </w:rPr>
        <w:t>提供所配置人员姓名、身份证、岗位、学历证书、培训证书、相关工作经验证明材料(合同)。</w:t>
      </w:r>
    </w:p>
    <w:p>
      <w:pPr>
        <w:ind w:firstLine="420"/>
        <w:rPr>
          <w:color w:val="auto"/>
          <w:highlight w:val="none"/>
        </w:rPr>
      </w:pPr>
    </w:p>
    <w:p>
      <w:pPr>
        <w:ind w:firstLine="420"/>
        <w:rPr>
          <w:rFonts w:hint="eastAsia"/>
          <w:color w:val="auto"/>
          <w:highlight w:val="none"/>
        </w:rPr>
      </w:pPr>
    </w:p>
    <w:p>
      <w:pPr>
        <w:ind w:left="6019" w:leftChars="2866" w:right="592" w:rightChars="282" w:firstLine="75" w:firstLineChars="36"/>
        <w:jc w:val="left"/>
        <w:rPr>
          <w:rFonts w:ascii="宋体" w:hAnsi="宋体"/>
          <w:bCs/>
          <w:color w:val="auto"/>
          <w:highlight w:val="none"/>
        </w:rPr>
      </w:pPr>
      <w:r>
        <w:rPr>
          <w:rFonts w:hint="eastAsia" w:ascii="宋体" w:hAnsi="宋体"/>
          <w:bCs/>
          <w:color w:val="auto"/>
          <w:highlight w:val="none"/>
        </w:rPr>
        <w:t>投标人（盖章）：</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snapToGrid w:val="0"/>
        <w:spacing w:before="50" w:after="50" w:line="350" w:lineRule="exact"/>
        <w:ind w:right="-817" w:rightChars="-389" w:firstLine="6090" w:firstLineChars="2900"/>
        <w:jc w:val="lef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szCs w:val="21"/>
          <w:highlight w:val="none"/>
          <w:u w:val="single"/>
        </w:rPr>
        <w:t xml:space="preserve">       </w:t>
      </w:r>
      <w:r>
        <w:rPr>
          <w:rFonts w:hint="eastAsia" w:ascii="宋体" w:hAnsi="宋体"/>
          <w:bCs/>
          <w:color w:val="auto"/>
          <w:highlight w:val="none"/>
        </w:rPr>
        <w:t>年</w:t>
      </w:r>
      <w:r>
        <w:rPr>
          <w:rFonts w:hint="eastAsia" w:ascii="宋体" w:hAnsi="宋体"/>
          <w:bCs/>
          <w:color w:val="auto"/>
          <w:szCs w:val="21"/>
          <w:highlight w:val="none"/>
          <w:u w:val="single"/>
        </w:rPr>
        <w:t xml:space="preserve">   </w:t>
      </w:r>
      <w:r>
        <w:rPr>
          <w:rFonts w:hint="eastAsia" w:ascii="宋体" w:hAnsi="宋体"/>
          <w:bCs/>
          <w:color w:val="auto"/>
          <w:highlight w:val="none"/>
        </w:rPr>
        <w:t>月</w:t>
      </w:r>
      <w:r>
        <w:rPr>
          <w:rFonts w:hint="eastAsia" w:ascii="宋体" w:hAnsi="宋体"/>
          <w:bCs/>
          <w:color w:val="auto"/>
          <w:szCs w:val="21"/>
          <w:highlight w:val="none"/>
          <w:u w:val="single"/>
        </w:rPr>
        <w:t xml:space="preserve">   </w:t>
      </w:r>
      <w:r>
        <w:rPr>
          <w:rFonts w:hint="eastAsia" w:ascii="宋体" w:hAnsi="宋体"/>
          <w:bCs/>
          <w:color w:val="auto"/>
          <w:highlight w:val="none"/>
        </w:rPr>
        <w:t>日</w:t>
      </w:r>
    </w:p>
    <w:p>
      <w:pPr>
        <w:spacing w:line="440" w:lineRule="exact"/>
        <w:ind w:left="-177" w:leftChars="-200" w:hanging="243" w:hangingChars="116"/>
        <w:jc w:val="center"/>
        <w:rPr>
          <w:rFonts w:ascii="仿宋_GB2312" w:hAnsi="宋体" w:eastAsia="仿宋_GB2312"/>
          <w:b/>
          <w:color w:val="auto"/>
          <w:sz w:val="32"/>
          <w:szCs w:val="32"/>
          <w:highlight w:val="none"/>
        </w:rPr>
      </w:pPr>
      <w:r>
        <w:rPr>
          <w:rFonts w:hint="eastAsia" w:ascii="宋体" w:hAnsi="宋体"/>
          <w:bCs/>
          <w:color w:val="auto"/>
          <w:highlight w:val="none"/>
        </w:rPr>
        <w:br w:type="page"/>
      </w:r>
      <w:r>
        <w:rPr>
          <w:rFonts w:hint="eastAsia" w:ascii="仿宋_GB2312" w:hAnsi="宋体" w:eastAsia="仿宋_GB2312"/>
          <w:b/>
          <w:color w:val="auto"/>
          <w:sz w:val="32"/>
          <w:szCs w:val="32"/>
          <w:highlight w:val="none"/>
        </w:rPr>
        <w:t>中小企业声明函</w:t>
      </w:r>
      <w:r>
        <w:rPr>
          <w:rFonts w:hint="eastAsia" w:ascii="仿宋_GB2312" w:eastAsia="仿宋_GB2312"/>
          <w:bCs/>
          <w:color w:val="auto"/>
          <w:sz w:val="24"/>
          <w:highlight w:val="none"/>
        </w:rPr>
        <w:t>（格式）</w:t>
      </w:r>
    </w:p>
    <w:p>
      <w:pPr>
        <w:spacing w:line="440" w:lineRule="exact"/>
        <w:ind w:left="2" w:hanging="2" w:firstLineChars="0"/>
        <w:jc w:val="left"/>
        <w:rPr>
          <w:rFonts w:hint="eastAsia" w:ascii="仿宋_GB2312" w:hAnsi="宋体" w:eastAsia="仿宋_GB2312"/>
          <w:b/>
          <w:color w:val="auto"/>
          <w:szCs w:val="21"/>
          <w:highlight w:val="none"/>
        </w:rPr>
      </w:pPr>
    </w:p>
    <w:p>
      <w:pPr>
        <w:spacing w:line="600" w:lineRule="exact"/>
        <w:ind w:firstLine="294" w:firstLineChars="140"/>
        <w:jc w:val="left"/>
        <w:rPr>
          <w:rFonts w:ascii="宋体" w:hAnsi="宋体"/>
          <w:bCs/>
          <w:color w:val="auto"/>
          <w:szCs w:val="21"/>
          <w:highlight w:val="none"/>
        </w:rPr>
      </w:pPr>
      <w:bookmarkStart w:id="247" w:name="_Hlk94193902"/>
      <w:r>
        <w:rPr>
          <w:rFonts w:hint="eastAsia" w:ascii="宋体" w:hAnsi="宋体"/>
          <w:bCs/>
          <w:color w:val="auto"/>
          <w:szCs w:val="21"/>
          <w:highlight w:val="none"/>
        </w:rPr>
        <w:t>本公司郑重声明，根据</w:t>
      </w:r>
      <w:bookmarkStart w:id="248" w:name="_Hlk82091685"/>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HYPERLINK "http://www.gov.cn/zhengce/zhengceku/2020-12/29/content_5574611.htm"</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Style w:val="57"/>
          <w:rFonts w:hint="eastAsia" w:ascii="宋体" w:hAnsi="宋体"/>
          <w:bCs/>
          <w:color w:val="auto"/>
          <w:szCs w:val="21"/>
          <w:highlight w:val="none"/>
          <w:u w:val="none"/>
        </w:rPr>
        <w:t>《政府采购促进中小企业发展管理办法》</w:t>
      </w:r>
      <w:bookmarkStart w:id="249" w:name="_Hlk60836554"/>
      <w:r>
        <w:rPr>
          <w:rStyle w:val="57"/>
          <w:rFonts w:hint="eastAsia" w:ascii="宋体" w:hAnsi="宋体"/>
          <w:bCs/>
          <w:color w:val="auto"/>
          <w:szCs w:val="21"/>
          <w:highlight w:val="none"/>
          <w:u w:val="none"/>
        </w:rPr>
        <w:t>（财库﹝2020﹞46号）</w:t>
      </w:r>
      <w:bookmarkEnd w:id="248"/>
      <w:bookmarkEnd w:id="249"/>
      <w:r>
        <w:rPr>
          <w:rFonts w:ascii="宋体" w:hAnsi="宋体"/>
          <w:bCs/>
          <w:color w:val="auto"/>
          <w:szCs w:val="21"/>
          <w:highlight w:val="none"/>
        </w:rPr>
        <w:fldChar w:fldCharType="end"/>
      </w:r>
      <w:r>
        <w:rPr>
          <w:rFonts w:hint="eastAsia" w:ascii="宋体" w:hAnsi="宋体"/>
          <w:bCs/>
          <w:color w:val="auto"/>
          <w:szCs w:val="21"/>
          <w:highlight w:val="none"/>
        </w:rPr>
        <w:t>的规定，本公司参加</w:t>
      </w:r>
      <w:bookmarkStart w:id="250" w:name="_Hlk82091228"/>
      <w:r>
        <w:rPr>
          <w:rFonts w:hint="eastAsia" w:ascii="宋体" w:hAnsi="宋体"/>
          <w:bCs/>
          <w:color w:val="auto"/>
          <w:szCs w:val="21"/>
          <w:highlight w:val="none"/>
        </w:rPr>
        <w:t>（</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w:t>
      </w:r>
      <w:bookmarkEnd w:id="250"/>
      <w:r>
        <w:rPr>
          <w:rFonts w:hint="eastAsia" w:ascii="宋体" w:hAnsi="宋体"/>
          <w:bCs/>
          <w:color w:val="auto"/>
          <w:szCs w:val="21"/>
          <w:highlight w:val="none"/>
        </w:rPr>
        <w:t>采购活动，提供的货物全部由符合政策要求的中小企业制造。相关企业的具体情况如下：</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1.</w:t>
      </w:r>
      <w:bookmarkStart w:id="251"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），从业人员人，营业收入为万元，资产总额为万元，属于（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251"/>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），从业人员人，营业收入为万元，资产总额为万元，属于（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ind w:firstLine="0" w:firstLineChars="0"/>
        <w:rPr>
          <w:color w:val="auto"/>
          <w:szCs w:val="21"/>
          <w:highlight w:val="none"/>
        </w:rPr>
      </w:pPr>
    </w:p>
    <w:p>
      <w:pPr>
        <w:ind w:firstLine="0" w:firstLineChars="0"/>
        <w:rPr>
          <w:color w:val="auto"/>
          <w:szCs w:val="21"/>
          <w:highlight w:val="none"/>
        </w:rPr>
      </w:pPr>
    </w:p>
    <w:p>
      <w:pPr>
        <w:ind w:firstLine="0" w:firstLineChars="0"/>
        <w:rPr>
          <w:rFonts w:hint="eastAsia"/>
          <w:color w:val="auto"/>
          <w:szCs w:val="21"/>
          <w:highlight w:val="none"/>
        </w:rPr>
      </w:pP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企业名称（盖章）：</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日 期：</w:t>
      </w:r>
      <w:r>
        <w:rPr>
          <w:rFonts w:hint="eastAsia" w:hAnsi="宋体"/>
          <w:color w:val="auto"/>
          <w:szCs w:val="21"/>
          <w:highlight w:val="none"/>
          <w:u w:val="single"/>
        </w:rPr>
        <w:t xml:space="preserve"> </w:t>
      </w:r>
      <w:r>
        <w:rPr>
          <w:rFonts w:hAnsi="宋体"/>
          <w:color w:val="auto"/>
          <w:szCs w:val="21"/>
          <w:highlight w:val="none"/>
          <w:u w:val="single"/>
        </w:rPr>
        <w:t xml:space="preserve">                        </w:t>
      </w:r>
    </w:p>
    <w:bookmarkEnd w:id="247"/>
    <w:p>
      <w:pPr>
        <w:ind w:firstLine="0" w:firstLineChars="0"/>
        <w:rPr>
          <w:color w:val="auto"/>
          <w:szCs w:val="21"/>
          <w:highlight w:val="none"/>
        </w:rPr>
      </w:pPr>
    </w:p>
    <w:p>
      <w:pPr>
        <w:ind w:firstLine="0" w:firstLineChars="0"/>
        <w:rPr>
          <w:color w:val="auto"/>
          <w:szCs w:val="21"/>
          <w:highlight w:val="none"/>
        </w:rPr>
      </w:pPr>
    </w:p>
    <w:p>
      <w:pPr>
        <w:ind w:firstLine="0" w:firstLineChars="0"/>
        <w:rPr>
          <w:color w:val="auto"/>
          <w:szCs w:val="21"/>
          <w:highlight w:val="none"/>
        </w:rPr>
      </w:pPr>
    </w:p>
    <w:p>
      <w:pPr>
        <w:ind w:firstLine="0" w:firstLineChars="0"/>
        <w:rPr>
          <w:color w:val="auto"/>
          <w:szCs w:val="21"/>
          <w:highlight w:val="none"/>
        </w:rPr>
      </w:pPr>
    </w:p>
    <w:p>
      <w:pPr>
        <w:ind w:firstLine="0" w:firstLineChars="0"/>
        <w:rPr>
          <w:rFonts w:hint="eastAsia"/>
          <w:color w:val="auto"/>
          <w:szCs w:val="21"/>
          <w:highlight w:val="none"/>
        </w:rPr>
      </w:pPr>
    </w:p>
    <w:p>
      <w:pPr>
        <w:spacing w:line="320" w:lineRule="exact"/>
        <w:ind w:firstLine="0" w:firstLineChars="0"/>
        <w:rPr>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left="420" w:firstLine="0" w:firstLineChars="0"/>
        <w:rPr>
          <w:rFonts w:hint="eastAsia" w:ascii="宋体" w:hAnsi="宋体"/>
          <w:color w:val="auto"/>
          <w:sz w:val="18"/>
          <w:szCs w:val="18"/>
          <w:highlight w:val="none"/>
        </w:rPr>
      </w:pPr>
      <w:bookmarkStart w:id="252" w:name="_Hlk82091879"/>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8(——),从)</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8(——),业)</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8(——),人)</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8(——),员)</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8(——),营)</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8(——),业)</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8(——),收)</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8(——),入)</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8(——),资)</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8(——),产)</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8(——),总)</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8(——),额)</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8(——),填)</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8(——),报)</w:instrText>
      </w:r>
      <w:r>
        <w:rPr>
          <w:rFonts w:ascii="宋体" w:hAnsi="宋体"/>
          <w:color w:val="auto"/>
          <w:sz w:val="18"/>
          <w:szCs w:val="18"/>
          <w:highlight w:val="none"/>
        </w:rPr>
        <w:fldChar w:fldCharType="end"/>
      </w:r>
      <w:bookmarkEnd w:id="252"/>
      <w:r>
        <w:rPr>
          <w:rFonts w:hint="eastAsia" w:ascii="宋体" w:hAnsi="宋体"/>
          <w:color w:val="auto"/>
          <w:sz w:val="18"/>
          <w:szCs w:val="18"/>
          <w:highlight w:val="none"/>
        </w:rPr>
        <w:t>上一年度数据，无上一年度数据的新成立企业可不填报。</w:t>
      </w:r>
    </w:p>
    <w:tbl>
      <w:tblPr>
        <w:tblStyle w:val="48"/>
        <w:tblW w:w="0" w:type="auto"/>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noWrap w:val="0"/>
            <w:tcMar>
              <w:top w:w="30" w:type="dxa"/>
              <w:left w:w="150" w:type="dxa"/>
              <w:bottom w:w="30" w:type="dxa"/>
              <w:right w:w="150" w:type="dxa"/>
            </w:tcMar>
            <w:vAlign w:val="center"/>
          </w:tcPr>
          <w:p>
            <w:pPr>
              <w:widowControl/>
              <w:spacing w:line="240" w:lineRule="auto"/>
              <w:ind w:firstLine="0" w:firstLineChars="0"/>
              <w:jc w:val="center"/>
              <w:rPr>
                <w:rFonts w:ascii="Helvetica" w:hAnsi="Helvetica" w:cs="Helvetica"/>
                <w:b/>
                <w:bCs/>
                <w:color w:val="auto"/>
                <w:kern w:val="0"/>
                <w:szCs w:val="21"/>
                <w:highlight w:val="none"/>
              </w:rPr>
            </w:pPr>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ind w:firstLine="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说明：</w:t>
      </w:r>
    </w:p>
    <w:p>
      <w:pPr>
        <w:widowControl/>
        <w:shd w:val="clear" w:color="auto" w:fill="FFFFFF"/>
        <w:spacing w:line="360" w:lineRule="atLeast"/>
        <w:ind w:firstLine="48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"https://baike.baidu.com/item/%E5%A4%9A%E5%BC%8F%E8%81%94%E8%BF%90/3342240?fromModule=lemma_inlink"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和运输代理业、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"https://baike.baidu.com/item/%E8%A3%85%E5%8D%B8%E6%90%AC%E8%BF%90/6511400?fromModule=lemma_inlink"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，不包括铁路运输业；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"https://baike.baidu.com/item/%E4%BB%93%E5%82%A8%E4%B8%9A/3487863?fromModule=lemma_inlink"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"https://baike.baidu.com/item/%E4%BF%A1%E6%81%AF%E4%BC%A0%E8%BE%93%E4%B8%9A/61331990?fromModule=lemma_inlink"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firstLineChars="0"/>
        <w:jc w:val="left"/>
        <w:rPr>
          <w:rFonts w:hint="eastAsia"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"https://baike.baidu.com/item/%E7%BB%9F%E8%AE%A1%E5%88%B6%E5%BA%A6/917165?fromModule=lemma_inlink"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"https://baike.baidu.com/item/%E8%90%A5%E4%B8%9A%E6%94%B6%E5%85%A5/5099832?fromModule=lemma_inlink"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"https://baike.baidu.com/item/%E8%B5%84%E4%BA%A7%E6%80%BB%E9%A2%9D/716517?fromModule=lemma_inlink"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，采用资产总计代替。</w:t>
      </w:r>
    </w:p>
    <w:p>
      <w:pPr>
        <w:ind w:firstLine="0" w:firstLineChars="0"/>
        <w:rPr>
          <w:color w:val="auto"/>
          <w:highlight w:val="none"/>
        </w:rPr>
      </w:pPr>
      <w:r>
        <w:rPr>
          <w:color w:val="auto"/>
          <w:highlight w:val="none"/>
        </w:rPr>
        <w:br w:type="page"/>
      </w:r>
    </w:p>
    <w:p>
      <w:pPr>
        <w:spacing w:line="440" w:lineRule="exact"/>
        <w:ind w:firstLine="0" w:firstLineChars="0"/>
        <w:jc w:val="center"/>
        <w:rPr>
          <w:rFonts w:hint="eastAsia" w:ascii="仿宋_GB2312" w:hAnsi="宋体" w:eastAsia="仿宋_GB2312" w:cs="Courier New"/>
          <w:b/>
          <w:color w:val="auto"/>
          <w:kern w:val="0"/>
          <w:sz w:val="32"/>
          <w:szCs w:val="32"/>
          <w:highlight w:val="none"/>
        </w:rPr>
      </w:pPr>
      <w:r>
        <w:rPr>
          <w:rFonts w:hint="eastAsia" w:ascii="仿宋_GB2312" w:hAnsi="宋体" w:eastAsia="仿宋_GB2312" w:cs="Courier New"/>
          <w:b/>
          <w:color w:val="auto"/>
          <w:kern w:val="0"/>
          <w:sz w:val="32"/>
          <w:szCs w:val="32"/>
          <w:highlight w:val="none"/>
        </w:rPr>
        <w:t>残疾人福利性单位声明函</w:t>
      </w:r>
      <w:r>
        <w:rPr>
          <w:rFonts w:hint="eastAsia" w:ascii="仿宋_GB2312" w:eastAsia="仿宋_GB2312"/>
          <w:bCs/>
          <w:color w:val="auto"/>
          <w:sz w:val="24"/>
          <w:highlight w:val="none"/>
        </w:rPr>
        <w:t>（格式）</w:t>
      </w:r>
    </w:p>
    <w:p>
      <w:pPr>
        <w:ind w:firstLine="0" w:firstLineChars="0"/>
        <w:rPr>
          <w:rFonts w:hint="eastAsia"/>
          <w:color w:val="auto"/>
          <w:highlight w:val="none"/>
        </w:rPr>
      </w:pPr>
    </w:p>
    <w:p>
      <w:pPr>
        <w:spacing w:line="660" w:lineRule="exact"/>
        <w:ind w:firstLine="420"/>
        <w:rPr>
          <w:rFonts w:ascii="宋体" w:hAnsi="宋体" w:cs="Courier New"/>
          <w:color w:val="auto"/>
          <w:kern w:val="0"/>
          <w:szCs w:val="21"/>
          <w:highlight w:val="none"/>
        </w:rPr>
      </w:pPr>
      <w:bookmarkStart w:id="253" w:name="_Hlk94193952"/>
      <w:r>
        <w:rPr>
          <w:rFonts w:hint="eastAsia" w:ascii="宋体" w:hAnsi="宋体" w:cs="Courier New"/>
          <w:color w:val="auto"/>
          <w:kern w:val="0"/>
          <w:szCs w:val="21"/>
          <w:highlight w:val="none"/>
        </w:rPr>
        <w:t>本单位郑重声明，根据</w:t>
      </w:r>
      <w:bookmarkStart w:id="254" w:name="_Hlk82091361"/>
      <w:r>
        <w:rPr>
          <w:rFonts w:hint="eastAsia" w:ascii="宋体" w:hAnsi="宋体" w:cs="Courier New"/>
          <w:color w:val="auto"/>
          <w:kern w:val="0"/>
          <w:szCs w:val="21"/>
          <w:highlight w:val="none"/>
        </w:rPr>
        <w:t>《</w:t>
      </w:r>
      <w:r>
        <w:rPr>
          <w:rFonts w:ascii="宋体" w:hAnsi="Courier New" w:cs="Courier New"/>
          <w:color w:val="auto"/>
          <w:szCs w:val="21"/>
          <w:highlight w:val="none"/>
        </w:rPr>
        <w:fldChar w:fldCharType="begin"/>
      </w:r>
      <w:r>
        <w:rPr>
          <w:rFonts w:ascii="宋体" w:hAnsi="Courier New" w:cs="Courier New"/>
          <w:color w:val="auto"/>
          <w:szCs w:val="21"/>
          <w:highlight w:val="none"/>
        </w:rPr>
        <w:instrText xml:space="preserve"> HYPERLINK "http://www.mof.gov.cn/gp/xxgkml/gks/201709/t20170901_2689542.htm" </w:instrText>
      </w:r>
      <w:r>
        <w:rPr>
          <w:rFonts w:ascii="宋体" w:hAnsi="Courier New" w:cs="Courier New"/>
          <w:color w:val="auto"/>
          <w:szCs w:val="21"/>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ascii="宋体" w:hAnsi="Courier New" w:cs="Courier New"/>
          <w:color w:val="auto"/>
          <w:kern w:val="0"/>
          <w:szCs w:val="21"/>
          <w:highlight w:val="none"/>
        </w:rPr>
        <w:fldChar w:fldCharType="end"/>
      </w:r>
      <w:bookmarkEnd w:id="254"/>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rPr>
          <w:rFonts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ind w:firstLine="0" w:firstLineChars="0"/>
        <w:rPr>
          <w:color w:val="auto"/>
          <w:szCs w:val="21"/>
          <w:highlight w:val="none"/>
        </w:rPr>
      </w:pPr>
    </w:p>
    <w:p>
      <w:pPr>
        <w:ind w:firstLine="0" w:firstLineChars="0"/>
        <w:rPr>
          <w:rFonts w:hint="eastAsia"/>
          <w:color w:val="auto"/>
          <w:szCs w:val="21"/>
          <w:highlight w:val="none"/>
        </w:rPr>
      </w:pPr>
    </w:p>
    <w:p>
      <w:pPr>
        <w:ind w:firstLine="0" w:firstLineChars="0"/>
        <w:rPr>
          <w:rFonts w:hint="eastAsia"/>
          <w:color w:val="auto"/>
          <w:szCs w:val="21"/>
          <w:highlight w:val="none"/>
        </w:rPr>
      </w:pPr>
    </w:p>
    <w:p>
      <w:pPr>
        <w:spacing w:line="440" w:lineRule="exact"/>
        <w:ind w:firstLine="5250" w:firstLineChars="2500"/>
        <w:rPr>
          <w:rFonts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440" w:lineRule="exact"/>
        <w:ind w:firstLine="5250" w:firstLineChars="2500"/>
        <w:rPr>
          <w:rFonts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bookmarkEnd w:id="253"/>
    <w:p>
      <w:pPr>
        <w:spacing w:line="440" w:lineRule="exact"/>
        <w:ind w:firstLine="4000" w:firstLineChars="1905"/>
        <w:rPr>
          <w:rFonts w:ascii="宋体" w:hAnsi="宋体"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260" w:lineRule="exact"/>
        <w:ind w:firstLine="0" w:firstLineChars="0"/>
        <w:jc w:val="left"/>
        <w:rPr>
          <w:rFonts w:ascii="宋体" w:hAnsi="Courier New" w:cs="Courier New"/>
          <w:color w:val="auto"/>
          <w:sz w:val="18"/>
          <w:szCs w:val="18"/>
          <w:highlight w:val="none"/>
          <w:u w:val="single"/>
        </w:rPr>
      </w:pPr>
      <w:r>
        <w:rPr>
          <w:rFonts w:hint="eastAsia" w:ascii="宋体" w:hAnsi="Courier New" w:cs="Courier New"/>
          <w:color w:val="auto"/>
          <w:sz w:val="18"/>
          <w:szCs w:val="18"/>
          <w:highlight w:val="none"/>
          <w:u w:val="single"/>
        </w:rPr>
        <w:t xml:space="preserve"> </w:t>
      </w:r>
      <w:r>
        <w:rPr>
          <w:rFonts w:ascii="宋体" w:hAnsi="Courier New" w:cs="Courier New"/>
          <w:color w:val="auto"/>
          <w:sz w:val="18"/>
          <w:szCs w:val="18"/>
          <w:highlight w:val="none"/>
          <w:u w:val="single"/>
        </w:rPr>
        <w:t xml:space="preserve">                       </w:t>
      </w:r>
    </w:p>
    <w:p>
      <w:pPr>
        <w:spacing w:line="260" w:lineRule="exact"/>
        <w:ind w:firstLine="0" w:firstLineChars="0"/>
        <w:jc w:val="left"/>
        <w:rPr>
          <w:rFonts w:hint="eastAsia" w:ascii="宋体" w:hAnsi="Courier New" w:cs="Courier New"/>
          <w:color w:val="auto"/>
          <w:sz w:val="18"/>
          <w:szCs w:val="18"/>
          <w:highlight w:val="none"/>
          <w:u w:val="single"/>
        </w:rPr>
      </w:pPr>
      <w:r>
        <w:rPr>
          <w:rFonts w:ascii="宋体" w:hAnsi="Courier New" w:cs="Courier New"/>
          <w:color w:val="auto"/>
          <w:sz w:val="18"/>
          <w:szCs w:val="18"/>
          <w:highlight w:val="none"/>
        </w:rPr>
        <w:fldChar w:fldCharType="begin"/>
      </w:r>
      <w:r>
        <w:rPr>
          <w:rFonts w:ascii="宋体" w:hAnsi="Courier New" w:cs="Courier New"/>
          <w:color w:val="auto"/>
          <w:sz w:val="18"/>
          <w:szCs w:val="18"/>
          <w:highlight w:val="none"/>
        </w:rPr>
        <w:instrText xml:space="preserve"> HYPERLINK "http://www.ccgp.gov.cn/zcfg/mof/201709/t20170904_8787205.htm" </w:instrText>
      </w:r>
      <w:r>
        <w:rPr>
          <w:rFonts w:ascii="宋体" w:hAnsi="Courier New" w:cs="Courier New"/>
          <w:color w:val="auto"/>
          <w:sz w:val="18"/>
          <w:szCs w:val="18"/>
          <w:highlight w:val="none"/>
        </w:rPr>
        <w:fldChar w:fldCharType="separate"/>
      </w:r>
      <w:r>
        <w:rPr>
          <w:rFonts w:hint="eastAsia" w:ascii="宋体" w:hAnsi="Courier New" w:cs="Courier New"/>
          <w:color w:val="auto"/>
          <w:sz w:val="18"/>
          <w:szCs w:val="18"/>
          <w:highlight w:val="none"/>
          <w:u w:val="single"/>
        </w:rPr>
        <w:t>《财政部 民政部 中国残疾人联</w:t>
      </w:r>
      <w:bookmarkStart w:id="255" w:name="_Hlt94193983"/>
      <w:bookmarkStart w:id="256" w:name="_Hlt94193982"/>
      <w:r>
        <w:rPr>
          <w:rFonts w:hint="eastAsia" w:ascii="宋体" w:hAnsi="Courier New" w:cs="Courier New"/>
          <w:color w:val="auto"/>
          <w:sz w:val="18"/>
          <w:szCs w:val="18"/>
          <w:highlight w:val="none"/>
          <w:u w:val="single"/>
        </w:rPr>
        <w:t>合</w:t>
      </w:r>
      <w:bookmarkEnd w:id="255"/>
      <w:bookmarkEnd w:id="256"/>
      <w:r>
        <w:rPr>
          <w:rFonts w:hint="eastAsia" w:ascii="宋体" w:hAnsi="Courier New" w:cs="Courier New"/>
          <w:color w:val="auto"/>
          <w:sz w:val="18"/>
          <w:szCs w:val="18"/>
          <w:highlight w:val="none"/>
          <w:u w:val="single"/>
        </w:rPr>
        <w:t>会关于促进残疾人就业政府采购政策的通知》（财库〔2017〕141号）</w:t>
      </w:r>
      <w:r>
        <w:rPr>
          <w:rFonts w:ascii="宋体" w:hAnsi="Courier New" w:cs="Courier New"/>
          <w:color w:val="auto"/>
          <w:sz w:val="18"/>
          <w:szCs w:val="18"/>
          <w:highlight w:val="none"/>
          <w:u w:val="single"/>
        </w:rPr>
        <w:fldChar w:fldCharType="end"/>
      </w:r>
    </w:p>
    <w:p>
      <w:pPr>
        <w:snapToGrid w:val="0"/>
        <w:spacing w:before="50" w:after="50" w:line="360" w:lineRule="exact"/>
        <w:ind w:right="-817" w:rightChars="-389" w:firstLine="0" w:firstLineChars="0"/>
        <w:rPr>
          <w:rFonts w:ascii="宋体" w:hAnsi="宋体"/>
          <w:b/>
          <w:bCs/>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三、报价文件</w:t>
      </w:r>
    </w:p>
    <w:p>
      <w:pPr>
        <w:ind w:firstLine="0" w:firstLineChars="0"/>
        <w:rPr>
          <w:rFonts w:hint="eastAsia"/>
          <w:color w:val="auto"/>
          <w:highlight w:val="none"/>
        </w:rPr>
      </w:pPr>
    </w:p>
    <w:p>
      <w:pPr>
        <w:snapToGrid w:val="0"/>
        <w:spacing w:before="50" w:after="50" w:line="360" w:lineRule="exact"/>
        <w:ind w:firstLine="0" w:firstLineChars="0"/>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32"/>
          <w:szCs w:val="32"/>
          <w:highlight w:val="none"/>
        </w:rPr>
        <w:t>开标一览表</w:t>
      </w:r>
      <w:bookmarkStart w:id="257" w:name="_Hlk111729075"/>
      <w:r>
        <w:rPr>
          <w:rFonts w:hint="eastAsia" w:ascii="仿宋_GB2312" w:eastAsia="仿宋_GB2312"/>
          <w:bCs/>
          <w:color w:val="auto"/>
          <w:sz w:val="24"/>
          <w:highlight w:val="none"/>
        </w:rPr>
        <w:t>（格式）</w:t>
      </w:r>
      <w:bookmarkEnd w:id="257"/>
    </w:p>
    <w:p>
      <w:pPr>
        <w:snapToGrid w:val="0"/>
        <w:spacing w:before="50" w:after="50"/>
        <w:ind w:firstLine="420"/>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pPr>
        <w:snapToGrid w:val="0"/>
        <w:spacing w:before="50" w:after="50"/>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报价（总价、元）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19" w:firstLineChars="10"/>
              <w:jc w:val="left"/>
              <w:rPr>
                <w:rFonts w:hint="eastAsia" w:ascii="宋体" w:hAnsi="宋体"/>
                <w:bCs/>
                <w:color w:val="auto"/>
                <w:szCs w:val="21"/>
                <w:highlight w:val="none"/>
                <w:u w:val="single"/>
              </w:rPr>
            </w:pPr>
            <w:r>
              <w:rPr>
                <w:rFonts w:hint="eastAsia" w:ascii="宋体" w:hAnsi="宋体" w:cs="Courier New"/>
                <w:color w:val="auto"/>
                <w:spacing w:val="-6"/>
                <w:szCs w:val="21"/>
                <w:highlight w:val="none"/>
              </w:rPr>
              <w:t>人民币大写：</w:t>
            </w:r>
            <w:r>
              <w:rPr>
                <w:rFonts w:hint="eastAsia" w:ascii="宋体" w:hAnsi="宋体" w:cs="Courier New"/>
                <w:color w:val="auto"/>
                <w:spacing w:val="-6"/>
                <w:szCs w:val="21"/>
                <w:highlight w:val="none"/>
                <w:u w:val="single"/>
              </w:rPr>
              <w:t xml:space="preserve">                  </w:t>
            </w:r>
            <w:r>
              <w:rPr>
                <w:rFonts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u w:val="single"/>
              </w:rPr>
              <w:t xml:space="preserve">    </w:t>
            </w:r>
            <w:r>
              <w:rPr>
                <w:rFonts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tbl>
    <w:p>
      <w:pPr>
        <w:snapToGrid w:val="0"/>
        <w:spacing w:before="50" w:after="50"/>
        <w:ind w:left="105" w:leftChars="50" w:firstLine="315" w:firstLineChars="150"/>
        <w:jc w:val="left"/>
        <w:rPr>
          <w:rFonts w:ascii="宋体" w:hAnsi="宋体"/>
          <w:color w:val="auto"/>
          <w:szCs w:val="21"/>
          <w:highlight w:val="none"/>
        </w:rPr>
      </w:pPr>
      <w:r>
        <w:rPr>
          <w:rFonts w:hint="eastAsia" w:ascii="宋体" w:hAnsi="宋体"/>
          <w:color w:val="auto"/>
          <w:szCs w:val="21"/>
          <w:highlight w:val="none"/>
        </w:rPr>
        <w:t>1.所有价格均用人民币表示，单位为元，精确到个数位。</w:t>
      </w:r>
    </w:p>
    <w:p>
      <w:pPr>
        <w:snapToGrid w:val="0"/>
        <w:spacing w:before="50" w:after="50"/>
        <w:ind w:left="105" w:leftChars="50" w:firstLine="315" w:firstLineChars="15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报价一经涂改，应在涂改处加盖公章或者由法定代表人或授权委托人签名或盖章，否则视为无效投标文件。</w:t>
      </w:r>
    </w:p>
    <w:p>
      <w:pPr>
        <w:snapToGrid w:val="0"/>
        <w:spacing w:before="50" w:after="50"/>
        <w:ind w:firstLine="420"/>
        <w:rPr>
          <w:rFonts w:ascii="宋体" w:hAnsi="宋体"/>
          <w:color w:val="auto"/>
          <w:szCs w:val="21"/>
          <w:highlight w:val="none"/>
        </w:rPr>
      </w:pPr>
      <w:bookmarkStart w:id="258" w:name="_Hlk90908484"/>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bCs/>
          <w:color w:val="auto"/>
          <w:szCs w:val="21"/>
          <w:highlight w:val="none"/>
        </w:rPr>
        <w:t>投标报价应包括设备及零配件、备品备件、材料、消耗品的采购和运输（装卸、吊装），项目安装、调试、检测、工具、调试及验收、现场卫生清理、水电费、土建改造、售后服务、培训、税金、利润、项目所需的物资、外设、线缆、管材、埋管及完成全部设备安装和服务应有的环保、文明施工、安全施工、风险费、责任等费用总和。</w:t>
      </w:r>
    </w:p>
    <w:bookmarkEnd w:id="258"/>
    <w:p>
      <w:pPr>
        <w:snapToGrid w:val="0"/>
        <w:spacing w:before="50" w:after="50" w:line="350" w:lineRule="exact"/>
        <w:ind w:right="-817" w:rightChars="-389" w:firstLine="0" w:firstLineChars="0"/>
        <w:rPr>
          <w:rFonts w:ascii="宋体" w:hAnsi="宋体"/>
          <w:color w:val="auto"/>
          <w:szCs w:val="21"/>
          <w:highlight w:val="none"/>
        </w:rPr>
      </w:pPr>
    </w:p>
    <w:p>
      <w:pPr>
        <w:snapToGrid w:val="0"/>
        <w:spacing w:before="50" w:after="50" w:line="350" w:lineRule="exact"/>
        <w:ind w:right="-817" w:rightChars="-389" w:firstLine="0" w:firstLineChars="0"/>
        <w:rPr>
          <w:rFonts w:hint="eastAsia" w:ascii="宋体" w:hAnsi="宋体"/>
          <w:color w:val="auto"/>
          <w:szCs w:val="21"/>
          <w:highlight w:val="none"/>
        </w:rPr>
      </w:pPr>
    </w:p>
    <w:p>
      <w:pPr>
        <w:snapToGrid w:val="0"/>
        <w:spacing w:before="50" w:after="50" w:line="350" w:lineRule="exact"/>
        <w:ind w:right="-817" w:rightChars="-389" w:firstLine="4189" w:firstLineChars="1995"/>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3255" w:firstLineChars="15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50" w:after="50" w:line="350" w:lineRule="exact"/>
        <w:ind w:right="-817" w:rightChars="-389" w:firstLine="0" w:firstLineChars="0"/>
        <w:rPr>
          <w:rFonts w:hint="eastAsia" w:ascii="宋体" w:hAnsi="宋体"/>
          <w:color w:val="auto"/>
          <w:szCs w:val="21"/>
          <w:highlight w:val="none"/>
        </w:rPr>
      </w:pPr>
      <w:r>
        <w:rPr>
          <w:rFonts w:ascii="宋体" w:hAnsi="宋体"/>
          <w:color w:val="auto"/>
          <w:szCs w:val="21"/>
          <w:highlight w:val="none"/>
        </w:rPr>
        <w:br w:type="page"/>
      </w:r>
    </w:p>
    <w:p>
      <w:pPr>
        <w:ind w:firstLine="0" w:firstLineChars="0"/>
        <w:jc w:val="center"/>
        <w:rPr>
          <w:rFonts w:hint="eastAsia" w:ascii="仿宋_GB2312" w:eastAsia="仿宋_GB2312"/>
          <w:b/>
          <w:bCs/>
          <w:color w:val="auto"/>
          <w:sz w:val="28"/>
          <w:szCs w:val="28"/>
          <w:highlight w:val="none"/>
        </w:rPr>
      </w:pPr>
      <w:r>
        <w:rPr>
          <w:rFonts w:hint="eastAsia" w:ascii="仿宋_GB2312" w:eastAsia="仿宋_GB2312"/>
          <w:b/>
          <w:bCs/>
          <w:color w:val="auto"/>
          <w:sz w:val="32"/>
          <w:szCs w:val="32"/>
          <w:highlight w:val="none"/>
        </w:rPr>
        <w:t>报价明细表</w:t>
      </w:r>
      <w:r>
        <w:rPr>
          <w:rFonts w:hint="eastAsia" w:ascii="仿宋_GB2312" w:eastAsia="仿宋_GB2312"/>
          <w:bCs/>
          <w:color w:val="auto"/>
          <w:sz w:val="24"/>
          <w:highlight w:val="none"/>
        </w:rPr>
        <w:t>（格式）</w:t>
      </w:r>
    </w:p>
    <w:p>
      <w:pPr>
        <w:ind w:firstLine="199" w:firstLineChars="95"/>
        <w:jc w:val="lef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210" w:firstLineChars="100"/>
        <w:jc w:val="lef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noWrap w:val="0"/>
            <w:vAlign w:val="center"/>
          </w:tcPr>
          <w:p>
            <w:pPr>
              <w:spacing w:line="300" w:lineRule="exact"/>
              <w:ind w:firstLine="0" w:firstLineChars="0"/>
              <w:jc w:val="center"/>
              <w:rPr>
                <w:rFonts w:hint="eastAsia" w:ascii="宋体" w:hAnsi="宋体" w:cs="Courier New"/>
                <w:color w:val="auto"/>
                <w:szCs w:val="21"/>
                <w:highlight w:val="none"/>
              </w:rPr>
            </w:pPr>
            <w:bookmarkStart w:id="259" w:name="_Hlk97823529"/>
            <w:r>
              <w:rPr>
                <w:rFonts w:hint="eastAsia" w:ascii="宋体" w:hAnsi="宋体" w:cs="Courier New"/>
                <w:color w:val="auto"/>
                <w:szCs w:val="21"/>
                <w:highlight w:val="none"/>
              </w:rPr>
              <w:t>序号</w:t>
            </w:r>
          </w:p>
        </w:tc>
        <w:tc>
          <w:tcPr>
            <w:tcW w:w="1145"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699"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品牌</w:t>
            </w:r>
          </w:p>
        </w:tc>
        <w:tc>
          <w:tcPr>
            <w:tcW w:w="710"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型号</w:t>
            </w:r>
          </w:p>
        </w:tc>
        <w:tc>
          <w:tcPr>
            <w:tcW w:w="709"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产地</w:t>
            </w:r>
          </w:p>
        </w:tc>
        <w:tc>
          <w:tcPr>
            <w:tcW w:w="170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技术参数及性能（规格）</w:t>
            </w:r>
          </w:p>
        </w:tc>
        <w:tc>
          <w:tcPr>
            <w:tcW w:w="170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数量、单位</w:t>
            </w:r>
            <w:r>
              <w:rPr>
                <w:rFonts w:hint="eastAsia" w:hAnsi="宋体"/>
                <w:color w:val="auto"/>
                <w:highlight w:val="none"/>
              </w:rPr>
              <w:t>①</w:t>
            </w:r>
          </w:p>
        </w:tc>
        <w:tc>
          <w:tcPr>
            <w:tcW w:w="85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单价</w:t>
            </w:r>
            <w:r>
              <w:rPr>
                <w:rFonts w:hint="eastAsia" w:hAnsi="宋体"/>
                <w:color w:val="auto"/>
                <w:highlight w:val="none"/>
              </w:rPr>
              <w:t>②</w:t>
            </w:r>
          </w:p>
        </w:tc>
        <w:tc>
          <w:tcPr>
            <w:tcW w:w="1348" w:type="dxa"/>
            <w:tcBorders>
              <w:bottom w:val="single" w:color="auto" w:sz="4" w:space="0"/>
            </w:tcBorders>
            <w:noWrap w:val="0"/>
            <w:vAlign w:val="center"/>
          </w:tcPr>
          <w:p>
            <w:pPr>
              <w:spacing w:line="300" w:lineRule="exact"/>
              <w:ind w:firstLine="0" w:firstLineChars="0"/>
              <w:jc w:val="center"/>
              <w:rPr>
                <w:rFonts w:hint="eastAsia" w:ascii="宋体" w:hAnsi="宋体" w:cs="Courier New"/>
                <w:color w:val="auto"/>
                <w:szCs w:val="21"/>
                <w:highlight w:val="none"/>
              </w:rPr>
            </w:pPr>
            <w:r>
              <w:rPr>
                <w:rFonts w:hint="eastAsia" w:ascii="宋体" w:hAnsi="宋体" w:cs="Courier New"/>
                <w:color w:val="auto"/>
                <w:szCs w:val="21"/>
                <w:highlight w:val="none"/>
              </w:rPr>
              <w:t>单项合价</w:t>
            </w:r>
          </w:p>
          <w:p>
            <w:pPr>
              <w:spacing w:line="300" w:lineRule="exact"/>
              <w:ind w:firstLine="0" w:firstLineChars="0"/>
              <w:jc w:val="center"/>
              <w:rPr>
                <w:rFonts w:hint="eastAsia" w:ascii="宋体" w:hAnsi="宋体" w:cs="Courier New"/>
                <w:color w:val="auto"/>
                <w:szCs w:val="21"/>
                <w:highlight w:val="none"/>
              </w:rPr>
            </w:pPr>
            <w:r>
              <w:rPr>
                <w:rFonts w:hint="eastAsia" w:ascii="宋体" w:hAnsi="宋体" w:cs="Courier New"/>
                <w:color w:val="auto"/>
                <w:szCs w:val="21"/>
                <w:highlight w:val="none"/>
              </w:rPr>
              <w:t>③</w:t>
            </w:r>
            <w:r>
              <w:rPr>
                <w:rFonts w:ascii="宋体" w:hAnsi="宋体" w:cs="Courier New"/>
                <w:color w:val="auto"/>
                <w:szCs w:val="21"/>
                <w:highlight w:val="none"/>
              </w:rPr>
              <w:t>=</w:t>
            </w:r>
            <w:r>
              <w:rPr>
                <w:rFonts w:hint="eastAsia" w:ascii="宋体" w:hAnsi="宋体" w:cs="Courier New"/>
                <w:color w:val="auto"/>
                <w:szCs w:val="21"/>
                <w:highlight w:val="none"/>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right="-34" w:rightChars="-16"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ascii="宋体" w:hAnsi="宋体"/>
                <w:color w:val="auto"/>
                <w:sz w:val="24"/>
                <w:highlight w:val="none"/>
              </w:rPr>
              <w:t>…</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noWrap w:val="0"/>
            <w:vAlign w:val="center"/>
          </w:tcPr>
          <w:p>
            <w:pPr>
              <w:spacing w:line="440" w:lineRule="exact"/>
              <w:ind w:firstLine="27" w:firstLineChars="14"/>
              <w:rPr>
                <w:rFonts w:hint="eastAsia" w:ascii="宋体" w:hAnsi="宋体" w:cs="Courier New"/>
                <w:color w:val="auto"/>
                <w:spacing w:val="-6"/>
                <w:szCs w:val="21"/>
                <w:highlight w:val="none"/>
              </w:rPr>
            </w:pPr>
            <w:r>
              <w:rPr>
                <w:rFonts w:hint="eastAsia" w:ascii="宋体" w:hAnsi="宋体" w:cs="Courier New"/>
                <w:color w:val="auto"/>
                <w:spacing w:val="-6"/>
                <w:szCs w:val="21"/>
                <w:highlight w:val="none"/>
              </w:rPr>
              <w:t>总报价（人民币大写）：</w:t>
            </w:r>
            <w:r>
              <w:rPr>
                <w:rFonts w:hint="eastAsia"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bookmarkEnd w:id="259"/>
    </w:tbl>
    <w:p>
      <w:pPr>
        <w:spacing w:line="440" w:lineRule="exact"/>
        <w:ind w:firstLine="420"/>
        <w:rPr>
          <w:rFonts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ind w:firstLine="0" w:firstLineChars="0"/>
        <w:rPr>
          <w:rFonts w:ascii="宋体" w:hAnsi="Courier New" w:cs="Courier New"/>
          <w:color w:val="auto"/>
          <w:szCs w:val="21"/>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投标报价应包含货物、货物标准附件、备品备件、专用工具、设备安装辅材、施工辅材、包装、运输、装卸、保险等各种费用以及安装、调试、验收、税金、售后服务、技术培训费、更新升级、软件费及其他所有成本费用；如出现参数不满足或由于供应商原因造成品质不满足合同要求，采购人有权要求更换设备，不增加任何费用。</w:t>
      </w:r>
    </w:p>
    <w:p>
      <w:pPr>
        <w:spacing w:before="50" w:after="50" w:line="360" w:lineRule="exact"/>
        <w:ind w:firstLine="420" w:firstLineChars="0"/>
        <w:rPr>
          <w:rFonts w:hint="eastAsia" w:ascii="宋体" w:hAnsi="宋体" w:cs="Courier New"/>
          <w:color w:val="auto"/>
          <w:szCs w:val="21"/>
          <w:highlight w:val="none"/>
        </w:rPr>
      </w:pPr>
      <w:r>
        <w:rPr>
          <w:rFonts w:hint="eastAsia" w:ascii="宋体" w:hAnsi="Courier New" w:cs="Courier New"/>
          <w:color w:val="auto"/>
          <w:szCs w:val="21"/>
          <w:highlight w:val="none"/>
        </w:rPr>
        <w:t>3</w:t>
      </w:r>
      <w:r>
        <w:rPr>
          <w:rFonts w:ascii="宋体" w:hAnsi="Courier New" w:cs="Courier New"/>
          <w:color w:val="auto"/>
          <w:szCs w:val="21"/>
          <w:highlight w:val="none"/>
        </w:rPr>
        <w:t>.</w:t>
      </w:r>
      <w:r>
        <w:rPr>
          <w:rFonts w:hint="eastAsia" w:ascii="宋体" w:hAnsi="宋体" w:cs="Courier New"/>
          <w:color w:val="auto"/>
          <w:szCs w:val="21"/>
          <w:highlight w:val="none"/>
        </w:rPr>
        <w:t>报价为全包价，以人民币为结算单位。在合同实施时，采购人将不予支付中标人没有列入的项目费用，并认为此项目的费用已包括在总报价中。采购人不再支付合同以外的其他费用。</w:t>
      </w:r>
    </w:p>
    <w:p>
      <w:pPr>
        <w:spacing w:line="240" w:lineRule="auto"/>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snapToGrid w:val="0"/>
        <w:spacing w:before="50" w:after="50" w:line="350" w:lineRule="exact"/>
        <w:ind w:right="-817" w:rightChars="-389" w:firstLine="4189" w:firstLineChars="199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ind w:firstLine="0" w:firstLineChars="0"/>
        <w:jc w:val="center"/>
        <w:rPr>
          <w:rFonts w:hint="eastAsia" w:ascii="宋体" w:hAnsi="宋体"/>
          <w:color w:val="auto"/>
          <w:szCs w:val="21"/>
          <w:highlight w:val="none"/>
        </w:rPr>
      </w:pPr>
    </w:p>
    <w:sectPr>
      <w:headerReference r:id="rId11" w:type="default"/>
      <w:footerReference r:id="rId12" w:type="default"/>
      <w:pgSz w:w="11906" w:h="16838"/>
      <w:pgMar w:top="1246" w:right="991" w:bottom="1091" w:left="9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sch Office 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inheri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2020400000000000000"/>
    <w:charset w:val="00"/>
    <w:family w:val="roman"/>
    <w:pitch w:val="default"/>
    <w:sig w:usb0="00000000" w:usb1="00000000" w:usb2="00000016" w:usb3="00000000" w:csb0="00060007"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center"/>
    </w:pPr>
    <w:r>
      <w:fldChar w:fldCharType="begin"/>
    </w:r>
    <w:r>
      <w:instrText xml:space="preserve">PAGE   \* MERGEFORMAT</w:instrText>
    </w:r>
    <w:r>
      <w:fldChar w:fldCharType="separate"/>
    </w:r>
    <w:r>
      <w:rPr>
        <w:lang w:val="zh-CN"/>
      </w:rPr>
      <w:t>60</w:t>
    </w:r>
    <w:r>
      <w:fldChar w:fldCharType="end"/>
    </w:r>
  </w:p>
  <w:p>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rFonts w:hint="eastAsia"/>
        <w:sz w:val="18"/>
        <w:szCs w:val="18"/>
        <w:u w:val="single"/>
      </w:rPr>
    </w:pPr>
    <w:r>
      <w:rPr>
        <w:rFonts w:hint="eastAsia"/>
        <w:sz w:val="18"/>
        <w:szCs w:val="18"/>
        <w:u w:val="single"/>
      </w:rPr>
      <w:t xml:space="preserve">钦州市政府采购中心                     </w:t>
    </w:r>
    <w:r>
      <w:rPr>
        <w:rFonts w:hint="eastAsia"/>
        <w:sz w:val="18"/>
        <w:szCs w:val="18"/>
        <w:u w:val="single"/>
        <w:lang w:eastAsia="zh-CN"/>
      </w:rPr>
      <w:t>钦州市外国语学校新校区空调机(一期)</w:t>
    </w:r>
    <w:r>
      <w:rPr>
        <w:rFonts w:hint="eastAsia"/>
        <w:sz w:val="18"/>
        <w:szCs w:val="18"/>
        <w:u w:val="single"/>
      </w:rPr>
      <w:t>(</w:t>
    </w:r>
    <w:r>
      <w:rPr>
        <w:rFonts w:hint="eastAsia"/>
        <w:sz w:val="18"/>
        <w:szCs w:val="18"/>
        <w:u w:val="single"/>
        <w:lang w:eastAsia="zh-CN"/>
      </w:rPr>
      <w:t>QZZC2025-G1-990210-QZSZ</w:t>
    </w:r>
    <w:r>
      <w:rPr>
        <w:rFonts w:hint="eastAsia"/>
        <w:sz w:val="18"/>
        <w:szCs w:val="18"/>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rFonts w:hint="eastAsia"/>
        <w:sz w:val="18"/>
        <w:szCs w:val="18"/>
        <w:u w:val="single"/>
      </w:rPr>
    </w:pPr>
    <w:r>
      <w:rPr>
        <w:rFonts w:hint="eastAsia"/>
        <w:sz w:val="18"/>
        <w:szCs w:val="18"/>
        <w:u w:val="single"/>
      </w:rPr>
      <w:t xml:space="preserve">钦州市政府采购中心                       </w:t>
    </w:r>
    <w:r>
      <w:rPr>
        <w:rFonts w:hint="eastAsia"/>
        <w:sz w:val="18"/>
        <w:szCs w:val="18"/>
        <w:u w:val="single"/>
        <w:lang w:val="en-US" w:eastAsia="zh-CN"/>
      </w:rPr>
      <w:t xml:space="preserve">      </w:t>
    </w:r>
    <w:r>
      <w:rPr>
        <w:rFonts w:hint="eastAsia"/>
        <w:sz w:val="18"/>
        <w:szCs w:val="18"/>
        <w:u w:val="single"/>
        <w:lang w:eastAsia="zh-CN"/>
      </w:rPr>
      <w:t>钦州市外国语学校新校区空调机(一期)</w:t>
    </w:r>
    <w:r>
      <w:rPr>
        <w:rFonts w:hint="eastAsia"/>
        <w:sz w:val="18"/>
        <w:szCs w:val="18"/>
        <w:u w:val="single"/>
      </w:rPr>
      <w:t>(</w:t>
    </w:r>
    <w:r>
      <w:rPr>
        <w:rFonts w:hint="eastAsia"/>
        <w:sz w:val="18"/>
        <w:szCs w:val="18"/>
        <w:u w:val="single"/>
        <w:lang w:eastAsia="zh-CN"/>
      </w:rPr>
      <w:t>QZZC2025-G1-990210-QZSZ</w:t>
    </w:r>
    <w:r>
      <w:rPr>
        <w:rFonts w:hint="eastAsia"/>
        <w:sz w:val="18"/>
        <w:szCs w:val="18"/>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8BF1AE9"/>
    <w:multiLevelType w:val="singleLevel"/>
    <w:tmpl w:val="D8BF1AE9"/>
    <w:lvl w:ilvl="0" w:tentative="0">
      <w:start w:val="1"/>
      <w:numFmt w:val="decimal"/>
      <w:lvlText w:val="%1."/>
      <w:lvlJc w:val="left"/>
      <w:pPr>
        <w:tabs>
          <w:tab w:val="left" w:pos="312"/>
        </w:tabs>
      </w:pPr>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7A0F6431"/>
    <w:multiLevelType w:val="singleLevel"/>
    <w:tmpl w:val="7A0F6431"/>
    <w:lvl w:ilvl="0" w:tentative="0">
      <w:start w:val="1"/>
      <w:numFmt w:val="decimal"/>
      <w:suff w:val="space"/>
      <w:lvlText w:val="%1."/>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E0Zjc2ZDA5NmE1NTQ4Yzk4Zjk0N2Y4YTlhMjQifQ=="/>
    <w:docVar w:name="KSO_WPS_MARK_KEY" w:val="8b2e790f-301c-416b-a0c7-a7ea7cce6ec1"/>
  </w:docVars>
  <w:rsids>
    <w:rsidRoot w:val="00E57B92"/>
    <w:rsid w:val="00001C41"/>
    <w:rsid w:val="00004B07"/>
    <w:rsid w:val="00012693"/>
    <w:rsid w:val="00013AAD"/>
    <w:rsid w:val="0001477A"/>
    <w:rsid w:val="000160E7"/>
    <w:rsid w:val="00016146"/>
    <w:rsid w:val="000165AA"/>
    <w:rsid w:val="00017C52"/>
    <w:rsid w:val="00017DBB"/>
    <w:rsid w:val="00020915"/>
    <w:rsid w:val="00020BB0"/>
    <w:rsid w:val="00024F7F"/>
    <w:rsid w:val="00025DCF"/>
    <w:rsid w:val="00026191"/>
    <w:rsid w:val="00026324"/>
    <w:rsid w:val="000275CA"/>
    <w:rsid w:val="000305C3"/>
    <w:rsid w:val="00033238"/>
    <w:rsid w:val="00035461"/>
    <w:rsid w:val="00036291"/>
    <w:rsid w:val="000370D2"/>
    <w:rsid w:val="00037506"/>
    <w:rsid w:val="00041F84"/>
    <w:rsid w:val="000426A5"/>
    <w:rsid w:val="00042B43"/>
    <w:rsid w:val="00043733"/>
    <w:rsid w:val="00044C2E"/>
    <w:rsid w:val="00044EA4"/>
    <w:rsid w:val="0004516D"/>
    <w:rsid w:val="00046EBA"/>
    <w:rsid w:val="000475DF"/>
    <w:rsid w:val="0005111A"/>
    <w:rsid w:val="0005232E"/>
    <w:rsid w:val="00052E87"/>
    <w:rsid w:val="0005478E"/>
    <w:rsid w:val="00054B3B"/>
    <w:rsid w:val="00054E52"/>
    <w:rsid w:val="000614D1"/>
    <w:rsid w:val="0006165C"/>
    <w:rsid w:val="00065472"/>
    <w:rsid w:val="00065951"/>
    <w:rsid w:val="00065FC9"/>
    <w:rsid w:val="000661F6"/>
    <w:rsid w:val="00066921"/>
    <w:rsid w:val="00066D8C"/>
    <w:rsid w:val="00067C4F"/>
    <w:rsid w:val="00071CFF"/>
    <w:rsid w:val="00073C68"/>
    <w:rsid w:val="00077520"/>
    <w:rsid w:val="00077995"/>
    <w:rsid w:val="0008019D"/>
    <w:rsid w:val="00080A21"/>
    <w:rsid w:val="000810CF"/>
    <w:rsid w:val="000813F7"/>
    <w:rsid w:val="00082608"/>
    <w:rsid w:val="000842AE"/>
    <w:rsid w:val="00086746"/>
    <w:rsid w:val="0009000E"/>
    <w:rsid w:val="00093F5D"/>
    <w:rsid w:val="000946C4"/>
    <w:rsid w:val="000975E8"/>
    <w:rsid w:val="00097FD6"/>
    <w:rsid w:val="000A2692"/>
    <w:rsid w:val="000A4349"/>
    <w:rsid w:val="000A780C"/>
    <w:rsid w:val="000B0DB5"/>
    <w:rsid w:val="000B1576"/>
    <w:rsid w:val="000B24A1"/>
    <w:rsid w:val="000B3B3E"/>
    <w:rsid w:val="000B3E41"/>
    <w:rsid w:val="000B49E6"/>
    <w:rsid w:val="000B53E8"/>
    <w:rsid w:val="000B54BA"/>
    <w:rsid w:val="000B5D4A"/>
    <w:rsid w:val="000B6457"/>
    <w:rsid w:val="000C1488"/>
    <w:rsid w:val="000C1553"/>
    <w:rsid w:val="000C233C"/>
    <w:rsid w:val="000C23CE"/>
    <w:rsid w:val="000C4366"/>
    <w:rsid w:val="000C5F92"/>
    <w:rsid w:val="000C65E8"/>
    <w:rsid w:val="000C6B4F"/>
    <w:rsid w:val="000D221E"/>
    <w:rsid w:val="000D228B"/>
    <w:rsid w:val="000D2BAD"/>
    <w:rsid w:val="000D3657"/>
    <w:rsid w:val="000D4AA8"/>
    <w:rsid w:val="000D5462"/>
    <w:rsid w:val="000D6065"/>
    <w:rsid w:val="000D65C5"/>
    <w:rsid w:val="000D7688"/>
    <w:rsid w:val="000E02B7"/>
    <w:rsid w:val="000E18B0"/>
    <w:rsid w:val="000E1DD3"/>
    <w:rsid w:val="000E4001"/>
    <w:rsid w:val="000E4EB6"/>
    <w:rsid w:val="000E7125"/>
    <w:rsid w:val="000F0060"/>
    <w:rsid w:val="000F2E5A"/>
    <w:rsid w:val="000F42FE"/>
    <w:rsid w:val="000F43CE"/>
    <w:rsid w:val="000F4584"/>
    <w:rsid w:val="000F4EB0"/>
    <w:rsid w:val="000F535C"/>
    <w:rsid w:val="000F54FC"/>
    <w:rsid w:val="000F6025"/>
    <w:rsid w:val="000F7212"/>
    <w:rsid w:val="000F74B2"/>
    <w:rsid w:val="00100C84"/>
    <w:rsid w:val="001043ED"/>
    <w:rsid w:val="00105711"/>
    <w:rsid w:val="00105AFE"/>
    <w:rsid w:val="0010791A"/>
    <w:rsid w:val="0011027F"/>
    <w:rsid w:val="00111624"/>
    <w:rsid w:val="0011292D"/>
    <w:rsid w:val="00113015"/>
    <w:rsid w:val="001136E4"/>
    <w:rsid w:val="00113A1D"/>
    <w:rsid w:val="00117AB3"/>
    <w:rsid w:val="00122CAF"/>
    <w:rsid w:val="00122E7D"/>
    <w:rsid w:val="00125838"/>
    <w:rsid w:val="00125CA9"/>
    <w:rsid w:val="00127B34"/>
    <w:rsid w:val="0013049E"/>
    <w:rsid w:val="001318FF"/>
    <w:rsid w:val="00131E98"/>
    <w:rsid w:val="00131EF8"/>
    <w:rsid w:val="001355F0"/>
    <w:rsid w:val="0013690F"/>
    <w:rsid w:val="00136CBE"/>
    <w:rsid w:val="00136D58"/>
    <w:rsid w:val="00140FD1"/>
    <w:rsid w:val="001413A7"/>
    <w:rsid w:val="00141669"/>
    <w:rsid w:val="001416F1"/>
    <w:rsid w:val="001433CB"/>
    <w:rsid w:val="00143F77"/>
    <w:rsid w:val="0014402F"/>
    <w:rsid w:val="00144FFC"/>
    <w:rsid w:val="00145365"/>
    <w:rsid w:val="001532BD"/>
    <w:rsid w:val="00154346"/>
    <w:rsid w:val="00154475"/>
    <w:rsid w:val="00156D9F"/>
    <w:rsid w:val="00156E77"/>
    <w:rsid w:val="00157098"/>
    <w:rsid w:val="00161EFD"/>
    <w:rsid w:val="00162625"/>
    <w:rsid w:val="00162CA7"/>
    <w:rsid w:val="00162DFA"/>
    <w:rsid w:val="001639E0"/>
    <w:rsid w:val="00164CF9"/>
    <w:rsid w:val="00166EEA"/>
    <w:rsid w:val="00167AB2"/>
    <w:rsid w:val="00170C99"/>
    <w:rsid w:val="00171EC6"/>
    <w:rsid w:val="00174BFF"/>
    <w:rsid w:val="001763E9"/>
    <w:rsid w:val="00177FDC"/>
    <w:rsid w:val="00180165"/>
    <w:rsid w:val="001801BC"/>
    <w:rsid w:val="001806CC"/>
    <w:rsid w:val="00181B01"/>
    <w:rsid w:val="00181B29"/>
    <w:rsid w:val="00182521"/>
    <w:rsid w:val="001831F8"/>
    <w:rsid w:val="00183AB6"/>
    <w:rsid w:val="001855F8"/>
    <w:rsid w:val="0018615E"/>
    <w:rsid w:val="001865CA"/>
    <w:rsid w:val="0018684F"/>
    <w:rsid w:val="001875F6"/>
    <w:rsid w:val="00190BDB"/>
    <w:rsid w:val="001927E7"/>
    <w:rsid w:val="001942DE"/>
    <w:rsid w:val="001947B6"/>
    <w:rsid w:val="0019480C"/>
    <w:rsid w:val="00194926"/>
    <w:rsid w:val="00195EA6"/>
    <w:rsid w:val="00197E07"/>
    <w:rsid w:val="001A68F7"/>
    <w:rsid w:val="001A77AB"/>
    <w:rsid w:val="001B15C8"/>
    <w:rsid w:val="001B1D7D"/>
    <w:rsid w:val="001B1F40"/>
    <w:rsid w:val="001B239E"/>
    <w:rsid w:val="001B293E"/>
    <w:rsid w:val="001B2A26"/>
    <w:rsid w:val="001B5B3B"/>
    <w:rsid w:val="001B7336"/>
    <w:rsid w:val="001B7830"/>
    <w:rsid w:val="001C037C"/>
    <w:rsid w:val="001C058B"/>
    <w:rsid w:val="001C0B9E"/>
    <w:rsid w:val="001C0E1B"/>
    <w:rsid w:val="001C19AE"/>
    <w:rsid w:val="001C2596"/>
    <w:rsid w:val="001C2900"/>
    <w:rsid w:val="001C2C83"/>
    <w:rsid w:val="001C3253"/>
    <w:rsid w:val="001C5C13"/>
    <w:rsid w:val="001C727E"/>
    <w:rsid w:val="001C7768"/>
    <w:rsid w:val="001D193D"/>
    <w:rsid w:val="001D19FF"/>
    <w:rsid w:val="001D1C2D"/>
    <w:rsid w:val="001D286E"/>
    <w:rsid w:val="001D2F07"/>
    <w:rsid w:val="001D3D0C"/>
    <w:rsid w:val="001D49EB"/>
    <w:rsid w:val="001D6825"/>
    <w:rsid w:val="001D7B0A"/>
    <w:rsid w:val="001E07E0"/>
    <w:rsid w:val="001E3E50"/>
    <w:rsid w:val="001E5882"/>
    <w:rsid w:val="001E60C2"/>
    <w:rsid w:val="001E7032"/>
    <w:rsid w:val="001F16CC"/>
    <w:rsid w:val="001F2483"/>
    <w:rsid w:val="001F3357"/>
    <w:rsid w:val="001F34E7"/>
    <w:rsid w:val="001F4F71"/>
    <w:rsid w:val="00200095"/>
    <w:rsid w:val="0020130C"/>
    <w:rsid w:val="002021E6"/>
    <w:rsid w:val="002025EF"/>
    <w:rsid w:val="002042E9"/>
    <w:rsid w:val="00204E5A"/>
    <w:rsid w:val="00206347"/>
    <w:rsid w:val="00210A09"/>
    <w:rsid w:val="00210C7B"/>
    <w:rsid w:val="002112FE"/>
    <w:rsid w:val="00211971"/>
    <w:rsid w:val="002119B2"/>
    <w:rsid w:val="0021337B"/>
    <w:rsid w:val="002136FF"/>
    <w:rsid w:val="00213FA3"/>
    <w:rsid w:val="00214437"/>
    <w:rsid w:val="002152E4"/>
    <w:rsid w:val="002155ED"/>
    <w:rsid w:val="00215EAA"/>
    <w:rsid w:val="0021665F"/>
    <w:rsid w:val="0021669A"/>
    <w:rsid w:val="00216960"/>
    <w:rsid w:val="002171B6"/>
    <w:rsid w:val="00217C83"/>
    <w:rsid w:val="00220AD9"/>
    <w:rsid w:val="00221F2F"/>
    <w:rsid w:val="0022355C"/>
    <w:rsid w:val="002249F3"/>
    <w:rsid w:val="0023157B"/>
    <w:rsid w:val="00231C4F"/>
    <w:rsid w:val="0023238C"/>
    <w:rsid w:val="002325A6"/>
    <w:rsid w:val="00232CE7"/>
    <w:rsid w:val="002352BE"/>
    <w:rsid w:val="00237FEE"/>
    <w:rsid w:val="002401F4"/>
    <w:rsid w:val="00240477"/>
    <w:rsid w:val="00240550"/>
    <w:rsid w:val="002405E2"/>
    <w:rsid w:val="00242B02"/>
    <w:rsid w:val="00246631"/>
    <w:rsid w:val="00251186"/>
    <w:rsid w:val="002524F2"/>
    <w:rsid w:val="0025319A"/>
    <w:rsid w:val="002539B4"/>
    <w:rsid w:val="002547A8"/>
    <w:rsid w:val="0025495B"/>
    <w:rsid w:val="00255DED"/>
    <w:rsid w:val="00255FF4"/>
    <w:rsid w:val="00257075"/>
    <w:rsid w:val="00260578"/>
    <w:rsid w:val="002606DA"/>
    <w:rsid w:val="00262137"/>
    <w:rsid w:val="00264176"/>
    <w:rsid w:val="00264911"/>
    <w:rsid w:val="00264A01"/>
    <w:rsid w:val="0026542D"/>
    <w:rsid w:val="00265DD3"/>
    <w:rsid w:val="0026796C"/>
    <w:rsid w:val="0027019C"/>
    <w:rsid w:val="00270826"/>
    <w:rsid w:val="002708D4"/>
    <w:rsid w:val="00272BDE"/>
    <w:rsid w:val="00273E33"/>
    <w:rsid w:val="00274901"/>
    <w:rsid w:val="0027578A"/>
    <w:rsid w:val="0027634E"/>
    <w:rsid w:val="0027643A"/>
    <w:rsid w:val="0028080A"/>
    <w:rsid w:val="002823A4"/>
    <w:rsid w:val="00282616"/>
    <w:rsid w:val="00282C9A"/>
    <w:rsid w:val="00284740"/>
    <w:rsid w:val="0029018D"/>
    <w:rsid w:val="00290D74"/>
    <w:rsid w:val="002948D3"/>
    <w:rsid w:val="002973C1"/>
    <w:rsid w:val="002A0CF3"/>
    <w:rsid w:val="002A1634"/>
    <w:rsid w:val="002A16F5"/>
    <w:rsid w:val="002A195A"/>
    <w:rsid w:val="002A3270"/>
    <w:rsid w:val="002A3CE6"/>
    <w:rsid w:val="002A5B6F"/>
    <w:rsid w:val="002A61B8"/>
    <w:rsid w:val="002A61ED"/>
    <w:rsid w:val="002A7AA6"/>
    <w:rsid w:val="002B3DF8"/>
    <w:rsid w:val="002B51EF"/>
    <w:rsid w:val="002B6F80"/>
    <w:rsid w:val="002B77EC"/>
    <w:rsid w:val="002B7ACD"/>
    <w:rsid w:val="002C0109"/>
    <w:rsid w:val="002C2854"/>
    <w:rsid w:val="002C3E10"/>
    <w:rsid w:val="002C559D"/>
    <w:rsid w:val="002C6888"/>
    <w:rsid w:val="002C7E62"/>
    <w:rsid w:val="002D1F26"/>
    <w:rsid w:val="002D215C"/>
    <w:rsid w:val="002D268A"/>
    <w:rsid w:val="002D26A0"/>
    <w:rsid w:val="002D38D1"/>
    <w:rsid w:val="002D4D41"/>
    <w:rsid w:val="002D6672"/>
    <w:rsid w:val="002D6C92"/>
    <w:rsid w:val="002D72AE"/>
    <w:rsid w:val="002E07B6"/>
    <w:rsid w:val="002E2DFB"/>
    <w:rsid w:val="002E65F0"/>
    <w:rsid w:val="002E6C59"/>
    <w:rsid w:val="002E76FF"/>
    <w:rsid w:val="002F1BA1"/>
    <w:rsid w:val="002F3BB1"/>
    <w:rsid w:val="002F65DB"/>
    <w:rsid w:val="002F7908"/>
    <w:rsid w:val="002F7E05"/>
    <w:rsid w:val="00300D4D"/>
    <w:rsid w:val="00301154"/>
    <w:rsid w:val="003016C8"/>
    <w:rsid w:val="00301F59"/>
    <w:rsid w:val="00302C49"/>
    <w:rsid w:val="00302CF9"/>
    <w:rsid w:val="00305BD2"/>
    <w:rsid w:val="00311D66"/>
    <w:rsid w:val="003142C3"/>
    <w:rsid w:val="00315175"/>
    <w:rsid w:val="00316C8B"/>
    <w:rsid w:val="00320028"/>
    <w:rsid w:val="003208FF"/>
    <w:rsid w:val="00321568"/>
    <w:rsid w:val="00321C9B"/>
    <w:rsid w:val="0032226C"/>
    <w:rsid w:val="003227D2"/>
    <w:rsid w:val="00323045"/>
    <w:rsid w:val="00323A89"/>
    <w:rsid w:val="00324D05"/>
    <w:rsid w:val="003259F5"/>
    <w:rsid w:val="00326145"/>
    <w:rsid w:val="003263A4"/>
    <w:rsid w:val="003264EC"/>
    <w:rsid w:val="003271F9"/>
    <w:rsid w:val="003272A0"/>
    <w:rsid w:val="0033094F"/>
    <w:rsid w:val="0033148B"/>
    <w:rsid w:val="003350EA"/>
    <w:rsid w:val="003364E3"/>
    <w:rsid w:val="00336DF8"/>
    <w:rsid w:val="00337770"/>
    <w:rsid w:val="00337BC9"/>
    <w:rsid w:val="00337E6F"/>
    <w:rsid w:val="003420EA"/>
    <w:rsid w:val="0034230C"/>
    <w:rsid w:val="003434D4"/>
    <w:rsid w:val="00343FD7"/>
    <w:rsid w:val="003445FF"/>
    <w:rsid w:val="003462C0"/>
    <w:rsid w:val="00346554"/>
    <w:rsid w:val="00347E76"/>
    <w:rsid w:val="0035124E"/>
    <w:rsid w:val="00351623"/>
    <w:rsid w:val="003518BE"/>
    <w:rsid w:val="00352A04"/>
    <w:rsid w:val="00352CF9"/>
    <w:rsid w:val="00354280"/>
    <w:rsid w:val="00356E75"/>
    <w:rsid w:val="00357509"/>
    <w:rsid w:val="0035794E"/>
    <w:rsid w:val="0036014D"/>
    <w:rsid w:val="00360E24"/>
    <w:rsid w:val="003615A5"/>
    <w:rsid w:val="00364015"/>
    <w:rsid w:val="00365FC6"/>
    <w:rsid w:val="00366B17"/>
    <w:rsid w:val="00366F3D"/>
    <w:rsid w:val="00367BA5"/>
    <w:rsid w:val="00370902"/>
    <w:rsid w:val="00371869"/>
    <w:rsid w:val="00371D43"/>
    <w:rsid w:val="00374871"/>
    <w:rsid w:val="00374D58"/>
    <w:rsid w:val="00375AEC"/>
    <w:rsid w:val="0038073D"/>
    <w:rsid w:val="00380EA9"/>
    <w:rsid w:val="00380FFA"/>
    <w:rsid w:val="003817AE"/>
    <w:rsid w:val="00386986"/>
    <w:rsid w:val="003874A3"/>
    <w:rsid w:val="00390BAF"/>
    <w:rsid w:val="00390DD8"/>
    <w:rsid w:val="00391680"/>
    <w:rsid w:val="00392F1E"/>
    <w:rsid w:val="0039501E"/>
    <w:rsid w:val="00397210"/>
    <w:rsid w:val="003975CE"/>
    <w:rsid w:val="003A0101"/>
    <w:rsid w:val="003A0915"/>
    <w:rsid w:val="003A42F7"/>
    <w:rsid w:val="003A4DAF"/>
    <w:rsid w:val="003A7B6F"/>
    <w:rsid w:val="003B0201"/>
    <w:rsid w:val="003B1502"/>
    <w:rsid w:val="003B1B76"/>
    <w:rsid w:val="003B2309"/>
    <w:rsid w:val="003B2C21"/>
    <w:rsid w:val="003B2C3A"/>
    <w:rsid w:val="003B33A7"/>
    <w:rsid w:val="003B3E3C"/>
    <w:rsid w:val="003B55D9"/>
    <w:rsid w:val="003B5822"/>
    <w:rsid w:val="003B5B92"/>
    <w:rsid w:val="003B6A99"/>
    <w:rsid w:val="003B7B24"/>
    <w:rsid w:val="003B7C00"/>
    <w:rsid w:val="003C1641"/>
    <w:rsid w:val="003C3157"/>
    <w:rsid w:val="003C430C"/>
    <w:rsid w:val="003C53A2"/>
    <w:rsid w:val="003C7446"/>
    <w:rsid w:val="003C7567"/>
    <w:rsid w:val="003D07F3"/>
    <w:rsid w:val="003D12A1"/>
    <w:rsid w:val="003D46B5"/>
    <w:rsid w:val="003D4CCB"/>
    <w:rsid w:val="003E0B5C"/>
    <w:rsid w:val="003E15B3"/>
    <w:rsid w:val="003E33B0"/>
    <w:rsid w:val="003E5074"/>
    <w:rsid w:val="003E53A6"/>
    <w:rsid w:val="003E5FCE"/>
    <w:rsid w:val="003E6402"/>
    <w:rsid w:val="003F09E7"/>
    <w:rsid w:val="003F0D7B"/>
    <w:rsid w:val="003F25E6"/>
    <w:rsid w:val="003F3B4E"/>
    <w:rsid w:val="003F4CE4"/>
    <w:rsid w:val="003F59AB"/>
    <w:rsid w:val="003F61EB"/>
    <w:rsid w:val="003F72EF"/>
    <w:rsid w:val="00400EE1"/>
    <w:rsid w:val="00404342"/>
    <w:rsid w:val="004048FF"/>
    <w:rsid w:val="00404E61"/>
    <w:rsid w:val="00404ED4"/>
    <w:rsid w:val="00405FCF"/>
    <w:rsid w:val="0040671E"/>
    <w:rsid w:val="004074DB"/>
    <w:rsid w:val="00411508"/>
    <w:rsid w:val="00413287"/>
    <w:rsid w:val="004145CB"/>
    <w:rsid w:val="00415C8B"/>
    <w:rsid w:val="00415D4D"/>
    <w:rsid w:val="00420384"/>
    <w:rsid w:val="00421836"/>
    <w:rsid w:val="0042242C"/>
    <w:rsid w:val="00422BDF"/>
    <w:rsid w:val="00423B38"/>
    <w:rsid w:val="00430651"/>
    <w:rsid w:val="00430768"/>
    <w:rsid w:val="00431DAB"/>
    <w:rsid w:val="004336F4"/>
    <w:rsid w:val="00434DE9"/>
    <w:rsid w:val="004358FB"/>
    <w:rsid w:val="00435FD1"/>
    <w:rsid w:val="00436B2B"/>
    <w:rsid w:val="004377E3"/>
    <w:rsid w:val="00437B17"/>
    <w:rsid w:val="0044440E"/>
    <w:rsid w:val="00444822"/>
    <w:rsid w:val="004450F6"/>
    <w:rsid w:val="0044527C"/>
    <w:rsid w:val="00446752"/>
    <w:rsid w:val="0045055B"/>
    <w:rsid w:val="004522E1"/>
    <w:rsid w:val="004523EC"/>
    <w:rsid w:val="00452CDB"/>
    <w:rsid w:val="00453BE2"/>
    <w:rsid w:val="004558BF"/>
    <w:rsid w:val="00455A03"/>
    <w:rsid w:val="004563C5"/>
    <w:rsid w:val="00457E93"/>
    <w:rsid w:val="00460493"/>
    <w:rsid w:val="00460591"/>
    <w:rsid w:val="0046180E"/>
    <w:rsid w:val="00462766"/>
    <w:rsid w:val="0046358C"/>
    <w:rsid w:val="00464A7D"/>
    <w:rsid w:val="00464AFC"/>
    <w:rsid w:val="00464F0D"/>
    <w:rsid w:val="004657CE"/>
    <w:rsid w:val="00466DA0"/>
    <w:rsid w:val="00467600"/>
    <w:rsid w:val="00467F86"/>
    <w:rsid w:val="00472321"/>
    <w:rsid w:val="00476EC0"/>
    <w:rsid w:val="004774C7"/>
    <w:rsid w:val="00480613"/>
    <w:rsid w:val="004806FD"/>
    <w:rsid w:val="00482331"/>
    <w:rsid w:val="00483AAD"/>
    <w:rsid w:val="00483B40"/>
    <w:rsid w:val="0048658D"/>
    <w:rsid w:val="00486726"/>
    <w:rsid w:val="00486880"/>
    <w:rsid w:val="004878D5"/>
    <w:rsid w:val="00487F18"/>
    <w:rsid w:val="00492C3B"/>
    <w:rsid w:val="004936ED"/>
    <w:rsid w:val="00496AF2"/>
    <w:rsid w:val="00496F67"/>
    <w:rsid w:val="00497FDB"/>
    <w:rsid w:val="004A0AE4"/>
    <w:rsid w:val="004A1466"/>
    <w:rsid w:val="004A36ED"/>
    <w:rsid w:val="004A3702"/>
    <w:rsid w:val="004A3BF2"/>
    <w:rsid w:val="004A44FE"/>
    <w:rsid w:val="004A4978"/>
    <w:rsid w:val="004A4C96"/>
    <w:rsid w:val="004A64E8"/>
    <w:rsid w:val="004A6F8C"/>
    <w:rsid w:val="004B0336"/>
    <w:rsid w:val="004B0B67"/>
    <w:rsid w:val="004B41CE"/>
    <w:rsid w:val="004B44A1"/>
    <w:rsid w:val="004B5442"/>
    <w:rsid w:val="004B56BE"/>
    <w:rsid w:val="004C05C5"/>
    <w:rsid w:val="004C3728"/>
    <w:rsid w:val="004C510E"/>
    <w:rsid w:val="004C591D"/>
    <w:rsid w:val="004C6BB2"/>
    <w:rsid w:val="004C70EF"/>
    <w:rsid w:val="004C71BC"/>
    <w:rsid w:val="004D039E"/>
    <w:rsid w:val="004D196C"/>
    <w:rsid w:val="004D2118"/>
    <w:rsid w:val="004D566B"/>
    <w:rsid w:val="004D66D9"/>
    <w:rsid w:val="004D725D"/>
    <w:rsid w:val="004D7335"/>
    <w:rsid w:val="004E0450"/>
    <w:rsid w:val="004E1985"/>
    <w:rsid w:val="004E405A"/>
    <w:rsid w:val="004E6A33"/>
    <w:rsid w:val="004E7F2D"/>
    <w:rsid w:val="004F0070"/>
    <w:rsid w:val="004F120E"/>
    <w:rsid w:val="004F1429"/>
    <w:rsid w:val="004F3B61"/>
    <w:rsid w:val="005007A3"/>
    <w:rsid w:val="005017B3"/>
    <w:rsid w:val="00501D4A"/>
    <w:rsid w:val="00502971"/>
    <w:rsid w:val="005037BD"/>
    <w:rsid w:val="005057DF"/>
    <w:rsid w:val="00507933"/>
    <w:rsid w:val="005101CB"/>
    <w:rsid w:val="00512AD1"/>
    <w:rsid w:val="005145E9"/>
    <w:rsid w:val="00516501"/>
    <w:rsid w:val="005168DD"/>
    <w:rsid w:val="005169E9"/>
    <w:rsid w:val="0051701D"/>
    <w:rsid w:val="0051748A"/>
    <w:rsid w:val="00517FD7"/>
    <w:rsid w:val="005202D0"/>
    <w:rsid w:val="005209E1"/>
    <w:rsid w:val="00520B3C"/>
    <w:rsid w:val="00521ADD"/>
    <w:rsid w:val="00522100"/>
    <w:rsid w:val="00522A3E"/>
    <w:rsid w:val="0052323E"/>
    <w:rsid w:val="00523A0A"/>
    <w:rsid w:val="00525699"/>
    <w:rsid w:val="00527064"/>
    <w:rsid w:val="005302A8"/>
    <w:rsid w:val="00531571"/>
    <w:rsid w:val="00531921"/>
    <w:rsid w:val="005326D3"/>
    <w:rsid w:val="00533779"/>
    <w:rsid w:val="005343BF"/>
    <w:rsid w:val="005355DD"/>
    <w:rsid w:val="00536DE6"/>
    <w:rsid w:val="0053748D"/>
    <w:rsid w:val="00537B64"/>
    <w:rsid w:val="005407B3"/>
    <w:rsid w:val="005407FE"/>
    <w:rsid w:val="005413FF"/>
    <w:rsid w:val="00541BFB"/>
    <w:rsid w:val="00541FF1"/>
    <w:rsid w:val="0054409A"/>
    <w:rsid w:val="0054480B"/>
    <w:rsid w:val="00545B99"/>
    <w:rsid w:val="00545E3C"/>
    <w:rsid w:val="00547CDF"/>
    <w:rsid w:val="00552BE3"/>
    <w:rsid w:val="00552C66"/>
    <w:rsid w:val="00555E7B"/>
    <w:rsid w:val="00556371"/>
    <w:rsid w:val="005565F1"/>
    <w:rsid w:val="00561141"/>
    <w:rsid w:val="005613D9"/>
    <w:rsid w:val="00561E54"/>
    <w:rsid w:val="00565E1C"/>
    <w:rsid w:val="00567EFD"/>
    <w:rsid w:val="00570009"/>
    <w:rsid w:val="00572C54"/>
    <w:rsid w:val="00572C7A"/>
    <w:rsid w:val="00573BB0"/>
    <w:rsid w:val="00573CC5"/>
    <w:rsid w:val="005748C0"/>
    <w:rsid w:val="0057770B"/>
    <w:rsid w:val="005819C3"/>
    <w:rsid w:val="00582AAF"/>
    <w:rsid w:val="00582F0D"/>
    <w:rsid w:val="0058617C"/>
    <w:rsid w:val="005863B2"/>
    <w:rsid w:val="00587565"/>
    <w:rsid w:val="005909EB"/>
    <w:rsid w:val="00590D61"/>
    <w:rsid w:val="00590EAC"/>
    <w:rsid w:val="00591BBD"/>
    <w:rsid w:val="005946EA"/>
    <w:rsid w:val="00595552"/>
    <w:rsid w:val="00597F72"/>
    <w:rsid w:val="005A0551"/>
    <w:rsid w:val="005A0688"/>
    <w:rsid w:val="005A0706"/>
    <w:rsid w:val="005A160A"/>
    <w:rsid w:val="005A1FB4"/>
    <w:rsid w:val="005A61AC"/>
    <w:rsid w:val="005A77E4"/>
    <w:rsid w:val="005B1AC6"/>
    <w:rsid w:val="005B2AD5"/>
    <w:rsid w:val="005B3017"/>
    <w:rsid w:val="005B43A2"/>
    <w:rsid w:val="005B5DC5"/>
    <w:rsid w:val="005B66F8"/>
    <w:rsid w:val="005B677A"/>
    <w:rsid w:val="005B75D3"/>
    <w:rsid w:val="005B7DF3"/>
    <w:rsid w:val="005C4508"/>
    <w:rsid w:val="005C4747"/>
    <w:rsid w:val="005C67AC"/>
    <w:rsid w:val="005C7239"/>
    <w:rsid w:val="005C7C63"/>
    <w:rsid w:val="005D09C6"/>
    <w:rsid w:val="005D1524"/>
    <w:rsid w:val="005D25A8"/>
    <w:rsid w:val="005D2C58"/>
    <w:rsid w:val="005D3751"/>
    <w:rsid w:val="005D4A1F"/>
    <w:rsid w:val="005D5F30"/>
    <w:rsid w:val="005D774B"/>
    <w:rsid w:val="005E07F7"/>
    <w:rsid w:val="005E17EC"/>
    <w:rsid w:val="005E190B"/>
    <w:rsid w:val="005E2C0C"/>
    <w:rsid w:val="005E3471"/>
    <w:rsid w:val="005E44CF"/>
    <w:rsid w:val="005E463C"/>
    <w:rsid w:val="005E50C6"/>
    <w:rsid w:val="005E57D1"/>
    <w:rsid w:val="005E64A1"/>
    <w:rsid w:val="005E7F98"/>
    <w:rsid w:val="005F0ECE"/>
    <w:rsid w:val="005F11A0"/>
    <w:rsid w:val="005F3B20"/>
    <w:rsid w:val="005F3EC4"/>
    <w:rsid w:val="005F4947"/>
    <w:rsid w:val="005F4A95"/>
    <w:rsid w:val="005F5646"/>
    <w:rsid w:val="005F60D5"/>
    <w:rsid w:val="005F61DE"/>
    <w:rsid w:val="005F66AC"/>
    <w:rsid w:val="005F74CE"/>
    <w:rsid w:val="005F7ADB"/>
    <w:rsid w:val="006004BF"/>
    <w:rsid w:val="006031EF"/>
    <w:rsid w:val="00603A06"/>
    <w:rsid w:val="00603B00"/>
    <w:rsid w:val="00603D99"/>
    <w:rsid w:val="0060551B"/>
    <w:rsid w:val="006064C0"/>
    <w:rsid w:val="00607546"/>
    <w:rsid w:val="00611D08"/>
    <w:rsid w:val="00612688"/>
    <w:rsid w:val="0061788C"/>
    <w:rsid w:val="00622DFF"/>
    <w:rsid w:val="00623F6D"/>
    <w:rsid w:val="00625863"/>
    <w:rsid w:val="00626A0C"/>
    <w:rsid w:val="00626AA2"/>
    <w:rsid w:val="00626AEB"/>
    <w:rsid w:val="00626C94"/>
    <w:rsid w:val="00626E79"/>
    <w:rsid w:val="00627F08"/>
    <w:rsid w:val="00630A5F"/>
    <w:rsid w:val="00630EE4"/>
    <w:rsid w:val="00632E23"/>
    <w:rsid w:val="006330C7"/>
    <w:rsid w:val="00635294"/>
    <w:rsid w:val="00635A2F"/>
    <w:rsid w:val="00636588"/>
    <w:rsid w:val="006375D8"/>
    <w:rsid w:val="00637BE9"/>
    <w:rsid w:val="00641FB9"/>
    <w:rsid w:val="00642F1C"/>
    <w:rsid w:val="006431A2"/>
    <w:rsid w:val="0064379D"/>
    <w:rsid w:val="00643CA5"/>
    <w:rsid w:val="00645EA6"/>
    <w:rsid w:val="0064604F"/>
    <w:rsid w:val="00646835"/>
    <w:rsid w:val="006473F6"/>
    <w:rsid w:val="00647EE1"/>
    <w:rsid w:val="00650F2E"/>
    <w:rsid w:val="00651715"/>
    <w:rsid w:val="00651FC3"/>
    <w:rsid w:val="006520D9"/>
    <w:rsid w:val="0065278A"/>
    <w:rsid w:val="00652C06"/>
    <w:rsid w:val="00653146"/>
    <w:rsid w:val="00653FA4"/>
    <w:rsid w:val="006557B4"/>
    <w:rsid w:val="00655ACB"/>
    <w:rsid w:val="00655B60"/>
    <w:rsid w:val="00655CF0"/>
    <w:rsid w:val="00656332"/>
    <w:rsid w:val="006566E4"/>
    <w:rsid w:val="006579CF"/>
    <w:rsid w:val="00660912"/>
    <w:rsid w:val="00660987"/>
    <w:rsid w:val="00660BC2"/>
    <w:rsid w:val="006661DE"/>
    <w:rsid w:val="00667F99"/>
    <w:rsid w:val="006703AD"/>
    <w:rsid w:val="0067106A"/>
    <w:rsid w:val="00671DCD"/>
    <w:rsid w:val="00672FCC"/>
    <w:rsid w:val="006730D4"/>
    <w:rsid w:val="00673409"/>
    <w:rsid w:val="00673515"/>
    <w:rsid w:val="00673CA7"/>
    <w:rsid w:val="0067408D"/>
    <w:rsid w:val="00674C93"/>
    <w:rsid w:val="00674F91"/>
    <w:rsid w:val="00675524"/>
    <w:rsid w:val="0067602F"/>
    <w:rsid w:val="006779BC"/>
    <w:rsid w:val="00677FCF"/>
    <w:rsid w:val="006801DB"/>
    <w:rsid w:val="00680DDD"/>
    <w:rsid w:val="006828DA"/>
    <w:rsid w:val="00682B6F"/>
    <w:rsid w:val="00682C48"/>
    <w:rsid w:val="00682C5D"/>
    <w:rsid w:val="006844E4"/>
    <w:rsid w:val="00687586"/>
    <w:rsid w:val="00690CEE"/>
    <w:rsid w:val="00691BAC"/>
    <w:rsid w:val="00692BA2"/>
    <w:rsid w:val="0069312F"/>
    <w:rsid w:val="006931F4"/>
    <w:rsid w:val="00693E26"/>
    <w:rsid w:val="0069404C"/>
    <w:rsid w:val="00694F8D"/>
    <w:rsid w:val="0069570B"/>
    <w:rsid w:val="006961F6"/>
    <w:rsid w:val="00696481"/>
    <w:rsid w:val="00697574"/>
    <w:rsid w:val="006A0434"/>
    <w:rsid w:val="006A06A2"/>
    <w:rsid w:val="006A1AC9"/>
    <w:rsid w:val="006A254A"/>
    <w:rsid w:val="006A2F8C"/>
    <w:rsid w:val="006A5800"/>
    <w:rsid w:val="006A647B"/>
    <w:rsid w:val="006A65D3"/>
    <w:rsid w:val="006A6712"/>
    <w:rsid w:val="006A6B0C"/>
    <w:rsid w:val="006A6F30"/>
    <w:rsid w:val="006A7306"/>
    <w:rsid w:val="006B0A53"/>
    <w:rsid w:val="006B2267"/>
    <w:rsid w:val="006B2D28"/>
    <w:rsid w:val="006B4983"/>
    <w:rsid w:val="006B4E61"/>
    <w:rsid w:val="006B5F01"/>
    <w:rsid w:val="006B6C13"/>
    <w:rsid w:val="006C0BA6"/>
    <w:rsid w:val="006C2716"/>
    <w:rsid w:val="006C27DA"/>
    <w:rsid w:val="006C29E7"/>
    <w:rsid w:val="006C3571"/>
    <w:rsid w:val="006C3717"/>
    <w:rsid w:val="006C47F3"/>
    <w:rsid w:val="006C543C"/>
    <w:rsid w:val="006C639F"/>
    <w:rsid w:val="006C657A"/>
    <w:rsid w:val="006C698B"/>
    <w:rsid w:val="006C6B72"/>
    <w:rsid w:val="006C7396"/>
    <w:rsid w:val="006C764F"/>
    <w:rsid w:val="006C7C3A"/>
    <w:rsid w:val="006C7D5D"/>
    <w:rsid w:val="006D0214"/>
    <w:rsid w:val="006D1064"/>
    <w:rsid w:val="006D13E1"/>
    <w:rsid w:val="006D1FBB"/>
    <w:rsid w:val="006D31DF"/>
    <w:rsid w:val="006D3701"/>
    <w:rsid w:val="006D3E96"/>
    <w:rsid w:val="006D4649"/>
    <w:rsid w:val="006D53BB"/>
    <w:rsid w:val="006D693E"/>
    <w:rsid w:val="006D6B04"/>
    <w:rsid w:val="006D7954"/>
    <w:rsid w:val="006E20D2"/>
    <w:rsid w:val="006E35CF"/>
    <w:rsid w:val="006E36AD"/>
    <w:rsid w:val="006E4CD4"/>
    <w:rsid w:val="006E6F05"/>
    <w:rsid w:val="006F3207"/>
    <w:rsid w:val="006F430E"/>
    <w:rsid w:val="006F46F5"/>
    <w:rsid w:val="006F65D4"/>
    <w:rsid w:val="006F7D7D"/>
    <w:rsid w:val="00700210"/>
    <w:rsid w:val="00700DBE"/>
    <w:rsid w:val="007014CD"/>
    <w:rsid w:val="00702635"/>
    <w:rsid w:val="00704A7B"/>
    <w:rsid w:val="007063B5"/>
    <w:rsid w:val="00707291"/>
    <w:rsid w:val="00707937"/>
    <w:rsid w:val="0071089E"/>
    <w:rsid w:val="00712E08"/>
    <w:rsid w:val="00713F52"/>
    <w:rsid w:val="00714351"/>
    <w:rsid w:val="0071521B"/>
    <w:rsid w:val="00716C52"/>
    <w:rsid w:val="0071756D"/>
    <w:rsid w:val="0072022A"/>
    <w:rsid w:val="00720854"/>
    <w:rsid w:val="00720B40"/>
    <w:rsid w:val="00721AC6"/>
    <w:rsid w:val="00721AF6"/>
    <w:rsid w:val="007222CD"/>
    <w:rsid w:val="007222F7"/>
    <w:rsid w:val="00722A24"/>
    <w:rsid w:val="0072313A"/>
    <w:rsid w:val="007240F9"/>
    <w:rsid w:val="00724910"/>
    <w:rsid w:val="00725E5D"/>
    <w:rsid w:val="0072618E"/>
    <w:rsid w:val="00731886"/>
    <w:rsid w:val="0073216C"/>
    <w:rsid w:val="007321AA"/>
    <w:rsid w:val="0073225D"/>
    <w:rsid w:val="00732FAE"/>
    <w:rsid w:val="0073311C"/>
    <w:rsid w:val="00734938"/>
    <w:rsid w:val="0073683B"/>
    <w:rsid w:val="0073737E"/>
    <w:rsid w:val="00737C15"/>
    <w:rsid w:val="0074089D"/>
    <w:rsid w:val="007414DF"/>
    <w:rsid w:val="00741F29"/>
    <w:rsid w:val="007424BC"/>
    <w:rsid w:val="00743E24"/>
    <w:rsid w:val="00745655"/>
    <w:rsid w:val="0074601E"/>
    <w:rsid w:val="007465AF"/>
    <w:rsid w:val="00746C61"/>
    <w:rsid w:val="00747202"/>
    <w:rsid w:val="0074781F"/>
    <w:rsid w:val="00750D09"/>
    <w:rsid w:val="00750DB6"/>
    <w:rsid w:val="00752F4E"/>
    <w:rsid w:val="00754188"/>
    <w:rsid w:val="00754C0C"/>
    <w:rsid w:val="00754D38"/>
    <w:rsid w:val="00757316"/>
    <w:rsid w:val="0075777B"/>
    <w:rsid w:val="00757B7E"/>
    <w:rsid w:val="00760CA4"/>
    <w:rsid w:val="00762657"/>
    <w:rsid w:val="0076375F"/>
    <w:rsid w:val="00764A5E"/>
    <w:rsid w:val="00764EF0"/>
    <w:rsid w:val="00765913"/>
    <w:rsid w:val="00765920"/>
    <w:rsid w:val="00767947"/>
    <w:rsid w:val="007708CF"/>
    <w:rsid w:val="00771BC7"/>
    <w:rsid w:val="00771F3D"/>
    <w:rsid w:val="00772742"/>
    <w:rsid w:val="00773221"/>
    <w:rsid w:val="0077332B"/>
    <w:rsid w:val="00773351"/>
    <w:rsid w:val="0077796C"/>
    <w:rsid w:val="0078215B"/>
    <w:rsid w:val="00782746"/>
    <w:rsid w:val="00784591"/>
    <w:rsid w:val="00784ECD"/>
    <w:rsid w:val="00785888"/>
    <w:rsid w:val="00786B33"/>
    <w:rsid w:val="0079353F"/>
    <w:rsid w:val="007943A2"/>
    <w:rsid w:val="007969A0"/>
    <w:rsid w:val="00796F59"/>
    <w:rsid w:val="007A143D"/>
    <w:rsid w:val="007A16D9"/>
    <w:rsid w:val="007A1FDE"/>
    <w:rsid w:val="007A2957"/>
    <w:rsid w:val="007A34E4"/>
    <w:rsid w:val="007A361B"/>
    <w:rsid w:val="007A4396"/>
    <w:rsid w:val="007A44DB"/>
    <w:rsid w:val="007A4733"/>
    <w:rsid w:val="007B1317"/>
    <w:rsid w:val="007B14FC"/>
    <w:rsid w:val="007B2BC3"/>
    <w:rsid w:val="007B3330"/>
    <w:rsid w:val="007B3F30"/>
    <w:rsid w:val="007B4ECA"/>
    <w:rsid w:val="007B5BD5"/>
    <w:rsid w:val="007C03A4"/>
    <w:rsid w:val="007C1AB6"/>
    <w:rsid w:val="007C1BB3"/>
    <w:rsid w:val="007C1E22"/>
    <w:rsid w:val="007C2F8A"/>
    <w:rsid w:val="007C43AD"/>
    <w:rsid w:val="007C4B33"/>
    <w:rsid w:val="007C512C"/>
    <w:rsid w:val="007C55F5"/>
    <w:rsid w:val="007C631A"/>
    <w:rsid w:val="007C6D0A"/>
    <w:rsid w:val="007C7094"/>
    <w:rsid w:val="007D2A30"/>
    <w:rsid w:val="007D3312"/>
    <w:rsid w:val="007D3A1F"/>
    <w:rsid w:val="007D4550"/>
    <w:rsid w:val="007D4F38"/>
    <w:rsid w:val="007D545E"/>
    <w:rsid w:val="007D64BA"/>
    <w:rsid w:val="007D6930"/>
    <w:rsid w:val="007D7EBF"/>
    <w:rsid w:val="007E18C2"/>
    <w:rsid w:val="007E3005"/>
    <w:rsid w:val="007E573F"/>
    <w:rsid w:val="007E6133"/>
    <w:rsid w:val="007F05CB"/>
    <w:rsid w:val="007F0919"/>
    <w:rsid w:val="007F0D35"/>
    <w:rsid w:val="007F24A5"/>
    <w:rsid w:val="007F27FB"/>
    <w:rsid w:val="007F3174"/>
    <w:rsid w:val="007F4269"/>
    <w:rsid w:val="007F45B1"/>
    <w:rsid w:val="007F5334"/>
    <w:rsid w:val="007F64AB"/>
    <w:rsid w:val="007F6B2E"/>
    <w:rsid w:val="00800E20"/>
    <w:rsid w:val="00801E2C"/>
    <w:rsid w:val="00801E3F"/>
    <w:rsid w:val="00801F3A"/>
    <w:rsid w:val="00801FA7"/>
    <w:rsid w:val="008041C6"/>
    <w:rsid w:val="00805CE0"/>
    <w:rsid w:val="008062CF"/>
    <w:rsid w:val="008066A5"/>
    <w:rsid w:val="00806ED2"/>
    <w:rsid w:val="00807974"/>
    <w:rsid w:val="00807B59"/>
    <w:rsid w:val="00810279"/>
    <w:rsid w:val="00814337"/>
    <w:rsid w:val="00814E31"/>
    <w:rsid w:val="00814F49"/>
    <w:rsid w:val="00815EA8"/>
    <w:rsid w:val="00815FE6"/>
    <w:rsid w:val="00816A8C"/>
    <w:rsid w:val="0082245F"/>
    <w:rsid w:val="0082328F"/>
    <w:rsid w:val="008247D1"/>
    <w:rsid w:val="0082567A"/>
    <w:rsid w:val="00825CAB"/>
    <w:rsid w:val="0082759C"/>
    <w:rsid w:val="00827E8E"/>
    <w:rsid w:val="00827ED5"/>
    <w:rsid w:val="00830E11"/>
    <w:rsid w:val="00835645"/>
    <w:rsid w:val="00836BCE"/>
    <w:rsid w:val="008422A0"/>
    <w:rsid w:val="00843811"/>
    <w:rsid w:val="00843B43"/>
    <w:rsid w:val="0084652A"/>
    <w:rsid w:val="00847F07"/>
    <w:rsid w:val="00847F50"/>
    <w:rsid w:val="00847FFB"/>
    <w:rsid w:val="00850D3B"/>
    <w:rsid w:val="00851408"/>
    <w:rsid w:val="00851C18"/>
    <w:rsid w:val="00853D93"/>
    <w:rsid w:val="00853DFB"/>
    <w:rsid w:val="00854080"/>
    <w:rsid w:val="00854412"/>
    <w:rsid w:val="00854F2F"/>
    <w:rsid w:val="00855B0E"/>
    <w:rsid w:val="008561D0"/>
    <w:rsid w:val="00856D47"/>
    <w:rsid w:val="00861D12"/>
    <w:rsid w:val="00861E84"/>
    <w:rsid w:val="008624B8"/>
    <w:rsid w:val="008624BA"/>
    <w:rsid w:val="00862A60"/>
    <w:rsid w:val="00862EB5"/>
    <w:rsid w:val="0086387B"/>
    <w:rsid w:val="0086392B"/>
    <w:rsid w:val="00865A15"/>
    <w:rsid w:val="008665F5"/>
    <w:rsid w:val="00866633"/>
    <w:rsid w:val="00866CF3"/>
    <w:rsid w:val="008670DC"/>
    <w:rsid w:val="00871478"/>
    <w:rsid w:val="008718AF"/>
    <w:rsid w:val="00873D3B"/>
    <w:rsid w:val="00874327"/>
    <w:rsid w:val="0087499C"/>
    <w:rsid w:val="0087521C"/>
    <w:rsid w:val="008766CE"/>
    <w:rsid w:val="0088114B"/>
    <w:rsid w:val="00882290"/>
    <w:rsid w:val="00883735"/>
    <w:rsid w:val="0088406E"/>
    <w:rsid w:val="008858C2"/>
    <w:rsid w:val="008864CA"/>
    <w:rsid w:val="00891CB7"/>
    <w:rsid w:val="00894132"/>
    <w:rsid w:val="0089459F"/>
    <w:rsid w:val="00894EFA"/>
    <w:rsid w:val="008950E5"/>
    <w:rsid w:val="008951AC"/>
    <w:rsid w:val="00896322"/>
    <w:rsid w:val="0089748A"/>
    <w:rsid w:val="008A02E9"/>
    <w:rsid w:val="008A0EA2"/>
    <w:rsid w:val="008A28BC"/>
    <w:rsid w:val="008A3012"/>
    <w:rsid w:val="008A4413"/>
    <w:rsid w:val="008A5E7B"/>
    <w:rsid w:val="008A6BD4"/>
    <w:rsid w:val="008A6E9B"/>
    <w:rsid w:val="008B0016"/>
    <w:rsid w:val="008B0177"/>
    <w:rsid w:val="008B0F41"/>
    <w:rsid w:val="008B11CE"/>
    <w:rsid w:val="008B1D98"/>
    <w:rsid w:val="008B4BFA"/>
    <w:rsid w:val="008B5011"/>
    <w:rsid w:val="008B59DC"/>
    <w:rsid w:val="008B6F97"/>
    <w:rsid w:val="008C0D11"/>
    <w:rsid w:val="008C1A0A"/>
    <w:rsid w:val="008C2973"/>
    <w:rsid w:val="008C43F7"/>
    <w:rsid w:val="008C4F44"/>
    <w:rsid w:val="008C6774"/>
    <w:rsid w:val="008C6952"/>
    <w:rsid w:val="008C7364"/>
    <w:rsid w:val="008C7467"/>
    <w:rsid w:val="008D0D19"/>
    <w:rsid w:val="008D13F3"/>
    <w:rsid w:val="008D2FB5"/>
    <w:rsid w:val="008D36DB"/>
    <w:rsid w:val="008D5EA9"/>
    <w:rsid w:val="008D6AC6"/>
    <w:rsid w:val="008D7C94"/>
    <w:rsid w:val="008E4BC0"/>
    <w:rsid w:val="008E6E9E"/>
    <w:rsid w:val="008E6F2A"/>
    <w:rsid w:val="008E7248"/>
    <w:rsid w:val="008E7569"/>
    <w:rsid w:val="008F087B"/>
    <w:rsid w:val="008F11D1"/>
    <w:rsid w:val="008F1D95"/>
    <w:rsid w:val="008F23DF"/>
    <w:rsid w:val="008F39A2"/>
    <w:rsid w:val="008F4AD9"/>
    <w:rsid w:val="008F53A8"/>
    <w:rsid w:val="008F612D"/>
    <w:rsid w:val="008F61A7"/>
    <w:rsid w:val="008F70D7"/>
    <w:rsid w:val="009002C4"/>
    <w:rsid w:val="00900989"/>
    <w:rsid w:val="0090187C"/>
    <w:rsid w:val="00904C20"/>
    <w:rsid w:val="00905291"/>
    <w:rsid w:val="00905DA4"/>
    <w:rsid w:val="00907A63"/>
    <w:rsid w:val="00911D9B"/>
    <w:rsid w:val="00912109"/>
    <w:rsid w:val="00912E26"/>
    <w:rsid w:val="00914890"/>
    <w:rsid w:val="00914A87"/>
    <w:rsid w:val="009166B8"/>
    <w:rsid w:val="00917739"/>
    <w:rsid w:val="00917E47"/>
    <w:rsid w:val="00920E06"/>
    <w:rsid w:val="00922715"/>
    <w:rsid w:val="009232BA"/>
    <w:rsid w:val="00923514"/>
    <w:rsid w:val="009243BE"/>
    <w:rsid w:val="00924A9C"/>
    <w:rsid w:val="009257BC"/>
    <w:rsid w:val="00925F4C"/>
    <w:rsid w:val="009262A5"/>
    <w:rsid w:val="0092748E"/>
    <w:rsid w:val="00927520"/>
    <w:rsid w:val="00927AC4"/>
    <w:rsid w:val="00930A0B"/>
    <w:rsid w:val="00931110"/>
    <w:rsid w:val="009339C5"/>
    <w:rsid w:val="009345F6"/>
    <w:rsid w:val="00934748"/>
    <w:rsid w:val="00934D66"/>
    <w:rsid w:val="00935C54"/>
    <w:rsid w:val="00942117"/>
    <w:rsid w:val="009452F9"/>
    <w:rsid w:val="009462B5"/>
    <w:rsid w:val="00947E82"/>
    <w:rsid w:val="00951216"/>
    <w:rsid w:val="0095205F"/>
    <w:rsid w:val="009540AF"/>
    <w:rsid w:val="00954F7A"/>
    <w:rsid w:val="00957543"/>
    <w:rsid w:val="00957C7C"/>
    <w:rsid w:val="00960ECB"/>
    <w:rsid w:val="009612C7"/>
    <w:rsid w:val="00961DDA"/>
    <w:rsid w:val="00962016"/>
    <w:rsid w:val="00962A54"/>
    <w:rsid w:val="00962BBC"/>
    <w:rsid w:val="00962CC0"/>
    <w:rsid w:val="00965808"/>
    <w:rsid w:val="00966127"/>
    <w:rsid w:val="009674C7"/>
    <w:rsid w:val="009701FC"/>
    <w:rsid w:val="009711DF"/>
    <w:rsid w:val="0097266A"/>
    <w:rsid w:val="00973494"/>
    <w:rsid w:val="00974D4E"/>
    <w:rsid w:val="00974ED6"/>
    <w:rsid w:val="00975593"/>
    <w:rsid w:val="00975A57"/>
    <w:rsid w:val="009777D6"/>
    <w:rsid w:val="009803C4"/>
    <w:rsid w:val="009805E9"/>
    <w:rsid w:val="0098068D"/>
    <w:rsid w:val="00981F6C"/>
    <w:rsid w:val="009831D0"/>
    <w:rsid w:val="00983991"/>
    <w:rsid w:val="009857AC"/>
    <w:rsid w:val="00992305"/>
    <w:rsid w:val="00992A7B"/>
    <w:rsid w:val="009942BA"/>
    <w:rsid w:val="00994DC8"/>
    <w:rsid w:val="009959B9"/>
    <w:rsid w:val="00995B6F"/>
    <w:rsid w:val="00995E53"/>
    <w:rsid w:val="009963C6"/>
    <w:rsid w:val="00996EB2"/>
    <w:rsid w:val="00996F0E"/>
    <w:rsid w:val="00996F74"/>
    <w:rsid w:val="009A05ED"/>
    <w:rsid w:val="009A1DEB"/>
    <w:rsid w:val="009A3035"/>
    <w:rsid w:val="009A4464"/>
    <w:rsid w:val="009A5655"/>
    <w:rsid w:val="009A6525"/>
    <w:rsid w:val="009A6841"/>
    <w:rsid w:val="009A71CB"/>
    <w:rsid w:val="009A78C5"/>
    <w:rsid w:val="009A7F71"/>
    <w:rsid w:val="009B16B4"/>
    <w:rsid w:val="009B2D8F"/>
    <w:rsid w:val="009B3174"/>
    <w:rsid w:val="009B3B9B"/>
    <w:rsid w:val="009B3C97"/>
    <w:rsid w:val="009B4821"/>
    <w:rsid w:val="009B484C"/>
    <w:rsid w:val="009B53AE"/>
    <w:rsid w:val="009B625E"/>
    <w:rsid w:val="009C0B50"/>
    <w:rsid w:val="009C1586"/>
    <w:rsid w:val="009C1619"/>
    <w:rsid w:val="009C3932"/>
    <w:rsid w:val="009C50D7"/>
    <w:rsid w:val="009C7041"/>
    <w:rsid w:val="009D044E"/>
    <w:rsid w:val="009D09E2"/>
    <w:rsid w:val="009D4ED3"/>
    <w:rsid w:val="009D54A4"/>
    <w:rsid w:val="009D57C5"/>
    <w:rsid w:val="009D6223"/>
    <w:rsid w:val="009D66CC"/>
    <w:rsid w:val="009E20B0"/>
    <w:rsid w:val="009E4094"/>
    <w:rsid w:val="009E42C3"/>
    <w:rsid w:val="009E4309"/>
    <w:rsid w:val="009E641F"/>
    <w:rsid w:val="009E689D"/>
    <w:rsid w:val="009E7638"/>
    <w:rsid w:val="009E7FF9"/>
    <w:rsid w:val="009F077E"/>
    <w:rsid w:val="009F2A8D"/>
    <w:rsid w:val="009F315D"/>
    <w:rsid w:val="009F3E31"/>
    <w:rsid w:val="009F4FB4"/>
    <w:rsid w:val="009F5BD0"/>
    <w:rsid w:val="009F5E7F"/>
    <w:rsid w:val="009F6992"/>
    <w:rsid w:val="009F726C"/>
    <w:rsid w:val="009F795B"/>
    <w:rsid w:val="009F7BD1"/>
    <w:rsid w:val="009F7EF5"/>
    <w:rsid w:val="00A00402"/>
    <w:rsid w:val="00A00C3E"/>
    <w:rsid w:val="00A01364"/>
    <w:rsid w:val="00A0163A"/>
    <w:rsid w:val="00A017F0"/>
    <w:rsid w:val="00A0184F"/>
    <w:rsid w:val="00A0201D"/>
    <w:rsid w:val="00A0404A"/>
    <w:rsid w:val="00A04967"/>
    <w:rsid w:val="00A06FF3"/>
    <w:rsid w:val="00A07FDD"/>
    <w:rsid w:val="00A10E17"/>
    <w:rsid w:val="00A11EA3"/>
    <w:rsid w:val="00A12672"/>
    <w:rsid w:val="00A12BF5"/>
    <w:rsid w:val="00A15629"/>
    <w:rsid w:val="00A17464"/>
    <w:rsid w:val="00A201D0"/>
    <w:rsid w:val="00A2417B"/>
    <w:rsid w:val="00A26588"/>
    <w:rsid w:val="00A266A1"/>
    <w:rsid w:val="00A27489"/>
    <w:rsid w:val="00A2782E"/>
    <w:rsid w:val="00A3217E"/>
    <w:rsid w:val="00A330C6"/>
    <w:rsid w:val="00A3325B"/>
    <w:rsid w:val="00A3561A"/>
    <w:rsid w:val="00A41619"/>
    <w:rsid w:val="00A433C1"/>
    <w:rsid w:val="00A4366F"/>
    <w:rsid w:val="00A476D4"/>
    <w:rsid w:val="00A47F83"/>
    <w:rsid w:val="00A51977"/>
    <w:rsid w:val="00A524CB"/>
    <w:rsid w:val="00A524D1"/>
    <w:rsid w:val="00A52FB2"/>
    <w:rsid w:val="00A55012"/>
    <w:rsid w:val="00A551DA"/>
    <w:rsid w:val="00A55C51"/>
    <w:rsid w:val="00A56C84"/>
    <w:rsid w:val="00A56DC9"/>
    <w:rsid w:val="00A57F26"/>
    <w:rsid w:val="00A60FFF"/>
    <w:rsid w:val="00A62B1A"/>
    <w:rsid w:val="00A62F18"/>
    <w:rsid w:val="00A65EAA"/>
    <w:rsid w:val="00A669AF"/>
    <w:rsid w:val="00A70553"/>
    <w:rsid w:val="00A7158B"/>
    <w:rsid w:val="00A719A8"/>
    <w:rsid w:val="00A7275E"/>
    <w:rsid w:val="00A72F53"/>
    <w:rsid w:val="00A73FDE"/>
    <w:rsid w:val="00A74402"/>
    <w:rsid w:val="00A74622"/>
    <w:rsid w:val="00A75E7A"/>
    <w:rsid w:val="00A7722A"/>
    <w:rsid w:val="00A81D58"/>
    <w:rsid w:val="00A82B38"/>
    <w:rsid w:val="00A82D58"/>
    <w:rsid w:val="00A8324A"/>
    <w:rsid w:val="00A845C8"/>
    <w:rsid w:val="00A849FF"/>
    <w:rsid w:val="00A84F2F"/>
    <w:rsid w:val="00A90AAF"/>
    <w:rsid w:val="00A9195E"/>
    <w:rsid w:val="00A9201B"/>
    <w:rsid w:val="00A9280F"/>
    <w:rsid w:val="00A938C6"/>
    <w:rsid w:val="00A94026"/>
    <w:rsid w:val="00A94636"/>
    <w:rsid w:val="00A9777F"/>
    <w:rsid w:val="00AA0ED7"/>
    <w:rsid w:val="00AA17D2"/>
    <w:rsid w:val="00AA2ECC"/>
    <w:rsid w:val="00AA3320"/>
    <w:rsid w:val="00AA535B"/>
    <w:rsid w:val="00AA5AB7"/>
    <w:rsid w:val="00AA5F79"/>
    <w:rsid w:val="00AB161A"/>
    <w:rsid w:val="00AB3D6C"/>
    <w:rsid w:val="00AB6337"/>
    <w:rsid w:val="00AB6961"/>
    <w:rsid w:val="00AC105D"/>
    <w:rsid w:val="00AC1D65"/>
    <w:rsid w:val="00AC4269"/>
    <w:rsid w:val="00AC51DA"/>
    <w:rsid w:val="00AC5EEF"/>
    <w:rsid w:val="00AD1AC1"/>
    <w:rsid w:val="00AD1C79"/>
    <w:rsid w:val="00AD3599"/>
    <w:rsid w:val="00AD38CE"/>
    <w:rsid w:val="00AD398C"/>
    <w:rsid w:val="00AD4086"/>
    <w:rsid w:val="00AD47D5"/>
    <w:rsid w:val="00AD4BDB"/>
    <w:rsid w:val="00AD6B94"/>
    <w:rsid w:val="00AE01A4"/>
    <w:rsid w:val="00AE0D59"/>
    <w:rsid w:val="00AE2EDB"/>
    <w:rsid w:val="00AE394B"/>
    <w:rsid w:val="00AE3F0B"/>
    <w:rsid w:val="00AE4524"/>
    <w:rsid w:val="00AE4A35"/>
    <w:rsid w:val="00AF2285"/>
    <w:rsid w:val="00AF3D43"/>
    <w:rsid w:val="00AF4804"/>
    <w:rsid w:val="00AF4D25"/>
    <w:rsid w:val="00AF4D93"/>
    <w:rsid w:val="00B00896"/>
    <w:rsid w:val="00B01C38"/>
    <w:rsid w:val="00B033DC"/>
    <w:rsid w:val="00B03424"/>
    <w:rsid w:val="00B04A77"/>
    <w:rsid w:val="00B06BEE"/>
    <w:rsid w:val="00B06E17"/>
    <w:rsid w:val="00B119B0"/>
    <w:rsid w:val="00B12EFE"/>
    <w:rsid w:val="00B134A2"/>
    <w:rsid w:val="00B13EA2"/>
    <w:rsid w:val="00B17153"/>
    <w:rsid w:val="00B17AF6"/>
    <w:rsid w:val="00B200C1"/>
    <w:rsid w:val="00B204E2"/>
    <w:rsid w:val="00B2112F"/>
    <w:rsid w:val="00B22D1D"/>
    <w:rsid w:val="00B23118"/>
    <w:rsid w:val="00B23503"/>
    <w:rsid w:val="00B23F95"/>
    <w:rsid w:val="00B25221"/>
    <w:rsid w:val="00B255CB"/>
    <w:rsid w:val="00B27E55"/>
    <w:rsid w:val="00B30330"/>
    <w:rsid w:val="00B30948"/>
    <w:rsid w:val="00B30CF4"/>
    <w:rsid w:val="00B31E78"/>
    <w:rsid w:val="00B33A12"/>
    <w:rsid w:val="00B34EF4"/>
    <w:rsid w:val="00B35973"/>
    <w:rsid w:val="00B36684"/>
    <w:rsid w:val="00B37A87"/>
    <w:rsid w:val="00B37AE7"/>
    <w:rsid w:val="00B40C99"/>
    <w:rsid w:val="00B41479"/>
    <w:rsid w:val="00B4353D"/>
    <w:rsid w:val="00B43E3E"/>
    <w:rsid w:val="00B45B06"/>
    <w:rsid w:val="00B45D2B"/>
    <w:rsid w:val="00B462C0"/>
    <w:rsid w:val="00B4722D"/>
    <w:rsid w:val="00B5253E"/>
    <w:rsid w:val="00B52A25"/>
    <w:rsid w:val="00B53A92"/>
    <w:rsid w:val="00B54BE2"/>
    <w:rsid w:val="00B54DE7"/>
    <w:rsid w:val="00B569D2"/>
    <w:rsid w:val="00B61FB3"/>
    <w:rsid w:val="00B625FA"/>
    <w:rsid w:val="00B64E97"/>
    <w:rsid w:val="00B65F23"/>
    <w:rsid w:val="00B66628"/>
    <w:rsid w:val="00B6690D"/>
    <w:rsid w:val="00B66955"/>
    <w:rsid w:val="00B67705"/>
    <w:rsid w:val="00B7320D"/>
    <w:rsid w:val="00B7531C"/>
    <w:rsid w:val="00B76138"/>
    <w:rsid w:val="00B77481"/>
    <w:rsid w:val="00B77854"/>
    <w:rsid w:val="00B8103A"/>
    <w:rsid w:val="00B82215"/>
    <w:rsid w:val="00B82D20"/>
    <w:rsid w:val="00B83B4C"/>
    <w:rsid w:val="00B8427B"/>
    <w:rsid w:val="00B8583F"/>
    <w:rsid w:val="00B86221"/>
    <w:rsid w:val="00B87557"/>
    <w:rsid w:val="00B8772A"/>
    <w:rsid w:val="00B9157F"/>
    <w:rsid w:val="00B92B00"/>
    <w:rsid w:val="00B93F07"/>
    <w:rsid w:val="00B9520B"/>
    <w:rsid w:val="00B9676E"/>
    <w:rsid w:val="00B96AD1"/>
    <w:rsid w:val="00BA3C79"/>
    <w:rsid w:val="00BA4F13"/>
    <w:rsid w:val="00BA62A1"/>
    <w:rsid w:val="00BA7A29"/>
    <w:rsid w:val="00BA7A3F"/>
    <w:rsid w:val="00BB3DFA"/>
    <w:rsid w:val="00BB58D6"/>
    <w:rsid w:val="00BB664C"/>
    <w:rsid w:val="00BC085F"/>
    <w:rsid w:val="00BC0939"/>
    <w:rsid w:val="00BC120B"/>
    <w:rsid w:val="00BC15D2"/>
    <w:rsid w:val="00BC3169"/>
    <w:rsid w:val="00BC45B5"/>
    <w:rsid w:val="00BC45E3"/>
    <w:rsid w:val="00BC5E8D"/>
    <w:rsid w:val="00BC640A"/>
    <w:rsid w:val="00BC774E"/>
    <w:rsid w:val="00BD090D"/>
    <w:rsid w:val="00BD0B18"/>
    <w:rsid w:val="00BD0BCA"/>
    <w:rsid w:val="00BD11D1"/>
    <w:rsid w:val="00BD2133"/>
    <w:rsid w:val="00BD2FA5"/>
    <w:rsid w:val="00BD495A"/>
    <w:rsid w:val="00BD4C96"/>
    <w:rsid w:val="00BD4DB6"/>
    <w:rsid w:val="00BD603A"/>
    <w:rsid w:val="00BD6C5D"/>
    <w:rsid w:val="00BE0710"/>
    <w:rsid w:val="00BE0DBF"/>
    <w:rsid w:val="00BE2CB8"/>
    <w:rsid w:val="00BE2F1C"/>
    <w:rsid w:val="00BE30AA"/>
    <w:rsid w:val="00BE319A"/>
    <w:rsid w:val="00BE3736"/>
    <w:rsid w:val="00BE41E9"/>
    <w:rsid w:val="00BE4DC5"/>
    <w:rsid w:val="00BE5405"/>
    <w:rsid w:val="00BE6224"/>
    <w:rsid w:val="00BE696A"/>
    <w:rsid w:val="00BE6C2E"/>
    <w:rsid w:val="00BF0E2C"/>
    <w:rsid w:val="00BF24F0"/>
    <w:rsid w:val="00BF2702"/>
    <w:rsid w:val="00BF27C1"/>
    <w:rsid w:val="00BF37B1"/>
    <w:rsid w:val="00BF3D9B"/>
    <w:rsid w:val="00BF4F18"/>
    <w:rsid w:val="00BF5BC3"/>
    <w:rsid w:val="00BF7068"/>
    <w:rsid w:val="00C0396C"/>
    <w:rsid w:val="00C0537F"/>
    <w:rsid w:val="00C05500"/>
    <w:rsid w:val="00C06B2D"/>
    <w:rsid w:val="00C06F69"/>
    <w:rsid w:val="00C07E21"/>
    <w:rsid w:val="00C07F51"/>
    <w:rsid w:val="00C10269"/>
    <w:rsid w:val="00C10924"/>
    <w:rsid w:val="00C109DC"/>
    <w:rsid w:val="00C10B06"/>
    <w:rsid w:val="00C10BCE"/>
    <w:rsid w:val="00C11473"/>
    <w:rsid w:val="00C11D47"/>
    <w:rsid w:val="00C12E87"/>
    <w:rsid w:val="00C14C2F"/>
    <w:rsid w:val="00C14DDE"/>
    <w:rsid w:val="00C158DB"/>
    <w:rsid w:val="00C15D2C"/>
    <w:rsid w:val="00C16476"/>
    <w:rsid w:val="00C17749"/>
    <w:rsid w:val="00C202BB"/>
    <w:rsid w:val="00C2267F"/>
    <w:rsid w:val="00C2513E"/>
    <w:rsid w:val="00C2544E"/>
    <w:rsid w:val="00C26A07"/>
    <w:rsid w:val="00C27184"/>
    <w:rsid w:val="00C272F2"/>
    <w:rsid w:val="00C2763B"/>
    <w:rsid w:val="00C27FA4"/>
    <w:rsid w:val="00C304FD"/>
    <w:rsid w:val="00C31944"/>
    <w:rsid w:val="00C34778"/>
    <w:rsid w:val="00C35396"/>
    <w:rsid w:val="00C356D5"/>
    <w:rsid w:val="00C366EA"/>
    <w:rsid w:val="00C40B23"/>
    <w:rsid w:val="00C40C27"/>
    <w:rsid w:val="00C434E4"/>
    <w:rsid w:val="00C4459F"/>
    <w:rsid w:val="00C44743"/>
    <w:rsid w:val="00C44BC3"/>
    <w:rsid w:val="00C46DB8"/>
    <w:rsid w:val="00C46F57"/>
    <w:rsid w:val="00C51029"/>
    <w:rsid w:val="00C560D9"/>
    <w:rsid w:val="00C57125"/>
    <w:rsid w:val="00C57680"/>
    <w:rsid w:val="00C5771F"/>
    <w:rsid w:val="00C57933"/>
    <w:rsid w:val="00C57AC8"/>
    <w:rsid w:val="00C60D6E"/>
    <w:rsid w:val="00C62309"/>
    <w:rsid w:val="00C65689"/>
    <w:rsid w:val="00C677C7"/>
    <w:rsid w:val="00C7028C"/>
    <w:rsid w:val="00C70B61"/>
    <w:rsid w:val="00C71252"/>
    <w:rsid w:val="00C728A2"/>
    <w:rsid w:val="00C729A4"/>
    <w:rsid w:val="00C741EE"/>
    <w:rsid w:val="00C74AAE"/>
    <w:rsid w:val="00C74ECC"/>
    <w:rsid w:val="00C7527C"/>
    <w:rsid w:val="00C755F7"/>
    <w:rsid w:val="00C756FF"/>
    <w:rsid w:val="00C7670B"/>
    <w:rsid w:val="00C76CE3"/>
    <w:rsid w:val="00C76CE4"/>
    <w:rsid w:val="00C77812"/>
    <w:rsid w:val="00C80B84"/>
    <w:rsid w:val="00C80E8B"/>
    <w:rsid w:val="00C820D4"/>
    <w:rsid w:val="00C8274A"/>
    <w:rsid w:val="00C83A45"/>
    <w:rsid w:val="00C876A2"/>
    <w:rsid w:val="00C87EEE"/>
    <w:rsid w:val="00C91507"/>
    <w:rsid w:val="00C918CD"/>
    <w:rsid w:val="00C927EC"/>
    <w:rsid w:val="00C93523"/>
    <w:rsid w:val="00C96A25"/>
    <w:rsid w:val="00C96BD7"/>
    <w:rsid w:val="00C97B70"/>
    <w:rsid w:val="00CA0024"/>
    <w:rsid w:val="00CA0226"/>
    <w:rsid w:val="00CA057A"/>
    <w:rsid w:val="00CA1062"/>
    <w:rsid w:val="00CA23DA"/>
    <w:rsid w:val="00CA2616"/>
    <w:rsid w:val="00CA3C20"/>
    <w:rsid w:val="00CA5E18"/>
    <w:rsid w:val="00CA6123"/>
    <w:rsid w:val="00CA62D1"/>
    <w:rsid w:val="00CA6944"/>
    <w:rsid w:val="00CA7653"/>
    <w:rsid w:val="00CA796E"/>
    <w:rsid w:val="00CA7C69"/>
    <w:rsid w:val="00CB005D"/>
    <w:rsid w:val="00CB1079"/>
    <w:rsid w:val="00CB2710"/>
    <w:rsid w:val="00CB2803"/>
    <w:rsid w:val="00CB3049"/>
    <w:rsid w:val="00CB417D"/>
    <w:rsid w:val="00CB489A"/>
    <w:rsid w:val="00CB5476"/>
    <w:rsid w:val="00CB6033"/>
    <w:rsid w:val="00CB60D9"/>
    <w:rsid w:val="00CB6ED6"/>
    <w:rsid w:val="00CC0138"/>
    <w:rsid w:val="00CC043C"/>
    <w:rsid w:val="00CC054D"/>
    <w:rsid w:val="00CC215D"/>
    <w:rsid w:val="00CC2656"/>
    <w:rsid w:val="00CC4A4A"/>
    <w:rsid w:val="00CC5A0B"/>
    <w:rsid w:val="00CC71DF"/>
    <w:rsid w:val="00CC7E11"/>
    <w:rsid w:val="00CD0CAA"/>
    <w:rsid w:val="00CD3176"/>
    <w:rsid w:val="00CD3763"/>
    <w:rsid w:val="00CD4BD9"/>
    <w:rsid w:val="00CD65C8"/>
    <w:rsid w:val="00CD7930"/>
    <w:rsid w:val="00CE0E42"/>
    <w:rsid w:val="00CE2174"/>
    <w:rsid w:val="00CE2445"/>
    <w:rsid w:val="00CE34BC"/>
    <w:rsid w:val="00CE6465"/>
    <w:rsid w:val="00CF04FC"/>
    <w:rsid w:val="00CF330B"/>
    <w:rsid w:val="00CF4EBA"/>
    <w:rsid w:val="00CF54DD"/>
    <w:rsid w:val="00CF6EA1"/>
    <w:rsid w:val="00CF780B"/>
    <w:rsid w:val="00D002E8"/>
    <w:rsid w:val="00D019BA"/>
    <w:rsid w:val="00D01B04"/>
    <w:rsid w:val="00D01C69"/>
    <w:rsid w:val="00D02DD9"/>
    <w:rsid w:val="00D044AC"/>
    <w:rsid w:val="00D057B1"/>
    <w:rsid w:val="00D065E5"/>
    <w:rsid w:val="00D066C6"/>
    <w:rsid w:val="00D078AF"/>
    <w:rsid w:val="00D11A4F"/>
    <w:rsid w:val="00D11D21"/>
    <w:rsid w:val="00D121AD"/>
    <w:rsid w:val="00D12B43"/>
    <w:rsid w:val="00D14267"/>
    <w:rsid w:val="00D14337"/>
    <w:rsid w:val="00D14565"/>
    <w:rsid w:val="00D15932"/>
    <w:rsid w:val="00D17012"/>
    <w:rsid w:val="00D17692"/>
    <w:rsid w:val="00D176A3"/>
    <w:rsid w:val="00D23192"/>
    <w:rsid w:val="00D24975"/>
    <w:rsid w:val="00D2593C"/>
    <w:rsid w:val="00D259E4"/>
    <w:rsid w:val="00D25A9D"/>
    <w:rsid w:val="00D26375"/>
    <w:rsid w:val="00D26DAD"/>
    <w:rsid w:val="00D271B2"/>
    <w:rsid w:val="00D2747F"/>
    <w:rsid w:val="00D27D8A"/>
    <w:rsid w:val="00D30482"/>
    <w:rsid w:val="00D35080"/>
    <w:rsid w:val="00D35C0C"/>
    <w:rsid w:val="00D3695F"/>
    <w:rsid w:val="00D40B11"/>
    <w:rsid w:val="00D41FF0"/>
    <w:rsid w:val="00D436E9"/>
    <w:rsid w:val="00D45178"/>
    <w:rsid w:val="00D47415"/>
    <w:rsid w:val="00D47525"/>
    <w:rsid w:val="00D47CA0"/>
    <w:rsid w:val="00D502F0"/>
    <w:rsid w:val="00D51256"/>
    <w:rsid w:val="00D535D3"/>
    <w:rsid w:val="00D53FCA"/>
    <w:rsid w:val="00D54850"/>
    <w:rsid w:val="00D565A6"/>
    <w:rsid w:val="00D56AB1"/>
    <w:rsid w:val="00D57034"/>
    <w:rsid w:val="00D60647"/>
    <w:rsid w:val="00D67DA6"/>
    <w:rsid w:val="00D67FA9"/>
    <w:rsid w:val="00D708F7"/>
    <w:rsid w:val="00D71115"/>
    <w:rsid w:val="00D725B5"/>
    <w:rsid w:val="00D7420A"/>
    <w:rsid w:val="00D753C9"/>
    <w:rsid w:val="00D756FA"/>
    <w:rsid w:val="00D76135"/>
    <w:rsid w:val="00D76155"/>
    <w:rsid w:val="00D764EB"/>
    <w:rsid w:val="00D801BB"/>
    <w:rsid w:val="00D80213"/>
    <w:rsid w:val="00D8095B"/>
    <w:rsid w:val="00D80AEF"/>
    <w:rsid w:val="00D81FA0"/>
    <w:rsid w:val="00D839EC"/>
    <w:rsid w:val="00D84CEF"/>
    <w:rsid w:val="00D857B7"/>
    <w:rsid w:val="00D85F63"/>
    <w:rsid w:val="00D8617E"/>
    <w:rsid w:val="00D87D63"/>
    <w:rsid w:val="00D87F3B"/>
    <w:rsid w:val="00D903EA"/>
    <w:rsid w:val="00D9063E"/>
    <w:rsid w:val="00D9165D"/>
    <w:rsid w:val="00D91BF8"/>
    <w:rsid w:val="00D92578"/>
    <w:rsid w:val="00D92D63"/>
    <w:rsid w:val="00D9474F"/>
    <w:rsid w:val="00D94911"/>
    <w:rsid w:val="00D964FA"/>
    <w:rsid w:val="00D96AF7"/>
    <w:rsid w:val="00D96C79"/>
    <w:rsid w:val="00D97D67"/>
    <w:rsid w:val="00DA09B1"/>
    <w:rsid w:val="00DA0F27"/>
    <w:rsid w:val="00DA17B3"/>
    <w:rsid w:val="00DA3AE1"/>
    <w:rsid w:val="00DA3E68"/>
    <w:rsid w:val="00DA4422"/>
    <w:rsid w:val="00DA505E"/>
    <w:rsid w:val="00DA6B6D"/>
    <w:rsid w:val="00DA77EF"/>
    <w:rsid w:val="00DB0033"/>
    <w:rsid w:val="00DB00D2"/>
    <w:rsid w:val="00DB026B"/>
    <w:rsid w:val="00DB0AC9"/>
    <w:rsid w:val="00DB1895"/>
    <w:rsid w:val="00DB3CC4"/>
    <w:rsid w:val="00DB467F"/>
    <w:rsid w:val="00DB4B14"/>
    <w:rsid w:val="00DB73B2"/>
    <w:rsid w:val="00DC4B82"/>
    <w:rsid w:val="00DC4CE6"/>
    <w:rsid w:val="00DC5813"/>
    <w:rsid w:val="00DC59F0"/>
    <w:rsid w:val="00DC690E"/>
    <w:rsid w:val="00DC7EEB"/>
    <w:rsid w:val="00DD0011"/>
    <w:rsid w:val="00DD279B"/>
    <w:rsid w:val="00DD4211"/>
    <w:rsid w:val="00DD45C9"/>
    <w:rsid w:val="00DD55B8"/>
    <w:rsid w:val="00DE1892"/>
    <w:rsid w:val="00DE397E"/>
    <w:rsid w:val="00DE3D3C"/>
    <w:rsid w:val="00DE54A5"/>
    <w:rsid w:val="00DF0C9E"/>
    <w:rsid w:val="00DF2E17"/>
    <w:rsid w:val="00DF2FD4"/>
    <w:rsid w:val="00DF4F99"/>
    <w:rsid w:val="00DF5BE0"/>
    <w:rsid w:val="00DF5EB6"/>
    <w:rsid w:val="00DF72F9"/>
    <w:rsid w:val="00E0004F"/>
    <w:rsid w:val="00E04FB1"/>
    <w:rsid w:val="00E059FD"/>
    <w:rsid w:val="00E05B97"/>
    <w:rsid w:val="00E0673D"/>
    <w:rsid w:val="00E13799"/>
    <w:rsid w:val="00E14A63"/>
    <w:rsid w:val="00E14CCD"/>
    <w:rsid w:val="00E15A28"/>
    <w:rsid w:val="00E20322"/>
    <w:rsid w:val="00E221D3"/>
    <w:rsid w:val="00E238B3"/>
    <w:rsid w:val="00E26801"/>
    <w:rsid w:val="00E26819"/>
    <w:rsid w:val="00E27148"/>
    <w:rsid w:val="00E274DF"/>
    <w:rsid w:val="00E30C09"/>
    <w:rsid w:val="00E31831"/>
    <w:rsid w:val="00E40656"/>
    <w:rsid w:val="00E41748"/>
    <w:rsid w:val="00E41AAB"/>
    <w:rsid w:val="00E4248B"/>
    <w:rsid w:val="00E42928"/>
    <w:rsid w:val="00E43194"/>
    <w:rsid w:val="00E45928"/>
    <w:rsid w:val="00E45991"/>
    <w:rsid w:val="00E46395"/>
    <w:rsid w:val="00E4737F"/>
    <w:rsid w:val="00E511BF"/>
    <w:rsid w:val="00E523F7"/>
    <w:rsid w:val="00E52C9D"/>
    <w:rsid w:val="00E53F78"/>
    <w:rsid w:val="00E554FD"/>
    <w:rsid w:val="00E55BFC"/>
    <w:rsid w:val="00E56097"/>
    <w:rsid w:val="00E56A23"/>
    <w:rsid w:val="00E57179"/>
    <w:rsid w:val="00E57B92"/>
    <w:rsid w:val="00E60584"/>
    <w:rsid w:val="00E60C6B"/>
    <w:rsid w:val="00E60F01"/>
    <w:rsid w:val="00E63474"/>
    <w:rsid w:val="00E63701"/>
    <w:rsid w:val="00E6431F"/>
    <w:rsid w:val="00E64D56"/>
    <w:rsid w:val="00E65607"/>
    <w:rsid w:val="00E65866"/>
    <w:rsid w:val="00E65A0A"/>
    <w:rsid w:val="00E67840"/>
    <w:rsid w:val="00E753EC"/>
    <w:rsid w:val="00E762F0"/>
    <w:rsid w:val="00E800EF"/>
    <w:rsid w:val="00E803F1"/>
    <w:rsid w:val="00E80B03"/>
    <w:rsid w:val="00E815CD"/>
    <w:rsid w:val="00E816F7"/>
    <w:rsid w:val="00E81955"/>
    <w:rsid w:val="00E83353"/>
    <w:rsid w:val="00E85961"/>
    <w:rsid w:val="00E86BEA"/>
    <w:rsid w:val="00E86CE1"/>
    <w:rsid w:val="00E86E6F"/>
    <w:rsid w:val="00E87504"/>
    <w:rsid w:val="00E9118E"/>
    <w:rsid w:val="00E91602"/>
    <w:rsid w:val="00E93D6F"/>
    <w:rsid w:val="00E955B5"/>
    <w:rsid w:val="00E96E10"/>
    <w:rsid w:val="00E972C8"/>
    <w:rsid w:val="00E976E3"/>
    <w:rsid w:val="00EA0B69"/>
    <w:rsid w:val="00EA0CAB"/>
    <w:rsid w:val="00EA115B"/>
    <w:rsid w:val="00EA1955"/>
    <w:rsid w:val="00EA1C58"/>
    <w:rsid w:val="00EA1DC3"/>
    <w:rsid w:val="00EA2495"/>
    <w:rsid w:val="00EA2E57"/>
    <w:rsid w:val="00EA32A1"/>
    <w:rsid w:val="00EA42B8"/>
    <w:rsid w:val="00EA5EA0"/>
    <w:rsid w:val="00EA799B"/>
    <w:rsid w:val="00EB41E7"/>
    <w:rsid w:val="00EB7A75"/>
    <w:rsid w:val="00EC0990"/>
    <w:rsid w:val="00EC0F11"/>
    <w:rsid w:val="00EC1584"/>
    <w:rsid w:val="00EC414F"/>
    <w:rsid w:val="00EC49F7"/>
    <w:rsid w:val="00EC5224"/>
    <w:rsid w:val="00EC5429"/>
    <w:rsid w:val="00EC56D0"/>
    <w:rsid w:val="00EC604B"/>
    <w:rsid w:val="00EC6BB1"/>
    <w:rsid w:val="00ED19C7"/>
    <w:rsid w:val="00ED395A"/>
    <w:rsid w:val="00ED46D8"/>
    <w:rsid w:val="00ED4C78"/>
    <w:rsid w:val="00ED64BA"/>
    <w:rsid w:val="00ED7674"/>
    <w:rsid w:val="00ED7BC9"/>
    <w:rsid w:val="00EE02B8"/>
    <w:rsid w:val="00EE04B1"/>
    <w:rsid w:val="00EE162E"/>
    <w:rsid w:val="00EE38D6"/>
    <w:rsid w:val="00EE6D08"/>
    <w:rsid w:val="00EE728B"/>
    <w:rsid w:val="00EE7CE9"/>
    <w:rsid w:val="00EF0D05"/>
    <w:rsid w:val="00EF11F7"/>
    <w:rsid w:val="00EF1883"/>
    <w:rsid w:val="00EF55AB"/>
    <w:rsid w:val="00EF5763"/>
    <w:rsid w:val="00EF579C"/>
    <w:rsid w:val="00EF5CB0"/>
    <w:rsid w:val="00EF7118"/>
    <w:rsid w:val="00F011F6"/>
    <w:rsid w:val="00F01239"/>
    <w:rsid w:val="00F02BDD"/>
    <w:rsid w:val="00F0514C"/>
    <w:rsid w:val="00F054A5"/>
    <w:rsid w:val="00F0618A"/>
    <w:rsid w:val="00F073B4"/>
    <w:rsid w:val="00F120D2"/>
    <w:rsid w:val="00F15289"/>
    <w:rsid w:val="00F1575F"/>
    <w:rsid w:val="00F15A84"/>
    <w:rsid w:val="00F166B1"/>
    <w:rsid w:val="00F22125"/>
    <w:rsid w:val="00F2298C"/>
    <w:rsid w:val="00F23295"/>
    <w:rsid w:val="00F24AB0"/>
    <w:rsid w:val="00F2608C"/>
    <w:rsid w:val="00F267B0"/>
    <w:rsid w:val="00F277CF"/>
    <w:rsid w:val="00F30FAF"/>
    <w:rsid w:val="00F31F61"/>
    <w:rsid w:val="00F337BD"/>
    <w:rsid w:val="00F337E5"/>
    <w:rsid w:val="00F339A0"/>
    <w:rsid w:val="00F362D5"/>
    <w:rsid w:val="00F36FF9"/>
    <w:rsid w:val="00F372D8"/>
    <w:rsid w:val="00F37849"/>
    <w:rsid w:val="00F4038F"/>
    <w:rsid w:val="00F40904"/>
    <w:rsid w:val="00F4191A"/>
    <w:rsid w:val="00F42CE3"/>
    <w:rsid w:val="00F435E4"/>
    <w:rsid w:val="00F44B11"/>
    <w:rsid w:val="00F47242"/>
    <w:rsid w:val="00F503B6"/>
    <w:rsid w:val="00F51713"/>
    <w:rsid w:val="00F52A18"/>
    <w:rsid w:val="00F55B30"/>
    <w:rsid w:val="00F6143D"/>
    <w:rsid w:val="00F62929"/>
    <w:rsid w:val="00F63B93"/>
    <w:rsid w:val="00F63D94"/>
    <w:rsid w:val="00F64A30"/>
    <w:rsid w:val="00F65AA4"/>
    <w:rsid w:val="00F65B41"/>
    <w:rsid w:val="00F65F00"/>
    <w:rsid w:val="00F66FD9"/>
    <w:rsid w:val="00F716EE"/>
    <w:rsid w:val="00F71CC1"/>
    <w:rsid w:val="00F7227F"/>
    <w:rsid w:val="00F7289F"/>
    <w:rsid w:val="00F7328D"/>
    <w:rsid w:val="00F7387B"/>
    <w:rsid w:val="00F74614"/>
    <w:rsid w:val="00F756A6"/>
    <w:rsid w:val="00F7713A"/>
    <w:rsid w:val="00F77A6F"/>
    <w:rsid w:val="00F80259"/>
    <w:rsid w:val="00F81310"/>
    <w:rsid w:val="00F81BAA"/>
    <w:rsid w:val="00F831E3"/>
    <w:rsid w:val="00F83A72"/>
    <w:rsid w:val="00F8600B"/>
    <w:rsid w:val="00F874AD"/>
    <w:rsid w:val="00F902E9"/>
    <w:rsid w:val="00F9185A"/>
    <w:rsid w:val="00F92076"/>
    <w:rsid w:val="00F927D1"/>
    <w:rsid w:val="00F93EFC"/>
    <w:rsid w:val="00F9433A"/>
    <w:rsid w:val="00F9562D"/>
    <w:rsid w:val="00F95C55"/>
    <w:rsid w:val="00F9647A"/>
    <w:rsid w:val="00F96B37"/>
    <w:rsid w:val="00F96E11"/>
    <w:rsid w:val="00F97326"/>
    <w:rsid w:val="00F979D8"/>
    <w:rsid w:val="00FA031A"/>
    <w:rsid w:val="00FA131F"/>
    <w:rsid w:val="00FA1C28"/>
    <w:rsid w:val="00FA1E90"/>
    <w:rsid w:val="00FA244D"/>
    <w:rsid w:val="00FA3010"/>
    <w:rsid w:val="00FA4C5F"/>
    <w:rsid w:val="00FA5993"/>
    <w:rsid w:val="00FA62FB"/>
    <w:rsid w:val="00FA79A2"/>
    <w:rsid w:val="00FB0BBB"/>
    <w:rsid w:val="00FB17AC"/>
    <w:rsid w:val="00FB46FA"/>
    <w:rsid w:val="00FB4F60"/>
    <w:rsid w:val="00FC078D"/>
    <w:rsid w:val="00FC1A5D"/>
    <w:rsid w:val="00FC290C"/>
    <w:rsid w:val="00FC354D"/>
    <w:rsid w:val="00FD00A2"/>
    <w:rsid w:val="00FD08DE"/>
    <w:rsid w:val="00FD0F6E"/>
    <w:rsid w:val="00FD6A7C"/>
    <w:rsid w:val="00FE07A0"/>
    <w:rsid w:val="00FE2EC0"/>
    <w:rsid w:val="00FE4EA7"/>
    <w:rsid w:val="00FE4EAB"/>
    <w:rsid w:val="00FE5308"/>
    <w:rsid w:val="00FE54A3"/>
    <w:rsid w:val="00FE6997"/>
    <w:rsid w:val="00FE77EB"/>
    <w:rsid w:val="00FE78C7"/>
    <w:rsid w:val="00FF03FE"/>
    <w:rsid w:val="00FF0F6E"/>
    <w:rsid w:val="00FF18D7"/>
    <w:rsid w:val="00FF2970"/>
    <w:rsid w:val="00FF3363"/>
    <w:rsid w:val="00FF3612"/>
    <w:rsid w:val="00FF43F5"/>
    <w:rsid w:val="00FF4849"/>
    <w:rsid w:val="00FF5C7C"/>
    <w:rsid w:val="01B47A59"/>
    <w:rsid w:val="01DF79C5"/>
    <w:rsid w:val="02265C8C"/>
    <w:rsid w:val="025F4EAA"/>
    <w:rsid w:val="02983FF6"/>
    <w:rsid w:val="032B024C"/>
    <w:rsid w:val="03514173"/>
    <w:rsid w:val="0364237A"/>
    <w:rsid w:val="0382074F"/>
    <w:rsid w:val="03E77005"/>
    <w:rsid w:val="04651CD8"/>
    <w:rsid w:val="0495080F"/>
    <w:rsid w:val="05753204"/>
    <w:rsid w:val="05B60A3D"/>
    <w:rsid w:val="06045DB7"/>
    <w:rsid w:val="062822BB"/>
    <w:rsid w:val="06804990"/>
    <w:rsid w:val="06D14EBD"/>
    <w:rsid w:val="06DE1A50"/>
    <w:rsid w:val="074C0438"/>
    <w:rsid w:val="07D721EC"/>
    <w:rsid w:val="08706007"/>
    <w:rsid w:val="08A700C4"/>
    <w:rsid w:val="08FE4308"/>
    <w:rsid w:val="0946032A"/>
    <w:rsid w:val="09CA2D09"/>
    <w:rsid w:val="0B181CBF"/>
    <w:rsid w:val="0B6A2706"/>
    <w:rsid w:val="0BC04AFE"/>
    <w:rsid w:val="0C085D6A"/>
    <w:rsid w:val="0DDC125D"/>
    <w:rsid w:val="0E0C760A"/>
    <w:rsid w:val="0E501052"/>
    <w:rsid w:val="0E565F93"/>
    <w:rsid w:val="0E664FCA"/>
    <w:rsid w:val="0F0F7BEE"/>
    <w:rsid w:val="0F867640"/>
    <w:rsid w:val="0FDF3286"/>
    <w:rsid w:val="100A4633"/>
    <w:rsid w:val="102D5D83"/>
    <w:rsid w:val="10823C88"/>
    <w:rsid w:val="10901957"/>
    <w:rsid w:val="10BD48AD"/>
    <w:rsid w:val="10C673DF"/>
    <w:rsid w:val="111B77B5"/>
    <w:rsid w:val="1160532F"/>
    <w:rsid w:val="11687E30"/>
    <w:rsid w:val="11824A0F"/>
    <w:rsid w:val="11E5087F"/>
    <w:rsid w:val="11EF5C5E"/>
    <w:rsid w:val="126357B9"/>
    <w:rsid w:val="127469C4"/>
    <w:rsid w:val="128E5D2A"/>
    <w:rsid w:val="131274CE"/>
    <w:rsid w:val="13454D7F"/>
    <w:rsid w:val="13CF6B47"/>
    <w:rsid w:val="14D57867"/>
    <w:rsid w:val="15113CD5"/>
    <w:rsid w:val="15881997"/>
    <w:rsid w:val="15BB6F96"/>
    <w:rsid w:val="16092E0B"/>
    <w:rsid w:val="163F682C"/>
    <w:rsid w:val="165A3666"/>
    <w:rsid w:val="16B540EF"/>
    <w:rsid w:val="16CE269B"/>
    <w:rsid w:val="16FF7D6A"/>
    <w:rsid w:val="170F61FF"/>
    <w:rsid w:val="17982720"/>
    <w:rsid w:val="17B04B2A"/>
    <w:rsid w:val="17BE4A60"/>
    <w:rsid w:val="18012B82"/>
    <w:rsid w:val="186B79C3"/>
    <w:rsid w:val="18F1504B"/>
    <w:rsid w:val="18F953B8"/>
    <w:rsid w:val="192E743F"/>
    <w:rsid w:val="194D300E"/>
    <w:rsid w:val="199F6656"/>
    <w:rsid w:val="1A141D7E"/>
    <w:rsid w:val="1B636564"/>
    <w:rsid w:val="1C297D63"/>
    <w:rsid w:val="1C424C5B"/>
    <w:rsid w:val="1CA36708"/>
    <w:rsid w:val="1CC72C9B"/>
    <w:rsid w:val="1CDC1BD7"/>
    <w:rsid w:val="1CDE1E5B"/>
    <w:rsid w:val="1D0D4DE7"/>
    <w:rsid w:val="1D6332C3"/>
    <w:rsid w:val="1D681AD2"/>
    <w:rsid w:val="1D6D0498"/>
    <w:rsid w:val="1D905BC0"/>
    <w:rsid w:val="1DD94CC0"/>
    <w:rsid w:val="1EDD3086"/>
    <w:rsid w:val="1EF9465E"/>
    <w:rsid w:val="1FB950A5"/>
    <w:rsid w:val="20CD1AB0"/>
    <w:rsid w:val="21E34E2B"/>
    <w:rsid w:val="220A5A3C"/>
    <w:rsid w:val="22DB0320"/>
    <w:rsid w:val="235C0A1E"/>
    <w:rsid w:val="23A72FFC"/>
    <w:rsid w:val="242A2671"/>
    <w:rsid w:val="24430123"/>
    <w:rsid w:val="24545B99"/>
    <w:rsid w:val="24786259"/>
    <w:rsid w:val="24B65F0C"/>
    <w:rsid w:val="25BE00B0"/>
    <w:rsid w:val="25E30BF6"/>
    <w:rsid w:val="25F26162"/>
    <w:rsid w:val="26EC030B"/>
    <w:rsid w:val="26F45411"/>
    <w:rsid w:val="280C23D5"/>
    <w:rsid w:val="28C52BC1"/>
    <w:rsid w:val="28E05C4D"/>
    <w:rsid w:val="28EF5E90"/>
    <w:rsid w:val="29491460"/>
    <w:rsid w:val="29D55086"/>
    <w:rsid w:val="2A187669"/>
    <w:rsid w:val="2A571AEE"/>
    <w:rsid w:val="2A8558EB"/>
    <w:rsid w:val="2AAD6003"/>
    <w:rsid w:val="2AD33152"/>
    <w:rsid w:val="2AEF3F25"/>
    <w:rsid w:val="2AF615EE"/>
    <w:rsid w:val="2B54022C"/>
    <w:rsid w:val="2B717030"/>
    <w:rsid w:val="2B794864"/>
    <w:rsid w:val="2B801021"/>
    <w:rsid w:val="2BC90C1A"/>
    <w:rsid w:val="2C387B4E"/>
    <w:rsid w:val="2CFC1882"/>
    <w:rsid w:val="2D3B78F6"/>
    <w:rsid w:val="2D537491"/>
    <w:rsid w:val="2D8B7C57"/>
    <w:rsid w:val="2DD737DB"/>
    <w:rsid w:val="2E366D75"/>
    <w:rsid w:val="2E78329E"/>
    <w:rsid w:val="2EF677F0"/>
    <w:rsid w:val="2F124674"/>
    <w:rsid w:val="2F2E59E1"/>
    <w:rsid w:val="2F3A3CD2"/>
    <w:rsid w:val="2F5127C0"/>
    <w:rsid w:val="2F7C41F6"/>
    <w:rsid w:val="2F9344A7"/>
    <w:rsid w:val="2FC83CAA"/>
    <w:rsid w:val="30447436"/>
    <w:rsid w:val="317B6EF1"/>
    <w:rsid w:val="31857392"/>
    <w:rsid w:val="32BD2769"/>
    <w:rsid w:val="3393072B"/>
    <w:rsid w:val="33AC652E"/>
    <w:rsid w:val="33AF53B6"/>
    <w:rsid w:val="341C45E4"/>
    <w:rsid w:val="341C6292"/>
    <w:rsid w:val="344F1ED9"/>
    <w:rsid w:val="3488722A"/>
    <w:rsid w:val="34CE4C2F"/>
    <w:rsid w:val="34D60E50"/>
    <w:rsid w:val="34F04177"/>
    <w:rsid w:val="351849C1"/>
    <w:rsid w:val="3613030A"/>
    <w:rsid w:val="36B16F62"/>
    <w:rsid w:val="370F3EF6"/>
    <w:rsid w:val="37353608"/>
    <w:rsid w:val="38563836"/>
    <w:rsid w:val="388C773F"/>
    <w:rsid w:val="38BD1A02"/>
    <w:rsid w:val="390C6BA9"/>
    <w:rsid w:val="394F102E"/>
    <w:rsid w:val="39A36BA3"/>
    <w:rsid w:val="39E356BD"/>
    <w:rsid w:val="39EE16A9"/>
    <w:rsid w:val="3A2E2E0F"/>
    <w:rsid w:val="3A506878"/>
    <w:rsid w:val="3A635786"/>
    <w:rsid w:val="3B2B2C3C"/>
    <w:rsid w:val="3B9528C7"/>
    <w:rsid w:val="3BD57167"/>
    <w:rsid w:val="3C29300F"/>
    <w:rsid w:val="3C8C3B8A"/>
    <w:rsid w:val="3CC316B6"/>
    <w:rsid w:val="3CFF4547"/>
    <w:rsid w:val="3D1B32A0"/>
    <w:rsid w:val="3D7310E3"/>
    <w:rsid w:val="3DE126FC"/>
    <w:rsid w:val="3DFA4C63"/>
    <w:rsid w:val="3E67106F"/>
    <w:rsid w:val="3E7B3341"/>
    <w:rsid w:val="3E9A3227"/>
    <w:rsid w:val="3F814F04"/>
    <w:rsid w:val="3F981B71"/>
    <w:rsid w:val="3F9C1BDA"/>
    <w:rsid w:val="3FA45D01"/>
    <w:rsid w:val="3FE07E89"/>
    <w:rsid w:val="3FFB4D22"/>
    <w:rsid w:val="40107C33"/>
    <w:rsid w:val="401527FC"/>
    <w:rsid w:val="40181D19"/>
    <w:rsid w:val="403A20FD"/>
    <w:rsid w:val="411E335F"/>
    <w:rsid w:val="41A05B22"/>
    <w:rsid w:val="41C45387"/>
    <w:rsid w:val="421D447F"/>
    <w:rsid w:val="42775F1B"/>
    <w:rsid w:val="42C6780A"/>
    <w:rsid w:val="42E52B99"/>
    <w:rsid w:val="4315253F"/>
    <w:rsid w:val="43DA6840"/>
    <w:rsid w:val="43DE654F"/>
    <w:rsid w:val="44613C8E"/>
    <w:rsid w:val="448D10B7"/>
    <w:rsid w:val="44BC2649"/>
    <w:rsid w:val="44D04DF5"/>
    <w:rsid w:val="450434B5"/>
    <w:rsid w:val="45132AAF"/>
    <w:rsid w:val="452464FC"/>
    <w:rsid w:val="4538149E"/>
    <w:rsid w:val="45823F45"/>
    <w:rsid w:val="46475E61"/>
    <w:rsid w:val="471131FC"/>
    <w:rsid w:val="47597308"/>
    <w:rsid w:val="47A04ACD"/>
    <w:rsid w:val="48DD0D98"/>
    <w:rsid w:val="493B6489"/>
    <w:rsid w:val="4961472A"/>
    <w:rsid w:val="4AB443EC"/>
    <w:rsid w:val="4AB97C54"/>
    <w:rsid w:val="4B894470"/>
    <w:rsid w:val="4B92297F"/>
    <w:rsid w:val="4C134BE6"/>
    <w:rsid w:val="4CE216E4"/>
    <w:rsid w:val="4CE873F1"/>
    <w:rsid w:val="4D251B32"/>
    <w:rsid w:val="4D597BFC"/>
    <w:rsid w:val="4D82136F"/>
    <w:rsid w:val="4DD5361B"/>
    <w:rsid w:val="4DDF79D2"/>
    <w:rsid w:val="4E8E1914"/>
    <w:rsid w:val="4EC20ABF"/>
    <w:rsid w:val="4EDD2163"/>
    <w:rsid w:val="4F455F5A"/>
    <w:rsid w:val="4F5706B7"/>
    <w:rsid w:val="4F6A3DC8"/>
    <w:rsid w:val="4F9D15E4"/>
    <w:rsid w:val="4FB33A55"/>
    <w:rsid w:val="506A05A8"/>
    <w:rsid w:val="51687DFC"/>
    <w:rsid w:val="524F77C2"/>
    <w:rsid w:val="525210BA"/>
    <w:rsid w:val="5331733B"/>
    <w:rsid w:val="53974AC8"/>
    <w:rsid w:val="53A35A5E"/>
    <w:rsid w:val="545A4F71"/>
    <w:rsid w:val="54B957B5"/>
    <w:rsid w:val="571C57F3"/>
    <w:rsid w:val="573B211D"/>
    <w:rsid w:val="5765468B"/>
    <w:rsid w:val="58240E03"/>
    <w:rsid w:val="583974CB"/>
    <w:rsid w:val="585873AA"/>
    <w:rsid w:val="58A36241"/>
    <w:rsid w:val="58F86605"/>
    <w:rsid w:val="59073951"/>
    <w:rsid w:val="592119C7"/>
    <w:rsid w:val="59501632"/>
    <w:rsid w:val="597F1763"/>
    <w:rsid w:val="5A785436"/>
    <w:rsid w:val="5AB51481"/>
    <w:rsid w:val="5ACB7804"/>
    <w:rsid w:val="5B3475AF"/>
    <w:rsid w:val="5B653C1B"/>
    <w:rsid w:val="5BE16F07"/>
    <w:rsid w:val="5C7A36E7"/>
    <w:rsid w:val="5CD85E7A"/>
    <w:rsid w:val="5CF705D0"/>
    <w:rsid w:val="5D544678"/>
    <w:rsid w:val="5ED66BCF"/>
    <w:rsid w:val="5F2458A6"/>
    <w:rsid w:val="5F4104EC"/>
    <w:rsid w:val="5F48187B"/>
    <w:rsid w:val="5F99F6E4"/>
    <w:rsid w:val="5FAF18FA"/>
    <w:rsid w:val="5FC20B6B"/>
    <w:rsid w:val="60165A83"/>
    <w:rsid w:val="604C4796"/>
    <w:rsid w:val="60C06C3D"/>
    <w:rsid w:val="60EA20B9"/>
    <w:rsid w:val="615C23C3"/>
    <w:rsid w:val="618D7A19"/>
    <w:rsid w:val="61DE2C30"/>
    <w:rsid w:val="62CF5B11"/>
    <w:rsid w:val="62D13F91"/>
    <w:rsid w:val="63253197"/>
    <w:rsid w:val="6335216A"/>
    <w:rsid w:val="63EC71C5"/>
    <w:rsid w:val="63FF3C7C"/>
    <w:rsid w:val="640B3388"/>
    <w:rsid w:val="645111D2"/>
    <w:rsid w:val="646053A7"/>
    <w:rsid w:val="647A6023"/>
    <w:rsid w:val="64A64951"/>
    <w:rsid w:val="64AD03D2"/>
    <w:rsid w:val="64B41760"/>
    <w:rsid w:val="654523B9"/>
    <w:rsid w:val="655A671B"/>
    <w:rsid w:val="65C34CC5"/>
    <w:rsid w:val="66205447"/>
    <w:rsid w:val="663B30B9"/>
    <w:rsid w:val="66601085"/>
    <w:rsid w:val="669D6FF3"/>
    <w:rsid w:val="66E0683D"/>
    <w:rsid w:val="675A65EF"/>
    <w:rsid w:val="67BF6A43"/>
    <w:rsid w:val="6837079B"/>
    <w:rsid w:val="69877326"/>
    <w:rsid w:val="69C47E81"/>
    <w:rsid w:val="69E63CF1"/>
    <w:rsid w:val="6A8676FB"/>
    <w:rsid w:val="6AA302AD"/>
    <w:rsid w:val="6AA77936"/>
    <w:rsid w:val="6B1E538B"/>
    <w:rsid w:val="6B633949"/>
    <w:rsid w:val="6B6F018F"/>
    <w:rsid w:val="6B7859B5"/>
    <w:rsid w:val="6B881251"/>
    <w:rsid w:val="6BAB24B1"/>
    <w:rsid w:val="6BF126E9"/>
    <w:rsid w:val="6C4725B8"/>
    <w:rsid w:val="6CAD23B4"/>
    <w:rsid w:val="6CF959A5"/>
    <w:rsid w:val="6D9E6B0A"/>
    <w:rsid w:val="6DD4443F"/>
    <w:rsid w:val="6E397C4F"/>
    <w:rsid w:val="6EA6036C"/>
    <w:rsid w:val="6EC71B04"/>
    <w:rsid w:val="6F027C7B"/>
    <w:rsid w:val="6F5917FF"/>
    <w:rsid w:val="6FCF744E"/>
    <w:rsid w:val="70113542"/>
    <w:rsid w:val="7015380A"/>
    <w:rsid w:val="70166B54"/>
    <w:rsid w:val="70BE32C7"/>
    <w:rsid w:val="70DB4FE7"/>
    <w:rsid w:val="71973F9C"/>
    <w:rsid w:val="7206286A"/>
    <w:rsid w:val="73011EF3"/>
    <w:rsid w:val="73027B3B"/>
    <w:rsid w:val="734E4912"/>
    <w:rsid w:val="738460E5"/>
    <w:rsid w:val="73892EDE"/>
    <w:rsid w:val="73C53042"/>
    <w:rsid w:val="73E01C2A"/>
    <w:rsid w:val="7426410F"/>
    <w:rsid w:val="743F175E"/>
    <w:rsid w:val="749409BF"/>
    <w:rsid w:val="74B51B1D"/>
    <w:rsid w:val="74BF6C55"/>
    <w:rsid w:val="755E374E"/>
    <w:rsid w:val="75915985"/>
    <w:rsid w:val="75B93A72"/>
    <w:rsid w:val="75BE5B78"/>
    <w:rsid w:val="76363F76"/>
    <w:rsid w:val="76702C63"/>
    <w:rsid w:val="76D65566"/>
    <w:rsid w:val="77020109"/>
    <w:rsid w:val="77031CCE"/>
    <w:rsid w:val="771A5453"/>
    <w:rsid w:val="77640DC4"/>
    <w:rsid w:val="77704DA8"/>
    <w:rsid w:val="77CB0B19"/>
    <w:rsid w:val="78052479"/>
    <w:rsid w:val="783A40EE"/>
    <w:rsid w:val="7856443F"/>
    <w:rsid w:val="787B63C5"/>
    <w:rsid w:val="78BF1A53"/>
    <w:rsid w:val="78D36201"/>
    <w:rsid w:val="78F63C9E"/>
    <w:rsid w:val="796230E1"/>
    <w:rsid w:val="79D80F60"/>
    <w:rsid w:val="79FA156C"/>
    <w:rsid w:val="7A737492"/>
    <w:rsid w:val="7A7725FA"/>
    <w:rsid w:val="7A8A3C4A"/>
    <w:rsid w:val="7AE57B48"/>
    <w:rsid w:val="7AEC445C"/>
    <w:rsid w:val="7B8B4B71"/>
    <w:rsid w:val="7B9559F0"/>
    <w:rsid w:val="7BD171F7"/>
    <w:rsid w:val="7BF54F1B"/>
    <w:rsid w:val="7C297558"/>
    <w:rsid w:val="7C310CB0"/>
    <w:rsid w:val="7C716ED4"/>
    <w:rsid w:val="7D3014EE"/>
    <w:rsid w:val="7DC437A0"/>
    <w:rsid w:val="7E0429B9"/>
    <w:rsid w:val="7E350618"/>
    <w:rsid w:val="7E866528"/>
    <w:rsid w:val="7EC77340"/>
    <w:rsid w:val="7EDA493C"/>
    <w:rsid w:val="7EFB0EB5"/>
    <w:rsid w:val="7F106850"/>
    <w:rsid w:val="7F196938"/>
    <w:rsid w:val="7F1E7AAB"/>
    <w:rsid w:val="7F5D4A77"/>
    <w:rsid w:val="7F71139D"/>
    <w:rsid w:val="7F71407E"/>
    <w:rsid w:val="7F7B6CAB"/>
    <w:rsid w:val="7F9F2AA4"/>
    <w:rsid w:val="7FBB635F"/>
    <w:rsid w:val="7FF432FB"/>
    <w:rsid w:val="AEBC8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before="340" w:after="330" w:line="578" w:lineRule="auto"/>
      <w:jc w:val="center"/>
      <w:outlineLvl w:val="0"/>
    </w:pPr>
    <w:rPr>
      <w:rFonts w:eastAsia="仿宋_GB2312"/>
      <w:b/>
      <w:bCs/>
      <w:kern w:val="44"/>
      <w:sz w:val="44"/>
      <w:szCs w:val="44"/>
    </w:rPr>
  </w:style>
  <w:style w:type="paragraph" w:styleId="5">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4"/>
    <w:qFormat/>
    <w:uiPriority w:val="0"/>
    <w:pPr>
      <w:keepNext/>
      <w:keepLines/>
      <w:spacing w:before="260" w:after="260" w:line="416" w:lineRule="auto"/>
      <w:outlineLvl w:val="2"/>
    </w:pPr>
    <w:rPr>
      <w:rFonts w:ascii="宋体" w:hAnsi="Courier New"/>
      <w:b/>
      <w:bCs/>
      <w:sz w:val="32"/>
      <w:szCs w:val="32"/>
    </w:rPr>
  </w:style>
  <w:style w:type="paragraph" w:styleId="7">
    <w:name w:val="heading 4"/>
    <w:basedOn w:val="1"/>
    <w:next w:val="1"/>
    <w:link w:val="65"/>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6"/>
    <w:qFormat/>
    <w:uiPriority w:val="0"/>
    <w:pPr>
      <w:keepNext/>
      <w:keepLines/>
      <w:spacing w:before="280" w:after="290" w:line="376" w:lineRule="auto"/>
      <w:outlineLvl w:val="4"/>
    </w:pPr>
    <w:rPr>
      <w:b/>
      <w:sz w:val="28"/>
    </w:rPr>
  </w:style>
  <w:style w:type="paragraph" w:styleId="10">
    <w:name w:val="heading 6"/>
    <w:basedOn w:val="1"/>
    <w:next w:val="9"/>
    <w:link w:val="68"/>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69"/>
    <w:qFormat/>
    <w:uiPriority w:val="99"/>
    <w:pPr>
      <w:keepNext/>
      <w:keepLines/>
      <w:spacing w:before="240" w:after="64" w:line="320" w:lineRule="auto"/>
      <w:outlineLvl w:val="6"/>
    </w:pPr>
    <w:rPr>
      <w:b/>
      <w:sz w:val="24"/>
    </w:rPr>
  </w:style>
  <w:style w:type="paragraph" w:styleId="12">
    <w:name w:val="heading 8"/>
    <w:basedOn w:val="1"/>
    <w:next w:val="9"/>
    <w:link w:val="70"/>
    <w:qFormat/>
    <w:uiPriority w:val="99"/>
    <w:pPr>
      <w:keepNext/>
      <w:keepLines/>
      <w:spacing w:before="240" w:after="64" w:line="320" w:lineRule="auto"/>
      <w:outlineLvl w:val="7"/>
    </w:pPr>
    <w:rPr>
      <w:rFonts w:ascii="Arial" w:hAnsi="Arial" w:eastAsia="黑体"/>
      <w:sz w:val="24"/>
    </w:rPr>
  </w:style>
  <w:style w:type="paragraph" w:styleId="13">
    <w:name w:val="heading 9"/>
    <w:basedOn w:val="1"/>
    <w:next w:val="9"/>
    <w:link w:val="71"/>
    <w:qFormat/>
    <w:uiPriority w:val="99"/>
    <w:pPr>
      <w:keepNext/>
      <w:keepLines/>
      <w:spacing w:before="240" w:after="64" w:line="320" w:lineRule="auto"/>
      <w:outlineLvl w:val="8"/>
    </w:pPr>
    <w:rPr>
      <w:rFonts w:ascii="Arial" w:hAnsi="Arial" w:eastAsia="黑体"/>
    </w:rPr>
  </w:style>
  <w:style w:type="character" w:default="1" w:styleId="51">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61"/>
    <w:qFormat/>
    <w:uiPriority w:val="99"/>
    <w:pPr>
      <w:spacing w:line="380" w:lineRule="exact"/>
    </w:pPr>
    <w:rPr>
      <w:sz w:val="24"/>
    </w:rPr>
  </w:style>
  <w:style w:type="paragraph" w:styleId="3">
    <w:name w:val="Body Text 2"/>
    <w:basedOn w:val="1"/>
    <w:link w:val="88"/>
    <w:qFormat/>
    <w:uiPriority w:val="99"/>
    <w:pPr>
      <w:spacing w:after="120" w:line="480" w:lineRule="auto"/>
    </w:pPr>
  </w:style>
  <w:style w:type="paragraph" w:styleId="9">
    <w:name w:val="Normal Indent"/>
    <w:basedOn w:val="1"/>
    <w:link w:val="67"/>
    <w:qFormat/>
    <w:uiPriority w:val="99"/>
    <w:pPr>
      <w:ind w:firstLine="420"/>
    </w:pPr>
    <w:rPr>
      <w:szCs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szCs w:val="20"/>
    </w:rPr>
  </w:style>
  <w:style w:type="paragraph" w:styleId="15">
    <w:name w:val="table of authorities"/>
    <w:basedOn w:val="1"/>
    <w:next w:val="1"/>
    <w:link w:val="72"/>
    <w:semiHidden/>
    <w:qFormat/>
    <w:uiPriority w:val="0"/>
    <w:pPr>
      <w:ind w:left="420" w:leftChars="200"/>
    </w:pPr>
  </w:style>
  <w:style w:type="paragraph" w:styleId="16">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Document Map"/>
    <w:basedOn w:val="1"/>
    <w:link w:val="73"/>
    <w:semiHidden/>
    <w:qFormat/>
    <w:uiPriority w:val="99"/>
    <w:pPr>
      <w:shd w:val="clear" w:color="auto" w:fill="000080"/>
    </w:pPr>
  </w:style>
  <w:style w:type="paragraph" w:styleId="19">
    <w:name w:val="annotation text"/>
    <w:basedOn w:val="1"/>
    <w:link w:val="74"/>
    <w:qFormat/>
    <w:uiPriority w:val="99"/>
    <w:pPr>
      <w:jc w:val="left"/>
    </w:pPr>
  </w:style>
  <w:style w:type="paragraph" w:styleId="20">
    <w:name w:val="Body Text 3"/>
    <w:basedOn w:val="1"/>
    <w:link w:val="75"/>
    <w:qFormat/>
    <w:uiPriority w:val="0"/>
    <w:pPr>
      <w:spacing w:line="500" w:lineRule="exact"/>
    </w:pPr>
    <w:rPr>
      <w:b/>
      <w:bCs/>
      <w:sz w:val="24"/>
    </w:rPr>
  </w:style>
  <w:style w:type="paragraph" w:styleId="21">
    <w:name w:val="Body Text Indent"/>
    <w:basedOn w:val="1"/>
    <w:link w:val="76"/>
    <w:qFormat/>
    <w:uiPriority w:val="99"/>
    <w:pPr>
      <w:ind w:firstLine="830" w:firstLineChars="352"/>
    </w:pPr>
    <w:rPr>
      <w:rFonts w:ascii="仿宋_GB2312" w:eastAsia="仿宋_GB2312"/>
      <w:sz w:val="32"/>
      <w:szCs w:val="20"/>
    </w:rPr>
  </w:style>
  <w:style w:type="paragraph" w:styleId="22">
    <w:name w:val="List Number 3"/>
    <w:basedOn w:val="1"/>
    <w:qFormat/>
    <w:uiPriority w:val="99"/>
    <w:pPr>
      <w:tabs>
        <w:tab w:val="left" w:pos="360"/>
      </w:tabs>
      <w:ind w:left="360" w:hanging="360"/>
    </w:pPr>
  </w:style>
  <w:style w:type="paragraph" w:styleId="23">
    <w:name w:val="List 2"/>
    <w:basedOn w:val="1"/>
    <w:qFormat/>
    <w:uiPriority w:val="99"/>
    <w:pPr>
      <w:ind w:left="100" w:leftChars="200" w:hanging="200" w:hangingChars="200"/>
    </w:pPr>
    <w:rPr>
      <w:sz w:val="28"/>
    </w:rPr>
  </w:style>
  <w:style w:type="paragraph" w:styleId="24">
    <w:name w:val="toc 5"/>
    <w:basedOn w:val="1"/>
    <w:next w:val="1"/>
    <w:qFormat/>
    <w:uiPriority w:val="99"/>
    <w:pPr>
      <w:spacing w:line="360" w:lineRule="auto"/>
      <w:ind w:left="960" w:firstLine="200" w:firstLineChars="200"/>
      <w:jc w:val="left"/>
    </w:pPr>
    <w:rPr>
      <w:rFonts w:ascii="Calibri" w:hAnsi="Calibri"/>
      <w:sz w:val="20"/>
      <w:szCs w:val="20"/>
    </w:rPr>
  </w:style>
  <w:style w:type="paragraph" w:styleId="25">
    <w:name w:val="toc 3"/>
    <w:basedOn w:val="1"/>
    <w:next w:val="1"/>
    <w:qFormat/>
    <w:uiPriority w:val="99"/>
    <w:pPr>
      <w:ind w:left="840" w:leftChars="400"/>
    </w:pPr>
  </w:style>
  <w:style w:type="paragraph" w:styleId="26">
    <w:name w:val="Plain Text"/>
    <w:basedOn w:val="1"/>
    <w:link w:val="77"/>
    <w:qFormat/>
    <w:uiPriority w:val="0"/>
    <w:rPr>
      <w:rFonts w:ascii="宋体" w:hAnsi="Courier New" w:cs="Courier New"/>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szCs w:val="20"/>
    </w:rPr>
  </w:style>
  <w:style w:type="paragraph" w:styleId="28">
    <w:name w:val="Date"/>
    <w:basedOn w:val="1"/>
    <w:next w:val="1"/>
    <w:link w:val="78"/>
    <w:qFormat/>
    <w:uiPriority w:val="99"/>
    <w:pPr>
      <w:ind w:left="100" w:leftChars="2500"/>
    </w:pPr>
    <w:rPr>
      <w:rFonts w:ascii="宋体" w:hAnsi="Courier New" w:cs="Courier New"/>
      <w:szCs w:val="21"/>
    </w:rPr>
  </w:style>
  <w:style w:type="paragraph" w:styleId="29">
    <w:name w:val="Body Text Indent 2"/>
    <w:basedOn w:val="1"/>
    <w:link w:val="79"/>
    <w:qFormat/>
    <w:uiPriority w:val="99"/>
    <w:pPr>
      <w:ind w:firstLine="630"/>
    </w:pPr>
    <w:rPr>
      <w:sz w:val="32"/>
      <w:szCs w:val="20"/>
    </w:rPr>
  </w:style>
  <w:style w:type="paragraph" w:styleId="30">
    <w:name w:val="endnote text"/>
    <w:basedOn w:val="1"/>
    <w:link w:val="80"/>
    <w:qFormat/>
    <w:uiPriority w:val="99"/>
    <w:pPr>
      <w:snapToGrid w:val="0"/>
      <w:spacing w:line="480" w:lineRule="exact"/>
      <w:jc w:val="left"/>
    </w:pPr>
    <w:rPr>
      <w:rFonts w:ascii="微软雅黑" w:hAnsi="微软雅黑" w:eastAsia="微软雅黑"/>
      <w:kern w:val="0"/>
      <w:sz w:val="20"/>
      <w:szCs w:val="20"/>
    </w:rPr>
  </w:style>
  <w:style w:type="paragraph" w:styleId="31">
    <w:name w:val="Balloon Text"/>
    <w:basedOn w:val="1"/>
    <w:link w:val="81"/>
    <w:qFormat/>
    <w:uiPriority w:val="99"/>
    <w:rPr>
      <w:sz w:val="18"/>
      <w:szCs w:val="18"/>
    </w:rPr>
  </w:style>
  <w:style w:type="paragraph" w:styleId="32">
    <w:name w:val="footer"/>
    <w:basedOn w:val="1"/>
    <w:next w:val="1"/>
    <w:link w:val="82"/>
    <w:qFormat/>
    <w:uiPriority w:val="0"/>
    <w:pPr>
      <w:tabs>
        <w:tab w:val="center" w:pos="4153"/>
        <w:tab w:val="right" w:pos="8306"/>
      </w:tabs>
      <w:snapToGrid w:val="0"/>
      <w:jc w:val="left"/>
    </w:pPr>
    <w:rPr>
      <w:sz w:val="18"/>
      <w:szCs w:val="18"/>
    </w:rPr>
  </w:style>
  <w:style w:type="paragraph" w:styleId="33">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link w:val="84"/>
    <w:qFormat/>
    <w:uiPriority w:val="39"/>
  </w:style>
  <w:style w:type="paragraph" w:styleId="35">
    <w:name w:val="toc 4"/>
    <w:basedOn w:val="1"/>
    <w:next w:val="1"/>
    <w:qFormat/>
    <w:uiPriority w:val="99"/>
    <w:pPr>
      <w:spacing w:line="360" w:lineRule="auto"/>
      <w:ind w:left="720" w:firstLine="200" w:firstLineChars="200"/>
      <w:jc w:val="left"/>
    </w:pPr>
    <w:rPr>
      <w:rFonts w:ascii="Calibri" w:hAnsi="Calibri"/>
      <w:sz w:val="20"/>
      <w:szCs w:val="20"/>
    </w:rPr>
  </w:style>
  <w:style w:type="paragraph" w:styleId="36">
    <w:name w:val="Subtitle"/>
    <w:basedOn w:val="1"/>
    <w:next w:val="1"/>
    <w:link w:val="85"/>
    <w:qFormat/>
    <w:uiPriority w:val="99"/>
    <w:pPr>
      <w:widowControl/>
      <w:spacing w:after="200" w:line="276" w:lineRule="auto"/>
      <w:jc w:val="left"/>
    </w:pPr>
    <w:rPr>
      <w:rFonts w:ascii="Cambria" w:hAnsi="Cambria"/>
      <w:i/>
      <w:iCs/>
      <w:color w:val="4F81BD"/>
      <w:spacing w:val="15"/>
      <w:kern w:val="0"/>
      <w:sz w:val="20"/>
      <w:szCs w:val="20"/>
    </w:rPr>
  </w:style>
  <w:style w:type="paragraph" w:styleId="37">
    <w:name w:val="List"/>
    <w:basedOn w:val="1"/>
    <w:qFormat/>
    <w:uiPriority w:val="99"/>
    <w:pPr>
      <w:ind w:left="200" w:hanging="200" w:hangingChars="200"/>
    </w:pPr>
    <w:rPr>
      <w:sz w:val="28"/>
    </w:rPr>
  </w:style>
  <w:style w:type="paragraph" w:styleId="38">
    <w:name w:val="footnote text"/>
    <w:basedOn w:val="1"/>
    <w:link w:val="86"/>
    <w:qFormat/>
    <w:uiPriority w:val="99"/>
    <w:pPr>
      <w:snapToGrid w:val="0"/>
      <w:spacing w:afterLines="50" w:line="360" w:lineRule="auto"/>
      <w:ind w:firstLine="200" w:firstLineChars="200"/>
      <w:jc w:val="left"/>
    </w:pPr>
    <w:rPr>
      <w:rFonts w:ascii="Arial" w:hAnsi="Arial" w:cs="Arial"/>
      <w:kern w:val="0"/>
      <w:sz w:val="18"/>
      <w:szCs w:val="18"/>
    </w:rPr>
  </w:style>
  <w:style w:type="paragraph" w:styleId="39">
    <w:name w:val="toc 6"/>
    <w:basedOn w:val="1"/>
    <w:next w:val="1"/>
    <w:qFormat/>
    <w:uiPriority w:val="99"/>
    <w:pPr>
      <w:spacing w:line="360" w:lineRule="auto"/>
      <w:ind w:left="1200" w:firstLine="200" w:firstLineChars="200"/>
      <w:jc w:val="left"/>
    </w:pPr>
    <w:rPr>
      <w:rFonts w:ascii="Calibri" w:hAnsi="Calibri"/>
      <w:sz w:val="20"/>
      <w:szCs w:val="20"/>
    </w:rPr>
  </w:style>
  <w:style w:type="paragraph" w:styleId="40">
    <w:name w:val="Body Text Indent 3"/>
    <w:basedOn w:val="1"/>
    <w:link w:val="87"/>
    <w:qFormat/>
    <w:uiPriority w:val="99"/>
    <w:pPr>
      <w:spacing w:after="120"/>
      <w:ind w:left="420" w:leftChars="200"/>
    </w:pPr>
    <w:rPr>
      <w:sz w:val="16"/>
      <w:szCs w:val="16"/>
    </w:rPr>
  </w:style>
  <w:style w:type="paragraph" w:styleId="41">
    <w:name w:val="toc 9"/>
    <w:basedOn w:val="1"/>
    <w:next w:val="1"/>
    <w:semiHidden/>
    <w:qFormat/>
    <w:uiPriority w:val="99"/>
    <w:pPr>
      <w:tabs>
        <w:tab w:val="right" w:leader="dot" w:pos="9185"/>
      </w:tabs>
      <w:spacing w:line="420" w:lineRule="exact"/>
      <w:ind w:firstLine="422" w:firstLineChars="200"/>
      <w:jc w:val="left"/>
      <w:outlineLvl w:val="0"/>
    </w:pPr>
    <w:rPr>
      <w:b/>
    </w:rPr>
  </w:style>
  <w:style w:type="paragraph" w:styleId="42">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99"/>
  </w:style>
  <w:style w:type="paragraph" w:styleId="45">
    <w:name w:val="Title"/>
    <w:basedOn w:val="1"/>
    <w:next w:val="1"/>
    <w:link w:val="90"/>
    <w:qFormat/>
    <w:uiPriority w:val="99"/>
    <w:pPr>
      <w:spacing w:line="300" w:lineRule="auto"/>
      <w:ind w:left="100" w:leftChars="100" w:right="100" w:rightChars="100" w:firstLine="200" w:firstLineChars="200"/>
      <w:jc w:val="left"/>
      <w:outlineLvl w:val="0"/>
    </w:pPr>
    <w:rPr>
      <w:rFonts w:ascii="Cambria" w:hAnsi="Cambria" w:eastAsia="方正小标宋_GBK"/>
      <w:b/>
      <w:bCs/>
      <w:kern w:val="0"/>
      <w:sz w:val="44"/>
      <w:szCs w:val="32"/>
    </w:rPr>
  </w:style>
  <w:style w:type="paragraph" w:styleId="46">
    <w:name w:val="annotation subject"/>
    <w:basedOn w:val="19"/>
    <w:next w:val="19"/>
    <w:link w:val="91"/>
    <w:qFormat/>
    <w:uiPriority w:val="99"/>
    <w:rPr>
      <w:b/>
      <w:bCs/>
    </w:rPr>
  </w:style>
  <w:style w:type="paragraph" w:styleId="47">
    <w:name w:val="Body Text First Indent 2"/>
    <w:basedOn w:val="21"/>
    <w:link w:val="92"/>
    <w:qFormat/>
    <w:uiPriority w:val="99"/>
    <w:pPr>
      <w:spacing w:after="120"/>
      <w:ind w:left="420" w:leftChars="200" w:firstLine="420" w:firstLineChars="200"/>
    </w:pPr>
    <w:rPr>
      <w:rFonts w:ascii="Times New Roman" w:eastAsia="宋体"/>
      <w:sz w:val="21"/>
      <w:szCs w:val="24"/>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Table Theme"/>
    <w:basedOn w:val="48"/>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endnote reference"/>
    <w:qFormat/>
    <w:uiPriority w:val="0"/>
    <w:rPr>
      <w:vertAlign w:val="superscript"/>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color w:val="CC0033"/>
    </w:rPr>
  </w:style>
  <w:style w:type="character" w:styleId="57">
    <w:name w:val="Hyperlink"/>
    <w:qFormat/>
    <w:uiPriority w:val="0"/>
    <w:rPr>
      <w:color w:val="0000FF"/>
      <w:u w:val="single"/>
    </w:rPr>
  </w:style>
  <w:style w:type="character" w:styleId="58">
    <w:name w:val="annotation reference"/>
    <w:qFormat/>
    <w:uiPriority w:val="99"/>
    <w:rPr>
      <w:sz w:val="21"/>
      <w:szCs w:val="21"/>
    </w:rPr>
  </w:style>
  <w:style w:type="character" w:styleId="59">
    <w:name w:val="footnote reference"/>
    <w:qFormat/>
    <w:uiPriority w:val="0"/>
    <w:rPr>
      <w:vertAlign w:val="superscript"/>
    </w:rPr>
  </w:style>
  <w:style w:type="paragraph" w:customStyle="1" w:styleId="60">
    <w:name w:val="Default"/>
    <w:next w:val="28"/>
    <w:qFormat/>
    <w:uiPriority w:val="0"/>
    <w:pPr>
      <w:widowControl w:val="0"/>
      <w:autoSpaceDE w:val="0"/>
      <w:autoSpaceDN w:val="0"/>
      <w:adjustRightInd w:val="0"/>
      <w:spacing w:line="400" w:lineRule="exact"/>
      <w:ind w:firstLine="200" w:firstLineChars="200"/>
      <w:jc w:val="both"/>
    </w:pPr>
    <w:rPr>
      <w:rFonts w:ascii="宋体" w:hAnsi="Times New Roman" w:eastAsia="宋体" w:cs="宋体"/>
      <w:color w:val="000000"/>
      <w:sz w:val="24"/>
      <w:szCs w:val="24"/>
      <w:lang w:val="en-US" w:eastAsia="zh-CN" w:bidi="ar-SA"/>
    </w:rPr>
  </w:style>
  <w:style w:type="character" w:customStyle="1" w:styleId="61">
    <w:name w:val="正文文本 字符"/>
    <w:link w:val="2"/>
    <w:qFormat/>
    <w:uiPriority w:val="99"/>
    <w:rPr>
      <w:kern w:val="2"/>
      <w:sz w:val="24"/>
      <w:szCs w:val="24"/>
    </w:rPr>
  </w:style>
  <w:style w:type="character" w:customStyle="1" w:styleId="62">
    <w:name w:val="标题 1 字符"/>
    <w:link w:val="4"/>
    <w:qFormat/>
    <w:uiPriority w:val="0"/>
    <w:rPr>
      <w:rFonts w:eastAsia="仿宋_GB2312"/>
      <w:b/>
      <w:bCs/>
      <w:kern w:val="44"/>
      <w:sz w:val="44"/>
      <w:szCs w:val="44"/>
      <w:lang w:val="en-US" w:eastAsia="zh-CN" w:bidi="ar-SA"/>
    </w:rPr>
  </w:style>
  <w:style w:type="character" w:customStyle="1" w:styleId="63">
    <w:name w:val="标题 2 字符"/>
    <w:link w:val="5"/>
    <w:qFormat/>
    <w:uiPriority w:val="0"/>
    <w:rPr>
      <w:rFonts w:ascii="Arial" w:hAnsi="Arial" w:eastAsia="黑体"/>
      <w:b/>
      <w:bCs/>
      <w:kern w:val="2"/>
      <w:sz w:val="32"/>
      <w:szCs w:val="32"/>
      <w:lang w:val="en-US" w:eastAsia="zh-CN" w:bidi="ar-SA"/>
    </w:rPr>
  </w:style>
  <w:style w:type="character" w:customStyle="1" w:styleId="64">
    <w:name w:val="标题 3 字符"/>
    <w:link w:val="6"/>
    <w:qFormat/>
    <w:uiPriority w:val="0"/>
    <w:rPr>
      <w:rFonts w:ascii="宋体" w:hAnsi="Courier New" w:eastAsia="宋体"/>
      <w:b/>
      <w:bCs/>
      <w:kern w:val="2"/>
      <w:sz w:val="32"/>
      <w:szCs w:val="32"/>
      <w:lang w:val="en-US" w:eastAsia="zh-CN" w:bidi="ar-SA"/>
    </w:rPr>
  </w:style>
  <w:style w:type="character" w:customStyle="1" w:styleId="65">
    <w:name w:val="标题 4 字符"/>
    <w:link w:val="7"/>
    <w:qFormat/>
    <w:locked/>
    <w:uiPriority w:val="9"/>
    <w:rPr>
      <w:rFonts w:ascii="Arial" w:hAnsi="Arial" w:eastAsia="黑体"/>
      <w:b/>
      <w:bCs/>
      <w:kern w:val="2"/>
      <w:sz w:val="28"/>
      <w:szCs w:val="28"/>
      <w:lang w:val="en-US" w:eastAsia="zh-CN" w:bidi="ar-SA"/>
    </w:rPr>
  </w:style>
  <w:style w:type="character" w:customStyle="1" w:styleId="66">
    <w:name w:val="标题 5 字符"/>
    <w:link w:val="8"/>
    <w:qFormat/>
    <w:locked/>
    <w:uiPriority w:val="0"/>
    <w:rPr>
      <w:rFonts w:eastAsia="宋体"/>
      <w:b/>
      <w:kern w:val="2"/>
      <w:sz w:val="28"/>
      <w:szCs w:val="24"/>
      <w:lang w:bidi="ar-SA"/>
    </w:rPr>
  </w:style>
  <w:style w:type="character" w:customStyle="1" w:styleId="67">
    <w:name w:val="正文缩进 字符"/>
    <w:link w:val="9"/>
    <w:qFormat/>
    <w:locked/>
    <w:uiPriority w:val="99"/>
    <w:rPr>
      <w:rFonts w:eastAsia="宋体"/>
      <w:kern w:val="2"/>
      <w:sz w:val="21"/>
      <w:lang w:val="en-US" w:eastAsia="zh-CN" w:bidi="ar-SA"/>
    </w:rPr>
  </w:style>
  <w:style w:type="character" w:customStyle="1" w:styleId="68">
    <w:name w:val="标题 6 字符"/>
    <w:link w:val="10"/>
    <w:qFormat/>
    <w:locked/>
    <w:uiPriority w:val="0"/>
    <w:rPr>
      <w:rFonts w:ascii="Arial" w:hAnsi="Arial" w:eastAsia="黑体"/>
      <w:b/>
      <w:kern w:val="2"/>
      <w:sz w:val="24"/>
      <w:szCs w:val="24"/>
      <w:lang w:bidi="ar-SA"/>
    </w:rPr>
  </w:style>
  <w:style w:type="character" w:customStyle="1" w:styleId="69">
    <w:name w:val="标题 7 字符"/>
    <w:link w:val="11"/>
    <w:qFormat/>
    <w:locked/>
    <w:uiPriority w:val="99"/>
    <w:rPr>
      <w:rFonts w:eastAsia="宋体"/>
      <w:b/>
      <w:kern w:val="2"/>
      <w:sz w:val="24"/>
      <w:szCs w:val="24"/>
      <w:lang w:bidi="ar-SA"/>
    </w:rPr>
  </w:style>
  <w:style w:type="character" w:customStyle="1" w:styleId="70">
    <w:name w:val="标题 8 字符"/>
    <w:link w:val="12"/>
    <w:qFormat/>
    <w:locked/>
    <w:uiPriority w:val="99"/>
    <w:rPr>
      <w:rFonts w:ascii="Arial" w:hAnsi="Arial" w:eastAsia="黑体"/>
      <w:kern w:val="2"/>
      <w:sz w:val="24"/>
      <w:szCs w:val="24"/>
      <w:lang w:bidi="ar-SA"/>
    </w:rPr>
  </w:style>
  <w:style w:type="character" w:customStyle="1" w:styleId="71">
    <w:name w:val="标题 9 字符"/>
    <w:link w:val="13"/>
    <w:qFormat/>
    <w:locked/>
    <w:uiPriority w:val="99"/>
    <w:rPr>
      <w:rFonts w:ascii="Arial" w:hAnsi="Arial" w:eastAsia="黑体"/>
      <w:kern w:val="2"/>
      <w:sz w:val="21"/>
      <w:szCs w:val="24"/>
      <w:lang w:bidi="ar-SA"/>
    </w:rPr>
  </w:style>
  <w:style w:type="character" w:customStyle="1" w:styleId="72">
    <w:name w:val="引文目录 字符"/>
    <w:link w:val="15"/>
    <w:qFormat/>
    <w:uiPriority w:val="0"/>
    <w:rPr>
      <w:rFonts w:eastAsia="宋体"/>
      <w:kern w:val="2"/>
      <w:sz w:val="21"/>
      <w:szCs w:val="24"/>
      <w:lang w:val="en-US" w:eastAsia="zh-CN" w:bidi="ar-SA"/>
    </w:rPr>
  </w:style>
  <w:style w:type="character" w:customStyle="1" w:styleId="73">
    <w:name w:val="文档结构图 字符"/>
    <w:link w:val="18"/>
    <w:qFormat/>
    <w:locked/>
    <w:uiPriority w:val="99"/>
    <w:rPr>
      <w:rFonts w:eastAsia="宋体"/>
      <w:kern w:val="2"/>
      <w:sz w:val="21"/>
      <w:szCs w:val="24"/>
      <w:lang w:val="en-US" w:eastAsia="zh-CN" w:bidi="ar-SA"/>
    </w:rPr>
  </w:style>
  <w:style w:type="character" w:customStyle="1" w:styleId="74">
    <w:name w:val="批注文字 字符"/>
    <w:link w:val="19"/>
    <w:qFormat/>
    <w:locked/>
    <w:uiPriority w:val="99"/>
    <w:rPr>
      <w:rFonts w:eastAsia="宋体"/>
      <w:kern w:val="2"/>
      <w:sz w:val="21"/>
      <w:szCs w:val="24"/>
      <w:lang w:val="en-US" w:eastAsia="zh-CN" w:bidi="ar-SA"/>
    </w:rPr>
  </w:style>
  <w:style w:type="character" w:customStyle="1" w:styleId="75">
    <w:name w:val="正文文本 3 字符"/>
    <w:link w:val="20"/>
    <w:qFormat/>
    <w:uiPriority w:val="0"/>
    <w:rPr>
      <w:b/>
      <w:bCs/>
      <w:kern w:val="2"/>
      <w:sz w:val="24"/>
      <w:szCs w:val="24"/>
    </w:rPr>
  </w:style>
  <w:style w:type="character" w:customStyle="1" w:styleId="76">
    <w:name w:val="正文文本缩进 字符"/>
    <w:link w:val="21"/>
    <w:qFormat/>
    <w:uiPriority w:val="99"/>
    <w:rPr>
      <w:rFonts w:ascii="仿宋_GB2312" w:eastAsia="仿宋_GB2312"/>
      <w:kern w:val="2"/>
      <w:sz w:val="32"/>
      <w:lang w:val="en-US" w:eastAsia="zh-CN" w:bidi="ar-SA"/>
    </w:rPr>
  </w:style>
  <w:style w:type="character" w:customStyle="1" w:styleId="77">
    <w:name w:val="纯文本 字符1"/>
    <w:link w:val="26"/>
    <w:qFormat/>
    <w:uiPriority w:val="99"/>
    <w:rPr>
      <w:rFonts w:ascii="宋体" w:hAnsi="Courier New" w:eastAsia="宋体" w:cs="Courier New"/>
      <w:kern w:val="2"/>
      <w:sz w:val="21"/>
      <w:szCs w:val="21"/>
      <w:lang w:val="en-US" w:eastAsia="zh-CN" w:bidi="ar-SA"/>
    </w:rPr>
  </w:style>
  <w:style w:type="character" w:customStyle="1" w:styleId="78">
    <w:name w:val="日期 字符"/>
    <w:link w:val="28"/>
    <w:qFormat/>
    <w:locked/>
    <w:uiPriority w:val="99"/>
    <w:rPr>
      <w:rFonts w:ascii="宋体" w:hAnsi="Courier New" w:eastAsia="宋体" w:cs="Courier New"/>
      <w:kern w:val="2"/>
      <w:sz w:val="21"/>
      <w:szCs w:val="21"/>
      <w:lang w:val="en-US" w:eastAsia="zh-CN" w:bidi="ar-SA"/>
    </w:rPr>
  </w:style>
  <w:style w:type="character" w:customStyle="1" w:styleId="79">
    <w:name w:val="正文文本缩进 2 字符"/>
    <w:link w:val="29"/>
    <w:qFormat/>
    <w:uiPriority w:val="99"/>
    <w:rPr>
      <w:kern w:val="2"/>
      <w:sz w:val="32"/>
    </w:rPr>
  </w:style>
  <w:style w:type="character" w:customStyle="1" w:styleId="80">
    <w:name w:val="尾注文本 字符"/>
    <w:link w:val="30"/>
    <w:semiHidden/>
    <w:qFormat/>
    <w:locked/>
    <w:uiPriority w:val="99"/>
    <w:rPr>
      <w:rFonts w:ascii="微软雅黑" w:hAnsi="微软雅黑" w:eastAsia="微软雅黑"/>
      <w:lang w:bidi="ar-SA"/>
    </w:rPr>
  </w:style>
  <w:style w:type="character" w:customStyle="1" w:styleId="81">
    <w:name w:val="批注框文本 字符"/>
    <w:link w:val="31"/>
    <w:qFormat/>
    <w:locked/>
    <w:uiPriority w:val="99"/>
    <w:rPr>
      <w:rFonts w:eastAsia="宋体"/>
      <w:kern w:val="2"/>
      <w:sz w:val="18"/>
      <w:szCs w:val="18"/>
      <w:lang w:val="en-US" w:eastAsia="zh-CN" w:bidi="ar-SA"/>
    </w:rPr>
  </w:style>
  <w:style w:type="character" w:customStyle="1" w:styleId="82">
    <w:name w:val="页脚 字符"/>
    <w:link w:val="32"/>
    <w:qFormat/>
    <w:uiPriority w:val="99"/>
    <w:rPr>
      <w:rFonts w:eastAsia="宋体"/>
      <w:kern w:val="2"/>
      <w:sz w:val="18"/>
      <w:szCs w:val="18"/>
      <w:lang w:val="en-US" w:eastAsia="zh-CN" w:bidi="ar-SA"/>
    </w:rPr>
  </w:style>
  <w:style w:type="character" w:customStyle="1" w:styleId="83">
    <w:name w:val="页眉 字符"/>
    <w:link w:val="33"/>
    <w:qFormat/>
    <w:uiPriority w:val="99"/>
    <w:rPr>
      <w:rFonts w:eastAsia="宋体"/>
      <w:kern w:val="2"/>
      <w:sz w:val="18"/>
      <w:szCs w:val="18"/>
      <w:lang w:val="en-US" w:eastAsia="zh-CN" w:bidi="ar-SA"/>
    </w:rPr>
  </w:style>
  <w:style w:type="character" w:customStyle="1" w:styleId="84">
    <w:name w:val="TOC 1 字符"/>
    <w:link w:val="34"/>
    <w:qFormat/>
    <w:uiPriority w:val="39"/>
    <w:rPr>
      <w:kern w:val="2"/>
      <w:sz w:val="21"/>
      <w:szCs w:val="24"/>
    </w:rPr>
  </w:style>
  <w:style w:type="character" w:customStyle="1" w:styleId="85">
    <w:name w:val="副标题 字符"/>
    <w:link w:val="36"/>
    <w:qFormat/>
    <w:locked/>
    <w:uiPriority w:val="99"/>
    <w:rPr>
      <w:rFonts w:ascii="Cambria" w:hAnsi="Cambria" w:eastAsia="宋体"/>
      <w:i/>
      <w:iCs/>
      <w:color w:val="4F81BD"/>
      <w:spacing w:val="15"/>
      <w:lang w:bidi="ar-SA"/>
    </w:rPr>
  </w:style>
  <w:style w:type="character" w:customStyle="1" w:styleId="86">
    <w:name w:val="脚注文本 字符"/>
    <w:link w:val="38"/>
    <w:qFormat/>
    <w:locked/>
    <w:uiPriority w:val="99"/>
    <w:rPr>
      <w:rFonts w:ascii="Arial" w:hAnsi="Arial" w:eastAsia="宋体" w:cs="Arial"/>
      <w:sz w:val="18"/>
      <w:szCs w:val="18"/>
      <w:lang w:bidi="ar-SA"/>
    </w:rPr>
  </w:style>
  <w:style w:type="character" w:customStyle="1" w:styleId="87">
    <w:name w:val="正文文本缩进 3 字符"/>
    <w:link w:val="40"/>
    <w:qFormat/>
    <w:uiPriority w:val="99"/>
    <w:rPr>
      <w:rFonts w:eastAsia="宋体"/>
      <w:kern w:val="2"/>
      <w:sz w:val="16"/>
      <w:szCs w:val="16"/>
      <w:lang w:val="en-US" w:eastAsia="zh-CN" w:bidi="ar-SA"/>
    </w:rPr>
  </w:style>
  <w:style w:type="character" w:customStyle="1" w:styleId="88">
    <w:name w:val="正文文本 2 字符"/>
    <w:link w:val="3"/>
    <w:qFormat/>
    <w:uiPriority w:val="99"/>
    <w:rPr>
      <w:kern w:val="2"/>
      <w:sz w:val="21"/>
      <w:szCs w:val="24"/>
    </w:rPr>
  </w:style>
  <w:style w:type="character" w:customStyle="1" w:styleId="89">
    <w:name w:val="HTML 预设格式 字符"/>
    <w:link w:val="42"/>
    <w:qFormat/>
    <w:locked/>
    <w:uiPriority w:val="0"/>
    <w:rPr>
      <w:rFonts w:ascii="Arial" w:hAnsi="Arial" w:cs="Arial"/>
      <w:lang w:bidi="ar-SA"/>
    </w:rPr>
  </w:style>
  <w:style w:type="character" w:customStyle="1" w:styleId="90">
    <w:name w:val="标题 字符"/>
    <w:link w:val="45"/>
    <w:qFormat/>
    <w:locked/>
    <w:uiPriority w:val="99"/>
    <w:rPr>
      <w:rFonts w:ascii="Cambria" w:hAnsi="Cambria" w:eastAsia="方正小标宋_GBK"/>
      <w:b/>
      <w:bCs/>
      <w:sz w:val="44"/>
      <w:szCs w:val="32"/>
    </w:rPr>
  </w:style>
  <w:style w:type="character" w:customStyle="1" w:styleId="91">
    <w:name w:val="批注主题 字符"/>
    <w:link w:val="46"/>
    <w:qFormat/>
    <w:locked/>
    <w:uiPriority w:val="99"/>
    <w:rPr>
      <w:rFonts w:eastAsia="宋体"/>
      <w:b/>
      <w:bCs/>
      <w:kern w:val="2"/>
      <w:sz w:val="21"/>
      <w:szCs w:val="24"/>
      <w:lang w:val="en-US" w:eastAsia="zh-CN" w:bidi="ar-SA"/>
    </w:rPr>
  </w:style>
  <w:style w:type="character" w:customStyle="1" w:styleId="92">
    <w:name w:val="正文文本首行缩进 2 字符"/>
    <w:link w:val="47"/>
    <w:qFormat/>
    <w:uiPriority w:val="99"/>
    <w:rPr>
      <w:rFonts w:ascii="仿宋_GB2312" w:eastAsia="仿宋_GB2312"/>
      <w:kern w:val="2"/>
      <w:sz w:val="21"/>
      <w:szCs w:val="24"/>
      <w:lang w:val="en-US" w:eastAsia="zh-CN" w:bidi="ar-SA"/>
    </w:rPr>
  </w:style>
  <w:style w:type="character" w:customStyle="1" w:styleId="93">
    <w:name w:val="OK Char1"/>
    <w:link w:val="94"/>
    <w:qFormat/>
    <w:locked/>
    <w:uiPriority w:val="0"/>
    <w:rPr>
      <w:rFonts w:ascii="宋体" w:hAnsi="宋体" w:eastAsia="宋体"/>
      <w:bCs/>
      <w:lang w:bidi="ar-SA"/>
    </w:rPr>
  </w:style>
  <w:style w:type="paragraph" w:customStyle="1" w:styleId="94">
    <w:name w:val="OK"/>
    <w:basedOn w:val="1"/>
    <w:link w:val="93"/>
    <w:qFormat/>
    <w:uiPriority w:val="0"/>
    <w:pPr>
      <w:spacing w:line="400" w:lineRule="exact"/>
      <w:ind w:firstLine="200" w:firstLineChars="200"/>
      <w:jc w:val="left"/>
    </w:pPr>
    <w:rPr>
      <w:rFonts w:ascii="宋体" w:hAnsi="宋体"/>
      <w:bCs/>
      <w:kern w:val="0"/>
      <w:sz w:val="20"/>
      <w:szCs w:val="20"/>
    </w:rPr>
  </w:style>
  <w:style w:type="character" w:customStyle="1" w:styleId="95">
    <w:name w:val="Char Char21"/>
    <w:qFormat/>
    <w:locked/>
    <w:uiPriority w:val="0"/>
    <w:rPr>
      <w:rFonts w:ascii="Arial" w:hAnsi="Arial" w:eastAsia="微软雅黑"/>
      <w:b/>
      <w:sz w:val="28"/>
      <w:szCs w:val="28"/>
      <w:lang w:bidi="ar-SA"/>
    </w:rPr>
  </w:style>
  <w:style w:type="character" w:customStyle="1" w:styleId="96">
    <w:name w:val="1ji Char"/>
    <w:link w:val="97"/>
    <w:qFormat/>
    <w:uiPriority w:val="0"/>
    <w:rPr>
      <w:rFonts w:ascii="宋体" w:hAnsi="宋体" w:eastAsia="仿宋_GB2312"/>
      <w:b/>
      <w:bCs/>
      <w:kern w:val="44"/>
      <w:sz w:val="36"/>
      <w:szCs w:val="44"/>
      <w:lang w:val="en-US" w:eastAsia="zh-CN" w:bidi="ar-SA"/>
    </w:rPr>
  </w:style>
  <w:style w:type="paragraph" w:customStyle="1" w:styleId="97">
    <w:name w:val="1ji"/>
    <w:basedOn w:val="4"/>
    <w:link w:val="96"/>
    <w:qFormat/>
    <w:uiPriority w:val="0"/>
    <w:pPr>
      <w:keepLines w:val="0"/>
      <w:widowControl/>
      <w:spacing w:before="0" w:after="0" w:line="240" w:lineRule="auto"/>
    </w:pPr>
    <w:rPr>
      <w:rFonts w:ascii="宋体" w:hAnsi="宋体"/>
      <w:sz w:val="36"/>
    </w:rPr>
  </w:style>
  <w:style w:type="character" w:customStyle="1" w:styleId="98">
    <w:name w:val="Heading 3 Char"/>
    <w:qFormat/>
    <w:locked/>
    <w:uiPriority w:val="0"/>
    <w:rPr>
      <w:rFonts w:ascii="Cambria" w:hAnsi="Cambria" w:eastAsia="宋体"/>
      <w:b/>
      <w:bCs/>
      <w:kern w:val="2"/>
      <w:sz w:val="24"/>
      <w:szCs w:val="32"/>
      <w:lang w:val="en-US" w:eastAsia="zh-CN" w:bidi="ar-SA"/>
    </w:rPr>
  </w:style>
  <w:style w:type="character" w:customStyle="1" w:styleId="99">
    <w:name w:val="明显强调1"/>
    <w:qFormat/>
    <w:uiPriority w:val="0"/>
    <w:rPr>
      <w:b/>
      <w:bCs/>
      <w:i/>
      <w:iCs/>
      <w:color w:val="4F81BD"/>
    </w:rPr>
  </w:style>
  <w:style w:type="character" w:customStyle="1" w:styleId="100">
    <w:name w:val="ca-72"/>
    <w:qFormat/>
    <w:uiPriority w:val="0"/>
  </w:style>
  <w:style w:type="character" w:customStyle="1" w:styleId="101">
    <w:name w:val="明显引用字符"/>
    <w:link w:val="102"/>
    <w:qFormat/>
    <w:locked/>
    <w:uiPriority w:val="0"/>
    <w:rPr>
      <w:rFonts w:ascii="Arial" w:hAnsi="Arial" w:cs="Arial"/>
      <w:b/>
      <w:bCs/>
      <w:i/>
      <w:iCs/>
      <w:color w:val="4F81BD"/>
      <w:lang w:bidi="ar-SA"/>
    </w:rPr>
  </w:style>
  <w:style w:type="paragraph" w:customStyle="1" w:styleId="102">
    <w:name w:val="明显引用1"/>
    <w:basedOn w:val="1"/>
    <w:next w:val="1"/>
    <w:link w:val="101"/>
    <w:qFormat/>
    <w:uiPriority w:val="0"/>
    <w:pPr>
      <w:pBdr>
        <w:bottom w:val="single" w:color="4F81BD" w:sz="4" w:space="4"/>
      </w:pBdr>
      <w:spacing w:before="200" w:line="360" w:lineRule="auto"/>
      <w:ind w:left="936" w:right="936" w:firstLine="200" w:firstLineChars="200"/>
      <w:jc w:val="left"/>
    </w:pPr>
    <w:rPr>
      <w:rFonts w:ascii="Arial" w:hAnsi="Arial" w:cs="Arial"/>
      <w:b/>
      <w:bCs/>
      <w:i/>
      <w:iCs/>
      <w:color w:val="4F81BD"/>
      <w:kern w:val="0"/>
      <w:sz w:val="20"/>
      <w:szCs w:val="20"/>
    </w:rPr>
  </w:style>
  <w:style w:type="character" w:customStyle="1" w:styleId="103">
    <w:name w:val="font201"/>
    <w:qFormat/>
    <w:uiPriority w:val="0"/>
    <w:rPr>
      <w:rFonts w:hint="default" w:ascii="Times New Roman" w:hAnsi="Times New Roman" w:cs="Times New Roman"/>
      <w:color w:val="000000"/>
      <w:sz w:val="21"/>
      <w:szCs w:val="21"/>
      <w:u w:val="none"/>
    </w:rPr>
  </w:style>
  <w:style w:type="character" w:customStyle="1" w:styleId="104">
    <w:name w:val="style31"/>
    <w:qFormat/>
    <w:uiPriority w:val="0"/>
    <w:rPr>
      <w:b/>
      <w:bCs/>
      <w:color w:val="FFFFFF"/>
    </w:rPr>
  </w:style>
  <w:style w:type="character" w:customStyle="1" w:styleId="105">
    <w:name w:val="GTA正文-2 Char Char"/>
    <w:qFormat/>
    <w:locked/>
    <w:uiPriority w:val="0"/>
    <w:rPr>
      <w:rFonts w:hint="default" w:ascii="Arial" w:hAnsi="Arial" w:eastAsia="微软雅黑" w:cs="Arial"/>
      <w:sz w:val="24"/>
    </w:rPr>
  </w:style>
  <w:style w:type="character" w:customStyle="1" w:styleId="106">
    <w:name w:val="GTA标题5 Char"/>
    <w:link w:val="107"/>
    <w:qFormat/>
    <w:locked/>
    <w:uiPriority w:val="0"/>
    <w:rPr>
      <w:rFonts w:ascii="Arial" w:hAnsi="Arial" w:eastAsia="楷体_GB2312"/>
      <w:b/>
      <w:bCs/>
      <w:sz w:val="21"/>
      <w:szCs w:val="21"/>
      <w:lang w:bidi="ar-SA"/>
    </w:rPr>
  </w:style>
  <w:style w:type="paragraph" w:customStyle="1" w:styleId="107">
    <w:name w:val="GTA标题5"/>
    <w:basedOn w:val="8"/>
    <w:link w:val="106"/>
    <w:qFormat/>
    <w:uiPriority w:val="0"/>
    <w:pPr>
      <w:tabs>
        <w:tab w:val="left" w:pos="360"/>
      </w:tabs>
      <w:spacing w:beforeLines="75" w:afterLines="50" w:line="360" w:lineRule="auto"/>
      <w:ind w:left="360" w:hanging="360"/>
    </w:pPr>
    <w:rPr>
      <w:rFonts w:ascii="Arial" w:hAnsi="Arial" w:eastAsia="楷体_GB2312"/>
      <w:bCs/>
      <w:kern w:val="0"/>
      <w:sz w:val="21"/>
      <w:szCs w:val="21"/>
    </w:rPr>
  </w:style>
  <w:style w:type="character" w:customStyle="1" w:styleId="108">
    <w:name w:val="Heading 1 Char"/>
    <w:qFormat/>
    <w:locked/>
    <w:uiPriority w:val="0"/>
    <w:rPr>
      <w:rFonts w:ascii="Arial" w:hAnsi="Arial" w:eastAsia="宋体"/>
      <w:b/>
      <w:bCs/>
      <w:kern w:val="44"/>
      <w:sz w:val="28"/>
      <w:szCs w:val="44"/>
      <w:lang w:val="zh-CN" w:eastAsia="zh-CN" w:bidi="ar-SA"/>
    </w:rPr>
  </w:style>
  <w:style w:type="character" w:customStyle="1" w:styleId="109">
    <w:name w:val="Char Char8"/>
    <w:qFormat/>
    <w:locked/>
    <w:uiPriority w:val="0"/>
    <w:rPr>
      <w:rFonts w:ascii="宋体" w:hAnsi="宋体" w:eastAsia="宋体"/>
      <w:kern w:val="2"/>
      <w:sz w:val="21"/>
      <w:szCs w:val="24"/>
      <w:lang w:val="en-US" w:eastAsia="zh-CN" w:bidi="ar-SA"/>
    </w:rPr>
  </w:style>
  <w:style w:type="character" w:customStyle="1" w:styleId="110">
    <w:name w:val="font31"/>
    <w:qFormat/>
    <w:uiPriority w:val="0"/>
    <w:rPr>
      <w:rFonts w:ascii="宋体" w:hAnsi="宋体" w:eastAsia="宋体" w:cs="宋体"/>
      <w:color w:val="000000"/>
      <w:sz w:val="20"/>
      <w:szCs w:val="20"/>
      <w:u w:val="none"/>
    </w:rPr>
  </w:style>
  <w:style w:type="character" w:customStyle="1" w:styleId="111">
    <w:name w:val="con"/>
    <w:qFormat/>
    <w:uiPriority w:val="0"/>
  </w:style>
  <w:style w:type="character" w:customStyle="1" w:styleId="112">
    <w:name w:val="apple-style-span"/>
    <w:qFormat/>
    <w:uiPriority w:val="0"/>
  </w:style>
  <w:style w:type="character" w:customStyle="1" w:styleId="113">
    <w:name w:val="15"/>
    <w:qFormat/>
    <w:uiPriority w:val="0"/>
    <w:rPr>
      <w:rFonts w:hint="default" w:ascii="Calibri" w:hAnsi="Calibri" w:cs="Calibri"/>
      <w:color w:val="000000"/>
      <w:sz w:val="21"/>
      <w:szCs w:val="21"/>
    </w:rPr>
  </w:style>
  <w:style w:type="character" w:customStyle="1" w:styleId="114">
    <w:name w:val="font11"/>
    <w:basedOn w:val="51"/>
    <w:qFormat/>
    <w:uiPriority w:val="0"/>
    <w:rPr>
      <w:rFonts w:ascii="宋体" w:hAnsi="宋体" w:eastAsia="宋体" w:cs="宋体"/>
      <w:color w:val="000000"/>
      <w:sz w:val="20"/>
      <w:szCs w:val="20"/>
      <w:u w:val="none"/>
    </w:rPr>
  </w:style>
  <w:style w:type="character" w:customStyle="1" w:styleId="115">
    <w:name w:val="NormalCharacter"/>
    <w:qFormat/>
    <w:uiPriority w:val="0"/>
  </w:style>
  <w:style w:type="character" w:customStyle="1" w:styleId="116">
    <w:name w:val="无间隔字符"/>
    <w:link w:val="117"/>
    <w:qFormat/>
    <w:locked/>
    <w:uiPriority w:val="99"/>
    <w:rPr>
      <w:rFonts w:ascii="Cambria" w:hAnsi="Cambria"/>
      <w:kern w:val="2"/>
      <w:sz w:val="21"/>
      <w:szCs w:val="22"/>
      <w:lang w:val="en-US" w:eastAsia="zh-CN" w:bidi="ar-SA"/>
    </w:rPr>
  </w:style>
  <w:style w:type="paragraph" w:customStyle="1" w:styleId="117">
    <w:name w:val="无间隔1"/>
    <w:link w:val="116"/>
    <w:qFormat/>
    <w:uiPriority w:val="99"/>
    <w:pPr>
      <w:widowControl w:val="0"/>
      <w:spacing w:line="400" w:lineRule="exact"/>
      <w:ind w:firstLine="200" w:firstLineChars="200"/>
      <w:jc w:val="both"/>
    </w:pPr>
    <w:rPr>
      <w:rFonts w:ascii="Cambria" w:hAnsi="Cambria" w:eastAsia="宋体" w:cs="Times New Roman"/>
      <w:kern w:val="2"/>
      <w:sz w:val="21"/>
      <w:szCs w:val="22"/>
      <w:lang w:val="en-US" w:eastAsia="zh-CN" w:bidi="ar-SA"/>
    </w:rPr>
  </w:style>
  <w:style w:type="character" w:customStyle="1" w:styleId="118">
    <w:name w:val="图注1 Char"/>
    <w:link w:val="119"/>
    <w:qFormat/>
    <w:locked/>
    <w:uiPriority w:val="0"/>
    <w:rPr>
      <w:rFonts w:ascii="Cambria" w:hAnsi="Cambria" w:eastAsia="宋体"/>
      <w:sz w:val="21"/>
      <w:szCs w:val="22"/>
      <w:lang w:bidi="ar-SA"/>
    </w:rPr>
  </w:style>
  <w:style w:type="paragraph" w:customStyle="1" w:styleId="119">
    <w:name w:val="图注1"/>
    <w:basedOn w:val="1"/>
    <w:link w:val="118"/>
    <w:qFormat/>
    <w:uiPriority w:val="0"/>
    <w:pPr>
      <w:tabs>
        <w:tab w:val="left" w:pos="1140"/>
      </w:tabs>
      <w:spacing w:afterLines="20" w:line="300" w:lineRule="auto"/>
      <w:ind w:left="1140" w:hanging="360"/>
      <w:jc w:val="center"/>
    </w:pPr>
    <w:rPr>
      <w:rFonts w:ascii="Cambria" w:hAnsi="Cambria"/>
      <w:kern w:val="0"/>
      <w:szCs w:val="22"/>
    </w:rPr>
  </w:style>
  <w:style w:type="character" w:customStyle="1" w:styleId="120">
    <w:name w:val="GTA标题1 Char"/>
    <w:link w:val="121"/>
    <w:qFormat/>
    <w:locked/>
    <w:uiPriority w:val="0"/>
    <w:rPr>
      <w:rFonts w:ascii="Arial" w:hAnsi="Arial" w:eastAsia="黑体"/>
      <w:bCs/>
      <w:kern w:val="44"/>
      <w:sz w:val="44"/>
      <w:szCs w:val="44"/>
      <w:lang w:bidi="ar-SA"/>
    </w:rPr>
  </w:style>
  <w:style w:type="paragraph" w:customStyle="1" w:styleId="121">
    <w:name w:val="GTA标题1"/>
    <w:basedOn w:val="4"/>
    <w:link w:val="120"/>
    <w:qFormat/>
    <w:uiPriority w:val="0"/>
    <w:pPr>
      <w:tabs>
        <w:tab w:val="left" w:pos="360"/>
      </w:tabs>
      <w:spacing w:beforeLines="200" w:afterLines="150" w:line="480" w:lineRule="auto"/>
      <w:ind w:left="360" w:hanging="360"/>
      <w:jc w:val="both"/>
    </w:pPr>
    <w:rPr>
      <w:rFonts w:ascii="Arial" w:hAnsi="Arial" w:eastAsia="黑体"/>
      <w:b w:val="0"/>
    </w:rPr>
  </w:style>
  <w:style w:type="character" w:customStyle="1" w:styleId="122">
    <w:name w:val="headline-content"/>
    <w:qFormat/>
    <w:uiPriority w:val="0"/>
  </w:style>
  <w:style w:type="character" w:customStyle="1" w:styleId="123">
    <w:name w:val="font21"/>
    <w:basedOn w:val="51"/>
    <w:qFormat/>
    <w:uiPriority w:val="0"/>
    <w:rPr>
      <w:rFonts w:ascii="宋体" w:hAnsi="宋体" w:eastAsia="宋体" w:cs="宋体"/>
      <w:color w:val="000000"/>
      <w:sz w:val="20"/>
      <w:szCs w:val="20"/>
      <w:u w:val="none"/>
    </w:rPr>
  </w:style>
  <w:style w:type="character" w:customStyle="1" w:styleId="124">
    <w:name w:val="特点1"/>
    <w:qFormat/>
    <w:uiPriority w:val="0"/>
  </w:style>
  <w:style w:type="character" w:customStyle="1" w:styleId="125">
    <w:name w:val="目录标题 字符"/>
    <w:link w:val="126"/>
    <w:qFormat/>
    <w:uiPriority w:val="0"/>
    <w:rPr>
      <w:rFonts w:eastAsia="方正小标宋_GBK"/>
      <w:b/>
      <w:kern w:val="2"/>
      <w:sz w:val="24"/>
      <w:szCs w:val="24"/>
    </w:rPr>
  </w:style>
  <w:style w:type="paragraph" w:customStyle="1" w:styleId="126">
    <w:name w:val="目录标题"/>
    <w:link w:val="125"/>
    <w:qFormat/>
    <w:uiPriority w:val="0"/>
    <w:pPr>
      <w:tabs>
        <w:tab w:val="right" w:leader="dot" w:pos="9683"/>
      </w:tabs>
      <w:spacing w:line="360" w:lineRule="auto"/>
    </w:pPr>
    <w:rPr>
      <w:rFonts w:ascii="Times New Roman" w:hAnsi="Times New Roman" w:eastAsia="方正小标宋_GBK" w:cs="Times New Roman"/>
      <w:b/>
      <w:kern w:val="2"/>
      <w:sz w:val="24"/>
      <w:szCs w:val="24"/>
      <w:lang w:val="en-US" w:eastAsia="zh-CN" w:bidi="ar-SA"/>
    </w:rPr>
  </w:style>
  <w:style w:type="character" w:customStyle="1" w:styleId="127">
    <w:name w:val="GTA正文-1 Char Char"/>
    <w:qFormat/>
    <w:locked/>
    <w:uiPriority w:val="0"/>
    <w:rPr>
      <w:rFonts w:hint="default" w:ascii="Arial" w:hAnsi="Arial" w:eastAsia="微软雅黑" w:cs="Arial"/>
      <w:sz w:val="24"/>
    </w:rPr>
  </w:style>
  <w:style w:type="character" w:customStyle="1" w:styleId="128">
    <w:name w:val="List Paragraph Char"/>
    <w:link w:val="129"/>
    <w:qFormat/>
    <w:locked/>
    <w:uiPriority w:val="0"/>
    <w:rPr>
      <w:rFonts w:ascii="Calibri" w:hAnsi="Calibri" w:eastAsia="宋体"/>
      <w:kern w:val="2"/>
      <w:sz w:val="21"/>
      <w:szCs w:val="22"/>
      <w:lang w:val="en-US" w:eastAsia="zh-CN" w:bidi="ar-SA"/>
    </w:rPr>
  </w:style>
  <w:style w:type="paragraph" w:customStyle="1" w:styleId="129">
    <w:name w:val="列出段落1"/>
    <w:basedOn w:val="1"/>
    <w:link w:val="128"/>
    <w:qFormat/>
    <w:uiPriority w:val="0"/>
    <w:pPr>
      <w:ind w:firstLine="420" w:firstLineChars="200"/>
    </w:pPr>
    <w:rPr>
      <w:rFonts w:ascii="Calibri" w:hAnsi="Calibri"/>
      <w:szCs w:val="22"/>
    </w:rPr>
  </w:style>
  <w:style w:type="character" w:customStyle="1" w:styleId="130">
    <w:name w:val="03 Char"/>
    <w:link w:val="131"/>
    <w:qFormat/>
    <w:locked/>
    <w:uiPriority w:val="0"/>
    <w:rPr>
      <w:rFonts w:ascii="仿宋_GB2312" w:eastAsia="仿宋_GB2312"/>
      <w:b/>
      <w:sz w:val="28"/>
      <w:lang w:bidi="ar-SA"/>
    </w:rPr>
  </w:style>
  <w:style w:type="paragraph" w:customStyle="1" w:styleId="131">
    <w:name w:val="03"/>
    <w:basedOn w:val="1"/>
    <w:link w:val="130"/>
    <w:qFormat/>
    <w:uiPriority w:val="0"/>
    <w:pPr>
      <w:adjustRightInd w:val="0"/>
      <w:snapToGrid w:val="0"/>
      <w:spacing w:line="440" w:lineRule="exact"/>
      <w:ind w:firstLine="424" w:firstLineChars="151"/>
    </w:pPr>
    <w:rPr>
      <w:rFonts w:ascii="仿宋_GB2312" w:eastAsia="仿宋_GB2312"/>
      <w:b/>
      <w:kern w:val="0"/>
      <w:sz w:val="28"/>
      <w:szCs w:val="20"/>
    </w:rPr>
  </w:style>
  <w:style w:type="character" w:customStyle="1" w:styleId="132">
    <w:name w:val="列表段落 字符"/>
    <w:link w:val="133"/>
    <w:qFormat/>
    <w:uiPriority w:val="0"/>
    <w:rPr>
      <w:rFonts w:eastAsia="宋体"/>
      <w:kern w:val="2"/>
      <w:sz w:val="21"/>
      <w:szCs w:val="24"/>
      <w:lang w:val="en-US" w:eastAsia="zh-CN" w:bidi="ar-SA"/>
    </w:rPr>
  </w:style>
  <w:style w:type="paragraph" w:styleId="133">
    <w:name w:val="List Paragraph"/>
    <w:basedOn w:val="1"/>
    <w:link w:val="132"/>
    <w:qFormat/>
    <w:uiPriority w:val="0"/>
    <w:pPr>
      <w:ind w:firstLine="420" w:firstLineChars="200"/>
    </w:pPr>
  </w:style>
  <w:style w:type="character" w:customStyle="1" w:styleId="134">
    <w:name w:val="页脚 字符1"/>
    <w:semiHidden/>
    <w:qFormat/>
    <w:uiPriority w:val="99"/>
    <w:rPr>
      <w:rFonts w:ascii="Calibri" w:hAnsi="Calibri" w:eastAsia="宋体" w:cs="Times New Roman"/>
      <w:sz w:val="18"/>
      <w:szCs w:val="18"/>
    </w:rPr>
  </w:style>
  <w:style w:type="character" w:customStyle="1" w:styleId="135">
    <w:name w:val="普通文字 Char Char1"/>
    <w:qFormat/>
    <w:locked/>
    <w:uiPriority w:val="0"/>
    <w:rPr>
      <w:rFonts w:ascii="宋体" w:hAnsi="Courier New" w:eastAsia="宋体" w:cs="Courier New"/>
      <w:kern w:val="2"/>
      <w:sz w:val="21"/>
      <w:szCs w:val="21"/>
      <w:lang w:val="en-US" w:eastAsia="zh-CN" w:bidi="ar-SA"/>
    </w:rPr>
  </w:style>
  <w:style w:type="character" w:customStyle="1" w:styleId="136">
    <w:name w:val="浅色网格 - 强调文字颜色 3 Char"/>
    <w:link w:val="137"/>
    <w:qFormat/>
    <w:uiPriority w:val="0"/>
    <w:rPr>
      <w:rFonts w:ascii="Calibri" w:hAnsi="Calibri" w:eastAsia="宋体"/>
      <w:kern w:val="2"/>
      <w:sz w:val="21"/>
      <w:szCs w:val="22"/>
      <w:lang w:bidi="ar-SA"/>
    </w:rPr>
  </w:style>
  <w:style w:type="paragraph" w:customStyle="1" w:styleId="137">
    <w:name w:val="浅色网格 - 强调文字颜色 31"/>
    <w:basedOn w:val="1"/>
    <w:link w:val="136"/>
    <w:qFormat/>
    <w:uiPriority w:val="0"/>
    <w:pPr>
      <w:ind w:firstLine="420" w:firstLineChars="200"/>
    </w:pPr>
    <w:rPr>
      <w:rFonts w:ascii="Calibri" w:hAnsi="Calibri"/>
      <w:szCs w:val="22"/>
    </w:rPr>
  </w:style>
  <w:style w:type="character" w:customStyle="1" w:styleId="138">
    <w:name w:val="批注文字 Char1"/>
    <w:qFormat/>
    <w:uiPriority w:val="0"/>
    <w:rPr>
      <w:kern w:val="2"/>
      <w:sz w:val="21"/>
      <w:szCs w:val="24"/>
    </w:rPr>
  </w:style>
  <w:style w:type="character" w:customStyle="1" w:styleId="139">
    <w:name w:val="Char Char2"/>
    <w:qFormat/>
    <w:locked/>
    <w:uiPriority w:val="0"/>
    <w:rPr>
      <w:rFonts w:ascii="Calibri" w:hAnsi="Calibri" w:eastAsia="宋体" w:cs="黑体"/>
      <w:kern w:val="2"/>
      <w:sz w:val="24"/>
      <w:szCs w:val="24"/>
      <w:lang w:val="en-US" w:eastAsia="zh-CN" w:bidi="ar-SA"/>
    </w:rPr>
  </w:style>
  <w:style w:type="character" w:customStyle="1" w:styleId="140">
    <w:name w:val="Char Char22"/>
    <w:qFormat/>
    <w:locked/>
    <w:uiPriority w:val="0"/>
    <w:rPr>
      <w:rFonts w:eastAsia="微软雅黑"/>
      <w:b/>
      <w:bCs/>
      <w:kern w:val="44"/>
      <w:sz w:val="36"/>
      <w:szCs w:val="36"/>
      <w:lang w:bidi="ar-SA"/>
    </w:rPr>
  </w:style>
  <w:style w:type="character" w:customStyle="1" w:styleId="141">
    <w:name w:val="Char Char19"/>
    <w:qFormat/>
    <w:locked/>
    <w:uiPriority w:val="0"/>
    <w:rPr>
      <w:rFonts w:ascii="Arial" w:hAnsi="Arial" w:eastAsia="微软雅黑"/>
      <w:b/>
      <w:bCs/>
      <w:color w:val="0070C0"/>
      <w:szCs w:val="28"/>
      <w:lang w:bidi="ar-SA"/>
    </w:rPr>
  </w:style>
  <w:style w:type="character" w:customStyle="1" w:styleId="142">
    <w:name w:val="Char Char6"/>
    <w:qFormat/>
    <w:locked/>
    <w:uiPriority w:val="0"/>
    <w:rPr>
      <w:sz w:val="18"/>
      <w:szCs w:val="18"/>
      <w:lang w:bidi="ar-SA"/>
    </w:rPr>
  </w:style>
  <w:style w:type="character" w:customStyle="1" w:styleId="143">
    <w:name w:val="Footer Char"/>
    <w:qFormat/>
    <w:locked/>
    <w:uiPriority w:val="0"/>
    <w:rPr>
      <w:rFonts w:ascii="Cambria" w:hAnsi="Cambria" w:eastAsia="宋体"/>
      <w:kern w:val="2"/>
      <w:sz w:val="18"/>
      <w:szCs w:val="18"/>
      <w:lang w:val="en-US" w:eastAsia="zh-CN" w:bidi="ar-SA"/>
    </w:rPr>
  </w:style>
  <w:style w:type="character" w:customStyle="1" w:styleId="144">
    <w:name w:val="明显引用 Char1"/>
    <w:qFormat/>
    <w:uiPriority w:val="0"/>
    <w:rPr>
      <w:rFonts w:hint="default" w:ascii="Times New Roman" w:hAnsi="Times New Roman" w:eastAsia="微软雅黑" w:cs="Times New Roman"/>
      <w:b/>
      <w:bCs/>
      <w:i/>
      <w:iCs/>
      <w:color w:val="4F81BD"/>
      <w:sz w:val="24"/>
      <w:szCs w:val="24"/>
    </w:rPr>
  </w:style>
  <w:style w:type="character" w:customStyle="1" w:styleId="145">
    <w:name w:val="书籍标题1"/>
    <w:qFormat/>
    <w:uiPriority w:val="0"/>
    <w:rPr>
      <w:b/>
      <w:bCs/>
      <w:smallCaps/>
      <w:spacing w:val="5"/>
    </w:rPr>
  </w:style>
  <w:style w:type="character" w:customStyle="1" w:styleId="146">
    <w:name w:val="Char Char4"/>
    <w:qFormat/>
    <w:uiPriority w:val="0"/>
    <w:rPr>
      <w:rFonts w:eastAsia="宋体"/>
      <w:kern w:val="2"/>
      <w:sz w:val="21"/>
      <w:szCs w:val="24"/>
      <w:lang w:val="en-US" w:eastAsia="zh-CN" w:bidi="ar-SA"/>
    </w:rPr>
  </w:style>
  <w:style w:type="character" w:customStyle="1" w:styleId="147">
    <w:name w:val="纯文本 Char"/>
    <w:qFormat/>
    <w:uiPriority w:val="0"/>
    <w:rPr>
      <w:rFonts w:ascii="宋体" w:hAnsi="Courier New"/>
    </w:rPr>
  </w:style>
  <w:style w:type="character" w:customStyle="1" w:styleId="148">
    <w:name w:val="GTA标题2 Char"/>
    <w:qFormat/>
    <w:uiPriority w:val="0"/>
    <w:rPr>
      <w:rFonts w:hint="default" w:ascii="Arial" w:hAnsi="Arial" w:eastAsia="黑体" w:cs="Arial"/>
      <w:bCs/>
      <w:kern w:val="2"/>
      <w:sz w:val="30"/>
      <w:szCs w:val="30"/>
    </w:rPr>
  </w:style>
  <w:style w:type="character" w:customStyle="1" w:styleId="149">
    <w:name w:val="列出段落 Char"/>
    <w:qFormat/>
    <w:locked/>
    <w:uiPriority w:val="0"/>
    <w:rPr>
      <w:kern w:val="2"/>
      <w:sz w:val="21"/>
      <w:szCs w:val="22"/>
    </w:rPr>
  </w:style>
  <w:style w:type="character" w:customStyle="1" w:styleId="150">
    <w:name w:val="font151"/>
    <w:qFormat/>
    <w:uiPriority w:val="0"/>
    <w:rPr>
      <w:rFonts w:hint="eastAsia" w:ascii="宋体" w:hAnsi="宋体" w:eastAsia="宋体" w:cs="宋体"/>
      <w:color w:val="000000"/>
      <w:sz w:val="21"/>
      <w:szCs w:val="21"/>
      <w:u w:val="none"/>
    </w:rPr>
  </w:style>
  <w:style w:type="character" w:customStyle="1" w:styleId="151">
    <w:name w:val="ca-102"/>
    <w:qFormat/>
    <w:uiPriority w:val="0"/>
  </w:style>
  <w:style w:type="character" w:customStyle="1" w:styleId="152">
    <w:name w:val="font41"/>
    <w:qFormat/>
    <w:uiPriority w:val="0"/>
    <w:rPr>
      <w:rFonts w:ascii="Bosch Office Sans" w:hAnsi="Bosch Office Sans" w:cs="Bosch Office Sans"/>
      <w:color w:val="000000"/>
      <w:sz w:val="20"/>
      <w:szCs w:val="20"/>
      <w:u w:val="none"/>
    </w:rPr>
  </w:style>
  <w:style w:type="character" w:customStyle="1" w:styleId="153">
    <w:name w:val="char"/>
    <w:qFormat/>
    <w:uiPriority w:val="0"/>
  </w:style>
  <w:style w:type="character" w:customStyle="1" w:styleId="154">
    <w:name w:val="Char Char5"/>
    <w:qFormat/>
    <w:locked/>
    <w:uiPriority w:val="0"/>
    <w:rPr>
      <w:rFonts w:ascii="宋体" w:hAnsi="宋体" w:eastAsia="宋体"/>
      <w:sz w:val="18"/>
      <w:szCs w:val="18"/>
      <w:lang w:bidi="ar-SA"/>
    </w:rPr>
  </w:style>
  <w:style w:type="character" w:customStyle="1" w:styleId="155">
    <w:name w:val="apple-converted-space"/>
    <w:qFormat/>
    <w:uiPriority w:val="0"/>
  </w:style>
  <w:style w:type="character" w:customStyle="1" w:styleId="156">
    <w:name w:val="_Style 154"/>
    <w:unhideWhenUsed/>
    <w:qFormat/>
    <w:uiPriority w:val="99"/>
    <w:rPr>
      <w:color w:val="605E5C"/>
      <w:shd w:val="clear" w:color="auto" w:fill="E1DFDD"/>
    </w:rPr>
  </w:style>
  <w:style w:type="character" w:customStyle="1" w:styleId="157">
    <w:name w:val="Heading 2 Char"/>
    <w:qFormat/>
    <w:locked/>
    <w:uiPriority w:val="0"/>
    <w:rPr>
      <w:rFonts w:ascii="Calibri" w:hAnsi="Calibri" w:eastAsia="宋体"/>
      <w:b/>
      <w:bCs/>
      <w:kern w:val="2"/>
      <w:sz w:val="24"/>
      <w:szCs w:val="32"/>
      <w:lang w:val="en-US" w:eastAsia="zh-CN" w:bidi="ar-SA"/>
    </w:rPr>
  </w:style>
  <w:style w:type="character" w:customStyle="1" w:styleId="158">
    <w:name w:val="st1"/>
    <w:qFormat/>
    <w:uiPriority w:val="0"/>
  </w:style>
  <w:style w:type="character" w:customStyle="1" w:styleId="159">
    <w:name w:val="Char Char3"/>
    <w:qFormat/>
    <w:locked/>
    <w:uiPriority w:val="0"/>
    <w:rPr>
      <w:sz w:val="18"/>
      <w:szCs w:val="18"/>
      <w:lang w:bidi="ar-SA"/>
    </w:rPr>
  </w:style>
  <w:style w:type="character" w:customStyle="1" w:styleId="160">
    <w:name w:val="纯文本 Char3"/>
    <w:qFormat/>
    <w:uiPriority w:val="0"/>
    <w:rPr>
      <w:rFonts w:ascii="宋体" w:hAnsi="Courier New" w:eastAsia="宋体" w:cs="Courier New"/>
      <w:kern w:val="2"/>
      <w:sz w:val="21"/>
      <w:szCs w:val="21"/>
      <w:lang w:val="en-US" w:eastAsia="zh-CN" w:bidi="ar-SA"/>
    </w:rPr>
  </w:style>
  <w:style w:type="character" w:customStyle="1" w:styleId="161">
    <w:name w:val="列出段落字符"/>
    <w:qFormat/>
    <w:locked/>
    <w:uiPriority w:val="0"/>
    <w:rPr>
      <w:rFonts w:ascii="Calibri" w:hAnsi="Calibri" w:eastAsia="宋体" w:cs="黑体"/>
      <w:kern w:val="2"/>
      <w:sz w:val="24"/>
      <w:szCs w:val="24"/>
      <w:lang w:val="en-US" w:eastAsia="zh-CN" w:bidi="ar-SA"/>
    </w:rPr>
  </w:style>
  <w:style w:type="character" w:customStyle="1" w:styleId="162">
    <w:name w:val="GTA标题2 Char Char"/>
    <w:link w:val="163"/>
    <w:qFormat/>
    <w:locked/>
    <w:uiPriority w:val="0"/>
    <w:rPr>
      <w:rFonts w:ascii="Arial" w:hAnsi="Arial" w:eastAsia="黑体"/>
      <w:b/>
      <w:bCs/>
      <w:color w:val="000000"/>
      <w:sz w:val="30"/>
      <w:szCs w:val="30"/>
      <w:lang w:bidi="ar-SA"/>
    </w:rPr>
  </w:style>
  <w:style w:type="paragraph" w:customStyle="1" w:styleId="163">
    <w:name w:val="GTA标题2"/>
    <w:basedOn w:val="5"/>
    <w:link w:val="162"/>
    <w:qFormat/>
    <w:uiPriority w:val="0"/>
    <w:pPr>
      <w:tabs>
        <w:tab w:val="left" w:pos="840"/>
      </w:tabs>
      <w:adjustRightInd w:val="0"/>
      <w:snapToGrid w:val="0"/>
      <w:spacing w:beforeLines="175" w:afterLines="150" w:line="420" w:lineRule="auto"/>
      <w:ind w:left="840" w:firstLine="200" w:firstLineChars="200"/>
    </w:pPr>
    <w:rPr>
      <w:color w:val="000000"/>
      <w:kern w:val="0"/>
      <w:sz w:val="30"/>
      <w:szCs w:val="30"/>
    </w:rPr>
  </w:style>
  <w:style w:type="character" w:customStyle="1" w:styleId="164">
    <w:name w:val="GTA标题4 Char Char"/>
    <w:link w:val="165"/>
    <w:qFormat/>
    <w:locked/>
    <w:uiPriority w:val="0"/>
    <w:rPr>
      <w:rFonts w:ascii="Arial" w:hAnsi="Arial" w:eastAsia="仿宋_GB2312"/>
      <w:b/>
      <w:bCs/>
      <w:color w:val="0070C0"/>
      <w:lang w:bidi="ar-SA"/>
    </w:rPr>
  </w:style>
  <w:style w:type="paragraph" w:customStyle="1" w:styleId="165">
    <w:name w:val="GTA标题4"/>
    <w:basedOn w:val="7"/>
    <w:link w:val="164"/>
    <w:qFormat/>
    <w:uiPriority w:val="0"/>
    <w:pPr>
      <w:tabs>
        <w:tab w:val="left" w:pos="1680"/>
      </w:tabs>
      <w:adjustRightInd w:val="0"/>
      <w:snapToGrid w:val="0"/>
      <w:spacing w:beforeLines="100" w:afterLines="75" w:line="360" w:lineRule="auto"/>
      <w:ind w:left="1680" w:firstLine="200" w:firstLineChars="200"/>
    </w:pPr>
    <w:rPr>
      <w:rFonts w:eastAsia="仿宋_GB2312"/>
      <w:color w:val="0070C0"/>
      <w:kern w:val="0"/>
      <w:sz w:val="20"/>
      <w:szCs w:val="20"/>
    </w:rPr>
  </w:style>
  <w:style w:type="character" w:customStyle="1" w:styleId="166">
    <w:name w:val="font01"/>
    <w:qFormat/>
    <w:uiPriority w:val="0"/>
    <w:rPr>
      <w:rFonts w:hint="eastAsia" w:ascii="宋体" w:hAnsi="宋体" w:eastAsia="宋体" w:cs="宋体"/>
      <w:color w:val="000000"/>
      <w:sz w:val="28"/>
      <w:szCs w:val="28"/>
      <w:u w:val="none"/>
    </w:rPr>
  </w:style>
  <w:style w:type="character" w:customStyle="1" w:styleId="167">
    <w:name w:val="GTA标题3 Char"/>
    <w:qFormat/>
    <w:uiPriority w:val="0"/>
    <w:rPr>
      <w:rFonts w:hint="default" w:ascii="Arial" w:hAnsi="Arial" w:eastAsia="黑体" w:cs="Arial"/>
      <w:bCs/>
      <w:kern w:val="2"/>
      <w:sz w:val="24"/>
      <w:szCs w:val="24"/>
    </w:rPr>
  </w:style>
  <w:style w:type="character" w:customStyle="1" w:styleId="168">
    <w:name w:val="普通文字 Char Char3"/>
    <w:qFormat/>
    <w:locked/>
    <w:uiPriority w:val="0"/>
    <w:rPr>
      <w:rFonts w:ascii="宋体" w:hAnsi="Courier New" w:eastAsia="宋体" w:cs="Courier New"/>
      <w:kern w:val="2"/>
      <w:sz w:val="21"/>
      <w:szCs w:val="21"/>
      <w:lang w:val="en-US" w:eastAsia="zh-CN" w:bidi="ar-SA"/>
    </w:rPr>
  </w:style>
  <w:style w:type="character" w:customStyle="1" w:styleId="169">
    <w:name w:val="font51"/>
    <w:qFormat/>
    <w:uiPriority w:val="0"/>
    <w:rPr>
      <w:rFonts w:ascii="Bosch Office Sans" w:hAnsi="Bosch Office Sans" w:cs="Bosch Office Sans"/>
      <w:color w:val="000000"/>
      <w:sz w:val="20"/>
      <w:szCs w:val="20"/>
      <w:u w:val="none"/>
    </w:rPr>
  </w:style>
  <w:style w:type="character" w:customStyle="1" w:styleId="170">
    <w:name w:val="GTA正文-1 Char"/>
    <w:link w:val="171"/>
    <w:qFormat/>
    <w:locked/>
    <w:uiPriority w:val="0"/>
    <w:rPr>
      <w:rFonts w:ascii="Arial" w:hAnsi="Arial" w:eastAsia="宋体" w:cs="Arial"/>
      <w:sz w:val="21"/>
      <w:lang w:bidi="ar-SA"/>
    </w:rPr>
  </w:style>
  <w:style w:type="paragraph" w:customStyle="1" w:styleId="171">
    <w:name w:val="GTA正文-1"/>
    <w:basedOn w:val="1"/>
    <w:link w:val="170"/>
    <w:qFormat/>
    <w:uiPriority w:val="0"/>
    <w:pPr>
      <w:spacing w:beforeLines="50" w:afterLines="50" w:line="480" w:lineRule="exact"/>
      <w:ind w:firstLine="200" w:firstLineChars="200"/>
    </w:pPr>
    <w:rPr>
      <w:rFonts w:ascii="Arial" w:hAnsi="Arial" w:cs="Arial"/>
      <w:kern w:val="0"/>
      <w:szCs w:val="20"/>
    </w:rPr>
  </w:style>
  <w:style w:type="character" w:customStyle="1" w:styleId="172">
    <w:name w:val="font71"/>
    <w:qFormat/>
    <w:uiPriority w:val="0"/>
    <w:rPr>
      <w:rFonts w:hint="default" w:ascii="Times New Roman" w:hAnsi="Times New Roman" w:cs="Times New Roman"/>
      <w:color w:val="000000"/>
      <w:sz w:val="56"/>
      <w:szCs w:val="56"/>
      <w:u w:val="none"/>
    </w:rPr>
  </w:style>
  <w:style w:type="character" w:customStyle="1" w:styleId="173">
    <w:name w:val="Char Char1"/>
    <w:qFormat/>
    <w:uiPriority w:val="0"/>
    <w:rPr>
      <w:rFonts w:eastAsia="宋体"/>
      <w:kern w:val="2"/>
      <w:sz w:val="18"/>
      <w:szCs w:val="18"/>
      <w:lang w:val="en-US" w:eastAsia="zh-CN" w:bidi="ar-SA"/>
    </w:rPr>
  </w:style>
  <w:style w:type="character" w:customStyle="1" w:styleId="174">
    <w:name w:val="ca-92"/>
    <w:qFormat/>
    <w:uiPriority w:val="0"/>
  </w:style>
  <w:style w:type="character" w:customStyle="1" w:styleId="175">
    <w:name w:val="10"/>
    <w:qFormat/>
    <w:uiPriority w:val="0"/>
    <w:rPr>
      <w:rFonts w:hint="default" w:ascii="Times New Roman" w:hAnsi="Times New Roman" w:cs="Times New Roman"/>
    </w:rPr>
  </w:style>
  <w:style w:type="character" w:customStyle="1" w:styleId="176">
    <w:name w:val="font191"/>
    <w:qFormat/>
    <w:uiPriority w:val="0"/>
    <w:rPr>
      <w:rFonts w:hint="eastAsia" w:ascii="宋体" w:hAnsi="宋体" w:eastAsia="宋体" w:cs="宋体"/>
      <w:b/>
      <w:bCs/>
      <w:color w:val="4F6228"/>
      <w:sz w:val="22"/>
      <w:szCs w:val="22"/>
      <w:u w:val="none"/>
    </w:rPr>
  </w:style>
  <w:style w:type="character" w:customStyle="1" w:styleId="177">
    <w:name w:val="ca-1"/>
    <w:qFormat/>
    <w:uiPriority w:val="0"/>
  </w:style>
  <w:style w:type="character" w:customStyle="1" w:styleId="178">
    <w:name w:val="明显引用字符1"/>
    <w:qFormat/>
    <w:uiPriority w:val="0"/>
    <w:rPr>
      <w:rFonts w:hint="default" w:ascii="Times New Roman" w:hAnsi="Times New Roman" w:eastAsia="微软雅黑" w:cs="Times New Roman"/>
      <w:i/>
      <w:iCs/>
      <w:color w:val="5B9BD5"/>
    </w:rPr>
  </w:style>
  <w:style w:type="character" w:customStyle="1" w:styleId="179">
    <w:name w:val="纯文本 字符"/>
    <w:qFormat/>
    <w:uiPriority w:val="0"/>
    <w:rPr>
      <w:rFonts w:ascii="宋体" w:hAnsi="Courier New" w:eastAsia="宋体" w:cs="Courier New"/>
      <w:kern w:val="2"/>
      <w:sz w:val="21"/>
      <w:szCs w:val="21"/>
      <w:lang w:val="en-US" w:eastAsia="zh-CN" w:bidi="ar-SA"/>
    </w:rPr>
  </w:style>
  <w:style w:type="character" w:customStyle="1" w:styleId="180">
    <w:name w:val="GTA标题4 Char"/>
    <w:qFormat/>
    <w:uiPriority w:val="0"/>
    <w:rPr>
      <w:rFonts w:hint="default" w:ascii="Arial" w:hAnsi="Arial" w:eastAsia="仿宋_GB2312" w:cs="Arial"/>
      <w:b/>
      <w:bCs/>
      <w:kern w:val="2"/>
      <w:sz w:val="24"/>
      <w:szCs w:val="24"/>
    </w:rPr>
  </w:style>
  <w:style w:type="character" w:customStyle="1" w:styleId="181">
    <w:name w:val="Char Char13"/>
    <w:qFormat/>
    <w:locked/>
    <w:uiPriority w:val="0"/>
    <w:rPr>
      <w:rFonts w:ascii="微软雅黑" w:hAnsi="微软雅黑" w:eastAsia="微软雅黑"/>
      <w:b/>
      <w:bCs/>
      <w:lang w:bidi="ar-SA"/>
    </w:rPr>
  </w:style>
  <w:style w:type="character" w:customStyle="1" w:styleId="182">
    <w:name w:val="ca-2"/>
    <w:qFormat/>
    <w:uiPriority w:val="0"/>
  </w:style>
  <w:style w:type="character" w:customStyle="1" w:styleId="183">
    <w:name w:val="Char Char20"/>
    <w:qFormat/>
    <w:locked/>
    <w:uiPriority w:val="0"/>
    <w:rPr>
      <w:rFonts w:eastAsia="微软雅黑"/>
      <w:b/>
      <w:bCs/>
      <w:szCs w:val="32"/>
      <w:lang w:bidi="ar-SA"/>
    </w:rPr>
  </w:style>
  <w:style w:type="character" w:customStyle="1" w:styleId="184">
    <w:name w:val="txet31"/>
    <w:qFormat/>
    <w:uiPriority w:val="0"/>
    <w:rPr>
      <w:rFonts w:cs="Times New Roman"/>
      <w:color w:val="333333"/>
      <w:sz w:val="18"/>
      <w:szCs w:val="18"/>
      <w:u w:val="none"/>
    </w:rPr>
  </w:style>
  <w:style w:type="character" w:customStyle="1" w:styleId="185">
    <w:name w:val="纯文本 Char2"/>
    <w:qFormat/>
    <w:uiPriority w:val="0"/>
    <w:rPr>
      <w:rFonts w:ascii="宋体" w:hAnsi="Courier New" w:eastAsia="宋体" w:cs="Courier New"/>
      <w:kern w:val="2"/>
      <w:sz w:val="21"/>
      <w:szCs w:val="21"/>
      <w:lang w:val="en-US" w:eastAsia="zh-CN" w:bidi="ar-SA"/>
    </w:rPr>
  </w:style>
  <w:style w:type="character" w:customStyle="1" w:styleId="186">
    <w:name w:val="Header Char"/>
    <w:qFormat/>
    <w:locked/>
    <w:uiPriority w:val="0"/>
    <w:rPr>
      <w:rFonts w:ascii="Cambria" w:hAnsi="Cambria" w:eastAsia="宋体"/>
      <w:kern w:val="2"/>
      <w:sz w:val="18"/>
      <w:szCs w:val="18"/>
      <w:lang w:val="en-US" w:eastAsia="zh-CN" w:bidi="ar-SA"/>
    </w:rPr>
  </w:style>
  <w:style w:type="character" w:customStyle="1" w:styleId="187">
    <w:name w:val="font61"/>
    <w:qFormat/>
    <w:uiPriority w:val="0"/>
    <w:rPr>
      <w:rFonts w:hint="eastAsia" w:ascii="宋体" w:hAnsi="宋体" w:eastAsia="宋体" w:cs="宋体"/>
      <w:color w:val="000000"/>
      <w:sz w:val="56"/>
      <w:szCs w:val="56"/>
      <w:u w:val="none"/>
    </w:rPr>
  </w:style>
  <w:style w:type="character" w:customStyle="1" w:styleId="188">
    <w:name w:val="highlight1"/>
    <w:qFormat/>
    <w:uiPriority w:val="0"/>
    <w:rPr>
      <w:color w:val="DB4F33"/>
    </w:rPr>
  </w:style>
  <w:style w:type="character" w:customStyle="1" w:styleId="189">
    <w:name w:val="GTA标题3 Char Char"/>
    <w:link w:val="190"/>
    <w:qFormat/>
    <w:locked/>
    <w:uiPriority w:val="0"/>
    <w:rPr>
      <w:rFonts w:ascii="Arial" w:hAnsi="Arial" w:eastAsia="黑体"/>
      <w:b/>
      <w:bCs/>
      <w:color w:val="000000"/>
      <w:lang w:val="zh-CN" w:bidi="ar-SA"/>
    </w:rPr>
  </w:style>
  <w:style w:type="paragraph" w:customStyle="1" w:styleId="190">
    <w:name w:val="GTA标题3"/>
    <w:basedOn w:val="6"/>
    <w:link w:val="189"/>
    <w:qFormat/>
    <w:uiPriority w:val="0"/>
    <w:pPr>
      <w:tabs>
        <w:tab w:val="left" w:pos="1260"/>
      </w:tabs>
      <w:adjustRightInd w:val="0"/>
      <w:snapToGrid w:val="0"/>
      <w:spacing w:beforeLines="150" w:afterLines="125" w:line="360" w:lineRule="auto"/>
      <w:ind w:left="1260" w:hanging="420"/>
    </w:pPr>
    <w:rPr>
      <w:rFonts w:ascii="Arial" w:hAnsi="Arial" w:eastAsia="黑体"/>
      <w:color w:val="000000"/>
      <w:kern w:val="0"/>
      <w:sz w:val="20"/>
      <w:szCs w:val="20"/>
      <w:lang w:val="zh-CN"/>
    </w:rPr>
  </w:style>
  <w:style w:type="character" w:customStyle="1" w:styleId="191">
    <w:name w:val="GTA正文-2 Char"/>
    <w:link w:val="192"/>
    <w:qFormat/>
    <w:locked/>
    <w:uiPriority w:val="0"/>
    <w:rPr>
      <w:rFonts w:ascii="Arial" w:hAnsi="Arial" w:eastAsia="华文细黑" w:cs="Arial"/>
      <w:lang w:bidi="ar-SA"/>
    </w:rPr>
  </w:style>
  <w:style w:type="paragraph" w:customStyle="1" w:styleId="192">
    <w:name w:val="GTA正文-2"/>
    <w:basedOn w:val="171"/>
    <w:link w:val="191"/>
    <w:qFormat/>
    <w:uiPriority w:val="0"/>
    <w:pPr>
      <w:snapToGrid w:val="0"/>
      <w:spacing w:line="360" w:lineRule="auto"/>
      <w:ind w:firstLine="480"/>
    </w:pPr>
    <w:rPr>
      <w:rFonts w:eastAsia="华文细黑"/>
      <w:sz w:val="20"/>
    </w:rPr>
  </w:style>
  <w:style w:type="paragraph" w:customStyle="1" w:styleId="193">
    <w:name w:val="样式 标题 3 + 四号"/>
    <w:basedOn w:val="6"/>
    <w:qFormat/>
    <w:uiPriority w:val="99"/>
    <w:pPr>
      <w:jc w:val="center"/>
    </w:pPr>
    <w:rPr>
      <w:rFonts w:ascii="Times New Roman" w:hAnsi="Times New Roman"/>
      <w:kern w:val="0"/>
      <w:sz w:val="28"/>
    </w:rPr>
  </w:style>
  <w:style w:type="paragraph" w:customStyle="1" w:styleId="194">
    <w:name w:val="custom_unionstyle"/>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19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6">
    <w:name w:val="xl86"/>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97">
    <w:name w:val="xl96"/>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98">
    <w:name w:val="List Paragraph11"/>
    <w:basedOn w:val="1"/>
    <w:qFormat/>
    <w:uiPriority w:val="99"/>
    <w:pPr>
      <w:ind w:firstLine="420" w:firstLineChars="200"/>
    </w:pPr>
    <w:rPr>
      <w:rFonts w:ascii="Calibri" w:hAnsi="Calibri"/>
      <w:szCs w:val="22"/>
    </w:rPr>
  </w:style>
  <w:style w:type="paragraph" w:customStyle="1" w:styleId="19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01">
    <w:name w:val="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202">
    <w:name w:val="179"/>
    <w:basedOn w:val="1"/>
    <w:qFormat/>
    <w:uiPriority w:val="99"/>
    <w:pPr>
      <w:spacing w:line="240" w:lineRule="auto"/>
      <w:ind w:firstLine="420"/>
    </w:pPr>
    <w:rPr>
      <w:rFonts w:ascii="等线" w:hAnsi="等线" w:eastAsia="等线"/>
      <w:szCs w:val="22"/>
    </w:rPr>
  </w:style>
  <w:style w:type="paragraph" w:customStyle="1" w:styleId="203">
    <w:name w:val="二级条标题"/>
    <w:basedOn w:val="1"/>
    <w:next w:val="1"/>
    <w:qFormat/>
    <w:uiPriority w:val="99"/>
    <w:pPr>
      <w:widowControl/>
      <w:spacing w:line="240" w:lineRule="auto"/>
      <w:ind w:firstLine="0" w:firstLineChars="0"/>
      <w:jc w:val="left"/>
    </w:pPr>
    <w:rPr>
      <w:rFonts w:ascii="Calibri" w:hAnsi="Calibri" w:eastAsia="黑体"/>
      <w:szCs w:val="20"/>
    </w:rPr>
  </w:style>
  <w:style w:type="paragraph" w:customStyle="1" w:styleId="204">
    <w:name w:val="Char Char Char Char Char Char Char Char Char Char"/>
    <w:basedOn w:val="1"/>
    <w:qFormat/>
    <w:uiPriority w:val="99"/>
    <w:pPr>
      <w:tabs>
        <w:tab w:val="left" w:pos="360"/>
      </w:tabs>
      <w:ind w:left="360" w:hanging="360" w:hangingChars="200"/>
    </w:pPr>
    <w:rPr>
      <w:szCs w:val="20"/>
    </w:rPr>
  </w:style>
  <w:style w:type="paragraph" w:customStyle="1" w:styleId="205">
    <w:name w:val="普通(网站)1"/>
    <w:basedOn w:val="1"/>
    <w:qFormat/>
    <w:uiPriority w:val="99"/>
    <w:pPr>
      <w:widowControl/>
      <w:snapToGrid w:val="0"/>
      <w:spacing w:before="100" w:beforeAutospacing="1" w:after="100" w:afterAutospacing="1" w:line="300" w:lineRule="auto"/>
      <w:ind w:firstLine="200" w:firstLineChars="200"/>
      <w:jc w:val="left"/>
    </w:pPr>
    <w:rPr>
      <w:rFonts w:ascii="宋体" w:hAnsi="宋体" w:eastAsia="微软雅黑"/>
      <w:sz w:val="24"/>
      <w:szCs w:val="22"/>
    </w:rPr>
  </w:style>
  <w:style w:type="paragraph" w:customStyle="1" w:styleId="206">
    <w:name w:val="xl11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0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8">
    <w:name w:val="xl12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0">
    <w:name w:val="投标文件1"/>
    <w:basedOn w:val="4"/>
    <w:qFormat/>
    <w:uiPriority w:val="99"/>
    <w:pPr>
      <w:jc w:val="both"/>
    </w:pPr>
    <w:rPr>
      <w:rFonts w:eastAsia="方正小标宋简体"/>
      <w:b w:val="0"/>
      <w:sz w:val="32"/>
      <w:szCs w:val="21"/>
    </w:rPr>
  </w:style>
  <w:style w:type="paragraph" w:customStyle="1" w:styleId="211">
    <w:name w:val="xl89"/>
    <w:basedOn w:val="1"/>
    <w:qFormat/>
    <w:uiPriority w:val="99"/>
    <w:pPr>
      <w:widowControl/>
      <w:spacing w:before="100" w:beforeAutospacing="1" w:after="100" w:afterAutospacing="1"/>
      <w:jc w:val="left"/>
      <w:textAlignment w:val="bottom"/>
    </w:pPr>
    <w:rPr>
      <w:rFonts w:ascii="宋体" w:hAnsi="宋体" w:cs="宋体"/>
      <w:kern w:val="0"/>
      <w:szCs w:val="21"/>
    </w:rPr>
  </w:style>
  <w:style w:type="paragraph" w:customStyle="1" w:styleId="21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Cs w:val="21"/>
    </w:rPr>
  </w:style>
  <w:style w:type="paragraph" w:customStyle="1" w:styleId="213">
    <w:name w:val="正文首行缩进1"/>
    <w:basedOn w:val="1"/>
    <w:qFormat/>
    <w:uiPriority w:val="99"/>
    <w:pPr>
      <w:spacing w:after="120" w:line="240" w:lineRule="auto"/>
      <w:ind w:firstLine="420" w:firstLineChars="100"/>
    </w:pPr>
    <w:rPr>
      <w:rFonts w:ascii="Calibri" w:hAnsi="Calibri"/>
    </w:rPr>
  </w:style>
  <w:style w:type="paragraph" w:customStyle="1" w:styleId="214">
    <w:name w:val="xl64"/>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215">
    <w:name w:val="xl73"/>
    <w:basedOn w:val="1"/>
    <w:qFormat/>
    <w:uiPriority w:val="99"/>
    <w:pPr>
      <w:widowControl/>
      <w:spacing w:before="100" w:beforeAutospacing="1" w:after="100" w:afterAutospacing="1"/>
      <w:jc w:val="center"/>
    </w:pPr>
    <w:rPr>
      <w:rFonts w:ascii="宋体" w:hAnsi="宋体" w:cs="宋体"/>
      <w:kern w:val="0"/>
      <w:szCs w:val="21"/>
    </w:rPr>
  </w:style>
  <w:style w:type="paragraph" w:customStyle="1" w:styleId="216">
    <w:name w:val="msolistparagraph"/>
    <w:basedOn w:val="1"/>
    <w:qFormat/>
    <w:uiPriority w:val="99"/>
    <w:pPr>
      <w:spacing w:line="240" w:lineRule="auto"/>
      <w:ind w:firstLine="420"/>
    </w:pPr>
  </w:style>
  <w:style w:type="paragraph" w:customStyle="1" w:styleId="217">
    <w:name w:val="标书0927"/>
    <w:basedOn w:val="4"/>
    <w:qFormat/>
    <w:uiPriority w:val="99"/>
    <w:pPr>
      <w:tabs>
        <w:tab w:val="left" w:pos="780"/>
      </w:tabs>
      <w:spacing w:before="0" w:after="0" w:line="360" w:lineRule="auto"/>
      <w:ind w:left="780" w:hanging="420"/>
      <w:jc w:val="both"/>
    </w:pPr>
    <w:rPr>
      <w:rFonts w:ascii="宋体" w:eastAsia="宋体"/>
      <w:sz w:val="32"/>
      <w:szCs w:val="32"/>
    </w:rPr>
  </w:style>
  <w:style w:type="paragraph" w:customStyle="1" w:styleId="218">
    <w:name w:val="样式 标题 2 + 宋体"/>
    <w:basedOn w:val="5"/>
    <w:qFormat/>
    <w:uiPriority w:val="99"/>
    <w:pPr>
      <w:jc w:val="center"/>
    </w:pPr>
    <w:rPr>
      <w:rFonts w:ascii="宋体" w:hAnsi="宋体" w:eastAsia="宋体"/>
      <w:kern w:val="0"/>
    </w:rPr>
  </w:style>
  <w:style w:type="paragraph" w:customStyle="1" w:styleId="219">
    <w:name w:val="xl1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0">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1">
    <w:name w:val="pa-5"/>
    <w:basedOn w:val="1"/>
    <w:qFormat/>
    <w:uiPriority w:val="99"/>
    <w:pPr>
      <w:widowControl/>
      <w:spacing w:before="150" w:after="150"/>
      <w:jc w:val="left"/>
    </w:pPr>
    <w:rPr>
      <w:rFonts w:ascii="宋体" w:hAnsi="宋体" w:cs="宋体"/>
      <w:kern w:val="0"/>
      <w:sz w:val="24"/>
    </w:rPr>
  </w:style>
  <w:style w:type="paragraph" w:customStyle="1" w:styleId="222">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3">
    <w:name w:val="xl75"/>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4">
    <w:name w:val="_Style 223"/>
    <w:unhideWhenUsed/>
    <w:qFormat/>
    <w:uiPriority w:val="99"/>
    <w:rPr>
      <w:rFonts w:ascii="Times New Roman" w:hAnsi="Times New Roman" w:eastAsia="宋体" w:cs="Times New Roman"/>
      <w:kern w:val="2"/>
      <w:sz w:val="21"/>
      <w:szCs w:val="24"/>
      <w:lang w:val="en-US" w:eastAsia="zh-CN" w:bidi="ar-SA"/>
    </w:rPr>
  </w:style>
  <w:style w:type="paragraph" w:customStyle="1" w:styleId="225">
    <w:name w:val="xl85"/>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6">
    <w:name w:val="xl1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2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28">
    <w:name w:val="xl14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9">
    <w:name w:val="msonormalcxspmiddle"/>
    <w:basedOn w:val="1"/>
    <w:qFormat/>
    <w:uiPriority w:val="99"/>
    <w:pPr>
      <w:widowControl/>
      <w:spacing w:line="315" w:lineRule="atLeast"/>
      <w:jc w:val="left"/>
    </w:pPr>
    <w:rPr>
      <w:rFonts w:ascii="inherit" w:hAnsi="inherit" w:eastAsia="微软雅黑" w:cs="宋体"/>
      <w:color w:val="323232"/>
      <w:kern w:val="0"/>
      <w:sz w:val="18"/>
      <w:szCs w:val="18"/>
    </w:rPr>
  </w:style>
  <w:style w:type="paragraph" w:customStyle="1" w:styleId="230">
    <w:name w:val="正文段"/>
    <w:basedOn w:val="1"/>
    <w:qFormat/>
    <w:uiPriority w:val="99"/>
    <w:pPr>
      <w:widowControl/>
      <w:snapToGrid w:val="0"/>
      <w:spacing w:afterLines="50"/>
      <w:ind w:firstLine="200" w:firstLineChars="200"/>
    </w:pPr>
    <w:rPr>
      <w:kern w:val="0"/>
      <w:sz w:val="24"/>
      <w:szCs w:val="20"/>
    </w:rPr>
  </w:style>
  <w:style w:type="paragraph" w:customStyle="1" w:styleId="231">
    <w:name w:val="xl11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2">
    <w:name w:val="TOC 标题2"/>
    <w:next w:val="1"/>
    <w:qFormat/>
    <w:uiPriority w:val="99"/>
    <w:pPr>
      <w:wordWrap w:val="0"/>
    </w:pPr>
    <w:rPr>
      <w:rFonts w:ascii="Times New Roman" w:hAnsi="Times New Roman" w:eastAsia="宋体" w:cs="Times New Roman"/>
      <w:sz w:val="32"/>
      <w:lang w:val="en-US" w:eastAsia="zh-CN" w:bidi="ar-SA"/>
    </w:rPr>
  </w:style>
  <w:style w:type="paragraph" w:customStyle="1" w:styleId="233">
    <w:name w:val="5 Char Char Char Char Char Char Char Char Char Char"/>
    <w:basedOn w:val="1"/>
    <w:qFormat/>
    <w:uiPriority w:val="99"/>
  </w:style>
  <w:style w:type="paragraph" w:customStyle="1" w:styleId="234">
    <w:name w:val="p0"/>
    <w:basedOn w:val="1"/>
    <w:qFormat/>
    <w:uiPriority w:val="99"/>
    <w:pPr>
      <w:widowControl/>
      <w:jc w:val="left"/>
    </w:pPr>
    <w:rPr>
      <w:kern w:val="0"/>
      <w:sz w:val="20"/>
      <w:szCs w:val="20"/>
    </w:rPr>
  </w:style>
  <w:style w:type="paragraph" w:customStyle="1" w:styleId="23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6">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Cs w:val="21"/>
    </w:rPr>
  </w:style>
  <w:style w:type="paragraph" w:customStyle="1" w:styleId="237">
    <w:name w:val="xl12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4"/>
    <w:basedOn w:val="1"/>
    <w:qFormat/>
    <w:uiPriority w:val="99"/>
    <w:rPr>
      <w:rFonts w:ascii="Tahoma" w:hAnsi="Tahoma"/>
      <w:sz w:val="24"/>
      <w:szCs w:val="20"/>
    </w:rPr>
  </w:style>
  <w:style w:type="paragraph" w:customStyle="1" w:styleId="239">
    <w:name w:val="Char Char Char1 Char"/>
    <w:basedOn w:val="1"/>
    <w:qFormat/>
    <w:uiPriority w:val="99"/>
    <w:rPr>
      <w:rFonts w:ascii="Calibri" w:hAnsi="Calibri"/>
      <w:szCs w:val="22"/>
    </w:rPr>
  </w:style>
  <w:style w:type="paragraph" w:customStyle="1" w:styleId="240">
    <w:name w:val="pic-info"/>
    <w:basedOn w:val="1"/>
    <w:qFormat/>
    <w:uiPriority w:val="99"/>
    <w:pPr>
      <w:widowControl/>
      <w:spacing w:before="100" w:beforeAutospacing="1" w:after="100" w:afterAutospacing="1" w:line="480" w:lineRule="exact"/>
      <w:jc w:val="left"/>
    </w:pPr>
    <w:rPr>
      <w:rFonts w:ascii="宋体" w:hAnsi="宋体" w:eastAsia="微软雅黑" w:cs="宋体"/>
      <w:kern w:val="0"/>
      <w:sz w:val="24"/>
    </w:rPr>
  </w:style>
  <w:style w:type="paragraph" w:customStyle="1" w:styleId="241">
    <w:name w:val="xl137"/>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2">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3">
    <w:name w:val="正文 New New New New"/>
    <w:qFormat/>
    <w:uiPriority w:val="99"/>
    <w:pPr>
      <w:widowControl w:val="0"/>
      <w:spacing w:line="400" w:lineRule="exact"/>
      <w:ind w:firstLine="200" w:firstLineChars="200"/>
      <w:jc w:val="both"/>
    </w:pPr>
    <w:rPr>
      <w:rFonts w:ascii="Times New Roman" w:hAnsi="Times New Roman" w:eastAsia="宋体" w:cs="Times New Roman"/>
      <w:szCs w:val="24"/>
      <w:lang w:val="en-US" w:eastAsia="zh-CN" w:bidi="ar-SA"/>
    </w:rPr>
  </w:style>
  <w:style w:type="paragraph" w:customStyle="1" w:styleId="24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5">
    <w:name w:val="xl10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6">
    <w:name w:val="Char Char Char Char Char Char Char"/>
    <w:basedOn w:val="1"/>
    <w:qFormat/>
    <w:uiPriority w:val="99"/>
  </w:style>
  <w:style w:type="paragraph" w:customStyle="1" w:styleId="247">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默认段落字体 Para Char Char Char Char Char Char Char Char Char Char Char Char Char Char Char Char Char Char Char"/>
    <w:basedOn w:val="1"/>
    <w:qFormat/>
    <w:uiPriority w:val="99"/>
    <w:rPr>
      <w:rFonts w:ascii="Calibri" w:hAnsi="Calibri"/>
      <w:szCs w:val="22"/>
    </w:rPr>
  </w:style>
  <w:style w:type="paragraph" w:customStyle="1" w:styleId="249">
    <w:name w:val="样式 标题 1 + 小二"/>
    <w:basedOn w:val="4"/>
    <w:qFormat/>
    <w:uiPriority w:val="99"/>
  </w:style>
  <w:style w:type="paragraph" w:customStyle="1" w:styleId="250">
    <w:name w:val="xl11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1">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Cs w:val="21"/>
    </w:rPr>
  </w:style>
  <w:style w:type="paragraph" w:customStyle="1" w:styleId="252">
    <w:name w:val="xl91"/>
    <w:basedOn w:val="1"/>
    <w:qFormat/>
    <w:uiPriority w:val="99"/>
    <w:pPr>
      <w:widowControl/>
      <w:pBdr>
        <w:top w:val="single" w:color="auto" w:sz="8" w:space="0"/>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5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66"/>
    <w:basedOn w:val="1"/>
    <w:qFormat/>
    <w:uiPriority w:val="99"/>
    <w:pPr>
      <w:widowControl/>
      <w:spacing w:before="100" w:beforeAutospacing="1" w:after="100" w:afterAutospacing="1"/>
      <w:jc w:val="left"/>
      <w:textAlignment w:val="bottom"/>
    </w:pPr>
    <w:rPr>
      <w:rFonts w:ascii="宋体" w:hAnsi="宋体" w:cs="宋体"/>
      <w:color w:val="000000"/>
      <w:kern w:val="0"/>
      <w:szCs w:val="21"/>
    </w:rPr>
  </w:style>
  <w:style w:type="paragraph" w:customStyle="1" w:styleId="25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56">
    <w:name w:val="xl92"/>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kern w:val="0"/>
      <w:szCs w:val="21"/>
    </w:rPr>
  </w:style>
  <w:style w:type="paragraph" w:customStyle="1" w:styleId="25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8">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259">
    <w:name w:val="xl9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0">
    <w:name w:val="xl11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1">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26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63">
    <w:name w:val="msonormal"/>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6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6">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7">
    <w:name w:val="font10"/>
    <w:basedOn w:val="1"/>
    <w:qFormat/>
    <w:uiPriority w:val="99"/>
    <w:pPr>
      <w:widowControl/>
      <w:spacing w:before="100" w:beforeAutospacing="1" w:after="100" w:afterAutospacing="1"/>
      <w:jc w:val="left"/>
    </w:pPr>
    <w:rPr>
      <w:kern w:val="0"/>
      <w:sz w:val="20"/>
      <w:szCs w:val="20"/>
    </w:rPr>
  </w:style>
  <w:style w:type="paragraph" w:customStyle="1" w:styleId="268">
    <w:name w:val="xl90"/>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69">
    <w:name w:val="TOC 标题1"/>
    <w:basedOn w:val="4"/>
    <w:next w:val="1"/>
    <w:qFormat/>
    <w:uiPriority w:val="99"/>
    <w:pPr>
      <w:widowControl/>
      <w:tabs>
        <w:tab w:val="left" w:pos="360"/>
      </w:tabs>
      <w:spacing w:before="480" w:after="0" w:line="276" w:lineRule="auto"/>
      <w:ind w:left="360" w:hanging="360"/>
      <w:jc w:val="left"/>
      <w:outlineLvl w:val="9"/>
    </w:pPr>
    <w:rPr>
      <w:rFonts w:ascii="Cambria" w:hAnsi="Cambria" w:eastAsia="宋体"/>
      <w:color w:val="365F91"/>
      <w:kern w:val="0"/>
      <w:sz w:val="28"/>
      <w:szCs w:val="28"/>
    </w:rPr>
  </w:style>
  <w:style w:type="paragraph" w:customStyle="1" w:styleId="27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11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2">
    <w:name w:val="表格文字"/>
    <w:basedOn w:val="1"/>
    <w:next w:val="2"/>
    <w:qFormat/>
    <w:uiPriority w:val="99"/>
    <w:pPr>
      <w:spacing w:before="25" w:after="25"/>
      <w:jc w:val="left"/>
    </w:pPr>
    <w:rPr>
      <w:bCs/>
      <w:spacing w:val="10"/>
      <w:kern w:val="0"/>
      <w:sz w:val="24"/>
      <w:szCs w:val="20"/>
    </w:rPr>
  </w:style>
  <w:style w:type="paragraph" w:customStyle="1" w:styleId="273">
    <w:name w:val="xl65"/>
    <w:basedOn w:val="1"/>
    <w:qFormat/>
    <w:uiPriority w:val="99"/>
    <w:pPr>
      <w:widowControl/>
      <w:spacing w:before="100" w:beforeAutospacing="1" w:after="100" w:afterAutospacing="1"/>
      <w:jc w:val="center"/>
    </w:pPr>
    <w:rPr>
      <w:rFonts w:ascii="宋体" w:hAnsi="宋体" w:cs="宋体"/>
      <w:color w:val="000000"/>
      <w:kern w:val="0"/>
      <w:szCs w:val="21"/>
    </w:rPr>
  </w:style>
  <w:style w:type="paragraph" w:customStyle="1" w:styleId="274">
    <w:name w:val="xl88"/>
    <w:basedOn w:val="1"/>
    <w:qFormat/>
    <w:uiPriority w:val="99"/>
    <w:pPr>
      <w:widowControl/>
      <w:pBdr>
        <w:top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75">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76">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77">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78">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9">
    <w:name w:val="xl10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80">
    <w:name w:val="xl1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1">
    <w:name w:val="xl74"/>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2">
    <w:name w:val="xl104"/>
    <w:basedOn w:val="1"/>
    <w:qFormat/>
    <w:uiPriority w:val="99"/>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8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4">
    <w:name w:val="p15"/>
    <w:basedOn w:val="1"/>
    <w:qFormat/>
    <w:uiPriority w:val="99"/>
    <w:pPr>
      <w:widowControl/>
    </w:pPr>
    <w:rPr>
      <w:rFonts w:ascii="宋体" w:hAnsi="宋体" w:cs="宋体"/>
      <w:kern w:val="0"/>
      <w:szCs w:val="21"/>
    </w:rPr>
  </w:style>
  <w:style w:type="paragraph" w:customStyle="1" w:styleId="28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6">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7">
    <w:name w:val="正文-公1"/>
    <w:basedOn w:val="1"/>
    <w:qFormat/>
    <w:uiPriority w:val="99"/>
    <w:pPr>
      <w:spacing w:line="240" w:lineRule="auto"/>
      <w:jc w:val="left"/>
    </w:pPr>
    <w:rPr>
      <w:rFonts w:ascii="Calibri" w:hAnsi="Calibri" w:eastAsia="仿宋_GB2312"/>
    </w:rPr>
  </w:style>
  <w:style w:type="paragraph" w:customStyle="1" w:styleId="288">
    <w:name w:val="xl1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9">
    <w:name w:val="Char Char1 Char Char Char Char"/>
    <w:basedOn w:val="18"/>
    <w:qFormat/>
    <w:uiPriority w:val="99"/>
    <w:rPr>
      <w:rFonts w:ascii="Tahoma" w:hAnsi="Tahoma"/>
      <w:sz w:val="24"/>
    </w:rPr>
  </w:style>
  <w:style w:type="paragraph" w:customStyle="1" w:styleId="290">
    <w:name w:val="_Style 8"/>
    <w:basedOn w:val="18"/>
    <w:qFormat/>
    <w:uiPriority w:val="99"/>
    <w:pPr>
      <w:widowControl/>
      <w:spacing w:line="240" w:lineRule="auto"/>
      <w:ind w:firstLine="454" w:firstLineChars="0"/>
      <w:jc w:val="left"/>
    </w:pPr>
  </w:style>
  <w:style w:type="paragraph" w:customStyle="1" w:styleId="291">
    <w:name w:val="xl122"/>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93">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4">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295">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9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97">
    <w:name w:val="xl95"/>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Cs w:val="21"/>
    </w:rPr>
  </w:style>
  <w:style w:type="paragraph" w:customStyle="1" w:styleId="298">
    <w:name w:val="文档正文"/>
    <w:basedOn w:val="1"/>
    <w:qFormat/>
    <w:uiPriority w:val="99"/>
    <w:pPr>
      <w:autoSpaceDE w:val="0"/>
      <w:autoSpaceDN w:val="0"/>
      <w:adjustRightInd w:val="0"/>
      <w:spacing w:line="240" w:lineRule="atLeast"/>
      <w:ind w:firstLine="567"/>
    </w:pPr>
    <w:rPr>
      <w:rFonts w:ascii="Arial Narrow" w:hAnsi="Arial Narrow" w:cs="Arial"/>
      <w:sz w:val="24"/>
      <w:lang w:val="zh-CN"/>
    </w:rPr>
  </w:style>
  <w:style w:type="paragraph" w:customStyle="1" w:styleId="299">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1">
    <w:name w:val="p18"/>
    <w:basedOn w:val="1"/>
    <w:qFormat/>
    <w:uiPriority w:val="99"/>
    <w:pPr>
      <w:widowControl/>
      <w:spacing w:line="240" w:lineRule="auto"/>
      <w:ind w:firstLine="0" w:firstLineChars="0"/>
    </w:pPr>
    <w:rPr>
      <w:rFonts w:ascii="宋体" w:hAnsi="宋体" w:cs="宋体"/>
      <w:kern w:val="0"/>
      <w:szCs w:val="21"/>
    </w:rPr>
  </w:style>
  <w:style w:type="paragraph" w:customStyle="1" w:styleId="302">
    <w:name w:val="xl13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03">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4">
    <w:name w:val="xl6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305">
    <w:name w:val="_Style 2"/>
    <w:basedOn w:val="1"/>
    <w:qFormat/>
    <w:uiPriority w:val="99"/>
    <w:pPr>
      <w:ind w:firstLine="420" w:firstLineChars="200"/>
    </w:pPr>
  </w:style>
  <w:style w:type="paragraph" w:customStyle="1" w:styleId="306">
    <w:name w:val="xl97"/>
    <w:basedOn w:val="1"/>
    <w:qFormat/>
    <w:uiPriority w:val="99"/>
    <w:pPr>
      <w:widowControl/>
      <w:spacing w:before="100" w:beforeAutospacing="1" w:after="100" w:afterAutospacing="1"/>
      <w:jc w:val="left"/>
      <w:textAlignment w:val="bottom"/>
    </w:pPr>
    <w:rPr>
      <w:kern w:val="0"/>
      <w:sz w:val="20"/>
      <w:szCs w:val="20"/>
    </w:rPr>
  </w:style>
  <w:style w:type="paragraph" w:customStyle="1" w:styleId="307">
    <w:name w:val="默认段落字体 Para Char Char Char Char Char Char Char Char Char1 Char Char Char Char"/>
    <w:basedOn w:val="1"/>
    <w:qFormat/>
    <w:uiPriority w:val="99"/>
    <w:rPr>
      <w:rFonts w:ascii="Tahoma" w:hAnsi="Tahoma"/>
      <w:sz w:val="24"/>
      <w:szCs w:val="20"/>
    </w:rPr>
  </w:style>
  <w:style w:type="paragraph" w:customStyle="1" w:styleId="308">
    <w:name w:val="Char"/>
    <w:basedOn w:val="18"/>
    <w:qFormat/>
    <w:uiPriority w:val="99"/>
    <w:pPr>
      <w:widowControl/>
      <w:ind w:firstLine="454"/>
      <w:jc w:val="left"/>
    </w:pPr>
    <w:rPr>
      <w:rFonts w:ascii="Tahoma" w:hAnsi="Tahoma" w:cs="宋体"/>
      <w:kern w:val="0"/>
      <w:sz w:val="24"/>
      <w:szCs w:val="20"/>
    </w:rPr>
  </w:style>
  <w:style w:type="paragraph" w:customStyle="1" w:styleId="30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1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311">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2">
    <w:name w:val="xl9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14">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316">
    <w:name w:val="样式2"/>
    <w:basedOn w:val="7"/>
    <w:qFormat/>
    <w:uiPriority w:val="99"/>
    <w:rPr>
      <w:rFonts w:ascii="仿宋_GB2312" w:hAnsi="宋体" w:eastAsia="仿宋_GB2312" w:cs="宋体"/>
      <w:kern w:val="0"/>
      <w:sz w:val="24"/>
    </w:rPr>
  </w:style>
  <w:style w:type="paragraph" w:customStyle="1" w:styleId="317">
    <w:name w:val="Heading2"/>
    <w:next w:val="1"/>
    <w:qFormat/>
    <w:uiPriority w:val="99"/>
    <w:pPr>
      <w:keepNext/>
      <w:keepLines/>
      <w:widowControl w:val="0"/>
      <w:spacing w:before="60" w:after="60" w:line="413" w:lineRule="auto"/>
      <w:jc w:val="both"/>
      <w:textAlignment w:val="baseline"/>
    </w:pPr>
    <w:rPr>
      <w:rFonts w:ascii="Arial" w:hAnsi="Arial" w:eastAsia="黑体" w:cs="Times New Roman"/>
      <w:b/>
      <w:bCs/>
      <w:kern w:val="2"/>
      <w:sz w:val="21"/>
      <w:szCs w:val="32"/>
      <w:lang w:val="en-US" w:eastAsia="zh-CN" w:bidi="ar-SA"/>
    </w:rPr>
  </w:style>
  <w:style w:type="paragraph" w:customStyle="1" w:styleId="318">
    <w:name w:val="xl1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9">
    <w:name w:val="浅色网格 - 强调文字颜色 32"/>
    <w:basedOn w:val="1"/>
    <w:qFormat/>
    <w:uiPriority w:val="99"/>
    <w:pPr>
      <w:ind w:firstLine="420" w:firstLineChars="200"/>
    </w:pPr>
    <w:rPr>
      <w:rFonts w:ascii="Calibri" w:hAnsi="Calibri"/>
      <w:szCs w:val="22"/>
    </w:rPr>
  </w:style>
  <w:style w:type="paragraph" w:customStyle="1" w:styleId="320">
    <w:name w:val="xl87"/>
    <w:basedOn w:val="1"/>
    <w:qFormat/>
    <w:uiPriority w:val="99"/>
    <w:pPr>
      <w:widowControl/>
      <w:pBdr>
        <w:bottom w:val="single" w:color="auto" w:sz="8" w:space="0"/>
      </w:pBdr>
      <w:spacing w:before="100" w:beforeAutospacing="1" w:after="100" w:afterAutospacing="1"/>
      <w:jc w:val="left"/>
    </w:pPr>
    <w:rPr>
      <w:rFonts w:ascii="宋体" w:hAnsi="宋体" w:cs="宋体"/>
      <w:kern w:val="0"/>
      <w:szCs w:val="21"/>
    </w:rPr>
  </w:style>
  <w:style w:type="paragraph" w:customStyle="1" w:styleId="321">
    <w:name w:val="列表段落1"/>
    <w:basedOn w:val="1"/>
    <w:qFormat/>
    <w:uiPriority w:val="34"/>
    <w:pPr>
      <w:spacing w:line="240" w:lineRule="auto"/>
    </w:pPr>
    <w:rPr>
      <w:rFonts w:ascii="Calibri" w:hAnsi="Calibri"/>
    </w:rPr>
  </w:style>
  <w:style w:type="paragraph" w:customStyle="1" w:styleId="322">
    <w:name w:val="font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23">
    <w:name w:val="unnamed1"/>
    <w:basedOn w:val="1"/>
    <w:qFormat/>
    <w:uiPriority w:val="99"/>
    <w:pPr>
      <w:widowControl/>
      <w:spacing w:before="100" w:beforeAutospacing="1" w:after="100" w:afterAutospacing="1" w:line="288" w:lineRule="auto"/>
      <w:jc w:val="left"/>
    </w:pPr>
    <w:rPr>
      <w:rFonts w:ascii="宋体" w:hAnsi="宋体"/>
      <w:kern w:val="0"/>
      <w:szCs w:val="21"/>
    </w:rPr>
  </w:style>
  <w:style w:type="paragraph" w:customStyle="1" w:styleId="324">
    <w:name w:val="Other|1"/>
    <w:basedOn w:val="1"/>
    <w:qFormat/>
    <w:uiPriority w:val="99"/>
    <w:pPr>
      <w:spacing w:line="240" w:lineRule="auto"/>
      <w:ind w:firstLine="0" w:firstLineChars="0"/>
    </w:pPr>
    <w:rPr>
      <w:rFonts w:ascii="宋体" w:hAnsi="宋体" w:cs="宋体"/>
      <w:lang w:val="zh-TW" w:eastAsia="zh-TW" w:bidi="zh-TW"/>
    </w:rPr>
  </w:style>
  <w:style w:type="paragraph" w:customStyle="1" w:styleId="325">
    <w:name w:val="xl93"/>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Cs w:val="21"/>
    </w:rPr>
  </w:style>
  <w:style w:type="paragraph" w:customStyle="1" w:styleId="326">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8"/>
    <w:basedOn w:val="1"/>
    <w:qFormat/>
    <w:uiPriority w:val="99"/>
    <w:pPr>
      <w:widowControl/>
      <w:spacing w:before="100" w:beforeAutospacing="1" w:after="100" w:afterAutospacing="1"/>
      <w:jc w:val="left"/>
    </w:pPr>
    <w:rPr>
      <w:color w:val="000000"/>
      <w:kern w:val="0"/>
      <w:sz w:val="22"/>
      <w:szCs w:val="22"/>
    </w:rPr>
  </w:style>
  <w:style w:type="paragraph" w:customStyle="1" w:styleId="32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1"/>
    <w:basedOn w:val="1"/>
    <w:next w:val="26"/>
    <w:qFormat/>
    <w:uiPriority w:val="99"/>
    <w:rPr>
      <w:rFonts w:ascii="宋体" w:hAnsi="Courier New"/>
      <w:szCs w:val="20"/>
    </w:rPr>
  </w:style>
  <w:style w:type="paragraph" w:customStyle="1" w:styleId="330">
    <w:name w:val="投标文件"/>
    <w:basedOn w:val="44"/>
    <w:qFormat/>
    <w:uiPriority w:val="99"/>
  </w:style>
  <w:style w:type="paragraph" w:customStyle="1" w:styleId="331">
    <w:name w:val="xl11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2">
    <w:name w:val="xl10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34">
    <w:name w:val="xl12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5">
    <w:name w:val="List Paragraph1"/>
    <w:basedOn w:val="1"/>
    <w:qFormat/>
    <w:uiPriority w:val="99"/>
    <w:pPr>
      <w:ind w:firstLine="420" w:firstLineChars="200"/>
    </w:pPr>
  </w:style>
  <w:style w:type="table" w:customStyle="1" w:styleId="336">
    <w:name w:val="网格型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网格型3"/>
    <w:basedOn w:val="48"/>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22957</Words>
  <Characters>24786</Characters>
  <Lines>682</Lines>
  <Paragraphs>192</Paragraphs>
  <TotalTime>221</TotalTime>
  <ScaleCrop>false</ScaleCrop>
  <LinksUpToDate>false</LinksUpToDate>
  <CharactersWithSpaces>27177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2024-09-03T00:19:00Z</dcterms:created>
  <dc:creator>Administrator</dc:creator>
  <cp:lastModifiedBy>Lenovo</cp:lastModifiedBy>
  <cp:lastPrinted>2025-07-30T01:27:58Z</cp:lastPrinted>
  <dcterms:modified xsi:type="dcterms:W3CDTF">2025-07-30T07:18:05Z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578BD577E38147ACBF86FEFD25083D4F</vt:lpwstr>
  </property>
  <property fmtid="{D5CDD505-2E9C-101B-9397-08002B2CF9AE}" pid="4" name="KSOTemplateDocerSaveRecord">
    <vt:lpwstr>eyJoZGlkIjoiMzJjNWE1NjNmNDE2OTRjZjJlOWMyMWJkODk5NmYzOTUifQ==</vt:lpwstr>
  </property>
</Properties>
</file>